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2C218097">
      <w:pPr>
        <w:pStyle w:val="82"/>
        <w:spacing w:line="240" w:lineRule="auto"/>
        <w:ind w:firstLine="0"/>
        <w:jc w:val="both"/>
        <w:rPr>
          <w:color w:val="auto"/>
          <w:sz w:val="36"/>
          <w:szCs w:val="36"/>
        </w:rPr>
      </w:pPr>
      <w:r>
        <w:rPr>
          <w:b/>
          <w:color w:val="auto"/>
          <w:spacing w:val="40"/>
          <w:sz w:val="52"/>
          <w:szCs w:val="52"/>
        </w:rPr>
        <w:drawing>
          <wp:inline distT="0" distB="0" distL="0" distR="0">
            <wp:extent cx="1038225" cy="857250"/>
            <wp:effectExtent l="19050" t="0" r="9525" b="0"/>
            <wp:docPr id="1" name="图片 126" descr="徽标, 公司名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6" descr="徽标, 公司名称&#10;&#10;描述已自动生成"/>
                    <pic:cNvPicPr>
                      <a:picLocks noChangeAspect="1" noChangeArrowheads="1"/>
                    </pic:cNvPicPr>
                  </pic:nvPicPr>
                  <pic:blipFill>
                    <a:blip r:embed="rId6"/>
                    <a:srcRect l="10854" t="16267" r="11581" b="19855"/>
                    <a:stretch>
                      <a:fillRect/>
                    </a:stretch>
                  </pic:blipFill>
                  <pic:spPr>
                    <a:xfrm>
                      <a:off x="0" y="0"/>
                      <a:ext cx="1038225" cy="857250"/>
                    </a:xfrm>
                    <a:prstGeom prst="rect">
                      <a:avLst/>
                    </a:prstGeom>
                    <a:noFill/>
                    <a:ln w="9525">
                      <a:noFill/>
                      <a:miter lim="800000"/>
                      <a:headEnd/>
                      <a:tailEnd/>
                    </a:ln>
                  </pic:spPr>
                </pic:pic>
              </a:graphicData>
            </a:graphic>
          </wp:inline>
        </w:drawing>
      </w:r>
      <w:r>
        <w:rPr>
          <w:color w:val="auto"/>
          <w:sz w:val="36"/>
          <w:szCs w:val="36"/>
        </w:rPr>
        <w:t xml:space="preserve"> </w:t>
      </w:r>
    </w:p>
    <w:p w14:paraId="43DC9C3E">
      <w:pPr>
        <w:rPr>
          <w:color w:val="auto"/>
          <w:sz w:val="36"/>
          <w:szCs w:val="36"/>
        </w:rPr>
      </w:pPr>
    </w:p>
    <w:p w14:paraId="52FB97E2">
      <w:pPr>
        <w:rPr>
          <w:color w:val="auto"/>
          <w:sz w:val="36"/>
          <w:szCs w:val="36"/>
        </w:rPr>
      </w:pPr>
    </w:p>
    <w:p w14:paraId="1F86CABF">
      <w:pPr>
        <w:rPr>
          <w:color w:val="auto"/>
          <w:sz w:val="36"/>
          <w:szCs w:val="36"/>
        </w:rPr>
      </w:pPr>
    </w:p>
    <w:p w14:paraId="1AD31F1D">
      <w:pPr>
        <w:adjustRightInd w:val="0"/>
        <w:snapToGrid w:val="0"/>
        <w:jc w:val="center"/>
        <w:outlineLvl w:val="0"/>
        <w:rPr>
          <w:bCs/>
          <w:color w:val="auto"/>
          <w:sz w:val="72"/>
          <w:szCs w:val="72"/>
        </w:rPr>
      </w:pPr>
      <w:bookmarkStart w:id="0" w:name="_Toc15163"/>
      <w:bookmarkStart w:id="1" w:name="_Toc113260994"/>
      <w:bookmarkStart w:id="2" w:name="_Toc12942"/>
      <w:bookmarkStart w:id="3" w:name="_Toc113544786"/>
      <w:r>
        <w:rPr>
          <w:bCs/>
          <w:color w:val="auto"/>
          <w:sz w:val="72"/>
          <w:szCs w:val="72"/>
        </w:rPr>
        <w:t>建设项目环境影响报告表</w:t>
      </w:r>
      <w:bookmarkEnd w:id="0"/>
      <w:bookmarkEnd w:id="1"/>
      <w:bookmarkEnd w:id="2"/>
      <w:bookmarkEnd w:id="3"/>
    </w:p>
    <w:p w14:paraId="5B2BFC3E">
      <w:pPr>
        <w:adjustRightInd w:val="0"/>
        <w:snapToGrid w:val="0"/>
        <w:spacing w:beforeLines="80"/>
        <w:jc w:val="center"/>
        <w:rPr>
          <w:bCs/>
          <w:color w:val="auto"/>
          <w:sz w:val="48"/>
          <w:szCs w:val="48"/>
        </w:rPr>
      </w:pPr>
      <w:r>
        <w:rPr>
          <w:bCs/>
          <w:color w:val="auto"/>
          <w:sz w:val="48"/>
          <w:szCs w:val="48"/>
        </w:rPr>
        <w:t>（污染影响类）</w:t>
      </w:r>
    </w:p>
    <w:p w14:paraId="2A87B52C">
      <w:pPr>
        <w:adjustRightInd w:val="0"/>
        <w:snapToGrid w:val="0"/>
        <w:spacing w:line="288" w:lineRule="auto"/>
        <w:jc w:val="center"/>
        <w:rPr>
          <w:color w:val="auto"/>
          <w:kern w:val="44"/>
          <w:sz w:val="44"/>
          <w:szCs w:val="44"/>
        </w:rPr>
      </w:pPr>
    </w:p>
    <w:p w14:paraId="476EB217">
      <w:pPr>
        <w:jc w:val="center"/>
        <w:rPr>
          <w:color w:val="auto"/>
          <w:sz w:val="52"/>
          <w:szCs w:val="52"/>
        </w:rPr>
      </w:pPr>
    </w:p>
    <w:p w14:paraId="462F9C28">
      <w:pPr>
        <w:ind w:firstLine="1040"/>
        <w:rPr>
          <w:color w:val="auto"/>
          <w:sz w:val="44"/>
          <w:szCs w:val="44"/>
        </w:rPr>
      </w:pPr>
    </w:p>
    <w:p w14:paraId="25B1A0F5">
      <w:pPr>
        <w:ind w:firstLine="1040"/>
        <w:rPr>
          <w:color w:val="auto"/>
          <w:sz w:val="44"/>
          <w:szCs w:val="44"/>
        </w:rPr>
      </w:pPr>
    </w:p>
    <w:p w14:paraId="514C4746">
      <w:pPr>
        <w:ind w:firstLine="1040"/>
        <w:rPr>
          <w:color w:val="auto"/>
          <w:sz w:val="44"/>
          <w:szCs w:val="44"/>
        </w:rPr>
      </w:pPr>
    </w:p>
    <w:p w14:paraId="17E523A6">
      <w:pPr>
        <w:ind w:firstLine="1040"/>
        <w:rPr>
          <w:color w:val="auto"/>
          <w:sz w:val="44"/>
          <w:szCs w:val="44"/>
        </w:rPr>
      </w:pPr>
    </w:p>
    <w:p w14:paraId="64DDB0EE">
      <w:pPr>
        <w:pStyle w:val="10"/>
        <w:rPr>
          <w:color w:val="auto"/>
        </w:rPr>
      </w:pPr>
    </w:p>
    <w:p w14:paraId="4387E656">
      <w:pPr>
        <w:ind w:firstLine="1040"/>
        <w:rPr>
          <w:color w:val="auto"/>
          <w:sz w:val="44"/>
          <w:szCs w:val="44"/>
        </w:rPr>
      </w:pPr>
    </w:p>
    <w:p w14:paraId="2E5AFFD4">
      <w:pPr>
        <w:ind w:firstLine="1040"/>
        <w:rPr>
          <w:color w:val="auto"/>
          <w:sz w:val="44"/>
          <w:szCs w:val="44"/>
        </w:rPr>
      </w:pPr>
    </w:p>
    <w:p w14:paraId="359F193C">
      <w:pPr>
        <w:spacing w:line="360" w:lineRule="auto"/>
        <w:ind w:firstLine="640" w:firstLineChars="200"/>
        <w:rPr>
          <w:color w:val="auto"/>
          <w:sz w:val="32"/>
          <w:szCs w:val="32"/>
          <w:u w:val="single"/>
        </w:rPr>
      </w:pPr>
      <w:r>
        <w:rPr>
          <w:color w:val="auto"/>
          <w:sz w:val="32"/>
          <w:szCs w:val="32"/>
        </w:rPr>
        <w:t>项目名称：</w:t>
      </w:r>
      <w:bookmarkStart w:id="4" w:name="OLE_LINK1"/>
      <w:r>
        <w:rPr>
          <w:color w:val="auto"/>
          <w:sz w:val="32"/>
          <w:szCs w:val="32"/>
          <w:u w:val="single"/>
        </w:rPr>
        <w:t xml:space="preserve">    安徽腾安光电新材料生产基地项目</w:t>
      </w:r>
      <w:bookmarkEnd w:id="4"/>
      <w:r>
        <w:rPr>
          <w:color w:val="auto"/>
          <w:sz w:val="32"/>
          <w:szCs w:val="32"/>
          <w:u w:val="single"/>
        </w:rPr>
        <w:t xml:space="preserve">      </w:t>
      </w:r>
    </w:p>
    <w:p w14:paraId="6E0F890D">
      <w:pPr>
        <w:adjustRightInd w:val="0"/>
        <w:snapToGrid w:val="0"/>
        <w:spacing w:line="360" w:lineRule="auto"/>
        <w:ind w:firstLine="640" w:firstLineChars="200"/>
        <w:rPr>
          <w:color w:val="auto"/>
          <w:sz w:val="32"/>
          <w:szCs w:val="32"/>
          <w:u w:val="single"/>
        </w:rPr>
      </w:pPr>
      <w:r>
        <w:rPr>
          <w:color w:val="auto"/>
          <w:sz w:val="32"/>
          <w:szCs w:val="32"/>
        </w:rPr>
        <w:t xml:space="preserve">建设单位（盖章）： </w:t>
      </w:r>
      <w:r>
        <w:rPr>
          <w:color w:val="auto"/>
          <w:sz w:val="32"/>
          <w:szCs w:val="32"/>
          <w:u w:val="single"/>
        </w:rPr>
        <w:t xml:space="preserve">   安徽腾安新材料有限公司 </w:t>
      </w:r>
      <w:r>
        <w:rPr>
          <w:rFonts w:hint="eastAsia"/>
          <w:color w:val="auto"/>
          <w:sz w:val="32"/>
          <w:szCs w:val="32"/>
          <w:u w:val="single"/>
        </w:rPr>
        <w:t xml:space="preserve">  </w:t>
      </w:r>
      <w:r>
        <w:rPr>
          <w:color w:val="auto"/>
          <w:sz w:val="32"/>
          <w:szCs w:val="32"/>
          <w:u w:val="single"/>
        </w:rPr>
        <w:t xml:space="preserve">   </w:t>
      </w:r>
    </w:p>
    <w:p w14:paraId="42830673">
      <w:pPr>
        <w:adjustRightInd w:val="0"/>
        <w:snapToGrid w:val="0"/>
        <w:spacing w:line="360" w:lineRule="auto"/>
        <w:ind w:firstLine="640" w:firstLineChars="200"/>
        <w:rPr>
          <w:color w:val="auto"/>
          <w:sz w:val="32"/>
          <w:szCs w:val="32"/>
          <w:u w:val="single"/>
        </w:rPr>
      </w:pPr>
      <w:r>
        <w:rPr>
          <w:color w:val="auto"/>
          <w:sz w:val="32"/>
          <w:szCs w:val="32"/>
        </w:rPr>
        <w:t>编制日期：</w:t>
      </w:r>
      <w:r>
        <w:rPr>
          <w:color w:val="auto"/>
          <w:sz w:val="32"/>
          <w:szCs w:val="32"/>
          <w:u w:val="single"/>
        </w:rPr>
        <w:t xml:space="preserve">                2025年</w:t>
      </w:r>
      <w:r>
        <w:rPr>
          <w:rFonts w:hint="eastAsia"/>
          <w:color w:val="auto"/>
          <w:sz w:val="32"/>
          <w:szCs w:val="32"/>
          <w:u w:val="single"/>
          <w:lang w:val="en-US" w:eastAsia="zh-CN"/>
        </w:rPr>
        <w:t>6</w:t>
      </w:r>
      <w:r>
        <w:rPr>
          <w:color w:val="auto"/>
          <w:sz w:val="32"/>
          <w:szCs w:val="32"/>
          <w:u w:val="single"/>
        </w:rPr>
        <w:t xml:space="preserve">月              </w:t>
      </w:r>
    </w:p>
    <w:p w14:paraId="785DEACD">
      <w:pPr>
        <w:rPr>
          <w:color w:val="auto"/>
          <w:sz w:val="36"/>
          <w:szCs w:val="36"/>
        </w:rPr>
      </w:pPr>
      <w:bookmarkStart w:id="5" w:name="_Hlk57884087"/>
      <w:r>
        <w:rPr>
          <w:color w:val="auto"/>
          <w:sz w:val="36"/>
          <w:szCs w:val="36"/>
        </w:rPr>
        <w:br w:type="page"/>
      </w:r>
    </w:p>
    <w:p w14:paraId="4732D313">
      <w:pPr>
        <w:rPr>
          <w:b/>
          <w:bCs/>
          <w:color w:val="auto"/>
          <w:sz w:val="36"/>
          <w:szCs w:val="44"/>
          <w:lang w:val="zh-CN"/>
        </w:rPr>
      </w:pPr>
      <w:r>
        <w:rPr>
          <w:color w:val="auto"/>
        </w:rPr>
        <w:br w:type="page"/>
      </w:r>
    </w:p>
    <w:p w14:paraId="5ED0E745">
      <w:pPr>
        <w:pStyle w:val="102"/>
        <w:jc w:val="center"/>
        <w:rPr>
          <w:rFonts w:ascii="Times New Roman" w:hAnsi="Times New Roman" w:eastAsia="宋体" w:cs="Times New Roman"/>
          <w:b w:val="0"/>
          <w:bCs/>
          <w:color w:val="auto"/>
          <w:kern w:val="0"/>
          <w:sz w:val="32"/>
          <w:szCs w:val="32"/>
          <w:lang w:val="en-US" w:eastAsia="zh-CN" w:bidi="ar-SA"/>
        </w:rPr>
      </w:pPr>
      <w:r>
        <w:rPr>
          <w:b/>
          <w:bCs/>
          <w:color w:val="auto"/>
          <w:sz w:val="36"/>
          <w:szCs w:val="44"/>
          <w:lang w:val="zh-CN"/>
        </w:rPr>
        <w:t>目</w:t>
      </w:r>
      <w:r>
        <w:rPr>
          <w:rFonts w:hint="eastAsia"/>
          <w:b/>
          <w:bCs/>
          <w:color w:val="auto"/>
          <w:sz w:val="36"/>
          <w:szCs w:val="44"/>
          <w:lang w:val="en-US" w:eastAsia="zh-CN"/>
        </w:rPr>
        <w:t xml:space="preserve">  </w:t>
      </w:r>
      <w:r>
        <w:rPr>
          <w:b/>
          <w:bCs/>
          <w:color w:val="auto"/>
          <w:sz w:val="36"/>
          <w:szCs w:val="44"/>
          <w:lang w:val="zh-CN"/>
        </w:rPr>
        <w:t>录</w:t>
      </w:r>
      <w:r>
        <w:rPr>
          <w:b/>
          <w:caps/>
          <w:color w:val="auto"/>
        </w:rPr>
        <w:fldChar w:fldCharType="begin"/>
      </w:r>
      <w:r>
        <w:rPr>
          <w:b/>
          <w:caps/>
          <w:color w:val="auto"/>
        </w:rPr>
        <w:instrText xml:space="preserve"> TOC \o "1-3" \h \z \u </w:instrText>
      </w:r>
      <w:r>
        <w:rPr>
          <w:b/>
          <w:caps/>
          <w:color w:val="auto"/>
        </w:rPr>
        <w:fldChar w:fldCharType="separate"/>
      </w:r>
    </w:p>
    <w:p w14:paraId="528D6DFD">
      <w:pPr>
        <w:pStyle w:val="18"/>
        <w:tabs>
          <w:tab w:val="right" w:leader="dot" w:pos="8844"/>
          <w:tab w:val="clear" w:pos="7920"/>
        </w:tabs>
        <w:rPr>
          <w:color w:val="auto"/>
        </w:rPr>
      </w:pPr>
    </w:p>
    <w:p w14:paraId="4841ABDF">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_Toc9922 </w:instrText>
      </w:r>
      <w:r>
        <w:rPr>
          <w:rFonts w:ascii="Times New Roman" w:hAnsi="Times New Roman" w:eastAsia="宋体"/>
          <w:bCs/>
          <w:color w:val="auto"/>
          <w:sz w:val="22"/>
          <w:szCs w:val="32"/>
        </w:rPr>
        <w:fldChar w:fldCharType="separate"/>
      </w:r>
      <w:r>
        <w:rPr>
          <w:rFonts w:ascii="Times New Roman" w:hAnsi="Times New Roman"/>
          <w:bCs/>
          <w:snapToGrid w:val="0"/>
          <w:color w:val="auto"/>
          <w:sz w:val="22"/>
          <w:szCs w:val="36"/>
        </w:rPr>
        <w:t>一、建设项目基本情况</w:t>
      </w:r>
      <w:r>
        <w:rPr>
          <w:color w:val="auto"/>
          <w:sz w:val="22"/>
          <w:szCs w:val="32"/>
        </w:rPr>
        <w:tab/>
      </w:r>
      <w:r>
        <w:rPr>
          <w:color w:val="auto"/>
          <w:sz w:val="22"/>
          <w:szCs w:val="32"/>
        </w:rPr>
        <w:fldChar w:fldCharType="begin"/>
      </w:r>
      <w:r>
        <w:rPr>
          <w:color w:val="auto"/>
          <w:sz w:val="22"/>
          <w:szCs w:val="32"/>
        </w:rPr>
        <w:instrText xml:space="preserve"> PAGEREF _Toc9922 \h </w:instrText>
      </w:r>
      <w:r>
        <w:rPr>
          <w:color w:val="auto"/>
          <w:sz w:val="22"/>
          <w:szCs w:val="32"/>
        </w:rPr>
        <w:fldChar w:fldCharType="separate"/>
      </w:r>
      <w:r>
        <w:rPr>
          <w:color w:val="auto"/>
          <w:sz w:val="22"/>
          <w:szCs w:val="32"/>
        </w:rPr>
        <w:t>1</w:t>
      </w:r>
      <w:r>
        <w:rPr>
          <w:color w:val="auto"/>
          <w:sz w:val="22"/>
          <w:szCs w:val="32"/>
        </w:rPr>
        <w:fldChar w:fldCharType="end"/>
      </w:r>
      <w:r>
        <w:rPr>
          <w:rFonts w:ascii="Times New Roman" w:hAnsi="Times New Roman" w:eastAsia="宋体"/>
          <w:bCs/>
          <w:color w:val="auto"/>
          <w:sz w:val="22"/>
          <w:szCs w:val="32"/>
        </w:rPr>
        <w:fldChar w:fldCharType="end"/>
      </w:r>
    </w:p>
    <w:p w14:paraId="6E8EBC25">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_Toc28003 </w:instrText>
      </w:r>
      <w:r>
        <w:rPr>
          <w:rFonts w:ascii="Times New Roman" w:hAnsi="Times New Roman" w:eastAsia="宋体"/>
          <w:bCs/>
          <w:color w:val="auto"/>
          <w:sz w:val="22"/>
          <w:szCs w:val="32"/>
        </w:rPr>
        <w:fldChar w:fldCharType="separate"/>
      </w:r>
      <w:r>
        <w:rPr>
          <w:rFonts w:ascii="Times New Roman" w:hAnsi="Times New Roman"/>
          <w:bCs/>
          <w:snapToGrid w:val="0"/>
          <w:color w:val="auto"/>
          <w:sz w:val="22"/>
          <w:szCs w:val="36"/>
        </w:rPr>
        <w:t>二、建设项目工程分析</w:t>
      </w:r>
      <w:r>
        <w:rPr>
          <w:color w:val="auto"/>
          <w:sz w:val="22"/>
          <w:szCs w:val="32"/>
        </w:rPr>
        <w:tab/>
      </w:r>
      <w:r>
        <w:rPr>
          <w:color w:val="auto"/>
          <w:sz w:val="22"/>
          <w:szCs w:val="32"/>
        </w:rPr>
        <w:fldChar w:fldCharType="begin"/>
      </w:r>
      <w:r>
        <w:rPr>
          <w:color w:val="auto"/>
          <w:sz w:val="22"/>
          <w:szCs w:val="32"/>
        </w:rPr>
        <w:instrText xml:space="preserve"> PAGEREF _Toc28003 \h </w:instrText>
      </w:r>
      <w:r>
        <w:rPr>
          <w:color w:val="auto"/>
          <w:sz w:val="22"/>
          <w:szCs w:val="32"/>
        </w:rPr>
        <w:fldChar w:fldCharType="separate"/>
      </w:r>
      <w:r>
        <w:rPr>
          <w:color w:val="auto"/>
          <w:sz w:val="22"/>
          <w:szCs w:val="32"/>
        </w:rPr>
        <w:t>18</w:t>
      </w:r>
      <w:r>
        <w:rPr>
          <w:color w:val="auto"/>
          <w:sz w:val="22"/>
          <w:szCs w:val="32"/>
        </w:rPr>
        <w:fldChar w:fldCharType="end"/>
      </w:r>
      <w:r>
        <w:rPr>
          <w:rFonts w:ascii="Times New Roman" w:hAnsi="Times New Roman" w:eastAsia="宋体"/>
          <w:bCs/>
          <w:color w:val="auto"/>
          <w:sz w:val="22"/>
          <w:szCs w:val="32"/>
        </w:rPr>
        <w:fldChar w:fldCharType="end"/>
      </w:r>
    </w:p>
    <w:p w14:paraId="5B3C2277">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_Toc8825 </w:instrText>
      </w:r>
      <w:r>
        <w:rPr>
          <w:rFonts w:ascii="Times New Roman" w:hAnsi="Times New Roman" w:eastAsia="宋体"/>
          <w:bCs/>
          <w:color w:val="auto"/>
          <w:sz w:val="22"/>
          <w:szCs w:val="32"/>
        </w:rPr>
        <w:fldChar w:fldCharType="separate"/>
      </w:r>
      <w:r>
        <w:rPr>
          <w:rFonts w:ascii="Times New Roman" w:hAnsi="Times New Roman"/>
          <w:bCs/>
          <w:snapToGrid w:val="0"/>
          <w:color w:val="auto"/>
          <w:sz w:val="22"/>
          <w:szCs w:val="36"/>
        </w:rPr>
        <w:t>三、区域环境质量现状、环境保护目标及评价标准</w:t>
      </w:r>
      <w:r>
        <w:rPr>
          <w:color w:val="auto"/>
          <w:sz w:val="22"/>
          <w:szCs w:val="32"/>
        </w:rPr>
        <w:tab/>
      </w:r>
      <w:r>
        <w:rPr>
          <w:color w:val="auto"/>
          <w:sz w:val="22"/>
          <w:szCs w:val="32"/>
        </w:rPr>
        <w:fldChar w:fldCharType="begin"/>
      </w:r>
      <w:r>
        <w:rPr>
          <w:color w:val="auto"/>
          <w:sz w:val="22"/>
          <w:szCs w:val="32"/>
        </w:rPr>
        <w:instrText xml:space="preserve"> PAGEREF _Toc8825 \h </w:instrText>
      </w:r>
      <w:r>
        <w:rPr>
          <w:color w:val="auto"/>
          <w:sz w:val="22"/>
          <w:szCs w:val="32"/>
        </w:rPr>
        <w:fldChar w:fldCharType="separate"/>
      </w:r>
      <w:r>
        <w:rPr>
          <w:color w:val="auto"/>
          <w:sz w:val="22"/>
          <w:szCs w:val="32"/>
        </w:rPr>
        <w:t>38</w:t>
      </w:r>
      <w:r>
        <w:rPr>
          <w:color w:val="auto"/>
          <w:sz w:val="22"/>
          <w:szCs w:val="32"/>
        </w:rPr>
        <w:fldChar w:fldCharType="end"/>
      </w:r>
      <w:r>
        <w:rPr>
          <w:rFonts w:ascii="Times New Roman" w:hAnsi="Times New Roman" w:eastAsia="宋体"/>
          <w:bCs/>
          <w:color w:val="auto"/>
          <w:sz w:val="22"/>
          <w:szCs w:val="32"/>
        </w:rPr>
        <w:fldChar w:fldCharType="end"/>
      </w:r>
    </w:p>
    <w:p w14:paraId="24BD8BA4">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_Toc20539 </w:instrText>
      </w:r>
      <w:r>
        <w:rPr>
          <w:rFonts w:ascii="Times New Roman" w:hAnsi="Times New Roman" w:eastAsia="宋体"/>
          <w:bCs/>
          <w:color w:val="auto"/>
          <w:sz w:val="22"/>
          <w:szCs w:val="32"/>
        </w:rPr>
        <w:fldChar w:fldCharType="separate"/>
      </w:r>
      <w:r>
        <w:rPr>
          <w:rFonts w:ascii="Times New Roman" w:hAnsi="Times New Roman"/>
          <w:bCs/>
          <w:snapToGrid w:val="0"/>
          <w:color w:val="auto"/>
          <w:sz w:val="22"/>
          <w:szCs w:val="36"/>
        </w:rPr>
        <w:t>四、主要环境影响和保护措施</w:t>
      </w:r>
      <w:r>
        <w:rPr>
          <w:color w:val="auto"/>
          <w:sz w:val="22"/>
          <w:szCs w:val="32"/>
        </w:rPr>
        <w:tab/>
      </w:r>
      <w:r>
        <w:rPr>
          <w:color w:val="auto"/>
          <w:sz w:val="22"/>
          <w:szCs w:val="32"/>
        </w:rPr>
        <w:fldChar w:fldCharType="begin"/>
      </w:r>
      <w:r>
        <w:rPr>
          <w:color w:val="auto"/>
          <w:sz w:val="22"/>
          <w:szCs w:val="32"/>
        </w:rPr>
        <w:instrText xml:space="preserve"> PAGEREF _Toc20539 \h </w:instrText>
      </w:r>
      <w:r>
        <w:rPr>
          <w:color w:val="auto"/>
          <w:sz w:val="22"/>
          <w:szCs w:val="32"/>
        </w:rPr>
        <w:fldChar w:fldCharType="separate"/>
      </w:r>
      <w:r>
        <w:rPr>
          <w:color w:val="auto"/>
          <w:sz w:val="22"/>
          <w:szCs w:val="32"/>
        </w:rPr>
        <w:t>49</w:t>
      </w:r>
      <w:r>
        <w:rPr>
          <w:color w:val="auto"/>
          <w:sz w:val="22"/>
          <w:szCs w:val="32"/>
        </w:rPr>
        <w:fldChar w:fldCharType="end"/>
      </w:r>
      <w:r>
        <w:rPr>
          <w:rFonts w:ascii="Times New Roman" w:hAnsi="Times New Roman" w:eastAsia="宋体"/>
          <w:bCs/>
          <w:color w:val="auto"/>
          <w:sz w:val="22"/>
          <w:szCs w:val="32"/>
        </w:rPr>
        <w:fldChar w:fldCharType="end"/>
      </w:r>
    </w:p>
    <w:p w14:paraId="738C56B1">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_Toc7678 </w:instrText>
      </w:r>
      <w:r>
        <w:rPr>
          <w:rFonts w:ascii="Times New Roman" w:hAnsi="Times New Roman" w:eastAsia="宋体"/>
          <w:bCs/>
          <w:color w:val="auto"/>
          <w:sz w:val="22"/>
          <w:szCs w:val="32"/>
        </w:rPr>
        <w:fldChar w:fldCharType="separate"/>
      </w:r>
      <w:r>
        <w:rPr>
          <w:rFonts w:ascii="Times New Roman" w:hAnsi="Times New Roman"/>
          <w:bCs/>
          <w:snapToGrid w:val="0"/>
          <w:color w:val="auto"/>
          <w:sz w:val="22"/>
          <w:szCs w:val="36"/>
        </w:rPr>
        <w:t>五、环境保护措施监督检查清单</w:t>
      </w:r>
      <w:r>
        <w:rPr>
          <w:color w:val="auto"/>
          <w:sz w:val="22"/>
          <w:szCs w:val="32"/>
        </w:rPr>
        <w:tab/>
      </w:r>
      <w:r>
        <w:rPr>
          <w:color w:val="auto"/>
          <w:sz w:val="22"/>
          <w:szCs w:val="32"/>
        </w:rPr>
        <w:fldChar w:fldCharType="begin"/>
      </w:r>
      <w:r>
        <w:rPr>
          <w:color w:val="auto"/>
          <w:sz w:val="22"/>
          <w:szCs w:val="32"/>
        </w:rPr>
        <w:instrText xml:space="preserve"> PAGEREF _Toc7678 \h </w:instrText>
      </w:r>
      <w:r>
        <w:rPr>
          <w:color w:val="auto"/>
          <w:sz w:val="22"/>
          <w:szCs w:val="32"/>
        </w:rPr>
        <w:fldChar w:fldCharType="separate"/>
      </w:r>
      <w:r>
        <w:rPr>
          <w:color w:val="auto"/>
          <w:sz w:val="22"/>
          <w:szCs w:val="32"/>
        </w:rPr>
        <w:t>84</w:t>
      </w:r>
      <w:r>
        <w:rPr>
          <w:color w:val="auto"/>
          <w:sz w:val="22"/>
          <w:szCs w:val="32"/>
        </w:rPr>
        <w:fldChar w:fldCharType="end"/>
      </w:r>
      <w:r>
        <w:rPr>
          <w:rFonts w:ascii="Times New Roman" w:hAnsi="Times New Roman" w:eastAsia="宋体"/>
          <w:bCs/>
          <w:color w:val="auto"/>
          <w:sz w:val="22"/>
          <w:szCs w:val="32"/>
        </w:rPr>
        <w:fldChar w:fldCharType="end"/>
      </w:r>
    </w:p>
    <w:p w14:paraId="1407CA78">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_Toc28008 </w:instrText>
      </w:r>
      <w:r>
        <w:rPr>
          <w:rFonts w:ascii="Times New Roman" w:hAnsi="Times New Roman" w:eastAsia="宋体"/>
          <w:bCs/>
          <w:color w:val="auto"/>
          <w:sz w:val="22"/>
          <w:szCs w:val="32"/>
        </w:rPr>
        <w:fldChar w:fldCharType="separate"/>
      </w:r>
      <w:r>
        <w:rPr>
          <w:rFonts w:ascii="Times New Roman" w:hAnsi="Times New Roman"/>
          <w:snapToGrid w:val="0"/>
          <w:color w:val="auto"/>
          <w:sz w:val="22"/>
          <w:szCs w:val="36"/>
        </w:rPr>
        <w:t>六、结论</w:t>
      </w:r>
      <w:r>
        <w:rPr>
          <w:color w:val="auto"/>
          <w:sz w:val="22"/>
          <w:szCs w:val="32"/>
        </w:rPr>
        <w:tab/>
      </w:r>
      <w:r>
        <w:rPr>
          <w:color w:val="auto"/>
          <w:sz w:val="22"/>
          <w:szCs w:val="32"/>
        </w:rPr>
        <w:fldChar w:fldCharType="begin"/>
      </w:r>
      <w:r>
        <w:rPr>
          <w:color w:val="auto"/>
          <w:sz w:val="22"/>
          <w:szCs w:val="32"/>
        </w:rPr>
        <w:instrText xml:space="preserve"> PAGEREF _Toc28008 \h </w:instrText>
      </w:r>
      <w:r>
        <w:rPr>
          <w:color w:val="auto"/>
          <w:sz w:val="22"/>
          <w:szCs w:val="32"/>
        </w:rPr>
        <w:fldChar w:fldCharType="separate"/>
      </w:r>
      <w:r>
        <w:rPr>
          <w:color w:val="auto"/>
          <w:sz w:val="22"/>
          <w:szCs w:val="32"/>
        </w:rPr>
        <w:t>86</w:t>
      </w:r>
      <w:r>
        <w:rPr>
          <w:color w:val="auto"/>
          <w:sz w:val="22"/>
          <w:szCs w:val="32"/>
        </w:rPr>
        <w:fldChar w:fldCharType="end"/>
      </w:r>
      <w:r>
        <w:rPr>
          <w:rFonts w:ascii="Times New Roman" w:hAnsi="Times New Roman" w:eastAsia="宋体"/>
          <w:bCs/>
          <w:color w:val="auto"/>
          <w:sz w:val="22"/>
          <w:szCs w:val="32"/>
        </w:rPr>
        <w:fldChar w:fldCharType="end"/>
      </w:r>
    </w:p>
    <w:p w14:paraId="4FB9D39F">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_Toc29557 </w:instrText>
      </w:r>
      <w:r>
        <w:rPr>
          <w:rFonts w:ascii="Times New Roman" w:hAnsi="Times New Roman" w:eastAsia="宋体"/>
          <w:bCs/>
          <w:color w:val="auto"/>
          <w:sz w:val="22"/>
          <w:szCs w:val="32"/>
        </w:rPr>
        <w:fldChar w:fldCharType="separate"/>
      </w:r>
      <w:r>
        <w:rPr>
          <w:rFonts w:ascii="Times New Roman" w:hAnsi="Times New Roman"/>
          <w:snapToGrid w:val="0"/>
          <w:color w:val="auto"/>
          <w:sz w:val="22"/>
          <w:szCs w:val="36"/>
        </w:rPr>
        <w:t>专题一  环境风险评价</w:t>
      </w:r>
      <w:r>
        <w:rPr>
          <w:color w:val="auto"/>
          <w:sz w:val="22"/>
          <w:szCs w:val="32"/>
        </w:rPr>
        <w:tab/>
      </w:r>
      <w:r>
        <w:rPr>
          <w:color w:val="auto"/>
          <w:sz w:val="22"/>
          <w:szCs w:val="32"/>
        </w:rPr>
        <w:fldChar w:fldCharType="begin"/>
      </w:r>
      <w:r>
        <w:rPr>
          <w:color w:val="auto"/>
          <w:sz w:val="22"/>
          <w:szCs w:val="32"/>
        </w:rPr>
        <w:instrText xml:space="preserve"> PAGEREF _Toc29557 \h </w:instrText>
      </w:r>
      <w:r>
        <w:rPr>
          <w:color w:val="auto"/>
          <w:sz w:val="22"/>
          <w:szCs w:val="32"/>
        </w:rPr>
        <w:fldChar w:fldCharType="separate"/>
      </w:r>
      <w:r>
        <w:rPr>
          <w:color w:val="auto"/>
          <w:sz w:val="22"/>
          <w:szCs w:val="32"/>
        </w:rPr>
        <w:t>87</w:t>
      </w:r>
      <w:r>
        <w:rPr>
          <w:color w:val="auto"/>
          <w:sz w:val="22"/>
          <w:szCs w:val="32"/>
        </w:rPr>
        <w:fldChar w:fldCharType="end"/>
      </w:r>
      <w:r>
        <w:rPr>
          <w:rFonts w:ascii="Times New Roman" w:hAnsi="Times New Roman" w:eastAsia="宋体"/>
          <w:bCs/>
          <w:color w:val="auto"/>
          <w:sz w:val="22"/>
          <w:szCs w:val="32"/>
        </w:rPr>
        <w:fldChar w:fldCharType="end"/>
      </w:r>
    </w:p>
    <w:p w14:paraId="6B2BE054">
      <w:pPr>
        <w:pStyle w:val="18"/>
        <w:tabs>
          <w:tab w:val="right" w:leader="dot" w:pos="8844"/>
          <w:tab w:val="clear" w:pos="7920"/>
        </w:tabs>
        <w:rPr>
          <w:color w:val="auto"/>
          <w:sz w:val="22"/>
          <w:szCs w:val="32"/>
        </w:rPr>
      </w:pPr>
      <w:r>
        <w:rPr>
          <w:rFonts w:ascii="Times New Roman" w:hAnsi="Times New Roman" w:eastAsia="宋体"/>
          <w:bCs/>
          <w:color w:val="auto"/>
          <w:sz w:val="22"/>
          <w:szCs w:val="32"/>
        </w:rPr>
        <w:fldChar w:fldCharType="begin"/>
      </w:r>
      <w:r>
        <w:rPr>
          <w:rFonts w:ascii="Times New Roman" w:hAnsi="Times New Roman" w:eastAsia="宋体"/>
          <w:bCs/>
          <w:color w:val="auto"/>
          <w:sz w:val="22"/>
          <w:szCs w:val="32"/>
        </w:rPr>
        <w:instrText xml:space="preserve"> HYPERLINK \l _Toc24387 </w:instrText>
      </w:r>
      <w:r>
        <w:rPr>
          <w:rFonts w:ascii="Times New Roman" w:hAnsi="Times New Roman" w:eastAsia="宋体"/>
          <w:bCs/>
          <w:color w:val="auto"/>
          <w:sz w:val="22"/>
          <w:szCs w:val="32"/>
        </w:rPr>
        <w:fldChar w:fldCharType="separate"/>
      </w:r>
      <w:r>
        <w:rPr>
          <w:rFonts w:ascii="Times New Roman" w:hAnsi="Times New Roman"/>
          <w:snapToGrid w:val="0"/>
          <w:color w:val="auto"/>
          <w:sz w:val="22"/>
          <w:szCs w:val="40"/>
        </w:rPr>
        <w:t>附表</w:t>
      </w:r>
      <w:r>
        <w:rPr>
          <w:color w:val="auto"/>
          <w:sz w:val="22"/>
          <w:szCs w:val="32"/>
        </w:rPr>
        <w:tab/>
      </w:r>
      <w:r>
        <w:rPr>
          <w:color w:val="auto"/>
          <w:sz w:val="22"/>
          <w:szCs w:val="32"/>
        </w:rPr>
        <w:fldChar w:fldCharType="begin"/>
      </w:r>
      <w:r>
        <w:rPr>
          <w:color w:val="auto"/>
          <w:sz w:val="22"/>
          <w:szCs w:val="32"/>
        </w:rPr>
        <w:instrText xml:space="preserve"> PAGEREF _Toc24387 \h </w:instrText>
      </w:r>
      <w:r>
        <w:rPr>
          <w:color w:val="auto"/>
          <w:sz w:val="22"/>
          <w:szCs w:val="32"/>
        </w:rPr>
        <w:fldChar w:fldCharType="separate"/>
      </w:r>
      <w:r>
        <w:rPr>
          <w:color w:val="auto"/>
          <w:sz w:val="22"/>
          <w:szCs w:val="32"/>
        </w:rPr>
        <w:t>154</w:t>
      </w:r>
      <w:r>
        <w:rPr>
          <w:color w:val="auto"/>
          <w:sz w:val="22"/>
          <w:szCs w:val="32"/>
        </w:rPr>
        <w:fldChar w:fldCharType="end"/>
      </w:r>
      <w:r>
        <w:rPr>
          <w:rFonts w:ascii="Times New Roman" w:hAnsi="Times New Roman" w:eastAsia="宋体"/>
          <w:bCs/>
          <w:color w:val="auto"/>
          <w:sz w:val="22"/>
          <w:szCs w:val="32"/>
        </w:rPr>
        <w:fldChar w:fldCharType="end"/>
      </w:r>
    </w:p>
    <w:p w14:paraId="363838FE">
      <w:pPr>
        <w:jc w:val="center"/>
        <w:rPr>
          <w:rFonts w:ascii="Times New Roman" w:hAnsi="Times New Roman" w:eastAsia="宋体"/>
          <w:b/>
          <w:bCs/>
          <w:color w:val="auto"/>
        </w:rPr>
      </w:pPr>
      <w:r>
        <w:rPr>
          <w:rFonts w:ascii="Times New Roman" w:hAnsi="Times New Roman" w:eastAsia="宋体"/>
          <w:bCs/>
          <w:color w:val="auto"/>
        </w:rPr>
        <w:fldChar w:fldCharType="end"/>
      </w:r>
    </w:p>
    <w:bookmarkEnd w:id="5"/>
    <w:p w14:paraId="3FEF2EF9">
      <w:pPr>
        <w:rPr>
          <w:b/>
          <w:bCs/>
          <w:color w:val="auto"/>
        </w:rPr>
      </w:pPr>
      <w:r>
        <w:rPr>
          <w:b/>
          <w:bCs/>
          <w:color w:val="auto"/>
        </w:rPr>
        <w:t>附图：</w:t>
      </w:r>
    </w:p>
    <w:p w14:paraId="0E53F61C">
      <w:pPr>
        <w:spacing w:line="360" w:lineRule="auto"/>
        <w:ind w:firstLine="480"/>
        <w:rPr>
          <w:caps/>
          <w:color w:val="auto"/>
          <w:kern w:val="44"/>
        </w:rPr>
      </w:pPr>
      <w:r>
        <w:rPr>
          <w:caps/>
          <w:color w:val="auto"/>
          <w:kern w:val="44"/>
        </w:rPr>
        <w:t>附图1项目地理位置图</w:t>
      </w:r>
    </w:p>
    <w:p w14:paraId="007A43FE">
      <w:pPr>
        <w:spacing w:line="360" w:lineRule="auto"/>
        <w:ind w:firstLine="480"/>
        <w:rPr>
          <w:rFonts w:hint="eastAsia"/>
          <w:caps/>
          <w:color w:val="auto"/>
          <w:kern w:val="44"/>
        </w:rPr>
      </w:pPr>
      <w:r>
        <w:rPr>
          <w:caps/>
          <w:color w:val="auto"/>
          <w:kern w:val="44"/>
        </w:rPr>
        <w:t>附图2项目周边环境概况</w:t>
      </w:r>
      <w:r>
        <w:rPr>
          <w:rFonts w:hint="eastAsia"/>
          <w:caps/>
          <w:color w:val="auto"/>
          <w:kern w:val="44"/>
        </w:rPr>
        <w:t>、</w:t>
      </w:r>
      <w:r>
        <w:rPr>
          <w:caps/>
          <w:color w:val="auto"/>
          <w:kern w:val="44"/>
        </w:rPr>
        <w:t>主要环境保护目标分布图</w:t>
      </w:r>
    </w:p>
    <w:p w14:paraId="359C7C9D">
      <w:pPr>
        <w:spacing w:line="360" w:lineRule="auto"/>
        <w:ind w:firstLine="480"/>
        <w:rPr>
          <w:caps/>
          <w:color w:val="auto"/>
          <w:kern w:val="44"/>
        </w:rPr>
      </w:pPr>
      <w:r>
        <w:rPr>
          <w:caps/>
          <w:color w:val="auto"/>
          <w:kern w:val="44"/>
        </w:rPr>
        <w:t>附图</w:t>
      </w:r>
      <w:r>
        <w:rPr>
          <w:rFonts w:hint="eastAsia"/>
          <w:caps/>
          <w:color w:val="auto"/>
          <w:kern w:val="44"/>
        </w:rPr>
        <w:t>3</w:t>
      </w:r>
      <w:r>
        <w:rPr>
          <w:caps/>
          <w:color w:val="auto"/>
          <w:kern w:val="44"/>
        </w:rPr>
        <w:t>环境质量监测点位图</w:t>
      </w:r>
    </w:p>
    <w:p w14:paraId="200DCB87">
      <w:pPr>
        <w:spacing w:line="360" w:lineRule="auto"/>
        <w:ind w:firstLine="480"/>
        <w:rPr>
          <w:caps/>
          <w:color w:val="auto"/>
          <w:kern w:val="44"/>
        </w:rPr>
      </w:pPr>
      <w:r>
        <w:rPr>
          <w:caps/>
          <w:color w:val="auto"/>
          <w:kern w:val="44"/>
        </w:rPr>
        <w:t>附图</w:t>
      </w:r>
      <w:r>
        <w:rPr>
          <w:rFonts w:hint="eastAsia"/>
          <w:caps/>
          <w:color w:val="auto"/>
          <w:kern w:val="44"/>
        </w:rPr>
        <w:t>4</w:t>
      </w:r>
      <w:r>
        <w:rPr>
          <w:caps/>
          <w:color w:val="auto"/>
          <w:kern w:val="44"/>
        </w:rPr>
        <w:t>项目总平面布置图</w:t>
      </w:r>
    </w:p>
    <w:p w14:paraId="7244D1B8">
      <w:pPr>
        <w:spacing w:line="360" w:lineRule="auto"/>
        <w:ind w:firstLine="480"/>
        <w:rPr>
          <w:caps/>
          <w:color w:val="auto"/>
          <w:kern w:val="44"/>
        </w:rPr>
      </w:pPr>
      <w:r>
        <w:rPr>
          <w:caps/>
          <w:color w:val="auto"/>
          <w:kern w:val="44"/>
        </w:rPr>
        <w:t>附图</w:t>
      </w:r>
      <w:r>
        <w:rPr>
          <w:rFonts w:hint="eastAsia"/>
          <w:caps/>
          <w:color w:val="auto"/>
          <w:kern w:val="44"/>
        </w:rPr>
        <w:t>5</w:t>
      </w:r>
      <w:r>
        <w:rPr>
          <w:caps/>
          <w:color w:val="auto"/>
          <w:kern w:val="44"/>
        </w:rPr>
        <w:t>项目在经开区位置示意图</w:t>
      </w:r>
    </w:p>
    <w:p w14:paraId="303420A2">
      <w:pPr>
        <w:spacing w:line="360" w:lineRule="auto"/>
        <w:ind w:firstLine="480"/>
        <w:rPr>
          <w:caps/>
          <w:color w:val="auto"/>
          <w:kern w:val="44"/>
        </w:rPr>
      </w:pPr>
      <w:r>
        <w:rPr>
          <w:caps/>
          <w:color w:val="auto"/>
          <w:kern w:val="44"/>
        </w:rPr>
        <w:t>附图</w:t>
      </w:r>
      <w:r>
        <w:rPr>
          <w:rFonts w:hint="eastAsia"/>
          <w:caps/>
          <w:color w:val="auto"/>
          <w:kern w:val="44"/>
        </w:rPr>
        <w:t>6</w:t>
      </w:r>
      <w:r>
        <w:rPr>
          <w:caps/>
          <w:color w:val="auto"/>
          <w:kern w:val="44"/>
        </w:rPr>
        <w:t>淮南市生态保护红线图</w:t>
      </w:r>
    </w:p>
    <w:p w14:paraId="6F1AE54A">
      <w:pPr>
        <w:spacing w:line="360" w:lineRule="auto"/>
        <w:ind w:firstLine="480"/>
        <w:rPr>
          <w:caps/>
          <w:color w:val="auto"/>
          <w:kern w:val="44"/>
        </w:rPr>
      </w:pPr>
      <w:r>
        <w:rPr>
          <w:caps/>
          <w:color w:val="auto"/>
          <w:kern w:val="44"/>
        </w:rPr>
        <w:t>附图</w:t>
      </w:r>
      <w:r>
        <w:rPr>
          <w:rFonts w:hint="eastAsia"/>
          <w:caps/>
          <w:color w:val="auto"/>
          <w:kern w:val="44"/>
        </w:rPr>
        <w:t>7</w:t>
      </w:r>
      <w:r>
        <w:rPr>
          <w:caps/>
          <w:color w:val="auto"/>
          <w:kern w:val="44"/>
        </w:rPr>
        <w:t>淮南市声环境功能区划</w:t>
      </w:r>
    </w:p>
    <w:p w14:paraId="7D3C04BB">
      <w:pPr>
        <w:spacing w:line="360" w:lineRule="auto"/>
        <w:ind w:firstLine="480"/>
        <w:rPr>
          <w:caps/>
          <w:color w:val="auto"/>
          <w:kern w:val="44"/>
        </w:rPr>
      </w:pPr>
      <w:r>
        <w:rPr>
          <w:caps/>
          <w:color w:val="auto"/>
          <w:kern w:val="44"/>
        </w:rPr>
        <w:t>附图</w:t>
      </w:r>
      <w:r>
        <w:rPr>
          <w:rFonts w:hint="eastAsia"/>
          <w:caps/>
          <w:color w:val="auto"/>
          <w:kern w:val="44"/>
        </w:rPr>
        <w:t>8</w:t>
      </w:r>
      <w:r>
        <w:rPr>
          <w:caps/>
          <w:color w:val="auto"/>
          <w:kern w:val="44"/>
        </w:rPr>
        <w:t>淮南市生态环境分区管控成果动态更新图集</w:t>
      </w:r>
    </w:p>
    <w:p w14:paraId="23B57C17">
      <w:pPr>
        <w:rPr>
          <w:b/>
          <w:bCs/>
          <w:color w:val="auto"/>
        </w:rPr>
      </w:pPr>
      <w:r>
        <w:rPr>
          <w:b/>
          <w:bCs/>
          <w:color w:val="auto"/>
        </w:rPr>
        <w:t>附件：</w:t>
      </w:r>
    </w:p>
    <w:p w14:paraId="624DAE16">
      <w:pPr>
        <w:spacing w:line="360" w:lineRule="auto"/>
        <w:ind w:firstLine="480"/>
        <w:rPr>
          <w:caps/>
          <w:color w:val="auto"/>
          <w:kern w:val="44"/>
        </w:rPr>
      </w:pPr>
      <w:r>
        <w:rPr>
          <w:caps/>
          <w:color w:val="auto"/>
          <w:kern w:val="44"/>
        </w:rPr>
        <w:t>附件1项目备案表</w:t>
      </w:r>
    </w:p>
    <w:p w14:paraId="0158CF0D">
      <w:pPr>
        <w:spacing w:line="360" w:lineRule="auto"/>
        <w:ind w:firstLine="480"/>
        <w:rPr>
          <w:caps/>
          <w:color w:val="auto"/>
          <w:kern w:val="44"/>
        </w:rPr>
      </w:pPr>
      <w:r>
        <w:rPr>
          <w:caps/>
          <w:color w:val="auto"/>
          <w:kern w:val="44"/>
        </w:rPr>
        <w:t>附件2企业营业执照</w:t>
      </w:r>
    </w:p>
    <w:p w14:paraId="2CCE0D93">
      <w:pPr>
        <w:spacing w:line="360" w:lineRule="auto"/>
        <w:ind w:firstLine="480"/>
        <w:rPr>
          <w:rFonts w:eastAsia="宋体"/>
          <w:caps/>
          <w:color w:val="auto"/>
          <w:kern w:val="44"/>
        </w:rPr>
      </w:pPr>
      <w:r>
        <w:rPr>
          <w:rFonts w:eastAsia="宋体"/>
          <w:caps/>
          <w:color w:val="auto"/>
          <w:kern w:val="44"/>
        </w:rPr>
        <w:t>附件3环境质量监测报告</w:t>
      </w:r>
    </w:p>
    <w:p w14:paraId="357FE651">
      <w:pPr>
        <w:spacing w:line="360" w:lineRule="auto"/>
        <w:ind w:firstLine="480"/>
        <w:rPr>
          <w:caps/>
          <w:color w:val="auto"/>
          <w:kern w:val="44"/>
        </w:rPr>
      </w:pPr>
      <w:r>
        <w:rPr>
          <w:caps/>
          <w:color w:val="auto"/>
          <w:kern w:val="44"/>
        </w:rPr>
        <w:t>附件4</w:t>
      </w:r>
      <w:r>
        <w:rPr>
          <w:rFonts w:hint="eastAsia"/>
          <w:caps/>
          <w:color w:val="auto"/>
          <w:kern w:val="44"/>
        </w:rPr>
        <w:t>厂房租赁合同</w:t>
      </w:r>
    </w:p>
    <w:p w14:paraId="0F4BAB1C">
      <w:pPr>
        <w:spacing w:line="360" w:lineRule="auto"/>
        <w:ind w:firstLine="480"/>
        <w:rPr>
          <w:rFonts w:hint="default"/>
          <w:caps/>
          <w:color w:val="auto"/>
          <w:kern w:val="44"/>
          <w:lang w:val="en-US" w:eastAsia="zh-CN"/>
        </w:rPr>
      </w:pPr>
      <w:r>
        <w:rPr>
          <w:caps/>
          <w:color w:val="auto"/>
          <w:kern w:val="44"/>
        </w:rPr>
        <w:t>附件</w:t>
      </w:r>
      <w:r>
        <w:rPr>
          <w:rFonts w:hint="eastAsia"/>
          <w:caps/>
          <w:color w:val="auto"/>
          <w:kern w:val="44"/>
          <w:lang w:val="en-US" w:eastAsia="zh-CN"/>
        </w:rPr>
        <w:t>5石英石成份检测报告</w:t>
      </w:r>
    </w:p>
    <w:p w14:paraId="1754F8D4">
      <w:pPr>
        <w:spacing w:line="360" w:lineRule="auto"/>
        <w:ind w:firstLine="480"/>
        <w:rPr>
          <w:color w:val="auto"/>
          <w:sz w:val="36"/>
          <w:szCs w:val="36"/>
        </w:rPr>
      </w:pPr>
      <w:r>
        <w:rPr>
          <w:caps/>
          <w:color w:val="auto"/>
          <w:kern w:val="44"/>
        </w:rPr>
        <w:t>附件</w:t>
      </w:r>
      <w:r>
        <w:rPr>
          <w:rFonts w:hint="eastAsia"/>
          <w:caps/>
          <w:color w:val="auto"/>
          <w:kern w:val="44"/>
          <w:lang w:val="en-US" w:eastAsia="zh-CN"/>
        </w:rPr>
        <w:t>6</w:t>
      </w:r>
      <w:r>
        <w:rPr>
          <w:rFonts w:hint="eastAsia"/>
          <w:caps/>
          <w:color w:val="auto"/>
          <w:kern w:val="44"/>
        </w:rPr>
        <w:t>污水准许接管证明</w:t>
      </w:r>
    </w:p>
    <w:p w14:paraId="0AAE099E">
      <w:pPr>
        <w:spacing w:line="360" w:lineRule="auto"/>
        <w:ind w:firstLine="480"/>
        <w:rPr>
          <w:rFonts w:hint="eastAsia" w:eastAsia="宋体"/>
          <w:caps/>
          <w:color w:val="auto"/>
          <w:kern w:val="44"/>
          <w:lang w:val="en-US" w:eastAsia="zh-CN"/>
        </w:rPr>
      </w:pPr>
      <w:r>
        <w:rPr>
          <w:rFonts w:hint="eastAsia" w:eastAsia="宋体"/>
          <w:caps/>
          <w:color w:val="auto"/>
          <w:kern w:val="44"/>
          <w:lang w:val="en-US" w:eastAsia="zh-CN"/>
        </w:rPr>
        <w:t>附件</w:t>
      </w:r>
      <w:r>
        <w:rPr>
          <w:rFonts w:hint="eastAsia"/>
          <w:caps/>
          <w:color w:val="auto"/>
          <w:kern w:val="44"/>
          <w:lang w:val="en-US" w:eastAsia="zh-CN"/>
        </w:rPr>
        <w:t>7</w:t>
      </w:r>
      <w:r>
        <w:rPr>
          <w:rFonts w:hint="eastAsia" w:eastAsia="宋体"/>
          <w:caps/>
          <w:color w:val="auto"/>
          <w:kern w:val="44"/>
          <w:lang w:val="en-US" w:eastAsia="zh-CN"/>
        </w:rPr>
        <w:t>规划批复/审查意见</w:t>
      </w:r>
    </w:p>
    <w:p w14:paraId="45F4BA3B">
      <w:pPr>
        <w:spacing w:line="360" w:lineRule="auto"/>
        <w:ind w:firstLine="480"/>
        <w:rPr>
          <w:rFonts w:hint="eastAsia"/>
          <w:caps/>
          <w:color w:val="auto"/>
          <w:kern w:val="44"/>
          <w:lang w:val="en-US" w:eastAsia="zh-CN"/>
        </w:rPr>
      </w:pPr>
      <w:r>
        <w:rPr>
          <w:rFonts w:hint="eastAsia"/>
          <w:caps/>
          <w:color w:val="auto"/>
          <w:kern w:val="44"/>
          <w:lang w:val="en-US" w:eastAsia="zh-CN"/>
        </w:rPr>
        <w:t>附件8环评委托书、环评真实性承诺函</w:t>
      </w:r>
    </w:p>
    <w:p w14:paraId="13A77FB9">
      <w:pPr>
        <w:rPr>
          <w:rFonts w:hint="eastAsia"/>
          <w:caps/>
          <w:color w:val="auto"/>
          <w:kern w:val="44"/>
          <w:lang w:val="en-US" w:eastAsia="zh-CN"/>
        </w:rPr>
      </w:pPr>
      <w:bookmarkStart w:id="291" w:name="_GoBack"/>
      <w:bookmarkEnd w:id="291"/>
      <w:r>
        <w:rPr>
          <w:rFonts w:hint="eastAsia"/>
          <w:caps/>
          <w:color w:val="auto"/>
          <w:kern w:val="44"/>
          <w:lang w:val="en-US" w:eastAsia="zh-CN"/>
        </w:rPr>
        <w:br w:type="page"/>
      </w:r>
    </w:p>
    <w:p w14:paraId="3C1D4B4A">
      <w:pPr>
        <w:rPr>
          <w:rFonts w:hint="default"/>
          <w:color w:val="auto"/>
          <w:lang w:val="en-US" w:eastAsia="zh-CN"/>
        </w:rPr>
      </w:pPr>
      <w:r>
        <w:rPr>
          <w:rFonts w:hint="default"/>
          <w:color w:val="auto"/>
          <w:lang w:val="en-US" w:eastAsia="zh-CN"/>
        </w:rPr>
        <w:br w:type="page"/>
      </w:r>
    </w:p>
    <w:p w14:paraId="6AB14630">
      <w:pPr>
        <w:rPr>
          <w:rFonts w:hint="default"/>
          <w:color w:val="auto"/>
          <w:lang w:val="en-US" w:eastAsia="zh-CN"/>
        </w:rPr>
        <w:sectPr>
          <w:footerReference r:id="rId3" w:type="default"/>
          <w:pgSz w:w="11906" w:h="16838"/>
          <w:pgMar w:top="1701" w:right="1531" w:bottom="1701" w:left="1531" w:header="851" w:footer="1077" w:gutter="0"/>
          <w:pgNumType w:start="3"/>
          <w:cols w:space="720" w:num="1"/>
          <w:docGrid w:linePitch="312" w:charSpace="0"/>
        </w:sectPr>
      </w:pPr>
    </w:p>
    <w:p w14:paraId="1B149289">
      <w:pPr>
        <w:pStyle w:val="29"/>
        <w:jc w:val="center"/>
        <w:outlineLvl w:val="0"/>
        <w:rPr>
          <w:rFonts w:ascii="Times New Roman" w:hAnsi="Times New Roman"/>
          <w:b/>
          <w:bCs/>
          <w:snapToGrid w:val="0"/>
          <w:color w:val="auto"/>
          <w:sz w:val="30"/>
          <w:szCs w:val="30"/>
        </w:rPr>
      </w:pPr>
      <w:bookmarkStart w:id="6" w:name="_Toc9922"/>
      <w:r>
        <w:rPr>
          <w:rFonts w:ascii="Times New Roman" w:hAnsi="Times New Roman"/>
          <w:b/>
          <w:bCs/>
          <w:snapToGrid w:val="0"/>
          <w:color w:val="auto"/>
          <w:sz w:val="30"/>
          <w:szCs w:val="30"/>
        </w:rPr>
        <w:t>一、建设项目基本情况</w:t>
      </w:r>
      <w:bookmarkEnd w:id="6"/>
    </w:p>
    <w:tbl>
      <w:tblPr>
        <w:tblStyle w:val="32"/>
        <w:tblW w:w="496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36"/>
        <w:gridCol w:w="217"/>
        <w:gridCol w:w="2241"/>
        <w:gridCol w:w="1909"/>
        <w:gridCol w:w="3310"/>
      </w:tblGrid>
      <w:tr w14:paraId="225F72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3" w:type="dxa"/>
            <w:gridSpan w:val="2"/>
            <w:tcMar>
              <w:top w:w="16" w:type="dxa"/>
              <w:left w:w="16" w:type="dxa"/>
              <w:right w:w="16" w:type="dxa"/>
            </w:tcMar>
            <w:vAlign w:val="center"/>
          </w:tcPr>
          <w:p w14:paraId="1F239A58">
            <w:pPr>
              <w:adjustRightInd w:val="0"/>
              <w:snapToGrid w:val="0"/>
              <w:jc w:val="center"/>
              <w:rPr>
                <w:color w:val="auto"/>
                <w:sz w:val="24"/>
              </w:rPr>
            </w:pPr>
            <w:r>
              <w:rPr>
                <w:color w:val="auto"/>
                <w:sz w:val="24"/>
              </w:rPr>
              <w:t>建设项目名称</w:t>
            </w:r>
          </w:p>
        </w:tc>
        <w:tc>
          <w:tcPr>
            <w:tcW w:w="7467" w:type="dxa"/>
            <w:gridSpan w:val="3"/>
            <w:vAlign w:val="center"/>
          </w:tcPr>
          <w:p w14:paraId="0A5DFC0A">
            <w:pPr>
              <w:jc w:val="center"/>
              <w:rPr>
                <w:color w:val="auto"/>
                <w:sz w:val="24"/>
              </w:rPr>
            </w:pPr>
            <w:r>
              <w:rPr>
                <w:color w:val="auto"/>
                <w:sz w:val="24"/>
              </w:rPr>
              <w:t>安徽腾安光电新材料生产基地项目</w:t>
            </w:r>
          </w:p>
        </w:tc>
      </w:tr>
      <w:tr w14:paraId="120339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3" w:type="dxa"/>
            <w:gridSpan w:val="2"/>
            <w:tcMar>
              <w:top w:w="16" w:type="dxa"/>
              <w:left w:w="16" w:type="dxa"/>
              <w:right w:w="16" w:type="dxa"/>
            </w:tcMar>
            <w:vAlign w:val="center"/>
          </w:tcPr>
          <w:p w14:paraId="260B8D43">
            <w:pPr>
              <w:adjustRightInd w:val="0"/>
              <w:snapToGrid w:val="0"/>
              <w:jc w:val="center"/>
              <w:rPr>
                <w:color w:val="auto"/>
                <w:sz w:val="24"/>
              </w:rPr>
            </w:pPr>
            <w:r>
              <w:rPr>
                <w:color w:val="auto"/>
                <w:sz w:val="24"/>
              </w:rPr>
              <w:t>项目代码</w:t>
            </w:r>
          </w:p>
        </w:tc>
        <w:tc>
          <w:tcPr>
            <w:tcW w:w="7467" w:type="dxa"/>
            <w:gridSpan w:val="3"/>
            <w:vAlign w:val="center"/>
          </w:tcPr>
          <w:p w14:paraId="22E551BE">
            <w:pPr>
              <w:adjustRightInd w:val="0"/>
              <w:snapToGrid w:val="0"/>
              <w:spacing w:line="440" w:lineRule="exact"/>
              <w:jc w:val="center"/>
              <w:rPr>
                <w:color w:val="auto"/>
                <w:sz w:val="24"/>
              </w:rPr>
            </w:pPr>
            <w:r>
              <w:rPr>
                <w:color w:val="auto"/>
                <w:sz w:val="24"/>
              </w:rPr>
              <w:t>2410-340461-04-01-770774</w:t>
            </w:r>
          </w:p>
        </w:tc>
      </w:tr>
      <w:tr w14:paraId="4532A8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1353" w:type="dxa"/>
            <w:gridSpan w:val="2"/>
            <w:tcMar>
              <w:top w:w="16" w:type="dxa"/>
              <w:left w:w="16" w:type="dxa"/>
              <w:right w:w="16" w:type="dxa"/>
            </w:tcMar>
            <w:vAlign w:val="center"/>
          </w:tcPr>
          <w:p w14:paraId="27459FE6">
            <w:pPr>
              <w:jc w:val="center"/>
              <w:rPr>
                <w:color w:val="auto"/>
                <w:sz w:val="24"/>
              </w:rPr>
            </w:pPr>
            <w:r>
              <w:rPr>
                <w:color w:val="auto"/>
                <w:sz w:val="24"/>
              </w:rPr>
              <w:t>建设单位联系人</w:t>
            </w:r>
          </w:p>
        </w:tc>
        <w:tc>
          <w:tcPr>
            <w:tcW w:w="2243" w:type="dxa"/>
            <w:vAlign w:val="center"/>
          </w:tcPr>
          <w:p w14:paraId="7D51B3E7">
            <w:pPr>
              <w:jc w:val="center"/>
              <w:rPr>
                <w:color w:val="auto"/>
                <w:sz w:val="24"/>
              </w:rPr>
            </w:pPr>
            <w:r>
              <w:rPr>
                <w:rFonts w:hint="eastAsia"/>
                <w:color w:val="auto"/>
                <w:sz w:val="24"/>
              </w:rPr>
              <w:t>杨雷</w:t>
            </w:r>
          </w:p>
        </w:tc>
        <w:tc>
          <w:tcPr>
            <w:tcW w:w="1911" w:type="dxa"/>
            <w:vAlign w:val="center"/>
          </w:tcPr>
          <w:p w14:paraId="1FCE79AB">
            <w:pPr>
              <w:jc w:val="center"/>
              <w:rPr>
                <w:color w:val="auto"/>
                <w:sz w:val="24"/>
              </w:rPr>
            </w:pPr>
            <w:r>
              <w:rPr>
                <w:color w:val="auto"/>
                <w:sz w:val="24"/>
              </w:rPr>
              <w:t>联系方式</w:t>
            </w:r>
          </w:p>
        </w:tc>
        <w:tc>
          <w:tcPr>
            <w:tcW w:w="3313" w:type="dxa"/>
            <w:vAlign w:val="center"/>
          </w:tcPr>
          <w:p w14:paraId="41FEC3CF">
            <w:pPr>
              <w:jc w:val="center"/>
              <w:rPr>
                <w:color w:val="auto"/>
                <w:sz w:val="24"/>
              </w:rPr>
            </w:pPr>
            <w:r>
              <w:rPr>
                <w:rFonts w:hint="eastAsia"/>
                <w:color w:val="auto"/>
                <w:sz w:val="24"/>
              </w:rPr>
              <w:t>13806152345</w:t>
            </w:r>
          </w:p>
        </w:tc>
      </w:tr>
      <w:tr w14:paraId="0722DD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3" w:type="dxa"/>
            <w:gridSpan w:val="2"/>
            <w:tcMar>
              <w:top w:w="16" w:type="dxa"/>
              <w:left w:w="16" w:type="dxa"/>
              <w:right w:w="16" w:type="dxa"/>
            </w:tcMar>
            <w:vAlign w:val="center"/>
          </w:tcPr>
          <w:p w14:paraId="44487280">
            <w:pPr>
              <w:adjustRightInd w:val="0"/>
              <w:snapToGrid w:val="0"/>
              <w:spacing w:line="440" w:lineRule="exact"/>
              <w:jc w:val="center"/>
              <w:rPr>
                <w:color w:val="auto"/>
                <w:sz w:val="24"/>
              </w:rPr>
            </w:pPr>
            <w:r>
              <w:rPr>
                <w:color w:val="auto"/>
                <w:sz w:val="24"/>
              </w:rPr>
              <w:t>建设地点</w:t>
            </w:r>
          </w:p>
        </w:tc>
        <w:tc>
          <w:tcPr>
            <w:tcW w:w="7467" w:type="dxa"/>
            <w:gridSpan w:val="3"/>
            <w:vAlign w:val="center"/>
          </w:tcPr>
          <w:p w14:paraId="74BC33AC">
            <w:pPr>
              <w:adjustRightInd w:val="0"/>
              <w:snapToGrid w:val="0"/>
              <w:spacing w:line="440" w:lineRule="exact"/>
              <w:jc w:val="center"/>
              <w:rPr>
                <w:color w:val="auto"/>
                <w:sz w:val="24"/>
                <w:u w:val="single"/>
              </w:rPr>
            </w:pPr>
            <w:r>
              <w:rPr>
                <w:color w:val="auto"/>
                <w:sz w:val="24"/>
                <w:u w:val="single"/>
              </w:rPr>
              <w:t xml:space="preserve"> 安徽（</w:t>
            </w:r>
            <w:r>
              <w:rPr>
                <w:color w:val="auto"/>
                <w:sz w:val="24"/>
              </w:rPr>
              <w:t>省）</w:t>
            </w:r>
            <w:r>
              <w:rPr>
                <w:color w:val="auto"/>
                <w:sz w:val="24"/>
                <w:u w:val="single"/>
              </w:rPr>
              <w:t xml:space="preserve"> 淮南 (</w:t>
            </w:r>
            <w:r>
              <w:rPr>
                <w:color w:val="auto"/>
                <w:sz w:val="24"/>
              </w:rPr>
              <w:t>市)</w:t>
            </w:r>
            <w:r>
              <w:rPr>
                <w:color w:val="auto"/>
                <w:sz w:val="24"/>
                <w:u w:val="single"/>
              </w:rPr>
              <w:t xml:space="preserve"> 淮南经开区高端装备产业园D7#楼 </w:t>
            </w:r>
          </w:p>
        </w:tc>
      </w:tr>
      <w:tr w14:paraId="255274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3" w:type="dxa"/>
            <w:gridSpan w:val="2"/>
            <w:tcMar>
              <w:top w:w="16" w:type="dxa"/>
              <w:left w:w="16" w:type="dxa"/>
              <w:right w:w="16" w:type="dxa"/>
            </w:tcMar>
            <w:vAlign w:val="center"/>
          </w:tcPr>
          <w:p w14:paraId="0B46B63D">
            <w:pPr>
              <w:adjustRightInd w:val="0"/>
              <w:snapToGrid w:val="0"/>
              <w:spacing w:line="440" w:lineRule="exact"/>
              <w:jc w:val="center"/>
              <w:rPr>
                <w:color w:val="auto"/>
                <w:sz w:val="24"/>
              </w:rPr>
            </w:pPr>
            <w:r>
              <w:rPr>
                <w:color w:val="auto"/>
                <w:sz w:val="24"/>
              </w:rPr>
              <w:t>地理坐标</w:t>
            </w:r>
          </w:p>
        </w:tc>
        <w:tc>
          <w:tcPr>
            <w:tcW w:w="7467" w:type="dxa"/>
            <w:gridSpan w:val="3"/>
            <w:vAlign w:val="center"/>
          </w:tcPr>
          <w:p w14:paraId="00B1E40B">
            <w:pPr>
              <w:snapToGrid w:val="0"/>
              <w:spacing w:line="440" w:lineRule="exact"/>
              <w:jc w:val="center"/>
              <w:rPr>
                <w:color w:val="auto"/>
                <w:sz w:val="24"/>
              </w:rPr>
            </w:pPr>
            <w:r>
              <w:rPr>
                <w:color w:val="auto"/>
                <w:sz w:val="24"/>
              </w:rPr>
              <w:t>（</w:t>
            </w:r>
            <w:r>
              <w:rPr>
                <w:color w:val="auto"/>
                <w:sz w:val="24"/>
                <w:u w:val="single"/>
              </w:rPr>
              <w:t xml:space="preserve"> 117 </w:t>
            </w:r>
            <w:r>
              <w:rPr>
                <w:color w:val="auto"/>
                <w:sz w:val="24"/>
              </w:rPr>
              <w:t>度</w:t>
            </w:r>
            <w:r>
              <w:rPr>
                <w:color w:val="auto"/>
                <w:sz w:val="24"/>
                <w:u w:val="single"/>
              </w:rPr>
              <w:t xml:space="preserve"> 5 </w:t>
            </w:r>
            <w:r>
              <w:rPr>
                <w:color w:val="auto"/>
                <w:sz w:val="24"/>
              </w:rPr>
              <w:t>分</w:t>
            </w:r>
            <w:r>
              <w:rPr>
                <w:color w:val="auto"/>
                <w:sz w:val="24"/>
                <w:u w:val="single"/>
              </w:rPr>
              <w:t xml:space="preserve"> 1</w:t>
            </w:r>
            <w:r>
              <w:rPr>
                <w:rFonts w:hint="eastAsia"/>
                <w:color w:val="auto"/>
                <w:sz w:val="24"/>
                <w:u w:val="single"/>
              </w:rPr>
              <w:t>1</w:t>
            </w:r>
            <w:r>
              <w:rPr>
                <w:color w:val="auto"/>
                <w:sz w:val="24"/>
                <w:u w:val="single"/>
              </w:rPr>
              <w:t>.</w:t>
            </w:r>
            <w:r>
              <w:rPr>
                <w:rFonts w:hint="eastAsia"/>
                <w:color w:val="auto"/>
                <w:sz w:val="24"/>
                <w:u w:val="single"/>
              </w:rPr>
              <w:t>939</w:t>
            </w:r>
            <w:r>
              <w:rPr>
                <w:color w:val="auto"/>
                <w:sz w:val="24"/>
                <w:u w:val="single"/>
              </w:rPr>
              <w:t xml:space="preserve"> </w:t>
            </w:r>
            <w:r>
              <w:rPr>
                <w:color w:val="auto"/>
                <w:sz w:val="24"/>
              </w:rPr>
              <w:t>秒，</w:t>
            </w:r>
            <w:r>
              <w:rPr>
                <w:color w:val="auto"/>
                <w:sz w:val="24"/>
                <w:u w:val="single"/>
              </w:rPr>
              <w:t xml:space="preserve"> 32 </w:t>
            </w:r>
            <w:r>
              <w:rPr>
                <w:color w:val="auto"/>
                <w:sz w:val="24"/>
              </w:rPr>
              <w:t>度</w:t>
            </w:r>
            <w:r>
              <w:rPr>
                <w:color w:val="auto"/>
                <w:sz w:val="24"/>
                <w:u w:val="single"/>
              </w:rPr>
              <w:t xml:space="preserve"> 38 </w:t>
            </w:r>
            <w:r>
              <w:rPr>
                <w:color w:val="auto"/>
                <w:sz w:val="24"/>
              </w:rPr>
              <w:t>分</w:t>
            </w:r>
            <w:r>
              <w:rPr>
                <w:color w:val="auto"/>
                <w:sz w:val="24"/>
                <w:u w:val="single"/>
              </w:rPr>
              <w:t xml:space="preserve"> </w:t>
            </w:r>
            <w:r>
              <w:rPr>
                <w:rFonts w:hint="eastAsia"/>
                <w:color w:val="auto"/>
                <w:sz w:val="24"/>
                <w:u w:val="single"/>
              </w:rPr>
              <w:t>4</w:t>
            </w:r>
            <w:r>
              <w:rPr>
                <w:color w:val="auto"/>
                <w:sz w:val="24"/>
                <w:u w:val="single"/>
              </w:rPr>
              <w:t>.</w:t>
            </w:r>
            <w:r>
              <w:rPr>
                <w:rFonts w:hint="eastAsia"/>
                <w:color w:val="auto"/>
                <w:sz w:val="24"/>
                <w:u w:val="single"/>
              </w:rPr>
              <w:t>678</w:t>
            </w:r>
            <w:r>
              <w:rPr>
                <w:color w:val="auto"/>
                <w:sz w:val="24"/>
              </w:rPr>
              <w:t>秒）</w:t>
            </w:r>
          </w:p>
        </w:tc>
      </w:tr>
      <w:tr w14:paraId="105FB2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1353" w:type="dxa"/>
            <w:gridSpan w:val="2"/>
            <w:tcMar>
              <w:top w:w="16" w:type="dxa"/>
              <w:left w:w="16" w:type="dxa"/>
              <w:right w:w="16" w:type="dxa"/>
            </w:tcMar>
            <w:vAlign w:val="center"/>
          </w:tcPr>
          <w:p w14:paraId="37B464B4">
            <w:pPr>
              <w:adjustRightInd w:val="0"/>
              <w:snapToGrid w:val="0"/>
              <w:jc w:val="center"/>
              <w:rPr>
                <w:color w:val="auto"/>
                <w:sz w:val="24"/>
              </w:rPr>
            </w:pPr>
            <w:r>
              <w:rPr>
                <w:color w:val="auto"/>
                <w:sz w:val="24"/>
              </w:rPr>
              <w:t>国民经济</w:t>
            </w:r>
          </w:p>
          <w:p w14:paraId="4E7666F6">
            <w:pPr>
              <w:adjustRightInd w:val="0"/>
              <w:snapToGrid w:val="0"/>
              <w:jc w:val="center"/>
              <w:rPr>
                <w:color w:val="auto"/>
                <w:sz w:val="24"/>
              </w:rPr>
            </w:pPr>
            <w:r>
              <w:rPr>
                <w:color w:val="auto"/>
                <w:sz w:val="24"/>
              </w:rPr>
              <w:t>行业类别</w:t>
            </w:r>
          </w:p>
        </w:tc>
        <w:tc>
          <w:tcPr>
            <w:tcW w:w="2243" w:type="dxa"/>
            <w:vAlign w:val="center"/>
          </w:tcPr>
          <w:p w14:paraId="6F5D0789">
            <w:pPr>
              <w:adjustRightInd w:val="0"/>
              <w:snapToGrid w:val="0"/>
              <w:jc w:val="center"/>
              <w:rPr>
                <w:color w:val="auto"/>
                <w:sz w:val="24"/>
              </w:rPr>
            </w:pPr>
            <w:r>
              <w:rPr>
                <w:color w:val="auto"/>
                <w:sz w:val="24"/>
              </w:rPr>
              <w:t xml:space="preserve">C3099 其他非金属矿物制品制造 </w:t>
            </w:r>
          </w:p>
        </w:tc>
        <w:tc>
          <w:tcPr>
            <w:tcW w:w="1911" w:type="dxa"/>
            <w:vAlign w:val="center"/>
          </w:tcPr>
          <w:p w14:paraId="71DD35F6">
            <w:pPr>
              <w:adjustRightInd w:val="0"/>
              <w:snapToGrid w:val="0"/>
              <w:jc w:val="center"/>
              <w:rPr>
                <w:color w:val="auto"/>
                <w:sz w:val="24"/>
              </w:rPr>
            </w:pPr>
            <w:bookmarkStart w:id="7" w:name="_Hlk49843745"/>
            <w:r>
              <w:rPr>
                <w:color w:val="auto"/>
                <w:sz w:val="24"/>
              </w:rPr>
              <w:t>建设项目</w:t>
            </w:r>
          </w:p>
          <w:p w14:paraId="350717DB">
            <w:pPr>
              <w:adjustRightInd w:val="0"/>
              <w:snapToGrid w:val="0"/>
              <w:jc w:val="center"/>
              <w:rPr>
                <w:color w:val="auto"/>
                <w:sz w:val="24"/>
              </w:rPr>
            </w:pPr>
            <w:r>
              <w:rPr>
                <w:color w:val="auto"/>
                <w:sz w:val="24"/>
              </w:rPr>
              <w:t>行业类别</w:t>
            </w:r>
            <w:bookmarkEnd w:id="7"/>
          </w:p>
        </w:tc>
        <w:tc>
          <w:tcPr>
            <w:tcW w:w="3313" w:type="dxa"/>
            <w:vAlign w:val="center"/>
          </w:tcPr>
          <w:p w14:paraId="7328AB08">
            <w:pPr>
              <w:snapToGrid w:val="0"/>
              <w:jc w:val="left"/>
              <w:rPr>
                <w:color w:val="auto"/>
                <w:sz w:val="24"/>
              </w:rPr>
            </w:pPr>
            <w:r>
              <w:rPr>
                <w:color w:val="auto"/>
                <w:sz w:val="24"/>
              </w:rPr>
              <w:t>二十七、非金属矿物制品业30-60、石墨及其他非金属矿物制品制造309-其他</w:t>
            </w:r>
          </w:p>
        </w:tc>
      </w:tr>
      <w:tr w14:paraId="77E5A5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53" w:type="dxa"/>
            <w:gridSpan w:val="2"/>
            <w:tcMar>
              <w:top w:w="16" w:type="dxa"/>
              <w:left w:w="16" w:type="dxa"/>
              <w:right w:w="16" w:type="dxa"/>
            </w:tcMar>
            <w:vAlign w:val="center"/>
          </w:tcPr>
          <w:p w14:paraId="5AAD85B4">
            <w:pPr>
              <w:adjustRightInd w:val="0"/>
              <w:snapToGrid w:val="0"/>
              <w:jc w:val="center"/>
              <w:rPr>
                <w:color w:val="auto"/>
                <w:sz w:val="24"/>
              </w:rPr>
            </w:pPr>
            <w:r>
              <w:rPr>
                <w:color w:val="auto"/>
                <w:sz w:val="24"/>
              </w:rPr>
              <w:t>建设性质</w:t>
            </w:r>
          </w:p>
        </w:tc>
        <w:tc>
          <w:tcPr>
            <w:tcW w:w="2243" w:type="dxa"/>
            <w:vAlign w:val="center"/>
          </w:tcPr>
          <w:p w14:paraId="364BFD24">
            <w:pPr>
              <w:snapToGrid w:val="0"/>
              <w:jc w:val="left"/>
              <w:rPr>
                <w:color w:val="auto"/>
                <w:sz w:val="24"/>
              </w:rPr>
            </w:pPr>
            <w:r>
              <w:rPr>
                <w:color w:val="auto"/>
                <w:sz w:val="24"/>
              </w:rPr>
              <w:sym w:font="Wingdings 2" w:char="0052"/>
            </w:r>
            <w:r>
              <w:rPr>
                <w:color w:val="auto"/>
                <w:sz w:val="24"/>
              </w:rPr>
              <w:t>新建</w:t>
            </w:r>
          </w:p>
          <w:p w14:paraId="6C86C1B2">
            <w:pPr>
              <w:snapToGrid w:val="0"/>
              <w:jc w:val="left"/>
              <w:rPr>
                <w:color w:val="auto"/>
                <w:sz w:val="24"/>
              </w:rPr>
            </w:pPr>
            <w:r>
              <w:rPr>
                <w:color w:val="auto"/>
                <w:sz w:val="24"/>
              </w:rPr>
              <w:sym w:font="Wingdings 2" w:char="00A3"/>
            </w:r>
            <w:r>
              <w:rPr>
                <w:color w:val="auto"/>
                <w:sz w:val="24"/>
              </w:rPr>
              <w:t>改建</w:t>
            </w:r>
          </w:p>
          <w:p w14:paraId="46FC2674">
            <w:pPr>
              <w:snapToGrid w:val="0"/>
              <w:jc w:val="left"/>
              <w:rPr>
                <w:color w:val="auto"/>
                <w:sz w:val="24"/>
              </w:rPr>
            </w:pPr>
            <w:r>
              <w:rPr>
                <w:color w:val="auto"/>
                <w:sz w:val="24"/>
              </w:rPr>
              <w:sym w:font="Wingdings 2" w:char="00A3"/>
            </w:r>
            <w:r>
              <w:rPr>
                <w:color w:val="auto"/>
                <w:sz w:val="24"/>
              </w:rPr>
              <w:t>扩建</w:t>
            </w:r>
          </w:p>
          <w:p w14:paraId="40AE2657">
            <w:pPr>
              <w:snapToGrid w:val="0"/>
              <w:jc w:val="left"/>
              <w:rPr>
                <w:color w:val="auto"/>
                <w:sz w:val="24"/>
              </w:rPr>
            </w:pPr>
            <w:r>
              <w:rPr>
                <w:color w:val="auto"/>
                <w:sz w:val="24"/>
              </w:rPr>
              <w:sym w:font="Wingdings 2" w:char="00A3"/>
            </w:r>
            <w:r>
              <w:rPr>
                <w:color w:val="auto"/>
                <w:sz w:val="24"/>
              </w:rPr>
              <w:t>技术改造</w:t>
            </w:r>
          </w:p>
        </w:tc>
        <w:tc>
          <w:tcPr>
            <w:tcW w:w="1911" w:type="dxa"/>
            <w:vAlign w:val="center"/>
          </w:tcPr>
          <w:p w14:paraId="5FEA4C09">
            <w:pPr>
              <w:adjustRightInd w:val="0"/>
              <w:snapToGrid w:val="0"/>
              <w:jc w:val="center"/>
              <w:rPr>
                <w:color w:val="auto"/>
                <w:sz w:val="24"/>
              </w:rPr>
            </w:pPr>
            <w:r>
              <w:rPr>
                <w:color w:val="auto"/>
                <w:sz w:val="24"/>
              </w:rPr>
              <w:t>建设项目</w:t>
            </w:r>
          </w:p>
          <w:p w14:paraId="0CF52A29">
            <w:pPr>
              <w:adjustRightInd w:val="0"/>
              <w:snapToGrid w:val="0"/>
              <w:jc w:val="center"/>
              <w:rPr>
                <w:color w:val="auto"/>
                <w:sz w:val="24"/>
              </w:rPr>
            </w:pPr>
            <w:r>
              <w:rPr>
                <w:color w:val="auto"/>
                <w:sz w:val="24"/>
              </w:rPr>
              <w:t>申报情形</w:t>
            </w:r>
          </w:p>
        </w:tc>
        <w:tc>
          <w:tcPr>
            <w:tcW w:w="3313" w:type="dxa"/>
            <w:vAlign w:val="center"/>
          </w:tcPr>
          <w:p w14:paraId="335A636F">
            <w:pPr>
              <w:snapToGrid w:val="0"/>
              <w:jc w:val="left"/>
              <w:rPr>
                <w:color w:val="auto"/>
                <w:sz w:val="24"/>
              </w:rPr>
            </w:pPr>
            <w:r>
              <w:rPr>
                <w:color w:val="auto"/>
                <w:sz w:val="24"/>
              </w:rPr>
              <w:sym w:font="Wingdings 2" w:char="0052"/>
            </w:r>
            <w:r>
              <w:rPr>
                <w:color w:val="auto"/>
                <w:sz w:val="24"/>
              </w:rPr>
              <w:t xml:space="preserve">首次申报项目             </w:t>
            </w:r>
          </w:p>
          <w:p w14:paraId="6FD90372">
            <w:pPr>
              <w:snapToGrid w:val="0"/>
              <w:jc w:val="left"/>
              <w:rPr>
                <w:color w:val="auto"/>
                <w:sz w:val="24"/>
              </w:rPr>
            </w:pPr>
            <w:r>
              <w:rPr>
                <w:color w:val="auto"/>
                <w:sz w:val="24"/>
              </w:rPr>
              <w:sym w:font="Wingdings 2" w:char="00A3"/>
            </w:r>
            <w:r>
              <w:rPr>
                <w:color w:val="auto"/>
                <w:sz w:val="24"/>
              </w:rPr>
              <w:t>不予批准后再次申报项目</w:t>
            </w:r>
          </w:p>
          <w:p w14:paraId="7EA3CA54">
            <w:pPr>
              <w:snapToGrid w:val="0"/>
              <w:jc w:val="left"/>
              <w:rPr>
                <w:color w:val="auto"/>
                <w:sz w:val="24"/>
              </w:rPr>
            </w:pPr>
            <w:r>
              <w:rPr>
                <w:color w:val="auto"/>
                <w:sz w:val="24"/>
              </w:rPr>
              <w:sym w:font="Wingdings 2" w:char="00A3"/>
            </w:r>
            <w:r>
              <w:rPr>
                <w:color w:val="auto"/>
                <w:sz w:val="24"/>
              </w:rPr>
              <w:t xml:space="preserve">超五年重新审核项目     </w:t>
            </w:r>
          </w:p>
          <w:p w14:paraId="1B683DB5">
            <w:pPr>
              <w:snapToGrid w:val="0"/>
              <w:jc w:val="left"/>
              <w:rPr>
                <w:color w:val="auto"/>
                <w:sz w:val="24"/>
              </w:rPr>
            </w:pPr>
            <w:r>
              <w:rPr>
                <w:color w:val="auto"/>
                <w:sz w:val="24"/>
              </w:rPr>
              <w:sym w:font="Wingdings 2" w:char="00A3"/>
            </w:r>
            <w:r>
              <w:rPr>
                <w:color w:val="auto"/>
                <w:sz w:val="24"/>
              </w:rPr>
              <w:t>重大变动重新报批项目</w:t>
            </w:r>
          </w:p>
        </w:tc>
      </w:tr>
      <w:tr w14:paraId="538F85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97" w:hRule="atLeast"/>
          <w:jc w:val="center"/>
        </w:trPr>
        <w:tc>
          <w:tcPr>
            <w:tcW w:w="1353" w:type="dxa"/>
            <w:gridSpan w:val="2"/>
            <w:tcMar>
              <w:top w:w="16" w:type="dxa"/>
              <w:left w:w="16" w:type="dxa"/>
              <w:right w:w="16" w:type="dxa"/>
            </w:tcMar>
            <w:vAlign w:val="center"/>
          </w:tcPr>
          <w:p w14:paraId="1D225DFB">
            <w:pPr>
              <w:adjustRightInd w:val="0"/>
              <w:snapToGrid w:val="0"/>
              <w:jc w:val="center"/>
              <w:rPr>
                <w:color w:val="auto"/>
                <w:sz w:val="24"/>
              </w:rPr>
            </w:pPr>
            <w:r>
              <w:rPr>
                <w:color w:val="auto"/>
                <w:sz w:val="24"/>
              </w:rPr>
              <w:t>项目审批（核准/备案）部门（选填）</w:t>
            </w:r>
          </w:p>
        </w:tc>
        <w:tc>
          <w:tcPr>
            <w:tcW w:w="2243" w:type="dxa"/>
            <w:vAlign w:val="center"/>
          </w:tcPr>
          <w:p w14:paraId="5FAC410F">
            <w:pPr>
              <w:adjustRightInd w:val="0"/>
              <w:snapToGrid w:val="0"/>
              <w:jc w:val="center"/>
              <w:rPr>
                <w:color w:val="auto"/>
                <w:sz w:val="24"/>
              </w:rPr>
            </w:pPr>
            <w:r>
              <w:rPr>
                <w:color w:val="auto"/>
                <w:sz w:val="24"/>
              </w:rPr>
              <w:t>淮南经济技术开发区经济发展局</w:t>
            </w:r>
          </w:p>
        </w:tc>
        <w:tc>
          <w:tcPr>
            <w:tcW w:w="1911" w:type="dxa"/>
            <w:vAlign w:val="center"/>
          </w:tcPr>
          <w:p w14:paraId="2AC44196">
            <w:pPr>
              <w:adjustRightInd w:val="0"/>
              <w:snapToGrid w:val="0"/>
              <w:jc w:val="center"/>
              <w:rPr>
                <w:color w:val="auto"/>
                <w:sz w:val="24"/>
              </w:rPr>
            </w:pPr>
            <w:r>
              <w:rPr>
                <w:color w:val="auto"/>
                <w:sz w:val="24"/>
              </w:rPr>
              <w:t>项目审批（核准/</w:t>
            </w:r>
          </w:p>
          <w:p w14:paraId="56FDD332">
            <w:pPr>
              <w:adjustRightInd w:val="0"/>
              <w:snapToGrid w:val="0"/>
              <w:jc w:val="center"/>
              <w:rPr>
                <w:color w:val="auto"/>
                <w:sz w:val="24"/>
              </w:rPr>
            </w:pPr>
            <w:r>
              <w:rPr>
                <w:color w:val="auto"/>
                <w:sz w:val="24"/>
              </w:rPr>
              <w:t>备案）文号（选填）</w:t>
            </w:r>
          </w:p>
        </w:tc>
        <w:tc>
          <w:tcPr>
            <w:tcW w:w="3313" w:type="dxa"/>
            <w:vAlign w:val="center"/>
          </w:tcPr>
          <w:p w14:paraId="19DCA8F3">
            <w:pPr>
              <w:adjustRightInd w:val="0"/>
              <w:snapToGrid w:val="0"/>
              <w:jc w:val="center"/>
              <w:rPr>
                <w:color w:val="auto"/>
                <w:sz w:val="24"/>
              </w:rPr>
            </w:pPr>
            <w:r>
              <w:rPr>
                <w:color w:val="auto"/>
                <w:sz w:val="24"/>
              </w:rPr>
              <w:t>2410-340461-04-01-770774</w:t>
            </w:r>
          </w:p>
        </w:tc>
      </w:tr>
      <w:tr w14:paraId="3C52C3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3" w:type="dxa"/>
            <w:gridSpan w:val="2"/>
            <w:tcMar>
              <w:top w:w="16" w:type="dxa"/>
              <w:left w:w="16" w:type="dxa"/>
              <w:right w:w="16" w:type="dxa"/>
            </w:tcMar>
            <w:vAlign w:val="center"/>
          </w:tcPr>
          <w:p w14:paraId="75007ECC">
            <w:pPr>
              <w:adjustRightInd w:val="0"/>
              <w:snapToGrid w:val="0"/>
              <w:jc w:val="center"/>
              <w:rPr>
                <w:color w:val="auto"/>
                <w:sz w:val="24"/>
              </w:rPr>
            </w:pPr>
            <w:r>
              <w:rPr>
                <w:color w:val="auto"/>
                <w:sz w:val="24"/>
              </w:rPr>
              <w:t>总投资（万元）</w:t>
            </w:r>
          </w:p>
        </w:tc>
        <w:tc>
          <w:tcPr>
            <w:tcW w:w="2243" w:type="dxa"/>
            <w:vAlign w:val="center"/>
          </w:tcPr>
          <w:p w14:paraId="676BB794">
            <w:pPr>
              <w:adjustRightInd w:val="0"/>
              <w:snapToGrid w:val="0"/>
              <w:spacing w:line="440" w:lineRule="exact"/>
              <w:jc w:val="center"/>
              <w:rPr>
                <w:color w:val="auto"/>
                <w:sz w:val="24"/>
              </w:rPr>
            </w:pPr>
            <w:r>
              <w:rPr>
                <w:color w:val="auto"/>
                <w:sz w:val="24"/>
              </w:rPr>
              <w:t>35000</w:t>
            </w:r>
          </w:p>
        </w:tc>
        <w:tc>
          <w:tcPr>
            <w:tcW w:w="1911" w:type="dxa"/>
            <w:tcMar>
              <w:top w:w="16" w:type="dxa"/>
              <w:left w:w="16" w:type="dxa"/>
              <w:right w:w="16" w:type="dxa"/>
            </w:tcMar>
            <w:vAlign w:val="center"/>
          </w:tcPr>
          <w:p w14:paraId="6C1939AE">
            <w:pPr>
              <w:adjustRightInd w:val="0"/>
              <w:snapToGrid w:val="0"/>
              <w:spacing w:line="440" w:lineRule="exact"/>
              <w:jc w:val="center"/>
              <w:rPr>
                <w:color w:val="auto"/>
                <w:sz w:val="24"/>
              </w:rPr>
            </w:pPr>
            <w:r>
              <w:rPr>
                <w:color w:val="auto"/>
                <w:sz w:val="24"/>
              </w:rPr>
              <w:t>环保投资（万元）</w:t>
            </w:r>
          </w:p>
        </w:tc>
        <w:tc>
          <w:tcPr>
            <w:tcW w:w="3313" w:type="dxa"/>
            <w:vAlign w:val="center"/>
          </w:tcPr>
          <w:p w14:paraId="31F32594">
            <w:pPr>
              <w:adjustRightInd w:val="0"/>
              <w:snapToGrid w:val="0"/>
              <w:spacing w:line="440" w:lineRule="exact"/>
              <w:jc w:val="center"/>
              <w:rPr>
                <w:color w:val="auto"/>
                <w:sz w:val="24"/>
              </w:rPr>
            </w:pPr>
            <w:r>
              <w:rPr>
                <w:color w:val="auto"/>
                <w:sz w:val="24"/>
              </w:rPr>
              <w:t>300</w:t>
            </w:r>
          </w:p>
        </w:tc>
      </w:tr>
      <w:tr w14:paraId="580A43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3" w:type="dxa"/>
            <w:gridSpan w:val="2"/>
            <w:tcMar>
              <w:top w:w="16" w:type="dxa"/>
              <w:left w:w="16" w:type="dxa"/>
              <w:right w:w="16" w:type="dxa"/>
            </w:tcMar>
            <w:vAlign w:val="center"/>
          </w:tcPr>
          <w:p w14:paraId="391A4B82">
            <w:pPr>
              <w:adjustRightInd w:val="0"/>
              <w:snapToGrid w:val="0"/>
              <w:jc w:val="center"/>
              <w:rPr>
                <w:color w:val="auto"/>
                <w:sz w:val="24"/>
              </w:rPr>
            </w:pPr>
            <w:r>
              <w:rPr>
                <w:color w:val="auto"/>
                <w:sz w:val="24"/>
              </w:rPr>
              <w:t>环保投资占比（%）</w:t>
            </w:r>
          </w:p>
        </w:tc>
        <w:tc>
          <w:tcPr>
            <w:tcW w:w="2243" w:type="dxa"/>
            <w:vAlign w:val="center"/>
          </w:tcPr>
          <w:p w14:paraId="3520848A">
            <w:pPr>
              <w:adjustRightInd w:val="0"/>
              <w:snapToGrid w:val="0"/>
              <w:spacing w:line="440" w:lineRule="exact"/>
              <w:jc w:val="center"/>
              <w:rPr>
                <w:color w:val="auto"/>
                <w:sz w:val="24"/>
              </w:rPr>
            </w:pPr>
            <w:r>
              <w:rPr>
                <w:color w:val="auto"/>
                <w:sz w:val="24"/>
              </w:rPr>
              <w:t>0.86</w:t>
            </w:r>
          </w:p>
        </w:tc>
        <w:tc>
          <w:tcPr>
            <w:tcW w:w="1911" w:type="dxa"/>
            <w:tcMar>
              <w:top w:w="16" w:type="dxa"/>
              <w:left w:w="16" w:type="dxa"/>
              <w:right w:w="16" w:type="dxa"/>
            </w:tcMar>
            <w:vAlign w:val="center"/>
          </w:tcPr>
          <w:p w14:paraId="3B1623C0">
            <w:pPr>
              <w:adjustRightInd w:val="0"/>
              <w:snapToGrid w:val="0"/>
              <w:spacing w:line="440" w:lineRule="exact"/>
              <w:jc w:val="center"/>
              <w:rPr>
                <w:color w:val="auto"/>
                <w:sz w:val="24"/>
              </w:rPr>
            </w:pPr>
            <w:r>
              <w:rPr>
                <w:color w:val="auto"/>
                <w:sz w:val="24"/>
              </w:rPr>
              <w:t>施工工期</w:t>
            </w:r>
          </w:p>
        </w:tc>
        <w:tc>
          <w:tcPr>
            <w:tcW w:w="3313" w:type="dxa"/>
            <w:vAlign w:val="center"/>
          </w:tcPr>
          <w:p w14:paraId="22282841">
            <w:pPr>
              <w:adjustRightInd w:val="0"/>
              <w:snapToGrid w:val="0"/>
              <w:spacing w:line="440" w:lineRule="exact"/>
              <w:jc w:val="center"/>
              <w:rPr>
                <w:color w:val="auto"/>
                <w:spacing w:val="-6"/>
                <w:sz w:val="24"/>
              </w:rPr>
            </w:pPr>
            <w:r>
              <w:rPr>
                <w:color w:val="auto"/>
                <w:spacing w:val="-6"/>
                <w:sz w:val="24"/>
              </w:rPr>
              <w:t>10个月</w:t>
            </w:r>
          </w:p>
        </w:tc>
      </w:tr>
      <w:tr w14:paraId="672EBE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53" w:type="dxa"/>
            <w:gridSpan w:val="2"/>
            <w:tcMar>
              <w:top w:w="16" w:type="dxa"/>
              <w:left w:w="16" w:type="dxa"/>
              <w:right w:w="16" w:type="dxa"/>
            </w:tcMar>
            <w:vAlign w:val="center"/>
          </w:tcPr>
          <w:p w14:paraId="4A55FE66">
            <w:pPr>
              <w:adjustRightInd w:val="0"/>
              <w:snapToGrid w:val="0"/>
              <w:jc w:val="center"/>
              <w:rPr>
                <w:color w:val="auto"/>
                <w:sz w:val="24"/>
              </w:rPr>
            </w:pPr>
            <w:r>
              <w:rPr>
                <w:color w:val="auto"/>
                <w:sz w:val="24"/>
              </w:rPr>
              <w:t>是否开工建设</w:t>
            </w:r>
          </w:p>
        </w:tc>
        <w:tc>
          <w:tcPr>
            <w:tcW w:w="2243" w:type="dxa"/>
            <w:vAlign w:val="center"/>
          </w:tcPr>
          <w:p w14:paraId="093A5D4E">
            <w:pPr>
              <w:adjustRightInd w:val="0"/>
              <w:snapToGrid w:val="0"/>
              <w:rPr>
                <w:color w:val="auto"/>
                <w:sz w:val="24"/>
              </w:rPr>
            </w:pPr>
            <w:r>
              <w:rPr>
                <w:color w:val="auto"/>
                <w:sz w:val="24"/>
              </w:rPr>
              <w:sym w:font="Wingdings 2" w:char="0052"/>
            </w:r>
            <w:r>
              <w:rPr>
                <w:color w:val="auto"/>
                <w:sz w:val="24"/>
              </w:rPr>
              <w:t>否</w:t>
            </w:r>
          </w:p>
          <w:p w14:paraId="42DDCDC9">
            <w:pPr>
              <w:adjustRightInd w:val="0"/>
              <w:snapToGrid w:val="0"/>
              <w:rPr>
                <w:color w:val="auto"/>
                <w:sz w:val="24"/>
              </w:rPr>
            </w:pPr>
            <w:r>
              <w:rPr>
                <w:color w:val="auto"/>
                <w:sz w:val="24"/>
              </w:rPr>
              <w:sym w:font="Wingdings 2" w:char="00A3"/>
            </w:r>
            <w:r>
              <w:rPr>
                <w:color w:val="auto"/>
                <w:sz w:val="24"/>
              </w:rPr>
              <w:t>是：</w:t>
            </w:r>
            <w:r>
              <w:rPr>
                <w:color w:val="auto"/>
                <w:sz w:val="24"/>
                <w:u w:val="single"/>
              </w:rPr>
              <w:t xml:space="preserve">             </w:t>
            </w:r>
          </w:p>
        </w:tc>
        <w:tc>
          <w:tcPr>
            <w:tcW w:w="1911" w:type="dxa"/>
            <w:tcMar>
              <w:top w:w="16" w:type="dxa"/>
              <w:left w:w="16" w:type="dxa"/>
              <w:right w:w="16" w:type="dxa"/>
            </w:tcMar>
            <w:vAlign w:val="center"/>
          </w:tcPr>
          <w:p w14:paraId="4DAA003C">
            <w:pPr>
              <w:adjustRightInd w:val="0"/>
              <w:snapToGrid w:val="0"/>
              <w:jc w:val="center"/>
              <w:rPr>
                <w:color w:val="auto"/>
                <w:spacing w:val="-6"/>
                <w:sz w:val="24"/>
              </w:rPr>
            </w:pPr>
            <w:r>
              <w:rPr>
                <w:color w:val="auto"/>
                <w:spacing w:val="-6"/>
                <w:sz w:val="24"/>
              </w:rPr>
              <w:t>用地（用海）</w:t>
            </w:r>
          </w:p>
          <w:p w14:paraId="4EEC5375">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3313" w:type="dxa"/>
            <w:vAlign w:val="center"/>
          </w:tcPr>
          <w:p w14:paraId="6F7C3941">
            <w:pPr>
              <w:adjustRightInd w:val="0"/>
              <w:snapToGrid w:val="0"/>
              <w:jc w:val="center"/>
              <w:rPr>
                <w:color w:val="auto"/>
                <w:spacing w:val="-6"/>
                <w:sz w:val="24"/>
              </w:rPr>
            </w:pPr>
            <w:r>
              <w:rPr>
                <w:rFonts w:hint="eastAsia"/>
                <w:color w:val="auto"/>
                <w:spacing w:val="-6"/>
                <w:sz w:val="24"/>
                <w:lang w:val="en-US" w:eastAsia="zh-CN"/>
              </w:rPr>
              <w:t>6</w:t>
            </w:r>
            <w:r>
              <w:rPr>
                <w:color w:val="auto"/>
                <w:spacing w:val="-6"/>
                <w:sz w:val="24"/>
              </w:rPr>
              <w:t>000</w:t>
            </w:r>
          </w:p>
        </w:tc>
      </w:tr>
      <w:tr w14:paraId="1E84F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36" w:type="dxa"/>
            <w:vAlign w:val="center"/>
          </w:tcPr>
          <w:p w14:paraId="16ADA7DC">
            <w:pPr>
              <w:autoSpaceDE w:val="0"/>
              <w:autoSpaceDN w:val="0"/>
              <w:adjustRightInd w:val="0"/>
              <w:snapToGrid w:val="0"/>
              <w:spacing w:line="440" w:lineRule="exact"/>
              <w:jc w:val="center"/>
              <w:rPr>
                <w:color w:val="auto"/>
                <w:kern w:val="0"/>
                <w:sz w:val="24"/>
              </w:rPr>
            </w:pPr>
            <w:r>
              <w:rPr>
                <w:color w:val="auto"/>
                <w:kern w:val="0"/>
                <w:sz w:val="24"/>
              </w:rPr>
              <w:t>专项评价设置情况</w:t>
            </w:r>
          </w:p>
        </w:tc>
        <w:tc>
          <w:tcPr>
            <w:tcW w:w="7684" w:type="dxa"/>
            <w:gridSpan w:val="4"/>
            <w:vAlign w:val="center"/>
          </w:tcPr>
          <w:p w14:paraId="379C1519">
            <w:pPr>
              <w:autoSpaceDE w:val="0"/>
              <w:autoSpaceDN w:val="0"/>
              <w:adjustRightInd w:val="0"/>
              <w:snapToGrid w:val="0"/>
              <w:spacing w:line="360" w:lineRule="auto"/>
              <w:rPr>
                <w:b/>
                <w:bCs/>
                <w:color w:val="auto"/>
                <w:sz w:val="24"/>
              </w:rPr>
            </w:pPr>
            <w:r>
              <w:rPr>
                <w:b/>
                <w:bCs/>
                <w:color w:val="auto"/>
                <w:sz w:val="24"/>
              </w:rPr>
              <w:t>1、大气</w:t>
            </w:r>
          </w:p>
          <w:p w14:paraId="6AAB0142">
            <w:pPr>
              <w:autoSpaceDE w:val="0"/>
              <w:autoSpaceDN w:val="0"/>
              <w:adjustRightInd w:val="0"/>
              <w:snapToGrid w:val="0"/>
              <w:spacing w:line="360" w:lineRule="auto"/>
              <w:ind w:firstLine="480" w:firstLineChars="200"/>
              <w:rPr>
                <w:color w:val="auto"/>
                <w:sz w:val="24"/>
              </w:rPr>
            </w:pPr>
            <w:r>
              <w:rPr>
                <w:color w:val="auto"/>
                <w:sz w:val="24"/>
              </w:rPr>
              <w:t>本项目废气为颗粒物、氟化物、氯化氢等，不排放二噁英、苯并[a]芘、氰化物、氯气，也不排放涉及《有毒有害大气污染物名录》废气，因此本项目无需设置大气专项评价。</w:t>
            </w:r>
          </w:p>
          <w:p w14:paraId="1A1625F4">
            <w:pPr>
              <w:autoSpaceDE w:val="0"/>
              <w:autoSpaceDN w:val="0"/>
              <w:adjustRightInd w:val="0"/>
              <w:snapToGrid w:val="0"/>
              <w:spacing w:line="360" w:lineRule="auto"/>
              <w:rPr>
                <w:b/>
                <w:bCs/>
                <w:color w:val="auto"/>
                <w:sz w:val="24"/>
              </w:rPr>
            </w:pPr>
            <w:r>
              <w:rPr>
                <w:b/>
                <w:bCs/>
                <w:color w:val="auto"/>
                <w:sz w:val="24"/>
              </w:rPr>
              <w:t>2、地表水</w:t>
            </w:r>
          </w:p>
          <w:p w14:paraId="6F42EB1F">
            <w:pPr>
              <w:autoSpaceDE w:val="0"/>
              <w:autoSpaceDN w:val="0"/>
              <w:adjustRightInd w:val="0"/>
              <w:snapToGrid w:val="0"/>
              <w:spacing w:line="360" w:lineRule="auto"/>
              <w:ind w:firstLine="480" w:firstLineChars="200"/>
              <w:rPr>
                <w:color w:val="auto"/>
                <w:sz w:val="24"/>
              </w:rPr>
            </w:pPr>
            <w:r>
              <w:rPr>
                <w:color w:val="auto"/>
                <w:sz w:val="24"/>
              </w:rPr>
              <w:t>本项目为</w:t>
            </w:r>
            <w:r>
              <w:rPr>
                <w:rFonts w:hint="eastAsia"/>
                <w:color w:val="auto"/>
                <w:sz w:val="24"/>
              </w:rPr>
              <w:t>新建</w:t>
            </w:r>
            <w:r>
              <w:rPr>
                <w:color w:val="auto"/>
                <w:sz w:val="24"/>
              </w:rPr>
              <w:t>项目，废水经处理达标后纳管排放，送淮南经济技术开发区工业污水处理厂进一步处理，不属于新增工业废水直排的项目、新增废水直排的污水集中处理厂，因此本项目无需设置地表水专项评价。</w:t>
            </w:r>
          </w:p>
          <w:p w14:paraId="773F97C3">
            <w:pPr>
              <w:autoSpaceDE w:val="0"/>
              <w:autoSpaceDN w:val="0"/>
              <w:adjustRightInd w:val="0"/>
              <w:snapToGrid w:val="0"/>
              <w:spacing w:line="360" w:lineRule="auto"/>
              <w:rPr>
                <w:b/>
                <w:bCs/>
                <w:color w:val="auto"/>
                <w:sz w:val="24"/>
              </w:rPr>
            </w:pPr>
            <w:r>
              <w:rPr>
                <w:b/>
                <w:bCs/>
                <w:color w:val="auto"/>
                <w:sz w:val="24"/>
              </w:rPr>
              <w:t>3、环境风险</w:t>
            </w:r>
          </w:p>
          <w:p w14:paraId="2B00E733">
            <w:pPr>
              <w:spacing w:line="360" w:lineRule="auto"/>
              <w:ind w:firstLine="480" w:firstLineChars="200"/>
              <w:rPr>
                <w:color w:val="auto"/>
                <w:sz w:val="24"/>
              </w:rPr>
            </w:pPr>
            <w:r>
              <w:rPr>
                <w:color w:val="auto"/>
                <w:sz w:val="24"/>
              </w:rPr>
              <w:t>项目Q值情况见表1-1。</w:t>
            </w:r>
          </w:p>
          <w:p w14:paraId="5C96A2D3">
            <w:pPr>
              <w:jc w:val="center"/>
              <w:rPr>
                <w:b/>
                <w:color w:val="auto"/>
                <w:szCs w:val="21"/>
              </w:rPr>
            </w:pPr>
            <w:r>
              <w:rPr>
                <w:b/>
                <w:color w:val="auto"/>
                <w:szCs w:val="21"/>
              </w:rPr>
              <w:t xml:space="preserve">表1-1  </w:t>
            </w:r>
            <w:r>
              <w:rPr>
                <w:b/>
                <w:color w:val="auto"/>
                <w:szCs w:val="21"/>
                <w:lang w:val="en-GB"/>
              </w:rPr>
              <w:t>建设项目</w:t>
            </w:r>
            <w:r>
              <w:rPr>
                <w:b/>
                <w:color w:val="auto"/>
                <w:szCs w:val="21"/>
              </w:rPr>
              <w:t>Q值确定表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745"/>
              <w:gridCol w:w="1244"/>
              <w:gridCol w:w="1127"/>
              <w:gridCol w:w="1392"/>
              <w:gridCol w:w="1018"/>
              <w:gridCol w:w="1254"/>
            </w:tblGrid>
            <w:tr w14:paraId="266BA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1EA60E2D">
                  <w:pPr>
                    <w:adjustRightInd w:val="0"/>
                    <w:snapToGrid w:val="0"/>
                    <w:jc w:val="center"/>
                    <w:rPr>
                      <w:b/>
                      <w:bCs/>
                      <w:color w:val="auto"/>
                      <w:szCs w:val="21"/>
                    </w:rPr>
                  </w:pPr>
                  <w:r>
                    <w:rPr>
                      <w:b/>
                      <w:bCs/>
                      <w:color w:val="auto"/>
                      <w:szCs w:val="21"/>
                    </w:rPr>
                    <w:t>序号</w:t>
                  </w:r>
                </w:p>
              </w:tc>
              <w:tc>
                <w:tcPr>
                  <w:tcW w:w="2467" w:type="dxa"/>
                  <w:gridSpan w:val="2"/>
                  <w:tcBorders>
                    <w:top w:val="single" w:color="auto" w:sz="4" w:space="0"/>
                    <w:left w:val="nil"/>
                    <w:bottom w:val="single" w:color="auto" w:sz="4" w:space="0"/>
                    <w:right w:val="single" w:color="auto" w:sz="4" w:space="0"/>
                  </w:tcBorders>
                  <w:vAlign w:val="center"/>
                </w:tcPr>
                <w:p w14:paraId="3552923D">
                  <w:pPr>
                    <w:adjustRightInd w:val="0"/>
                    <w:snapToGrid w:val="0"/>
                    <w:jc w:val="center"/>
                    <w:rPr>
                      <w:b/>
                      <w:bCs/>
                      <w:color w:val="auto"/>
                      <w:szCs w:val="21"/>
                    </w:rPr>
                  </w:pPr>
                  <w:r>
                    <w:rPr>
                      <w:b/>
                      <w:bCs/>
                      <w:color w:val="auto"/>
                      <w:szCs w:val="21"/>
                    </w:rPr>
                    <w:t>物质名称</w:t>
                  </w:r>
                </w:p>
              </w:tc>
              <w:tc>
                <w:tcPr>
                  <w:tcW w:w="1398" w:type="dxa"/>
                  <w:tcBorders>
                    <w:top w:val="single" w:color="auto" w:sz="4" w:space="0"/>
                    <w:left w:val="nil"/>
                    <w:bottom w:val="single" w:color="auto" w:sz="4" w:space="0"/>
                    <w:right w:val="single" w:color="auto" w:sz="4" w:space="0"/>
                  </w:tcBorders>
                  <w:vAlign w:val="center"/>
                </w:tcPr>
                <w:p w14:paraId="0DAF2E2A">
                  <w:pPr>
                    <w:adjustRightInd w:val="0"/>
                    <w:snapToGrid w:val="0"/>
                    <w:jc w:val="center"/>
                    <w:rPr>
                      <w:b/>
                      <w:bCs/>
                      <w:color w:val="auto"/>
                      <w:szCs w:val="21"/>
                    </w:rPr>
                  </w:pPr>
                  <w:r>
                    <w:rPr>
                      <w:b/>
                      <w:bCs/>
                      <w:color w:val="auto"/>
                      <w:szCs w:val="21"/>
                    </w:rPr>
                    <w:t>CAS号</w:t>
                  </w:r>
                </w:p>
              </w:tc>
              <w:tc>
                <w:tcPr>
                  <w:tcW w:w="1727" w:type="dxa"/>
                  <w:tcBorders>
                    <w:top w:val="single" w:color="auto" w:sz="4" w:space="0"/>
                    <w:left w:val="nil"/>
                    <w:bottom w:val="single" w:color="auto" w:sz="4" w:space="0"/>
                    <w:right w:val="single" w:color="auto" w:sz="4" w:space="0"/>
                  </w:tcBorders>
                  <w:vAlign w:val="center"/>
                </w:tcPr>
                <w:p w14:paraId="61984E21">
                  <w:pPr>
                    <w:adjustRightInd w:val="0"/>
                    <w:snapToGrid w:val="0"/>
                    <w:jc w:val="center"/>
                    <w:rPr>
                      <w:b/>
                      <w:bCs/>
                      <w:color w:val="auto"/>
                      <w:szCs w:val="21"/>
                    </w:rPr>
                  </w:pPr>
                  <w:r>
                    <w:rPr>
                      <w:b/>
                      <w:bCs/>
                      <w:color w:val="auto"/>
                      <w:szCs w:val="21"/>
                    </w:rPr>
                    <w:t>最大存在量（t）</w:t>
                  </w:r>
                </w:p>
              </w:tc>
              <w:tc>
                <w:tcPr>
                  <w:tcW w:w="1263" w:type="dxa"/>
                  <w:tcBorders>
                    <w:top w:val="single" w:color="auto" w:sz="4" w:space="0"/>
                    <w:left w:val="nil"/>
                    <w:bottom w:val="single" w:color="auto" w:sz="4" w:space="0"/>
                    <w:right w:val="single" w:color="auto" w:sz="4" w:space="0"/>
                  </w:tcBorders>
                  <w:vAlign w:val="center"/>
                </w:tcPr>
                <w:p w14:paraId="70FF7E38">
                  <w:pPr>
                    <w:adjustRightInd w:val="0"/>
                    <w:snapToGrid w:val="0"/>
                    <w:jc w:val="center"/>
                    <w:rPr>
                      <w:b/>
                      <w:bCs/>
                      <w:color w:val="auto"/>
                      <w:szCs w:val="21"/>
                    </w:rPr>
                  </w:pPr>
                  <w:r>
                    <w:rPr>
                      <w:b/>
                      <w:bCs/>
                      <w:color w:val="auto"/>
                      <w:szCs w:val="21"/>
                    </w:rPr>
                    <w:t>临界量（t）</w:t>
                  </w:r>
                </w:p>
              </w:tc>
              <w:tc>
                <w:tcPr>
                  <w:tcW w:w="1556" w:type="dxa"/>
                  <w:tcBorders>
                    <w:top w:val="single" w:color="auto" w:sz="4" w:space="0"/>
                    <w:left w:val="nil"/>
                    <w:bottom w:val="single" w:color="auto" w:sz="4" w:space="0"/>
                    <w:right w:val="single" w:color="auto" w:sz="4" w:space="0"/>
                  </w:tcBorders>
                  <w:vAlign w:val="center"/>
                </w:tcPr>
                <w:p w14:paraId="0B1B3BF7">
                  <w:pPr>
                    <w:adjustRightInd w:val="0"/>
                    <w:snapToGrid w:val="0"/>
                    <w:jc w:val="center"/>
                    <w:rPr>
                      <w:b/>
                      <w:bCs/>
                      <w:color w:val="auto"/>
                      <w:szCs w:val="21"/>
                    </w:rPr>
                  </w:pPr>
                  <w:r>
                    <w:rPr>
                      <w:b/>
                      <w:bCs/>
                      <w:color w:val="auto"/>
                      <w:szCs w:val="21"/>
                    </w:rPr>
                    <w:t>危险物质Q值</w:t>
                  </w:r>
                </w:p>
              </w:tc>
            </w:tr>
            <w:tr w14:paraId="4EFDB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510C7DE4">
                  <w:pPr>
                    <w:adjustRightInd w:val="0"/>
                    <w:snapToGrid w:val="0"/>
                    <w:jc w:val="center"/>
                    <w:rPr>
                      <w:color w:val="auto"/>
                      <w:szCs w:val="21"/>
                    </w:rPr>
                  </w:pPr>
                  <w:r>
                    <w:rPr>
                      <w:color w:val="auto"/>
                      <w:szCs w:val="21"/>
                    </w:rPr>
                    <w:t>1</w:t>
                  </w:r>
                </w:p>
              </w:tc>
              <w:tc>
                <w:tcPr>
                  <w:tcW w:w="924" w:type="dxa"/>
                  <w:vMerge w:val="restart"/>
                  <w:tcBorders>
                    <w:top w:val="single" w:color="auto" w:sz="4" w:space="0"/>
                    <w:left w:val="nil"/>
                    <w:right w:val="single" w:color="auto" w:sz="4" w:space="0"/>
                  </w:tcBorders>
                  <w:vAlign w:val="center"/>
                </w:tcPr>
                <w:p w14:paraId="1AA20A6D">
                  <w:pPr>
                    <w:adjustRightInd w:val="0"/>
                    <w:snapToGrid w:val="0"/>
                    <w:jc w:val="center"/>
                    <w:rPr>
                      <w:color w:val="auto"/>
                      <w:szCs w:val="21"/>
                    </w:rPr>
                  </w:pPr>
                  <w:r>
                    <w:rPr>
                      <w:color w:val="auto"/>
                      <w:szCs w:val="21"/>
                    </w:rPr>
                    <w:t>仓库/罐区</w:t>
                  </w:r>
                </w:p>
              </w:tc>
              <w:tc>
                <w:tcPr>
                  <w:tcW w:w="1543" w:type="dxa"/>
                  <w:tcBorders>
                    <w:top w:val="single" w:color="auto" w:sz="4" w:space="0"/>
                    <w:left w:val="single" w:color="auto" w:sz="4" w:space="0"/>
                    <w:bottom w:val="single" w:color="auto" w:sz="4" w:space="0"/>
                    <w:right w:val="single" w:color="auto" w:sz="4" w:space="0"/>
                  </w:tcBorders>
                  <w:vAlign w:val="center"/>
                </w:tcPr>
                <w:p w14:paraId="75CA9EF9">
                  <w:pPr>
                    <w:adjustRightInd w:val="0"/>
                    <w:snapToGrid w:val="0"/>
                    <w:jc w:val="center"/>
                    <w:rPr>
                      <w:color w:val="auto"/>
                      <w:szCs w:val="21"/>
                    </w:rPr>
                  </w:pPr>
                  <w:r>
                    <w:rPr>
                      <w:color w:val="auto"/>
                      <w:szCs w:val="21"/>
                    </w:rPr>
                    <w:t>氯化氢</w:t>
                  </w:r>
                </w:p>
              </w:tc>
              <w:tc>
                <w:tcPr>
                  <w:tcW w:w="1398" w:type="dxa"/>
                  <w:tcBorders>
                    <w:top w:val="single" w:color="auto" w:sz="4" w:space="0"/>
                    <w:left w:val="nil"/>
                    <w:bottom w:val="single" w:color="auto" w:sz="4" w:space="0"/>
                    <w:right w:val="single" w:color="auto" w:sz="4" w:space="0"/>
                  </w:tcBorders>
                  <w:vAlign w:val="center"/>
                </w:tcPr>
                <w:p w14:paraId="484C872C">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7700173B">
                  <w:pPr>
                    <w:adjustRightInd w:val="0"/>
                    <w:snapToGrid w:val="0"/>
                    <w:jc w:val="center"/>
                    <w:rPr>
                      <w:color w:val="auto"/>
                      <w:szCs w:val="21"/>
                    </w:rPr>
                  </w:pPr>
                  <w:r>
                    <w:rPr>
                      <w:rFonts w:hint="default"/>
                      <w:color w:val="auto"/>
                      <w:szCs w:val="21"/>
                      <w:lang w:val="en-US" w:eastAsia="zh-CN"/>
                    </w:rPr>
                    <w:t>0.8</w:t>
                  </w:r>
                </w:p>
              </w:tc>
              <w:tc>
                <w:tcPr>
                  <w:tcW w:w="1263" w:type="dxa"/>
                  <w:tcBorders>
                    <w:top w:val="single" w:color="auto" w:sz="4" w:space="0"/>
                    <w:left w:val="nil"/>
                    <w:bottom w:val="single" w:color="auto" w:sz="4" w:space="0"/>
                    <w:right w:val="single" w:color="auto" w:sz="4" w:space="0"/>
                  </w:tcBorders>
                  <w:vAlign w:val="center"/>
                </w:tcPr>
                <w:p w14:paraId="020AC053">
                  <w:pPr>
                    <w:adjustRightInd w:val="0"/>
                    <w:snapToGrid w:val="0"/>
                    <w:jc w:val="center"/>
                    <w:rPr>
                      <w:color w:val="auto"/>
                      <w:szCs w:val="21"/>
                    </w:rPr>
                  </w:pPr>
                  <w:r>
                    <w:rPr>
                      <w:color w:val="auto"/>
                      <w:szCs w:val="21"/>
                    </w:rPr>
                    <w:t>2.5</w:t>
                  </w:r>
                </w:p>
              </w:tc>
              <w:tc>
                <w:tcPr>
                  <w:tcW w:w="1556" w:type="dxa"/>
                  <w:tcBorders>
                    <w:top w:val="single" w:color="auto" w:sz="4" w:space="0"/>
                    <w:left w:val="nil"/>
                    <w:bottom w:val="single" w:color="auto" w:sz="4" w:space="0"/>
                    <w:right w:val="single" w:color="auto" w:sz="4" w:space="0"/>
                  </w:tcBorders>
                  <w:vAlign w:val="center"/>
                </w:tcPr>
                <w:p w14:paraId="122FFF4E">
                  <w:pPr>
                    <w:adjustRightInd w:val="0"/>
                    <w:snapToGrid w:val="0"/>
                    <w:jc w:val="center"/>
                    <w:rPr>
                      <w:rFonts w:hint="eastAsia"/>
                      <w:color w:val="auto"/>
                      <w:szCs w:val="21"/>
                      <w:lang w:val="en-US" w:eastAsia="zh-CN"/>
                    </w:rPr>
                  </w:pPr>
                  <w:r>
                    <w:rPr>
                      <w:rFonts w:hint="default"/>
                      <w:color w:val="auto"/>
                      <w:szCs w:val="21"/>
                      <w:lang w:val="en-US" w:eastAsia="zh-CN"/>
                    </w:rPr>
                    <w:t xml:space="preserve">0.32 </w:t>
                  </w:r>
                </w:p>
              </w:tc>
            </w:tr>
            <w:tr w14:paraId="160E7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536D733A">
                  <w:pPr>
                    <w:adjustRightInd w:val="0"/>
                    <w:snapToGrid w:val="0"/>
                    <w:jc w:val="center"/>
                    <w:rPr>
                      <w:color w:val="auto"/>
                      <w:szCs w:val="21"/>
                    </w:rPr>
                  </w:pPr>
                  <w:r>
                    <w:rPr>
                      <w:color w:val="auto"/>
                      <w:szCs w:val="21"/>
                    </w:rPr>
                    <w:t>2</w:t>
                  </w:r>
                </w:p>
              </w:tc>
              <w:tc>
                <w:tcPr>
                  <w:tcW w:w="924" w:type="dxa"/>
                  <w:vMerge w:val="continue"/>
                  <w:tcBorders>
                    <w:left w:val="nil"/>
                    <w:right w:val="single" w:color="auto" w:sz="4" w:space="0"/>
                  </w:tcBorders>
                  <w:vAlign w:val="center"/>
                </w:tcPr>
                <w:p w14:paraId="549AE490">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7382E228">
                  <w:pPr>
                    <w:adjustRightInd w:val="0"/>
                    <w:snapToGrid w:val="0"/>
                    <w:jc w:val="center"/>
                    <w:rPr>
                      <w:color w:val="auto"/>
                      <w:szCs w:val="21"/>
                    </w:rPr>
                  </w:pPr>
                  <w:r>
                    <w:rPr>
                      <w:rFonts w:hint="eastAsia"/>
                      <w:color w:val="auto"/>
                      <w:kern w:val="0"/>
                      <w:szCs w:val="21"/>
                      <w:lang w:eastAsia="zh-CN"/>
                    </w:rPr>
                    <w:t>40%</w:t>
                  </w:r>
                  <w:r>
                    <w:rPr>
                      <w:color w:val="auto"/>
                      <w:kern w:val="0"/>
                      <w:szCs w:val="21"/>
                    </w:rPr>
                    <w:t>氢氟酸</w:t>
                  </w:r>
                </w:p>
              </w:tc>
              <w:tc>
                <w:tcPr>
                  <w:tcW w:w="1398" w:type="dxa"/>
                  <w:tcBorders>
                    <w:top w:val="single" w:color="auto" w:sz="4" w:space="0"/>
                    <w:left w:val="nil"/>
                    <w:bottom w:val="single" w:color="auto" w:sz="4" w:space="0"/>
                    <w:right w:val="single" w:color="auto" w:sz="4" w:space="0"/>
                  </w:tcBorders>
                  <w:vAlign w:val="center"/>
                </w:tcPr>
                <w:p w14:paraId="40F1F953">
                  <w:pPr>
                    <w:adjustRightInd w:val="0"/>
                    <w:snapToGrid w:val="0"/>
                    <w:jc w:val="center"/>
                    <w:rPr>
                      <w:color w:val="auto"/>
                      <w:szCs w:val="21"/>
                    </w:rPr>
                  </w:pPr>
                  <w:r>
                    <w:rPr>
                      <w:color w:val="auto"/>
                      <w:szCs w:val="21"/>
                    </w:rPr>
                    <w:t>7664-39-3</w:t>
                  </w:r>
                </w:p>
              </w:tc>
              <w:tc>
                <w:tcPr>
                  <w:tcW w:w="1727" w:type="dxa"/>
                  <w:tcBorders>
                    <w:top w:val="single" w:color="auto" w:sz="4" w:space="0"/>
                    <w:left w:val="nil"/>
                    <w:bottom w:val="single" w:color="auto" w:sz="4" w:space="0"/>
                    <w:right w:val="single" w:color="auto" w:sz="4" w:space="0"/>
                  </w:tcBorders>
                  <w:vAlign w:val="center"/>
                </w:tcPr>
                <w:p w14:paraId="75216E2F">
                  <w:pPr>
                    <w:adjustRightInd w:val="0"/>
                    <w:snapToGrid w:val="0"/>
                    <w:jc w:val="center"/>
                    <w:rPr>
                      <w:rFonts w:hint="default"/>
                      <w:color w:val="auto"/>
                      <w:szCs w:val="21"/>
                      <w:lang w:val="en-US" w:eastAsia="zh-CN"/>
                    </w:rPr>
                  </w:pPr>
                  <w:r>
                    <w:rPr>
                      <w:rFonts w:hint="default"/>
                      <w:color w:val="auto"/>
                      <w:szCs w:val="21"/>
                      <w:lang w:val="en-US" w:eastAsia="zh-CN"/>
                    </w:rPr>
                    <w:t>19.2</w:t>
                  </w:r>
                </w:p>
              </w:tc>
              <w:tc>
                <w:tcPr>
                  <w:tcW w:w="1263" w:type="dxa"/>
                  <w:tcBorders>
                    <w:top w:val="single" w:color="auto" w:sz="4" w:space="0"/>
                    <w:left w:val="nil"/>
                    <w:bottom w:val="single" w:color="auto" w:sz="4" w:space="0"/>
                    <w:right w:val="single" w:color="auto" w:sz="4" w:space="0"/>
                  </w:tcBorders>
                  <w:vAlign w:val="center"/>
                </w:tcPr>
                <w:p w14:paraId="3FAED744">
                  <w:pPr>
                    <w:adjustRightInd w:val="0"/>
                    <w:snapToGrid w:val="0"/>
                    <w:jc w:val="center"/>
                    <w:rPr>
                      <w:color w:val="auto"/>
                      <w:szCs w:val="21"/>
                    </w:rPr>
                  </w:pPr>
                  <w:r>
                    <w:rPr>
                      <w:color w:val="auto"/>
                      <w:szCs w:val="21"/>
                    </w:rPr>
                    <w:t>1</w:t>
                  </w:r>
                </w:p>
              </w:tc>
              <w:tc>
                <w:tcPr>
                  <w:tcW w:w="1556" w:type="dxa"/>
                  <w:tcBorders>
                    <w:top w:val="single" w:color="auto" w:sz="4" w:space="0"/>
                    <w:left w:val="nil"/>
                    <w:bottom w:val="single" w:color="auto" w:sz="4" w:space="0"/>
                    <w:right w:val="single" w:color="auto" w:sz="4" w:space="0"/>
                  </w:tcBorders>
                  <w:vAlign w:val="center"/>
                </w:tcPr>
                <w:p w14:paraId="15F54181">
                  <w:pPr>
                    <w:adjustRightInd w:val="0"/>
                    <w:snapToGrid w:val="0"/>
                    <w:jc w:val="center"/>
                    <w:rPr>
                      <w:rFonts w:hint="default"/>
                      <w:color w:val="auto"/>
                      <w:szCs w:val="21"/>
                      <w:lang w:val="en-US" w:eastAsia="zh-CN"/>
                    </w:rPr>
                  </w:pPr>
                  <w:r>
                    <w:rPr>
                      <w:rFonts w:hint="default"/>
                      <w:color w:val="auto"/>
                      <w:szCs w:val="21"/>
                      <w:lang w:val="en-US" w:eastAsia="zh-CN"/>
                    </w:rPr>
                    <w:t xml:space="preserve">19.20 </w:t>
                  </w:r>
                </w:p>
              </w:tc>
            </w:tr>
            <w:tr w14:paraId="0DE8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4E7F8916">
                  <w:pPr>
                    <w:adjustRightInd w:val="0"/>
                    <w:snapToGrid w:val="0"/>
                    <w:jc w:val="center"/>
                    <w:rPr>
                      <w:color w:val="auto"/>
                      <w:szCs w:val="21"/>
                    </w:rPr>
                  </w:pPr>
                  <w:r>
                    <w:rPr>
                      <w:color w:val="auto"/>
                      <w:szCs w:val="21"/>
                    </w:rPr>
                    <w:t>3</w:t>
                  </w:r>
                </w:p>
              </w:tc>
              <w:tc>
                <w:tcPr>
                  <w:tcW w:w="924" w:type="dxa"/>
                  <w:vMerge w:val="continue"/>
                  <w:tcBorders>
                    <w:left w:val="nil"/>
                    <w:right w:val="single" w:color="auto" w:sz="4" w:space="0"/>
                  </w:tcBorders>
                  <w:vAlign w:val="center"/>
                </w:tcPr>
                <w:p w14:paraId="615B9D31">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169F6C91">
                  <w:pPr>
                    <w:adjustRightInd w:val="0"/>
                    <w:snapToGrid w:val="0"/>
                    <w:jc w:val="center"/>
                    <w:rPr>
                      <w:color w:val="auto"/>
                      <w:szCs w:val="21"/>
                    </w:rPr>
                  </w:pPr>
                  <w:r>
                    <w:rPr>
                      <w:rFonts w:hint="eastAsia"/>
                      <w:color w:val="auto"/>
                      <w:kern w:val="0"/>
                      <w:szCs w:val="21"/>
                      <w:lang w:eastAsia="zh-CN"/>
                    </w:rPr>
                    <w:t>36%</w:t>
                  </w:r>
                  <w:r>
                    <w:rPr>
                      <w:color w:val="auto"/>
                      <w:kern w:val="0"/>
                      <w:szCs w:val="21"/>
                    </w:rPr>
                    <w:t>盐酸</w:t>
                  </w:r>
                </w:p>
              </w:tc>
              <w:tc>
                <w:tcPr>
                  <w:tcW w:w="1398" w:type="dxa"/>
                  <w:tcBorders>
                    <w:top w:val="single" w:color="auto" w:sz="4" w:space="0"/>
                    <w:left w:val="nil"/>
                    <w:bottom w:val="single" w:color="auto" w:sz="4" w:space="0"/>
                    <w:right w:val="single" w:color="auto" w:sz="4" w:space="0"/>
                  </w:tcBorders>
                  <w:vAlign w:val="center"/>
                </w:tcPr>
                <w:p w14:paraId="6A919481">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757D96C1">
                  <w:pPr>
                    <w:adjustRightInd w:val="0"/>
                    <w:snapToGrid w:val="0"/>
                    <w:jc w:val="center"/>
                    <w:rPr>
                      <w:rFonts w:hint="default"/>
                      <w:color w:val="auto"/>
                      <w:szCs w:val="21"/>
                      <w:lang w:val="en-US" w:eastAsia="zh-CN"/>
                    </w:rPr>
                  </w:pPr>
                  <w:r>
                    <w:rPr>
                      <w:rFonts w:hint="default"/>
                      <w:color w:val="auto"/>
                      <w:szCs w:val="21"/>
                      <w:lang w:val="en-US" w:eastAsia="zh-CN"/>
                    </w:rPr>
                    <w:t>46.7</w:t>
                  </w:r>
                </w:p>
              </w:tc>
              <w:tc>
                <w:tcPr>
                  <w:tcW w:w="1263" w:type="dxa"/>
                  <w:tcBorders>
                    <w:top w:val="single" w:color="auto" w:sz="4" w:space="0"/>
                    <w:left w:val="nil"/>
                    <w:bottom w:val="single" w:color="auto" w:sz="4" w:space="0"/>
                    <w:right w:val="single" w:color="auto" w:sz="4" w:space="0"/>
                  </w:tcBorders>
                  <w:vAlign w:val="center"/>
                </w:tcPr>
                <w:p w14:paraId="4126BBC0">
                  <w:pPr>
                    <w:adjustRightInd w:val="0"/>
                    <w:snapToGrid w:val="0"/>
                    <w:jc w:val="center"/>
                    <w:rPr>
                      <w:color w:val="auto"/>
                      <w:szCs w:val="21"/>
                    </w:rPr>
                  </w:pPr>
                  <w:r>
                    <w:rPr>
                      <w:color w:val="auto"/>
                      <w:szCs w:val="21"/>
                    </w:rPr>
                    <w:t>7.5</w:t>
                  </w:r>
                </w:p>
              </w:tc>
              <w:tc>
                <w:tcPr>
                  <w:tcW w:w="1556" w:type="dxa"/>
                  <w:tcBorders>
                    <w:top w:val="single" w:color="auto" w:sz="4" w:space="0"/>
                    <w:left w:val="nil"/>
                    <w:bottom w:val="single" w:color="auto" w:sz="4" w:space="0"/>
                    <w:right w:val="single" w:color="auto" w:sz="4" w:space="0"/>
                  </w:tcBorders>
                  <w:vAlign w:val="center"/>
                </w:tcPr>
                <w:p w14:paraId="1DD7F543">
                  <w:pPr>
                    <w:adjustRightInd w:val="0"/>
                    <w:snapToGrid w:val="0"/>
                    <w:jc w:val="center"/>
                    <w:rPr>
                      <w:rFonts w:hint="default"/>
                      <w:color w:val="auto"/>
                      <w:szCs w:val="21"/>
                      <w:lang w:val="en-US" w:eastAsia="zh-CN"/>
                    </w:rPr>
                  </w:pPr>
                  <w:r>
                    <w:rPr>
                      <w:rFonts w:hint="default"/>
                      <w:color w:val="auto"/>
                      <w:szCs w:val="21"/>
                      <w:lang w:val="en-US" w:eastAsia="zh-CN"/>
                    </w:rPr>
                    <w:t xml:space="preserve">6.23 </w:t>
                  </w:r>
                </w:p>
              </w:tc>
            </w:tr>
            <w:tr w14:paraId="372F8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1F6482D5">
                  <w:pPr>
                    <w:adjustRightInd w:val="0"/>
                    <w:snapToGrid w:val="0"/>
                    <w:jc w:val="center"/>
                    <w:rPr>
                      <w:color w:val="auto"/>
                      <w:szCs w:val="21"/>
                    </w:rPr>
                  </w:pPr>
                  <w:r>
                    <w:rPr>
                      <w:color w:val="auto"/>
                      <w:szCs w:val="21"/>
                    </w:rPr>
                    <w:t>4</w:t>
                  </w:r>
                </w:p>
              </w:tc>
              <w:tc>
                <w:tcPr>
                  <w:tcW w:w="924" w:type="dxa"/>
                  <w:vMerge w:val="continue"/>
                  <w:tcBorders>
                    <w:left w:val="nil"/>
                    <w:bottom w:val="single" w:color="auto" w:sz="4" w:space="0"/>
                    <w:right w:val="single" w:color="auto" w:sz="4" w:space="0"/>
                  </w:tcBorders>
                  <w:vAlign w:val="center"/>
                </w:tcPr>
                <w:p w14:paraId="046838D8">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441FAA5D">
                  <w:pPr>
                    <w:adjustRightInd w:val="0"/>
                    <w:snapToGrid w:val="0"/>
                    <w:jc w:val="center"/>
                    <w:rPr>
                      <w:color w:val="auto"/>
                      <w:szCs w:val="21"/>
                    </w:rPr>
                  </w:pPr>
                  <w:r>
                    <w:rPr>
                      <w:color w:val="auto"/>
                      <w:szCs w:val="21"/>
                    </w:rPr>
                    <w:t>油类物质</w:t>
                  </w:r>
                </w:p>
              </w:tc>
              <w:tc>
                <w:tcPr>
                  <w:tcW w:w="1398" w:type="dxa"/>
                  <w:tcBorders>
                    <w:top w:val="single" w:color="auto" w:sz="4" w:space="0"/>
                    <w:left w:val="nil"/>
                    <w:bottom w:val="single" w:color="auto" w:sz="4" w:space="0"/>
                    <w:right w:val="single" w:color="auto" w:sz="4" w:space="0"/>
                  </w:tcBorders>
                  <w:vAlign w:val="center"/>
                </w:tcPr>
                <w:p w14:paraId="67084FEE">
                  <w:pPr>
                    <w:adjustRightInd w:val="0"/>
                    <w:snapToGrid w:val="0"/>
                    <w:jc w:val="center"/>
                    <w:rPr>
                      <w:color w:val="auto"/>
                      <w:szCs w:val="21"/>
                    </w:rPr>
                  </w:pPr>
                  <w:r>
                    <w:rPr>
                      <w:color w:val="auto"/>
                      <w:szCs w:val="21"/>
                    </w:rPr>
                    <w:t>/</w:t>
                  </w:r>
                </w:p>
              </w:tc>
              <w:tc>
                <w:tcPr>
                  <w:tcW w:w="1727" w:type="dxa"/>
                  <w:tcBorders>
                    <w:top w:val="single" w:color="auto" w:sz="4" w:space="0"/>
                    <w:left w:val="nil"/>
                    <w:bottom w:val="single" w:color="auto" w:sz="4" w:space="0"/>
                    <w:right w:val="single" w:color="auto" w:sz="4" w:space="0"/>
                  </w:tcBorders>
                  <w:vAlign w:val="center"/>
                </w:tcPr>
                <w:p w14:paraId="6BEA943F">
                  <w:pPr>
                    <w:adjustRightInd w:val="0"/>
                    <w:snapToGrid w:val="0"/>
                    <w:jc w:val="center"/>
                    <w:rPr>
                      <w:color w:val="auto"/>
                      <w:szCs w:val="21"/>
                    </w:rPr>
                  </w:pPr>
                  <w:r>
                    <w:rPr>
                      <w:rFonts w:hint="default"/>
                      <w:color w:val="auto"/>
                      <w:szCs w:val="21"/>
                      <w:lang w:val="en-US" w:eastAsia="zh-CN"/>
                    </w:rPr>
                    <w:t>0.16</w:t>
                  </w:r>
                </w:p>
              </w:tc>
              <w:tc>
                <w:tcPr>
                  <w:tcW w:w="1263" w:type="dxa"/>
                  <w:tcBorders>
                    <w:top w:val="single" w:color="auto" w:sz="4" w:space="0"/>
                    <w:left w:val="nil"/>
                    <w:bottom w:val="single" w:color="auto" w:sz="4" w:space="0"/>
                    <w:right w:val="single" w:color="auto" w:sz="4" w:space="0"/>
                  </w:tcBorders>
                  <w:vAlign w:val="center"/>
                </w:tcPr>
                <w:p w14:paraId="6769EFE9">
                  <w:pPr>
                    <w:adjustRightInd w:val="0"/>
                    <w:snapToGrid w:val="0"/>
                    <w:jc w:val="center"/>
                    <w:rPr>
                      <w:color w:val="auto"/>
                      <w:szCs w:val="21"/>
                    </w:rPr>
                  </w:pPr>
                  <w:r>
                    <w:rPr>
                      <w:color w:val="auto"/>
                      <w:szCs w:val="21"/>
                    </w:rPr>
                    <w:t>2500</w:t>
                  </w:r>
                </w:p>
              </w:tc>
              <w:tc>
                <w:tcPr>
                  <w:tcW w:w="1556" w:type="dxa"/>
                  <w:tcBorders>
                    <w:top w:val="single" w:color="auto" w:sz="4" w:space="0"/>
                    <w:left w:val="nil"/>
                    <w:bottom w:val="single" w:color="auto" w:sz="4" w:space="0"/>
                    <w:right w:val="single" w:color="auto" w:sz="4" w:space="0"/>
                  </w:tcBorders>
                  <w:vAlign w:val="center"/>
                </w:tcPr>
                <w:p w14:paraId="33C6D986">
                  <w:pPr>
                    <w:adjustRightInd w:val="0"/>
                    <w:snapToGrid w:val="0"/>
                    <w:jc w:val="center"/>
                    <w:rPr>
                      <w:rFonts w:hint="eastAsia"/>
                      <w:color w:val="auto"/>
                      <w:szCs w:val="21"/>
                      <w:lang w:val="en-US" w:eastAsia="zh-CN"/>
                    </w:rPr>
                  </w:pPr>
                  <w:r>
                    <w:rPr>
                      <w:rFonts w:hint="default"/>
                      <w:color w:val="auto"/>
                      <w:szCs w:val="21"/>
                      <w:lang w:val="en-US" w:eastAsia="zh-CN"/>
                    </w:rPr>
                    <w:t xml:space="preserve">0.0001 </w:t>
                  </w:r>
                </w:p>
              </w:tc>
            </w:tr>
            <w:tr w14:paraId="2C521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49E8B2A1">
                  <w:pPr>
                    <w:adjustRightInd w:val="0"/>
                    <w:snapToGrid w:val="0"/>
                    <w:jc w:val="center"/>
                    <w:rPr>
                      <w:color w:val="auto"/>
                      <w:szCs w:val="21"/>
                    </w:rPr>
                  </w:pPr>
                  <w:r>
                    <w:rPr>
                      <w:color w:val="auto"/>
                      <w:szCs w:val="21"/>
                    </w:rPr>
                    <w:t>5</w:t>
                  </w:r>
                </w:p>
              </w:tc>
              <w:tc>
                <w:tcPr>
                  <w:tcW w:w="924" w:type="dxa"/>
                  <w:vMerge w:val="restart"/>
                  <w:tcBorders>
                    <w:top w:val="single" w:color="auto" w:sz="4" w:space="0"/>
                    <w:left w:val="nil"/>
                    <w:right w:val="single" w:color="auto" w:sz="4" w:space="0"/>
                  </w:tcBorders>
                  <w:vAlign w:val="center"/>
                </w:tcPr>
                <w:p w14:paraId="78DFAA7C">
                  <w:pPr>
                    <w:adjustRightInd w:val="0"/>
                    <w:snapToGrid w:val="0"/>
                    <w:jc w:val="center"/>
                    <w:rPr>
                      <w:color w:val="auto"/>
                      <w:szCs w:val="21"/>
                    </w:rPr>
                  </w:pPr>
                  <w:r>
                    <w:rPr>
                      <w:color w:val="auto"/>
                      <w:szCs w:val="21"/>
                    </w:rPr>
                    <w:t>废酸罐</w:t>
                  </w:r>
                </w:p>
              </w:tc>
              <w:tc>
                <w:tcPr>
                  <w:tcW w:w="1543" w:type="dxa"/>
                  <w:tcBorders>
                    <w:top w:val="single" w:color="auto" w:sz="4" w:space="0"/>
                    <w:left w:val="single" w:color="auto" w:sz="4" w:space="0"/>
                    <w:bottom w:val="single" w:color="auto" w:sz="4" w:space="0"/>
                    <w:right w:val="single" w:color="auto" w:sz="4" w:space="0"/>
                  </w:tcBorders>
                  <w:vAlign w:val="center"/>
                </w:tcPr>
                <w:p w14:paraId="0BD058DD">
                  <w:pPr>
                    <w:adjustRightInd w:val="0"/>
                    <w:snapToGrid w:val="0"/>
                    <w:jc w:val="center"/>
                    <w:rPr>
                      <w:color w:val="auto"/>
                      <w:szCs w:val="21"/>
                    </w:rPr>
                  </w:pPr>
                  <w:r>
                    <w:rPr>
                      <w:rFonts w:hint="eastAsia"/>
                      <w:color w:val="auto"/>
                      <w:kern w:val="0"/>
                      <w:szCs w:val="21"/>
                      <w:lang w:eastAsia="zh-CN"/>
                    </w:rPr>
                    <w:t>40%</w:t>
                  </w:r>
                  <w:r>
                    <w:rPr>
                      <w:color w:val="auto"/>
                      <w:kern w:val="0"/>
                      <w:szCs w:val="21"/>
                    </w:rPr>
                    <w:t>氢氟酸</w:t>
                  </w:r>
                </w:p>
              </w:tc>
              <w:tc>
                <w:tcPr>
                  <w:tcW w:w="1398" w:type="dxa"/>
                  <w:tcBorders>
                    <w:top w:val="single" w:color="auto" w:sz="4" w:space="0"/>
                    <w:left w:val="nil"/>
                    <w:bottom w:val="single" w:color="auto" w:sz="4" w:space="0"/>
                    <w:right w:val="single" w:color="auto" w:sz="4" w:space="0"/>
                  </w:tcBorders>
                  <w:vAlign w:val="center"/>
                </w:tcPr>
                <w:p w14:paraId="47CAC261">
                  <w:pPr>
                    <w:adjustRightInd w:val="0"/>
                    <w:snapToGrid w:val="0"/>
                    <w:jc w:val="center"/>
                    <w:rPr>
                      <w:color w:val="auto"/>
                      <w:szCs w:val="21"/>
                    </w:rPr>
                  </w:pPr>
                  <w:r>
                    <w:rPr>
                      <w:color w:val="auto"/>
                      <w:szCs w:val="21"/>
                    </w:rPr>
                    <w:t>7664-39-3</w:t>
                  </w:r>
                </w:p>
              </w:tc>
              <w:tc>
                <w:tcPr>
                  <w:tcW w:w="1727" w:type="dxa"/>
                  <w:tcBorders>
                    <w:top w:val="single" w:color="auto" w:sz="4" w:space="0"/>
                    <w:left w:val="nil"/>
                    <w:bottom w:val="single" w:color="auto" w:sz="4" w:space="0"/>
                    <w:right w:val="single" w:color="auto" w:sz="4" w:space="0"/>
                  </w:tcBorders>
                  <w:vAlign w:val="center"/>
                </w:tcPr>
                <w:p w14:paraId="50037345">
                  <w:pPr>
                    <w:adjustRightInd w:val="0"/>
                    <w:snapToGrid w:val="0"/>
                    <w:jc w:val="center"/>
                    <w:rPr>
                      <w:color w:val="auto"/>
                      <w:szCs w:val="21"/>
                    </w:rPr>
                  </w:pPr>
                  <w:r>
                    <w:rPr>
                      <w:rFonts w:hint="default"/>
                      <w:color w:val="auto"/>
                      <w:szCs w:val="21"/>
                      <w:lang w:val="en-US" w:eastAsia="zh-CN"/>
                    </w:rPr>
                    <w:t>5</w:t>
                  </w:r>
                </w:p>
              </w:tc>
              <w:tc>
                <w:tcPr>
                  <w:tcW w:w="1263" w:type="dxa"/>
                  <w:tcBorders>
                    <w:top w:val="single" w:color="auto" w:sz="4" w:space="0"/>
                    <w:left w:val="nil"/>
                    <w:bottom w:val="single" w:color="auto" w:sz="4" w:space="0"/>
                    <w:right w:val="single" w:color="auto" w:sz="4" w:space="0"/>
                  </w:tcBorders>
                  <w:vAlign w:val="center"/>
                </w:tcPr>
                <w:p w14:paraId="3E23720A">
                  <w:pPr>
                    <w:adjustRightInd w:val="0"/>
                    <w:snapToGrid w:val="0"/>
                    <w:jc w:val="center"/>
                    <w:rPr>
                      <w:color w:val="auto"/>
                      <w:szCs w:val="21"/>
                    </w:rPr>
                  </w:pPr>
                  <w:r>
                    <w:rPr>
                      <w:color w:val="auto"/>
                      <w:szCs w:val="21"/>
                    </w:rPr>
                    <w:t>1</w:t>
                  </w:r>
                </w:p>
              </w:tc>
              <w:tc>
                <w:tcPr>
                  <w:tcW w:w="1556" w:type="dxa"/>
                  <w:tcBorders>
                    <w:top w:val="single" w:color="auto" w:sz="4" w:space="0"/>
                    <w:left w:val="nil"/>
                    <w:bottom w:val="single" w:color="auto" w:sz="4" w:space="0"/>
                    <w:right w:val="single" w:color="auto" w:sz="4" w:space="0"/>
                  </w:tcBorders>
                  <w:vAlign w:val="center"/>
                </w:tcPr>
                <w:p w14:paraId="3D615171">
                  <w:pPr>
                    <w:adjustRightInd w:val="0"/>
                    <w:snapToGrid w:val="0"/>
                    <w:jc w:val="center"/>
                    <w:rPr>
                      <w:rFonts w:hint="eastAsia"/>
                      <w:color w:val="auto"/>
                      <w:szCs w:val="21"/>
                      <w:lang w:val="en-US" w:eastAsia="zh-CN"/>
                    </w:rPr>
                  </w:pPr>
                  <w:r>
                    <w:rPr>
                      <w:rFonts w:hint="default"/>
                      <w:color w:val="auto"/>
                      <w:szCs w:val="21"/>
                      <w:lang w:val="en-US" w:eastAsia="zh-CN"/>
                    </w:rPr>
                    <w:t xml:space="preserve">5.00 </w:t>
                  </w:r>
                </w:p>
              </w:tc>
            </w:tr>
            <w:tr w14:paraId="6DF7F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60F21F0D">
                  <w:pPr>
                    <w:adjustRightInd w:val="0"/>
                    <w:snapToGrid w:val="0"/>
                    <w:jc w:val="center"/>
                    <w:rPr>
                      <w:color w:val="auto"/>
                      <w:szCs w:val="21"/>
                    </w:rPr>
                  </w:pPr>
                  <w:r>
                    <w:rPr>
                      <w:color w:val="auto"/>
                      <w:szCs w:val="21"/>
                    </w:rPr>
                    <w:t>6</w:t>
                  </w:r>
                </w:p>
              </w:tc>
              <w:tc>
                <w:tcPr>
                  <w:tcW w:w="924" w:type="dxa"/>
                  <w:vMerge w:val="continue"/>
                  <w:tcBorders>
                    <w:left w:val="nil"/>
                    <w:bottom w:val="single" w:color="auto" w:sz="4" w:space="0"/>
                    <w:right w:val="single" w:color="auto" w:sz="4" w:space="0"/>
                  </w:tcBorders>
                  <w:vAlign w:val="center"/>
                </w:tcPr>
                <w:p w14:paraId="6A72D2C5">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7BA2B561">
                  <w:pPr>
                    <w:adjustRightInd w:val="0"/>
                    <w:snapToGrid w:val="0"/>
                    <w:jc w:val="center"/>
                    <w:rPr>
                      <w:color w:val="auto"/>
                      <w:szCs w:val="21"/>
                    </w:rPr>
                  </w:pPr>
                  <w:r>
                    <w:rPr>
                      <w:rFonts w:hint="eastAsia"/>
                      <w:color w:val="auto"/>
                      <w:kern w:val="0"/>
                      <w:szCs w:val="21"/>
                      <w:lang w:eastAsia="zh-CN"/>
                    </w:rPr>
                    <w:t>36%</w:t>
                  </w:r>
                  <w:r>
                    <w:rPr>
                      <w:color w:val="auto"/>
                      <w:kern w:val="0"/>
                      <w:szCs w:val="21"/>
                    </w:rPr>
                    <w:t>盐酸</w:t>
                  </w:r>
                </w:p>
              </w:tc>
              <w:tc>
                <w:tcPr>
                  <w:tcW w:w="1398" w:type="dxa"/>
                  <w:tcBorders>
                    <w:top w:val="single" w:color="auto" w:sz="4" w:space="0"/>
                    <w:left w:val="nil"/>
                    <w:bottom w:val="single" w:color="auto" w:sz="4" w:space="0"/>
                    <w:right w:val="single" w:color="auto" w:sz="4" w:space="0"/>
                  </w:tcBorders>
                  <w:vAlign w:val="center"/>
                </w:tcPr>
                <w:p w14:paraId="7B01E80F">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7848B784">
                  <w:pPr>
                    <w:adjustRightInd w:val="0"/>
                    <w:snapToGrid w:val="0"/>
                    <w:jc w:val="center"/>
                    <w:rPr>
                      <w:color w:val="auto"/>
                      <w:szCs w:val="21"/>
                    </w:rPr>
                  </w:pPr>
                  <w:r>
                    <w:rPr>
                      <w:rFonts w:hint="default"/>
                      <w:color w:val="auto"/>
                      <w:szCs w:val="21"/>
                      <w:lang w:val="en-US" w:eastAsia="zh-CN"/>
                    </w:rPr>
                    <w:t>20</w:t>
                  </w:r>
                </w:p>
              </w:tc>
              <w:tc>
                <w:tcPr>
                  <w:tcW w:w="1263" w:type="dxa"/>
                  <w:tcBorders>
                    <w:top w:val="single" w:color="auto" w:sz="4" w:space="0"/>
                    <w:left w:val="nil"/>
                    <w:bottom w:val="single" w:color="auto" w:sz="4" w:space="0"/>
                    <w:right w:val="single" w:color="auto" w:sz="4" w:space="0"/>
                  </w:tcBorders>
                  <w:vAlign w:val="center"/>
                </w:tcPr>
                <w:p w14:paraId="0357E245">
                  <w:pPr>
                    <w:adjustRightInd w:val="0"/>
                    <w:snapToGrid w:val="0"/>
                    <w:jc w:val="center"/>
                    <w:rPr>
                      <w:color w:val="auto"/>
                      <w:szCs w:val="21"/>
                    </w:rPr>
                  </w:pPr>
                  <w:r>
                    <w:rPr>
                      <w:color w:val="auto"/>
                      <w:szCs w:val="21"/>
                    </w:rPr>
                    <w:t>7.5</w:t>
                  </w:r>
                </w:p>
              </w:tc>
              <w:tc>
                <w:tcPr>
                  <w:tcW w:w="1556" w:type="dxa"/>
                  <w:tcBorders>
                    <w:top w:val="single" w:color="auto" w:sz="4" w:space="0"/>
                    <w:left w:val="nil"/>
                    <w:bottom w:val="single" w:color="auto" w:sz="4" w:space="0"/>
                    <w:right w:val="single" w:color="auto" w:sz="4" w:space="0"/>
                  </w:tcBorders>
                  <w:vAlign w:val="center"/>
                </w:tcPr>
                <w:p w14:paraId="43FC1CD3">
                  <w:pPr>
                    <w:adjustRightInd w:val="0"/>
                    <w:snapToGrid w:val="0"/>
                    <w:jc w:val="center"/>
                    <w:rPr>
                      <w:rFonts w:hint="eastAsia"/>
                      <w:color w:val="auto"/>
                      <w:szCs w:val="21"/>
                      <w:lang w:val="en-US" w:eastAsia="zh-CN"/>
                    </w:rPr>
                  </w:pPr>
                  <w:r>
                    <w:rPr>
                      <w:rFonts w:hint="default"/>
                      <w:color w:val="auto"/>
                      <w:szCs w:val="21"/>
                      <w:lang w:val="en-US" w:eastAsia="zh-CN"/>
                    </w:rPr>
                    <w:t xml:space="preserve">2.67 </w:t>
                  </w:r>
                </w:p>
              </w:tc>
            </w:tr>
            <w:tr w14:paraId="286BA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663DB794">
                  <w:pPr>
                    <w:adjustRightInd w:val="0"/>
                    <w:snapToGrid w:val="0"/>
                    <w:jc w:val="center"/>
                    <w:rPr>
                      <w:color w:val="auto"/>
                      <w:szCs w:val="21"/>
                    </w:rPr>
                  </w:pPr>
                  <w:r>
                    <w:rPr>
                      <w:color w:val="auto"/>
                      <w:szCs w:val="21"/>
                    </w:rPr>
                    <w:t>7</w:t>
                  </w:r>
                </w:p>
              </w:tc>
              <w:tc>
                <w:tcPr>
                  <w:tcW w:w="924" w:type="dxa"/>
                  <w:vMerge w:val="restart"/>
                  <w:tcBorders>
                    <w:top w:val="single" w:color="auto" w:sz="4" w:space="0"/>
                    <w:left w:val="nil"/>
                    <w:right w:val="single" w:color="auto" w:sz="4" w:space="0"/>
                  </w:tcBorders>
                  <w:vAlign w:val="center"/>
                </w:tcPr>
                <w:p w14:paraId="17C7CE39">
                  <w:pPr>
                    <w:adjustRightInd w:val="0"/>
                    <w:snapToGrid w:val="0"/>
                    <w:jc w:val="center"/>
                    <w:rPr>
                      <w:color w:val="auto"/>
                      <w:szCs w:val="21"/>
                    </w:rPr>
                  </w:pPr>
                  <w:r>
                    <w:rPr>
                      <w:color w:val="auto"/>
                      <w:szCs w:val="21"/>
                    </w:rPr>
                    <w:t>车间在线量</w:t>
                  </w:r>
                  <w:r>
                    <w:rPr>
                      <w:color w:val="auto"/>
                      <w:kern w:val="0"/>
                      <w:szCs w:val="21"/>
                      <w:vertAlign w:val="superscript"/>
                    </w:rPr>
                    <w:t>①</w:t>
                  </w:r>
                </w:p>
              </w:tc>
              <w:tc>
                <w:tcPr>
                  <w:tcW w:w="1543" w:type="dxa"/>
                  <w:tcBorders>
                    <w:top w:val="single" w:color="auto" w:sz="4" w:space="0"/>
                    <w:left w:val="single" w:color="auto" w:sz="4" w:space="0"/>
                    <w:bottom w:val="single" w:color="auto" w:sz="4" w:space="0"/>
                    <w:right w:val="single" w:color="auto" w:sz="4" w:space="0"/>
                  </w:tcBorders>
                  <w:vAlign w:val="center"/>
                </w:tcPr>
                <w:p w14:paraId="2FD1168B">
                  <w:pPr>
                    <w:adjustRightInd w:val="0"/>
                    <w:snapToGrid w:val="0"/>
                    <w:jc w:val="center"/>
                    <w:rPr>
                      <w:color w:val="auto"/>
                      <w:szCs w:val="21"/>
                    </w:rPr>
                  </w:pPr>
                  <w:r>
                    <w:rPr>
                      <w:color w:val="auto"/>
                      <w:szCs w:val="21"/>
                    </w:rPr>
                    <w:t>氯化氢</w:t>
                  </w:r>
                </w:p>
              </w:tc>
              <w:tc>
                <w:tcPr>
                  <w:tcW w:w="1398" w:type="dxa"/>
                  <w:tcBorders>
                    <w:top w:val="single" w:color="auto" w:sz="4" w:space="0"/>
                    <w:left w:val="nil"/>
                    <w:bottom w:val="single" w:color="auto" w:sz="4" w:space="0"/>
                    <w:right w:val="single" w:color="auto" w:sz="4" w:space="0"/>
                  </w:tcBorders>
                  <w:vAlign w:val="center"/>
                </w:tcPr>
                <w:p w14:paraId="3766BCA5">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131FF403">
                  <w:pPr>
                    <w:adjustRightInd w:val="0"/>
                    <w:snapToGrid w:val="0"/>
                    <w:jc w:val="center"/>
                    <w:rPr>
                      <w:color w:val="auto"/>
                      <w:szCs w:val="21"/>
                    </w:rPr>
                  </w:pPr>
                  <w:r>
                    <w:rPr>
                      <w:rFonts w:hint="default"/>
                      <w:color w:val="auto"/>
                      <w:szCs w:val="21"/>
                      <w:lang w:val="en-US" w:eastAsia="zh-CN"/>
                    </w:rPr>
                    <w:t>0.05</w:t>
                  </w:r>
                </w:p>
              </w:tc>
              <w:tc>
                <w:tcPr>
                  <w:tcW w:w="1263" w:type="dxa"/>
                  <w:tcBorders>
                    <w:top w:val="single" w:color="auto" w:sz="4" w:space="0"/>
                    <w:left w:val="nil"/>
                    <w:bottom w:val="single" w:color="auto" w:sz="4" w:space="0"/>
                    <w:right w:val="single" w:color="auto" w:sz="4" w:space="0"/>
                  </w:tcBorders>
                  <w:vAlign w:val="center"/>
                </w:tcPr>
                <w:p w14:paraId="3FA9AFAA">
                  <w:pPr>
                    <w:adjustRightInd w:val="0"/>
                    <w:snapToGrid w:val="0"/>
                    <w:jc w:val="center"/>
                    <w:rPr>
                      <w:color w:val="auto"/>
                      <w:szCs w:val="21"/>
                    </w:rPr>
                  </w:pPr>
                  <w:r>
                    <w:rPr>
                      <w:color w:val="auto"/>
                      <w:szCs w:val="21"/>
                    </w:rPr>
                    <w:t>2.5</w:t>
                  </w:r>
                </w:p>
              </w:tc>
              <w:tc>
                <w:tcPr>
                  <w:tcW w:w="1556" w:type="dxa"/>
                  <w:tcBorders>
                    <w:top w:val="single" w:color="auto" w:sz="4" w:space="0"/>
                    <w:left w:val="nil"/>
                    <w:bottom w:val="single" w:color="auto" w:sz="4" w:space="0"/>
                    <w:right w:val="single" w:color="auto" w:sz="4" w:space="0"/>
                  </w:tcBorders>
                  <w:vAlign w:val="center"/>
                </w:tcPr>
                <w:p w14:paraId="5BFDAF1D">
                  <w:pPr>
                    <w:adjustRightInd w:val="0"/>
                    <w:snapToGrid w:val="0"/>
                    <w:jc w:val="center"/>
                    <w:rPr>
                      <w:rFonts w:hint="eastAsia"/>
                      <w:color w:val="auto"/>
                      <w:szCs w:val="21"/>
                      <w:lang w:val="en-US" w:eastAsia="zh-CN"/>
                    </w:rPr>
                  </w:pPr>
                  <w:r>
                    <w:rPr>
                      <w:rFonts w:hint="default"/>
                      <w:color w:val="auto"/>
                      <w:szCs w:val="21"/>
                      <w:lang w:val="en-US" w:eastAsia="zh-CN"/>
                    </w:rPr>
                    <w:t xml:space="preserve">0.02 </w:t>
                  </w:r>
                </w:p>
              </w:tc>
            </w:tr>
            <w:tr w14:paraId="73A4A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0A189223">
                  <w:pPr>
                    <w:adjustRightInd w:val="0"/>
                    <w:snapToGrid w:val="0"/>
                    <w:jc w:val="center"/>
                    <w:rPr>
                      <w:color w:val="auto"/>
                      <w:szCs w:val="21"/>
                    </w:rPr>
                  </w:pPr>
                  <w:r>
                    <w:rPr>
                      <w:color w:val="auto"/>
                      <w:szCs w:val="21"/>
                    </w:rPr>
                    <w:t>8</w:t>
                  </w:r>
                </w:p>
              </w:tc>
              <w:tc>
                <w:tcPr>
                  <w:tcW w:w="924" w:type="dxa"/>
                  <w:vMerge w:val="continue"/>
                  <w:tcBorders>
                    <w:left w:val="nil"/>
                    <w:right w:val="single" w:color="auto" w:sz="4" w:space="0"/>
                  </w:tcBorders>
                  <w:vAlign w:val="center"/>
                </w:tcPr>
                <w:p w14:paraId="1A3A55BF">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60DFE0E9">
                  <w:pPr>
                    <w:adjustRightInd w:val="0"/>
                    <w:snapToGrid w:val="0"/>
                    <w:jc w:val="center"/>
                    <w:rPr>
                      <w:color w:val="auto"/>
                      <w:szCs w:val="21"/>
                    </w:rPr>
                  </w:pPr>
                  <w:r>
                    <w:rPr>
                      <w:rFonts w:hint="eastAsia"/>
                      <w:color w:val="auto"/>
                      <w:kern w:val="0"/>
                      <w:szCs w:val="21"/>
                      <w:lang w:eastAsia="zh-CN"/>
                    </w:rPr>
                    <w:t>40%</w:t>
                  </w:r>
                  <w:r>
                    <w:rPr>
                      <w:color w:val="auto"/>
                      <w:kern w:val="0"/>
                      <w:szCs w:val="21"/>
                    </w:rPr>
                    <w:t>氢氟酸</w:t>
                  </w:r>
                </w:p>
              </w:tc>
              <w:tc>
                <w:tcPr>
                  <w:tcW w:w="1398" w:type="dxa"/>
                  <w:tcBorders>
                    <w:top w:val="single" w:color="auto" w:sz="4" w:space="0"/>
                    <w:left w:val="nil"/>
                    <w:bottom w:val="single" w:color="auto" w:sz="4" w:space="0"/>
                    <w:right w:val="single" w:color="auto" w:sz="4" w:space="0"/>
                  </w:tcBorders>
                  <w:vAlign w:val="center"/>
                </w:tcPr>
                <w:p w14:paraId="57E3A5F2">
                  <w:pPr>
                    <w:adjustRightInd w:val="0"/>
                    <w:snapToGrid w:val="0"/>
                    <w:jc w:val="center"/>
                    <w:rPr>
                      <w:color w:val="auto"/>
                      <w:szCs w:val="21"/>
                    </w:rPr>
                  </w:pPr>
                  <w:r>
                    <w:rPr>
                      <w:color w:val="auto"/>
                      <w:szCs w:val="21"/>
                    </w:rPr>
                    <w:t>7664-39-3</w:t>
                  </w:r>
                </w:p>
              </w:tc>
              <w:tc>
                <w:tcPr>
                  <w:tcW w:w="1727" w:type="dxa"/>
                  <w:tcBorders>
                    <w:top w:val="single" w:color="auto" w:sz="4" w:space="0"/>
                    <w:left w:val="nil"/>
                    <w:bottom w:val="single" w:color="auto" w:sz="4" w:space="0"/>
                    <w:right w:val="single" w:color="auto" w:sz="4" w:space="0"/>
                  </w:tcBorders>
                  <w:vAlign w:val="center"/>
                </w:tcPr>
                <w:p w14:paraId="5B1E381D">
                  <w:pPr>
                    <w:adjustRightInd w:val="0"/>
                    <w:snapToGrid w:val="0"/>
                    <w:jc w:val="center"/>
                    <w:rPr>
                      <w:color w:val="auto"/>
                      <w:szCs w:val="21"/>
                    </w:rPr>
                  </w:pPr>
                  <w:r>
                    <w:rPr>
                      <w:rFonts w:hint="default"/>
                      <w:color w:val="auto"/>
                      <w:szCs w:val="21"/>
                      <w:lang w:val="en-US" w:eastAsia="zh-CN"/>
                    </w:rPr>
                    <w:t>0.05</w:t>
                  </w:r>
                </w:p>
              </w:tc>
              <w:tc>
                <w:tcPr>
                  <w:tcW w:w="1263" w:type="dxa"/>
                  <w:tcBorders>
                    <w:top w:val="single" w:color="auto" w:sz="4" w:space="0"/>
                    <w:left w:val="nil"/>
                    <w:bottom w:val="single" w:color="auto" w:sz="4" w:space="0"/>
                    <w:right w:val="single" w:color="auto" w:sz="4" w:space="0"/>
                  </w:tcBorders>
                  <w:vAlign w:val="center"/>
                </w:tcPr>
                <w:p w14:paraId="4D19B515">
                  <w:pPr>
                    <w:adjustRightInd w:val="0"/>
                    <w:snapToGrid w:val="0"/>
                    <w:jc w:val="center"/>
                    <w:rPr>
                      <w:color w:val="auto"/>
                      <w:szCs w:val="21"/>
                    </w:rPr>
                  </w:pPr>
                  <w:r>
                    <w:rPr>
                      <w:color w:val="auto"/>
                      <w:szCs w:val="21"/>
                    </w:rPr>
                    <w:t>1</w:t>
                  </w:r>
                </w:p>
              </w:tc>
              <w:tc>
                <w:tcPr>
                  <w:tcW w:w="1556" w:type="dxa"/>
                  <w:tcBorders>
                    <w:top w:val="single" w:color="auto" w:sz="4" w:space="0"/>
                    <w:left w:val="nil"/>
                    <w:bottom w:val="single" w:color="auto" w:sz="4" w:space="0"/>
                    <w:right w:val="single" w:color="auto" w:sz="4" w:space="0"/>
                  </w:tcBorders>
                  <w:vAlign w:val="center"/>
                </w:tcPr>
                <w:p w14:paraId="1742D179">
                  <w:pPr>
                    <w:adjustRightInd w:val="0"/>
                    <w:snapToGrid w:val="0"/>
                    <w:jc w:val="center"/>
                    <w:rPr>
                      <w:rFonts w:hint="eastAsia"/>
                      <w:color w:val="auto"/>
                      <w:szCs w:val="21"/>
                      <w:lang w:val="en-US" w:eastAsia="zh-CN"/>
                    </w:rPr>
                  </w:pPr>
                  <w:r>
                    <w:rPr>
                      <w:rFonts w:hint="default"/>
                      <w:color w:val="auto"/>
                      <w:szCs w:val="21"/>
                      <w:lang w:val="en-US" w:eastAsia="zh-CN"/>
                    </w:rPr>
                    <w:t xml:space="preserve">0.05 </w:t>
                  </w:r>
                </w:p>
              </w:tc>
            </w:tr>
            <w:tr w14:paraId="1EBBB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17A7DD5D">
                  <w:pPr>
                    <w:adjustRightInd w:val="0"/>
                    <w:snapToGrid w:val="0"/>
                    <w:jc w:val="center"/>
                    <w:rPr>
                      <w:color w:val="auto"/>
                      <w:szCs w:val="21"/>
                    </w:rPr>
                  </w:pPr>
                  <w:r>
                    <w:rPr>
                      <w:color w:val="auto"/>
                      <w:szCs w:val="21"/>
                    </w:rPr>
                    <w:t>9</w:t>
                  </w:r>
                </w:p>
              </w:tc>
              <w:tc>
                <w:tcPr>
                  <w:tcW w:w="924" w:type="dxa"/>
                  <w:vMerge w:val="continue"/>
                  <w:tcBorders>
                    <w:left w:val="nil"/>
                    <w:bottom w:val="single" w:color="auto" w:sz="4" w:space="0"/>
                    <w:right w:val="single" w:color="auto" w:sz="4" w:space="0"/>
                  </w:tcBorders>
                  <w:vAlign w:val="center"/>
                </w:tcPr>
                <w:p w14:paraId="70DA6E48">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4124EF82">
                  <w:pPr>
                    <w:adjustRightInd w:val="0"/>
                    <w:snapToGrid w:val="0"/>
                    <w:jc w:val="center"/>
                    <w:rPr>
                      <w:color w:val="auto"/>
                      <w:szCs w:val="21"/>
                    </w:rPr>
                  </w:pPr>
                  <w:r>
                    <w:rPr>
                      <w:rFonts w:hint="eastAsia"/>
                      <w:color w:val="auto"/>
                      <w:kern w:val="0"/>
                      <w:szCs w:val="21"/>
                      <w:lang w:eastAsia="zh-CN"/>
                    </w:rPr>
                    <w:t>36%</w:t>
                  </w:r>
                  <w:r>
                    <w:rPr>
                      <w:color w:val="auto"/>
                      <w:kern w:val="0"/>
                      <w:szCs w:val="21"/>
                    </w:rPr>
                    <w:t>盐酸</w:t>
                  </w:r>
                </w:p>
              </w:tc>
              <w:tc>
                <w:tcPr>
                  <w:tcW w:w="1398" w:type="dxa"/>
                  <w:tcBorders>
                    <w:top w:val="single" w:color="auto" w:sz="4" w:space="0"/>
                    <w:left w:val="nil"/>
                    <w:bottom w:val="single" w:color="auto" w:sz="4" w:space="0"/>
                    <w:right w:val="single" w:color="auto" w:sz="4" w:space="0"/>
                  </w:tcBorders>
                  <w:vAlign w:val="center"/>
                </w:tcPr>
                <w:p w14:paraId="4A43449D">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564AFCE5">
                  <w:pPr>
                    <w:adjustRightInd w:val="0"/>
                    <w:snapToGrid w:val="0"/>
                    <w:jc w:val="center"/>
                    <w:rPr>
                      <w:color w:val="auto"/>
                      <w:szCs w:val="21"/>
                    </w:rPr>
                  </w:pPr>
                  <w:r>
                    <w:rPr>
                      <w:rFonts w:hint="default"/>
                      <w:color w:val="auto"/>
                      <w:szCs w:val="21"/>
                      <w:lang w:val="en-US" w:eastAsia="zh-CN"/>
                    </w:rPr>
                    <w:t>0.2</w:t>
                  </w:r>
                </w:p>
              </w:tc>
              <w:tc>
                <w:tcPr>
                  <w:tcW w:w="1263" w:type="dxa"/>
                  <w:tcBorders>
                    <w:top w:val="single" w:color="auto" w:sz="4" w:space="0"/>
                    <w:left w:val="nil"/>
                    <w:bottom w:val="single" w:color="auto" w:sz="4" w:space="0"/>
                    <w:right w:val="single" w:color="auto" w:sz="4" w:space="0"/>
                  </w:tcBorders>
                  <w:vAlign w:val="center"/>
                </w:tcPr>
                <w:p w14:paraId="7145CB18">
                  <w:pPr>
                    <w:adjustRightInd w:val="0"/>
                    <w:snapToGrid w:val="0"/>
                    <w:jc w:val="center"/>
                    <w:rPr>
                      <w:color w:val="auto"/>
                      <w:szCs w:val="21"/>
                    </w:rPr>
                  </w:pPr>
                  <w:r>
                    <w:rPr>
                      <w:color w:val="auto"/>
                      <w:szCs w:val="21"/>
                    </w:rPr>
                    <w:t>7.5</w:t>
                  </w:r>
                </w:p>
              </w:tc>
              <w:tc>
                <w:tcPr>
                  <w:tcW w:w="1556" w:type="dxa"/>
                  <w:tcBorders>
                    <w:top w:val="single" w:color="auto" w:sz="4" w:space="0"/>
                    <w:left w:val="nil"/>
                    <w:bottom w:val="single" w:color="auto" w:sz="4" w:space="0"/>
                    <w:right w:val="single" w:color="auto" w:sz="4" w:space="0"/>
                  </w:tcBorders>
                  <w:vAlign w:val="center"/>
                </w:tcPr>
                <w:p w14:paraId="21F47F0A">
                  <w:pPr>
                    <w:adjustRightInd w:val="0"/>
                    <w:snapToGrid w:val="0"/>
                    <w:jc w:val="center"/>
                    <w:rPr>
                      <w:rFonts w:hint="eastAsia"/>
                      <w:color w:val="auto"/>
                      <w:szCs w:val="21"/>
                      <w:lang w:val="en-US" w:eastAsia="zh-CN"/>
                    </w:rPr>
                  </w:pPr>
                  <w:r>
                    <w:rPr>
                      <w:rFonts w:hint="default"/>
                      <w:color w:val="auto"/>
                      <w:szCs w:val="21"/>
                      <w:lang w:val="en-US" w:eastAsia="zh-CN"/>
                    </w:rPr>
                    <w:t xml:space="preserve">0.03 </w:t>
                  </w:r>
                </w:p>
              </w:tc>
            </w:tr>
            <w:tr w14:paraId="0CF77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2A6AC90A">
                  <w:pPr>
                    <w:adjustRightInd w:val="0"/>
                    <w:snapToGrid w:val="0"/>
                    <w:jc w:val="center"/>
                    <w:rPr>
                      <w:color w:val="auto"/>
                      <w:szCs w:val="21"/>
                    </w:rPr>
                  </w:pPr>
                  <w:r>
                    <w:rPr>
                      <w:color w:val="auto"/>
                      <w:szCs w:val="21"/>
                    </w:rPr>
                    <w:t>10</w:t>
                  </w:r>
                </w:p>
              </w:tc>
              <w:tc>
                <w:tcPr>
                  <w:tcW w:w="924" w:type="dxa"/>
                  <w:tcBorders>
                    <w:top w:val="single" w:color="auto" w:sz="4" w:space="0"/>
                    <w:left w:val="nil"/>
                    <w:right w:val="single" w:color="auto" w:sz="4" w:space="0"/>
                  </w:tcBorders>
                  <w:vAlign w:val="center"/>
                </w:tcPr>
                <w:p w14:paraId="5F073A33">
                  <w:pPr>
                    <w:adjustRightInd w:val="0"/>
                    <w:snapToGrid w:val="0"/>
                    <w:jc w:val="center"/>
                    <w:rPr>
                      <w:color w:val="auto"/>
                      <w:szCs w:val="21"/>
                    </w:rPr>
                  </w:pPr>
                  <w:r>
                    <w:rPr>
                      <w:color w:val="auto"/>
                      <w:szCs w:val="21"/>
                    </w:rPr>
                    <w:t>危废仓库</w:t>
                  </w:r>
                </w:p>
              </w:tc>
              <w:tc>
                <w:tcPr>
                  <w:tcW w:w="1543" w:type="dxa"/>
                  <w:tcBorders>
                    <w:top w:val="single" w:color="auto" w:sz="4" w:space="0"/>
                    <w:left w:val="single" w:color="auto" w:sz="4" w:space="0"/>
                    <w:bottom w:val="single" w:color="auto" w:sz="4" w:space="0"/>
                    <w:right w:val="single" w:color="auto" w:sz="4" w:space="0"/>
                  </w:tcBorders>
                  <w:vAlign w:val="center"/>
                </w:tcPr>
                <w:p w14:paraId="7AD224A2">
                  <w:pPr>
                    <w:adjustRightInd w:val="0"/>
                    <w:snapToGrid w:val="0"/>
                    <w:jc w:val="center"/>
                    <w:rPr>
                      <w:color w:val="auto"/>
                      <w:szCs w:val="21"/>
                    </w:rPr>
                  </w:pPr>
                  <w:r>
                    <w:rPr>
                      <w:color w:val="auto"/>
                      <w:szCs w:val="21"/>
                    </w:rPr>
                    <w:t>危险固废（不含废酸）</w:t>
                  </w:r>
                </w:p>
              </w:tc>
              <w:tc>
                <w:tcPr>
                  <w:tcW w:w="1398" w:type="dxa"/>
                  <w:tcBorders>
                    <w:top w:val="single" w:color="auto" w:sz="4" w:space="0"/>
                    <w:left w:val="nil"/>
                    <w:bottom w:val="single" w:color="auto" w:sz="4" w:space="0"/>
                    <w:right w:val="single" w:color="auto" w:sz="4" w:space="0"/>
                  </w:tcBorders>
                  <w:vAlign w:val="center"/>
                </w:tcPr>
                <w:p w14:paraId="47FBD34D">
                  <w:pPr>
                    <w:adjustRightInd w:val="0"/>
                    <w:snapToGrid w:val="0"/>
                    <w:jc w:val="center"/>
                    <w:rPr>
                      <w:color w:val="auto"/>
                      <w:szCs w:val="21"/>
                    </w:rPr>
                  </w:pPr>
                  <w:r>
                    <w:rPr>
                      <w:color w:val="auto"/>
                      <w:szCs w:val="21"/>
                    </w:rPr>
                    <w:t>/</w:t>
                  </w:r>
                </w:p>
              </w:tc>
              <w:tc>
                <w:tcPr>
                  <w:tcW w:w="1727" w:type="dxa"/>
                  <w:tcBorders>
                    <w:top w:val="single" w:color="auto" w:sz="4" w:space="0"/>
                    <w:left w:val="nil"/>
                    <w:bottom w:val="single" w:color="auto" w:sz="4" w:space="0"/>
                    <w:right w:val="single" w:color="auto" w:sz="4" w:space="0"/>
                  </w:tcBorders>
                  <w:shd w:val="clear" w:color="auto" w:fill="auto"/>
                  <w:vAlign w:val="center"/>
                </w:tcPr>
                <w:p w14:paraId="4779DFA6">
                  <w:pPr>
                    <w:adjustRightInd w:val="0"/>
                    <w:snapToGrid w:val="0"/>
                    <w:jc w:val="center"/>
                    <w:rPr>
                      <w:rFonts w:hint="default"/>
                      <w:color w:val="auto"/>
                      <w:szCs w:val="21"/>
                      <w:lang w:val="en-US" w:eastAsia="zh-CN"/>
                    </w:rPr>
                  </w:pPr>
                  <w:r>
                    <w:rPr>
                      <w:rFonts w:hint="default"/>
                      <w:color w:val="auto"/>
                      <w:szCs w:val="21"/>
                      <w:lang w:val="en-US" w:eastAsia="zh-CN"/>
                    </w:rPr>
                    <w:t>28.9</w:t>
                  </w:r>
                </w:p>
              </w:tc>
              <w:tc>
                <w:tcPr>
                  <w:tcW w:w="1263" w:type="dxa"/>
                  <w:tcBorders>
                    <w:top w:val="single" w:color="auto" w:sz="4" w:space="0"/>
                    <w:left w:val="nil"/>
                    <w:bottom w:val="single" w:color="auto" w:sz="4" w:space="0"/>
                    <w:right w:val="single" w:color="auto" w:sz="4" w:space="0"/>
                  </w:tcBorders>
                  <w:vAlign w:val="center"/>
                </w:tcPr>
                <w:p w14:paraId="225D2B17">
                  <w:pPr>
                    <w:adjustRightInd w:val="0"/>
                    <w:snapToGrid w:val="0"/>
                    <w:jc w:val="center"/>
                    <w:rPr>
                      <w:color w:val="auto"/>
                      <w:szCs w:val="21"/>
                    </w:rPr>
                  </w:pPr>
                  <w:r>
                    <w:rPr>
                      <w:color w:val="auto"/>
                      <w:szCs w:val="21"/>
                    </w:rPr>
                    <w:t>50</w:t>
                  </w:r>
                </w:p>
              </w:tc>
              <w:tc>
                <w:tcPr>
                  <w:tcW w:w="1556" w:type="dxa"/>
                  <w:tcBorders>
                    <w:top w:val="single" w:color="auto" w:sz="4" w:space="0"/>
                    <w:left w:val="nil"/>
                    <w:bottom w:val="single" w:color="auto" w:sz="4" w:space="0"/>
                    <w:right w:val="single" w:color="auto" w:sz="4" w:space="0"/>
                  </w:tcBorders>
                  <w:vAlign w:val="center"/>
                </w:tcPr>
                <w:p w14:paraId="41A3F8C8">
                  <w:pPr>
                    <w:adjustRightInd w:val="0"/>
                    <w:snapToGrid w:val="0"/>
                    <w:jc w:val="center"/>
                    <w:rPr>
                      <w:rFonts w:hint="default"/>
                      <w:color w:val="auto"/>
                      <w:szCs w:val="21"/>
                      <w:lang w:val="en-US" w:eastAsia="zh-CN"/>
                    </w:rPr>
                  </w:pPr>
                  <w:r>
                    <w:rPr>
                      <w:rFonts w:hint="default"/>
                      <w:color w:val="auto"/>
                      <w:szCs w:val="21"/>
                      <w:lang w:val="en-US" w:eastAsia="zh-CN"/>
                    </w:rPr>
                    <w:t xml:space="preserve">0.58 </w:t>
                  </w:r>
                </w:p>
              </w:tc>
            </w:tr>
            <w:tr w14:paraId="2DD13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87" w:type="dxa"/>
                  <w:gridSpan w:val="6"/>
                  <w:tcBorders>
                    <w:top w:val="single" w:color="auto" w:sz="4" w:space="0"/>
                    <w:left w:val="single" w:color="auto" w:sz="4" w:space="0"/>
                    <w:bottom w:val="single" w:color="auto" w:sz="4" w:space="0"/>
                    <w:right w:val="single" w:color="auto" w:sz="4" w:space="0"/>
                  </w:tcBorders>
                  <w:vAlign w:val="center"/>
                </w:tcPr>
                <w:p w14:paraId="71E5B99D">
                  <w:pPr>
                    <w:adjustRightInd w:val="0"/>
                    <w:snapToGrid w:val="0"/>
                    <w:jc w:val="center"/>
                    <w:rPr>
                      <w:color w:val="auto"/>
                      <w:szCs w:val="21"/>
                    </w:rPr>
                  </w:pPr>
                  <w:r>
                    <w:rPr>
                      <w:color w:val="auto"/>
                      <w:szCs w:val="21"/>
                    </w:rPr>
                    <w:t>合计</w:t>
                  </w:r>
                </w:p>
              </w:tc>
              <w:tc>
                <w:tcPr>
                  <w:tcW w:w="1556" w:type="dxa"/>
                  <w:tcBorders>
                    <w:top w:val="single" w:color="auto" w:sz="4" w:space="0"/>
                    <w:left w:val="nil"/>
                    <w:bottom w:val="single" w:color="auto" w:sz="4" w:space="0"/>
                    <w:right w:val="single" w:color="auto" w:sz="4" w:space="0"/>
                  </w:tcBorders>
                  <w:vAlign w:val="center"/>
                </w:tcPr>
                <w:p w14:paraId="61BA65F9">
                  <w:pPr>
                    <w:adjustRightInd w:val="0"/>
                    <w:snapToGrid w:val="0"/>
                    <w:jc w:val="center"/>
                    <w:rPr>
                      <w:rFonts w:hint="default"/>
                      <w:color w:val="auto"/>
                      <w:szCs w:val="21"/>
                      <w:lang w:val="en-US" w:eastAsia="zh-CN"/>
                    </w:rPr>
                  </w:pPr>
                  <w:r>
                    <w:rPr>
                      <w:rFonts w:hint="eastAsia"/>
                      <w:color w:val="auto"/>
                      <w:szCs w:val="21"/>
                      <w:lang w:val="en-US" w:eastAsia="zh-CN"/>
                    </w:rPr>
                    <w:t xml:space="preserve">34.09 </w:t>
                  </w:r>
                </w:p>
              </w:tc>
            </w:tr>
            <w:tr w14:paraId="7105C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43" w:type="dxa"/>
                  <w:gridSpan w:val="7"/>
                  <w:tcBorders>
                    <w:top w:val="single" w:color="auto" w:sz="4" w:space="0"/>
                    <w:left w:val="single" w:color="auto" w:sz="4" w:space="0"/>
                    <w:bottom w:val="single" w:color="auto" w:sz="4" w:space="0"/>
                    <w:right w:val="single" w:color="auto" w:sz="4" w:space="0"/>
                  </w:tcBorders>
                </w:tcPr>
                <w:p w14:paraId="3189C450">
                  <w:pPr>
                    <w:widowControl/>
                    <w:textAlignment w:val="center"/>
                    <w:rPr>
                      <w:color w:val="auto"/>
                      <w:kern w:val="0"/>
                      <w:sz w:val="20"/>
                      <w:szCs w:val="20"/>
                    </w:rPr>
                  </w:pPr>
                  <w:r>
                    <w:rPr>
                      <w:color w:val="auto"/>
                      <w:kern w:val="0"/>
                      <w:sz w:val="20"/>
                      <w:szCs w:val="20"/>
                    </w:rPr>
                    <w:t>①包含车间在线、废气和废水环保设施的最大在线量；</w:t>
                  </w:r>
                </w:p>
                <w:p w14:paraId="2B6D0E65">
                  <w:pPr>
                    <w:adjustRightInd w:val="0"/>
                    <w:snapToGrid w:val="0"/>
                    <w:rPr>
                      <w:color w:val="auto"/>
                      <w:szCs w:val="21"/>
                    </w:rPr>
                  </w:pPr>
                  <w:r>
                    <w:rPr>
                      <w:color w:val="auto"/>
                      <w:kern w:val="0"/>
                      <w:sz w:val="20"/>
                      <w:szCs w:val="20"/>
                    </w:rPr>
                    <w:t>②本</w:t>
                  </w:r>
                  <w:r>
                    <w:rPr>
                      <w:rFonts w:hint="eastAsia"/>
                      <w:color w:val="auto"/>
                      <w:kern w:val="0"/>
                      <w:sz w:val="20"/>
                      <w:szCs w:val="20"/>
                    </w:rPr>
                    <w:t>表</w:t>
                  </w:r>
                  <w:r>
                    <w:rPr>
                      <w:rFonts w:hint="eastAsia"/>
                      <w:color w:val="auto"/>
                      <w:kern w:val="0"/>
                      <w:sz w:val="20"/>
                      <w:szCs w:val="20"/>
                      <w:lang w:val="en-US" w:eastAsia="zh-CN"/>
                    </w:rPr>
                    <w:t>氢氟酸、盐酸最大在线量已折算，具体为：</w:t>
                  </w:r>
                  <w:r>
                    <w:rPr>
                      <w:rFonts w:hint="eastAsia"/>
                      <w:color w:val="auto"/>
                      <w:kern w:val="0"/>
                      <w:sz w:val="20"/>
                      <w:szCs w:val="20"/>
                      <w:lang w:eastAsia="zh-CN"/>
                    </w:rPr>
                    <w:t>36%</w:t>
                  </w:r>
                  <w:r>
                    <w:rPr>
                      <w:color w:val="auto"/>
                      <w:kern w:val="0"/>
                      <w:sz w:val="20"/>
                      <w:szCs w:val="20"/>
                    </w:rPr>
                    <w:t>盐酸折算为37%盐酸、</w:t>
                  </w:r>
                  <w:r>
                    <w:rPr>
                      <w:rFonts w:hint="eastAsia"/>
                      <w:color w:val="auto"/>
                      <w:kern w:val="0"/>
                      <w:sz w:val="20"/>
                      <w:szCs w:val="20"/>
                      <w:lang w:eastAsia="zh-CN"/>
                    </w:rPr>
                    <w:t>40%</w:t>
                  </w:r>
                  <w:r>
                    <w:rPr>
                      <w:color w:val="auto"/>
                      <w:kern w:val="0"/>
                      <w:sz w:val="20"/>
                      <w:szCs w:val="20"/>
                    </w:rPr>
                    <w:t>氢氟酸折算为100%氢氟酸。</w:t>
                  </w:r>
                </w:p>
              </w:tc>
            </w:tr>
          </w:tbl>
          <w:p w14:paraId="2BE9DAAA">
            <w:pPr>
              <w:autoSpaceDE w:val="0"/>
              <w:autoSpaceDN w:val="0"/>
              <w:adjustRightInd w:val="0"/>
              <w:snapToGrid w:val="0"/>
              <w:spacing w:line="360" w:lineRule="auto"/>
              <w:ind w:firstLine="480" w:firstLineChars="200"/>
              <w:rPr>
                <w:color w:val="auto"/>
                <w:sz w:val="24"/>
              </w:rPr>
            </w:pPr>
            <w:r>
              <w:rPr>
                <w:color w:val="auto"/>
                <w:sz w:val="24"/>
              </w:rPr>
              <w:t>由上述分析结果可知，本项目10≤Q＜100，故需设置环境风险专项评价。</w:t>
            </w:r>
          </w:p>
          <w:p w14:paraId="2A90E642">
            <w:pPr>
              <w:tabs>
                <w:tab w:val="right" w:pos="7219"/>
              </w:tabs>
              <w:autoSpaceDE w:val="0"/>
              <w:autoSpaceDN w:val="0"/>
              <w:adjustRightInd w:val="0"/>
              <w:snapToGrid w:val="0"/>
              <w:spacing w:line="360" w:lineRule="auto"/>
              <w:rPr>
                <w:b/>
                <w:bCs/>
                <w:color w:val="auto"/>
                <w:sz w:val="24"/>
              </w:rPr>
            </w:pPr>
            <w:r>
              <w:rPr>
                <w:b/>
                <w:bCs/>
                <w:color w:val="auto"/>
                <w:sz w:val="24"/>
              </w:rPr>
              <w:t>4、生态</w:t>
            </w:r>
            <w:r>
              <w:rPr>
                <w:b/>
                <w:bCs/>
                <w:color w:val="auto"/>
                <w:sz w:val="24"/>
              </w:rPr>
              <w:tab/>
            </w:r>
          </w:p>
          <w:p w14:paraId="4F6472AB">
            <w:pPr>
              <w:autoSpaceDE w:val="0"/>
              <w:autoSpaceDN w:val="0"/>
              <w:adjustRightInd w:val="0"/>
              <w:snapToGrid w:val="0"/>
              <w:spacing w:line="360" w:lineRule="auto"/>
              <w:ind w:firstLine="480" w:firstLineChars="200"/>
              <w:rPr>
                <w:color w:val="auto"/>
                <w:sz w:val="24"/>
              </w:rPr>
            </w:pPr>
            <w:r>
              <w:rPr>
                <w:color w:val="auto"/>
                <w:sz w:val="24"/>
              </w:rPr>
              <w:t>本项目用水全部通过自来水管网供给，不设取水口，不属于取水口下游500米范围内有重要水生生物的自然产卵场、索饵场、越冬场和洄游通道的新增河道取水的污染类建设项目，因此本项目无需设置生态专项评价。</w:t>
            </w:r>
          </w:p>
          <w:p w14:paraId="4569B124">
            <w:pPr>
              <w:autoSpaceDE w:val="0"/>
              <w:autoSpaceDN w:val="0"/>
              <w:adjustRightInd w:val="0"/>
              <w:snapToGrid w:val="0"/>
              <w:spacing w:line="360" w:lineRule="auto"/>
              <w:rPr>
                <w:b/>
                <w:bCs/>
                <w:color w:val="auto"/>
                <w:sz w:val="24"/>
              </w:rPr>
            </w:pPr>
            <w:r>
              <w:rPr>
                <w:rFonts w:hint="eastAsia"/>
                <w:b/>
                <w:bCs/>
                <w:color w:val="auto"/>
                <w:sz w:val="24"/>
                <w:lang w:val="en-US" w:eastAsia="zh-CN"/>
              </w:rPr>
              <w:t>5</w:t>
            </w:r>
            <w:r>
              <w:rPr>
                <w:b/>
                <w:bCs/>
                <w:color w:val="auto"/>
                <w:sz w:val="24"/>
              </w:rPr>
              <w:t>、地下水</w:t>
            </w:r>
          </w:p>
          <w:p w14:paraId="2F58D4B5">
            <w:pPr>
              <w:autoSpaceDE w:val="0"/>
              <w:autoSpaceDN w:val="0"/>
              <w:adjustRightInd w:val="0"/>
              <w:snapToGrid w:val="0"/>
              <w:spacing w:line="360" w:lineRule="auto"/>
              <w:ind w:firstLine="480" w:firstLineChars="200"/>
              <w:rPr>
                <w:color w:val="auto"/>
                <w:sz w:val="24"/>
              </w:rPr>
            </w:pPr>
            <w:r>
              <w:rPr>
                <w:color w:val="auto"/>
                <w:sz w:val="24"/>
              </w:rPr>
              <w:t>本项目周边不涉及集中式饮用水水源和热水、矿泉水、温泉等特殊地下水资源保护区，因此本项目无需设置地下水专项评价。</w:t>
            </w:r>
          </w:p>
          <w:p w14:paraId="4F870ADB">
            <w:pPr>
              <w:pStyle w:val="10"/>
              <w:numPr>
                <w:ilvl w:val="0"/>
                <w:numId w:val="0"/>
              </w:numPr>
              <w:ind w:right="113" w:rightChars="0"/>
              <w:rPr>
                <w:b/>
                <w:bCs/>
                <w:color w:val="auto"/>
                <w:sz w:val="24"/>
                <w:szCs w:val="24"/>
              </w:rPr>
            </w:pPr>
            <w:r>
              <w:rPr>
                <w:rFonts w:hint="eastAsia" w:cs="Times New Roman"/>
                <w:b/>
                <w:bCs/>
                <w:color w:val="auto"/>
                <w:kern w:val="0"/>
                <w:sz w:val="24"/>
                <w:szCs w:val="24"/>
                <w:lang w:val="en-US" w:eastAsia="zh-CN" w:bidi="ar-SA"/>
              </w:rPr>
              <w:t>6</w:t>
            </w:r>
            <w:r>
              <w:rPr>
                <w:rFonts w:ascii="Times New Roman" w:hAnsi="Times New Roman" w:eastAsia="宋体" w:cs="Times New Roman"/>
                <w:b/>
                <w:bCs/>
                <w:color w:val="auto"/>
                <w:kern w:val="0"/>
                <w:sz w:val="24"/>
                <w:szCs w:val="24"/>
                <w:lang w:val="en-US" w:eastAsia="zh-CN" w:bidi="ar-SA"/>
              </w:rPr>
              <w:t>、</w:t>
            </w:r>
            <w:r>
              <w:rPr>
                <w:b/>
                <w:bCs/>
                <w:color w:val="auto"/>
                <w:sz w:val="24"/>
                <w:szCs w:val="24"/>
              </w:rPr>
              <w:t>汇总</w:t>
            </w:r>
          </w:p>
          <w:p w14:paraId="16CA9A49">
            <w:pPr>
              <w:pStyle w:val="10"/>
              <w:spacing w:line="260" w:lineRule="auto"/>
              <w:ind w:firstLine="480" w:firstLineChars="200"/>
              <w:rPr>
                <w:color w:val="auto"/>
                <w:sz w:val="24"/>
                <w:szCs w:val="24"/>
              </w:rPr>
            </w:pPr>
            <w:r>
              <w:rPr>
                <w:color w:val="auto"/>
                <w:sz w:val="24"/>
                <w:szCs w:val="24"/>
              </w:rPr>
              <w:t>综上所述，本项目专项评价设置情况汇总如下：</w:t>
            </w:r>
          </w:p>
          <w:p w14:paraId="656E224C">
            <w:pPr>
              <w:jc w:val="center"/>
              <w:rPr>
                <w:b/>
                <w:color w:val="auto"/>
                <w:szCs w:val="21"/>
              </w:rPr>
            </w:pPr>
            <w:r>
              <w:rPr>
                <w:b/>
                <w:color w:val="auto"/>
                <w:szCs w:val="21"/>
              </w:rPr>
              <w:t>表1-2 专项评价设置汇总表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2"/>
              <w:gridCol w:w="4069"/>
              <w:gridCol w:w="1690"/>
            </w:tblGrid>
            <w:tr w14:paraId="17F44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3E6EEB4C">
                  <w:pPr>
                    <w:autoSpaceDE w:val="0"/>
                    <w:autoSpaceDN w:val="0"/>
                    <w:adjustRightInd w:val="0"/>
                    <w:snapToGrid w:val="0"/>
                    <w:jc w:val="center"/>
                    <w:rPr>
                      <w:color w:val="auto"/>
                      <w:szCs w:val="21"/>
                    </w:rPr>
                  </w:pPr>
                  <w:r>
                    <w:rPr>
                      <w:color w:val="auto"/>
                      <w:szCs w:val="21"/>
                    </w:rPr>
                    <w:t>专项评价类别</w:t>
                  </w:r>
                </w:p>
              </w:tc>
              <w:tc>
                <w:tcPr>
                  <w:tcW w:w="4069" w:type="dxa"/>
                  <w:vAlign w:val="center"/>
                </w:tcPr>
                <w:p w14:paraId="567A433D">
                  <w:pPr>
                    <w:autoSpaceDE w:val="0"/>
                    <w:autoSpaceDN w:val="0"/>
                    <w:adjustRightInd w:val="0"/>
                    <w:snapToGrid w:val="0"/>
                    <w:jc w:val="center"/>
                    <w:rPr>
                      <w:color w:val="auto"/>
                      <w:szCs w:val="21"/>
                    </w:rPr>
                  </w:pPr>
                  <w:r>
                    <w:rPr>
                      <w:color w:val="auto"/>
                      <w:szCs w:val="21"/>
                    </w:rPr>
                    <w:t>设置原则</w:t>
                  </w:r>
                </w:p>
              </w:tc>
              <w:tc>
                <w:tcPr>
                  <w:tcW w:w="1690" w:type="dxa"/>
                  <w:vAlign w:val="center"/>
                </w:tcPr>
                <w:p w14:paraId="2196B4AE">
                  <w:pPr>
                    <w:autoSpaceDE w:val="0"/>
                    <w:autoSpaceDN w:val="0"/>
                    <w:adjustRightInd w:val="0"/>
                    <w:snapToGrid w:val="0"/>
                    <w:jc w:val="center"/>
                    <w:rPr>
                      <w:color w:val="auto"/>
                      <w:szCs w:val="21"/>
                    </w:rPr>
                  </w:pPr>
                  <w:r>
                    <w:rPr>
                      <w:color w:val="auto"/>
                      <w:szCs w:val="21"/>
                    </w:rPr>
                    <w:t>本项目设置情况</w:t>
                  </w:r>
                </w:p>
              </w:tc>
            </w:tr>
            <w:tr w14:paraId="4FD28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7CA41C37">
                  <w:pPr>
                    <w:autoSpaceDE w:val="0"/>
                    <w:autoSpaceDN w:val="0"/>
                    <w:adjustRightInd w:val="0"/>
                    <w:snapToGrid w:val="0"/>
                    <w:jc w:val="center"/>
                    <w:rPr>
                      <w:color w:val="auto"/>
                      <w:szCs w:val="21"/>
                    </w:rPr>
                  </w:pPr>
                  <w:r>
                    <w:rPr>
                      <w:color w:val="auto"/>
                      <w:szCs w:val="21"/>
                    </w:rPr>
                    <w:t>大气</w:t>
                  </w:r>
                </w:p>
              </w:tc>
              <w:tc>
                <w:tcPr>
                  <w:tcW w:w="4069" w:type="dxa"/>
                  <w:vAlign w:val="center"/>
                </w:tcPr>
                <w:p w14:paraId="5B1F3580">
                  <w:pPr>
                    <w:autoSpaceDE w:val="0"/>
                    <w:autoSpaceDN w:val="0"/>
                    <w:adjustRightInd w:val="0"/>
                    <w:snapToGrid w:val="0"/>
                    <w:jc w:val="center"/>
                    <w:rPr>
                      <w:color w:val="auto"/>
                      <w:szCs w:val="21"/>
                    </w:rPr>
                  </w:pPr>
                  <w:r>
                    <w:rPr>
                      <w:color w:val="auto"/>
                      <w:szCs w:val="21"/>
                    </w:rPr>
                    <w:t>排放废气含有毒有害污染物、二噁英、苯并[a]芘、氰化物、氯气及厂界外500米范围内有环境空气保护目标的建设项目</w:t>
                  </w:r>
                </w:p>
              </w:tc>
              <w:tc>
                <w:tcPr>
                  <w:tcW w:w="1690" w:type="dxa"/>
                  <w:vAlign w:val="center"/>
                </w:tcPr>
                <w:p w14:paraId="76B68334">
                  <w:pPr>
                    <w:autoSpaceDE w:val="0"/>
                    <w:autoSpaceDN w:val="0"/>
                    <w:adjustRightInd w:val="0"/>
                    <w:snapToGrid w:val="0"/>
                    <w:jc w:val="center"/>
                    <w:rPr>
                      <w:color w:val="auto"/>
                      <w:szCs w:val="21"/>
                    </w:rPr>
                  </w:pPr>
                  <w:r>
                    <w:rPr>
                      <w:color w:val="auto"/>
                      <w:szCs w:val="21"/>
                    </w:rPr>
                    <w:t>不设置</w:t>
                  </w:r>
                </w:p>
              </w:tc>
            </w:tr>
            <w:tr w14:paraId="49BFC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0DCAB3FD">
                  <w:pPr>
                    <w:autoSpaceDE w:val="0"/>
                    <w:autoSpaceDN w:val="0"/>
                    <w:adjustRightInd w:val="0"/>
                    <w:snapToGrid w:val="0"/>
                    <w:jc w:val="center"/>
                    <w:rPr>
                      <w:color w:val="auto"/>
                      <w:szCs w:val="21"/>
                    </w:rPr>
                  </w:pPr>
                  <w:r>
                    <w:rPr>
                      <w:color w:val="auto"/>
                      <w:szCs w:val="21"/>
                    </w:rPr>
                    <w:t>地表水</w:t>
                  </w:r>
                </w:p>
              </w:tc>
              <w:tc>
                <w:tcPr>
                  <w:tcW w:w="4069" w:type="dxa"/>
                  <w:vAlign w:val="center"/>
                </w:tcPr>
                <w:p w14:paraId="2B5A44C6">
                  <w:pPr>
                    <w:autoSpaceDE w:val="0"/>
                    <w:autoSpaceDN w:val="0"/>
                    <w:adjustRightInd w:val="0"/>
                    <w:snapToGrid w:val="0"/>
                    <w:jc w:val="center"/>
                    <w:rPr>
                      <w:color w:val="auto"/>
                      <w:szCs w:val="21"/>
                    </w:rPr>
                  </w:pPr>
                  <w:r>
                    <w:rPr>
                      <w:color w:val="auto"/>
                      <w:szCs w:val="21"/>
                    </w:rPr>
                    <w:t>新增工业废水直排建设项目（槽罐车送污水处理厂的除外）；新增废水直排的污水集中处理厂</w:t>
                  </w:r>
                </w:p>
              </w:tc>
              <w:tc>
                <w:tcPr>
                  <w:tcW w:w="1690" w:type="dxa"/>
                  <w:vAlign w:val="center"/>
                </w:tcPr>
                <w:p w14:paraId="13AF304C">
                  <w:pPr>
                    <w:autoSpaceDE w:val="0"/>
                    <w:autoSpaceDN w:val="0"/>
                    <w:adjustRightInd w:val="0"/>
                    <w:snapToGrid w:val="0"/>
                    <w:jc w:val="center"/>
                    <w:rPr>
                      <w:color w:val="auto"/>
                      <w:szCs w:val="21"/>
                    </w:rPr>
                  </w:pPr>
                  <w:r>
                    <w:rPr>
                      <w:color w:val="auto"/>
                      <w:szCs w:val="21"/>
                    </w:rPr>
                    <w:t>不设置</w:t>
                  </w:r>
                </w:p>
              </w:tc>
            </w:tr>
            <w:tr w14:paraId="15691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4847E1FE">
                  <w:pPr>
                    <w:autoSpaceDE w:val="0"/>
                    <w:autoSpaceDN w:val="0"/>
                    <w:adjustRightInd w:val="0"/>
                    <w:snapToGrid w:val="0"/>
                    <w:jc w:val="center"/>
                    <w:rPr>
                      <w:color w:val="auto"/>
                      <w:szCs w:val="21"/>
                    </w:rPr>
                  </w:pPr>
                  <w:r>
                    <w:rPr>
                      <w:color w:val="auto"/>
                      <w:szCs w:val="21"/>
                    </w:rPr>
                    <w:t>环境风险</w:t>
                  </w:r>
                </w:p>
              </w:tc>
              <w:tc>
                <w:tcPr>
                  <w:tcW w:w="4069" w:type="dxa"/>
                  <w:vAlign w:val="center"/>
                </w:tcPr>
                <w:p w14:paraId="39F0C155">
                  <w:pPr>
                    <w:autoSpaceDE w:val="0"/>
                    <w:autoSpaceDN w:val="0"/>
                    <w:adjustRightInd w:val="0"/>
                    <w:snapToGrid w:val="0"/>
                    <w:jc w:val="center"/>
                    <w:rPr>
                      <w:color w:val="auto"/>
                      <w:szCs w:val="21"/>
                    </w:rPr>
                  </w:pPr>
                  <w:r>
                    <w:rPr>
                      <w:color w:val="auto"/>
                      <w:szCs w:val="21"/>
                    </w:rPr>
                    <w:t>有毒有害和易燃易爆危险物质存储量超过临界量的建设项目</w:t>
                  </w:r>
                </w:p>
              </w:tc>
              <w:tc>
                <w:tcPr>
                  <w:tcW w:w="1690" w:type="dxa"/>
                  <w:vAlign w:val="center"/>
                </w:tcPr>
                <w:p w14:paraId="514B026B">
                  <w:pPr>
                    <w:autoSpaceDE w:val="0"/>
                    <w:autoSpaceDN w:val="0"/>
                    <w:adjustRightInd w:val="0"/>
                    <w:snapToGrid w:val="0"/>
                    <w:jc w:val="center"/>
                    <w:rPr>
                      <w:color w:val="auto"/>
                      <w:szCs w:val="21"/>
                    </w:rPr>
                  </w:pPr>
                  <w:r>
                    <w:rPr>
                      <w:color w:val="auto"/>
                      <w:szCs w:val="21"/>
                    </w:rPr>
                    <w:t>设置</w:t>
                  </w:r>
                </w:p>
              </w:tc>
            </w:tr>
            <w:tr w14:paraId="4B635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64D9F168">
                  <w:pPr>
                    <w:autoSpaceDE w:val="0"/>
                    <w:autoSpaceDN w:val="0"/>
                    <w:adjustRightInd w:val="0"/>
                    <w:snapToGrid w:val="0"/>
                    <w:jc w:val="center"/>
                    <w:rPr>
                      <w:color w:val="auto"/>
                      <w:szCs w:val="21"/>
                    </w:rPr>
                  </w:pPr>
                  <w:r>
                    <w:rPr>
                      <w:color w:val="auto"/>
                      <w:szCs w:val="21"/>
                    </w:rPr>
                    <w:t>生态</w:t>
                  </w:r>
                </w:p>
              </w:tc>
              <w:tc>
                <w:tcPr>
                  <w:tcW w:w="4069" w:type="dxa"/>
                  <w:vAlign w:val="center"/>
                </w:tcPr>
                <w:p w14:paraId="13A0EEFB">
                  <w:pPr>
                    <w:autoSpaceDE w:val="0"/>
                    <w:autoSpaceDN w:val="0"/>
                    <w:adjustRightInd w:val="0"/>
                    <w:snapToGrid w:val="0"/>
                    <w:jc w:val="center"/>
                    <w:rPr>
                      <w:color w:val="auto"/>
                      <w:szCs w:val="21"/>
                    </w:rPr>
                  </w:pPr>
                  <w:r>
                    <w:rPr>
                      <w:color w:val="auto"/>
                      <w:szCs w:val="21"/>
                    </w:rPr>
                    <w:t>取水口下游500米范围内有重要水生生物的自然产卵场、索饵场、越冬场和洄游通道的新增河道取水的污染类建设项目</w:t>
                  </w:r>
                </w:p>
              </w:tc>
              <w:tc>
                <w:tcPr>
                  <w:tcW w:w="1690" w:type="dxa"/>
                  <w:vAlign w:val="center"/>
                </w:tcPr>
                <w:p w14:paraId="182CF93D">
                  <w:pPr>
                    <w:autoSpaceDE w:val="0"/>
                    <w:autoSpaceDN w:val="0"/>
                    <w:adjustRightInd w:val="0"/>
                    <w:snapToGrid w:val="0"/>
                    <w:jc w:val="center"/>
                    <w:rPr>
                      <w:color w:val="auto"/>
                      <w:szCs w:val="21"/>
                    </w:rPr>
                  </w:pPr>
                  <w:r>
                    <w:rPr>
                      <w:color w:val="auto"/>
                      <w:szCs w:val="21"/>
                    </w:rPr>
                    <w:t>不设置</w:t>
                  </w:r>
                </w:p>
              </w:tc>
            </w:tr>
            <w:tr w14:paraId="43592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4C2BB969">
                  <w:pPr>
                    <w:autoSpaceDE w:val="0"/>
                    <w:autoSpaceDN w:val="0"/>
                    <w:adjustRightInd w:val="0"/>
                    <w:snapToGrid w:val="0"/>
                    <w:jc w:val="center"/>
                    <w:rPr>
                      <w:color w:val="auto"/>
                      <w:szCs w:val="21"/>
                    </w:rPr>
                  </w:pPr>
                  <w:r>
                    <w:rPr>
                      <w:color w:val="auto"/>
                      <w:szCs w:val="21"/>
                    </w:rPr>
                    <w:t>海洋</w:t>
                  </w:r>
                </w:p>
              </w:tc>
              <w:tc>
                <w:tcPr>
                  <w:tcW w:w="4069" w:type="dxa"/>
                  <w:vAlign w:val="center"/>
                </w:tcPr>
                <w:p w14:paraId="49F79EDB">
                  <w:pPr>
                    <w:autoSpaceDE w:val="0"/>
                    <w:autoSpaceDN w:val="0"/>
                    <w:adjustRightInd w:val="0"/>
                    <w:snapToGrid w:val="0"/>
                    <w:jc w:val="center"/>
                    <w:rPr>
                      <w:color w:val="auto"/>
                      <w:szCs w:val="21"/>
                    </w:rPr>
                  </w:pPr>
                  <w:r>
                    <w:rPr>
                      <w:color w:val="auto"/>
                      <w:szCs w:val="21"/>
                    </w:rPr>
                    <w:t>直接向海排放污染物的海洋工程建设项目</w:t>
                  </w:r>
                </w:p>
              </w:tc>
              <w:tc>
                <w:tcPr>
                  <w:tcW w:w="1690" w:type="dxa"/>
                  <w:vAlign w:val="center"/>
                </w:tcPr>
                <w:p w14:paraId="643ED71E">
                  <w:pPr>
                    <w:autoSpaceDE w:val="0"/>
                    <w:autoSpaceDN w:val="0"/>
                    <w:adjustRightInd w:val="0"/>
                    <w:snapToGrid w:val="0"/>
                    <w:jc w:val="center"/>
                    <w:rPr>
                      <w:color w:val="auto"/>
                      <w:szCs w:val="21"/>
                    </w:rPr>
                  </w:pPr>
                  <w:r>
                    <w:rPr>
                      <w:color w:val="auto"/>
                      <w:szCs w:val="21"/>
                    </w:rPr>
                    <w:t>不设置</w:t>
                  </w:r>
                </w:p>
              </w:tc>
            </w:tr>
            <w:tr w14:paraId="659BB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3D07E9B6">
                  <w:pPr>
                    <w:autoSpaceDE w:val="0"/>
                    <w:autoSpaceDN w:val="0"/>
                    <w:adjustRightInd w:val="0"/>
                    <w:snapToGrid w:val="0"/>
                    <w:jc w:val="center"/>
                    <w:rPr>
                      <w:color w:val="auto"/>
                      <w:szCs w:val="21"/>
                    </w:rPr>
                  </w:pPr>
                  <w:r>
                    <w:rPr>
                      <w:color w:val="auto"/>
                      <w:szCs w:val="21"/>
                    </w:rPr>
                    <w:t>地下水</w:t>
                  </w:r>
                </w:p>
              </w:tc>
              <w:tc>
                <w:tcPr>
                  <w:tcW w:w="4069" w:type="dxa"/>
                  <w:vAlign w:val="center"/>
                </w:tcPr>
                <w:p w14:paraId="677975AF">
                  <w:pPr>
                    <w:autoSpaceDE w:val="0"/>
                    <w:autoSpaceDN w:val="0"/>
                    <w:adjustRightInd w:val="0"/>
                    <w:snapToGrid w:val="0"/>
                    <w:jc w:val="center"/>
                    <w:rPr>
                      <w:color w:val="auto"/>
                      <w:szCs w:val="21"/>
                    </w:rPr>
                  </w:pPr>
                  <w:r>
                    <w:rPr>
                      <w:color w:val="auto"/>
                      <w:szCs w:val="21"/>
                    </w:rPr>
                    <w:t>涉及集中式饮用水水源和热水、矿泉水、温泉等特殊地下水资源保护区的开展地下水专项评价工作</w:t>
                  </w:r>
                </w:p>
              </w:tc>
              <w:tc>
                <w:tcPr>
                  <w:tcW w:w="1690" w:type="dxa"/>
                  <w:vAlign w:val="center"/>
                </w:tcPr>
                <w:p w14:paraId="1F03089E">
                  <w:pPr>
                    <w:autoSpaceDE w:val="0"/>
                    <w:autoSpaceDN w:val="0"/>
                    <w:adjustRightInd w:val="0"/>
                    <w:snapToGrid w:val="0"/>
                    <w:jc w:val="center"/>
                    <w:rPr>
                      <w:color w:val="auto"/>
                      <w:szCs w:val="21"/>
                    </w:rPr>
                  </w:pPr>
                  <w:r>
                    <w:rPr>
                      <w:color w:val="auto"/>
                      <w:szCs w:val="21"/>
                    </w:rPr>
                    <w:t>不设置</w:t>
                  </w:r>
                </w:p>
              </w:tc>
            </w:tr>
          </w:tbl>
          <w:p w14:paraId="43B9A2D1">
            <w:pPr>
              <w:autoSpaceDE w:val="0"/>
              <w:autoSpaceDN w:val="0"/>
              <w:adjustRightInd w:val="0"/>
              <w:snapToGrid w:val="0"/>
              <w:spacing w:line="440" w:lineRule="exact"/>
              <w:jc w:val="center"/>
              <w:rPr>
                <w:color w:val="auto"/>
                <w:kern w:val="0"/>
                <w:sz w:val="24"/>
              </w:rPr>
            </w:pPr>
          </w:p>
        </w:tc>
      </w:tr>
      <w:tr w14:paraId="5ECBB9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136" w:type="dxa"/>
            <w:vAlign w:val="center"/>
          </w:tcPr>
          <w:p w14:paraId="1922D0BA">
            <w:pPr>
              <w:autoSpaceDE w:val="0"/>
              <w:autoSpaceDN w:val="0"/>
              <w:adjustRightInd w:val="0"/>
              <w:snapToGrid w:val="0"/>
              <w:spacing w:line="440" w:lineRule="exact"/>
              <w:jc w:val="center"/>
              <w:rPr>
                <w:color w:val="auto"/>
                <w:sz w:val="24"/>
              </w:rPr>
            </w:pPr>
            <w:r>
              <w:rPr>
                <w:color w:val="auto"/>
                <w:sz w:val="24"/>
              </w:rPr>
              <w:t>规划情况</w:t>
            </w:r>
          </w:p>
        </w:tc>
        <w:tc>
          <w:tcPr>
            <w:tcW w:w="7684" w:type="dxa"/>
            <w:gridSpan w:val="4"/>
            <w:vAlign w:val="center"/>
          </w:tcPr>
          <w:p w14:paraId="077961CE">
            <w:pPr>
              <w:autoSpaceDE w:val="0"/>
              <w:autoSpaceDN w:val="0"/>
              <w:adjustRightInd w:val="0"/>
              <w:snapToGrid w:val="0"/>
              <w:spacing w:line="360" w:lineRule="auto"/>
              <w:ind w:firstLine="480" w:firstLineChars="200"/>
              <w:rPr>
                <w:color w:val="auto"/>
                <w:sz w:val="24"/>
              </w:rPr>
            </w:pPr>
            <w:r>
              <w:rPr>
                <w:color w:val="auto"/>
                <w:sz w:val="24"/>
              </w:rPr>
              <w:t>（</w:t>
            </w:r>
            <w:r>
              <w:rPr>
                <w:rFonts w:hint="eastAsia"/>
                <w:color w:val="auto"/>
                <w:sz w:val="24"/>
              </w:rPr>
              <w:t>1</w:t>
            </w:r>
            <w:r>
              <w:rPr>
                <w:color w:val="auto"/>
                <w:sz w:val="24"/>
              </w:rPr>
              <w:t>）规划名称：《淮南经济技术开发区总体发展规划》</w:t>
            </w:r>
          </w:p>
          <w:p w14:paraId="5E86B49D">
            <w:pPr>
              <w:autoSpaceDE w:val="0"/>
              <w:autoSpaceDN w:val="0"/>
              <w:adjustRightInd w:val="0"/>
              <w:snapToGrid w:val="0"/>
              <w:spacing w:line="360" w:lineRule="auto"/>
              <w:ind w:firstLine="480" w:firstLineChars="200"/>
              <w:rPr>
                <w:color w:val="auto"/>
                <w:sz w:val="24"/>
              </w:rPr>
            </w:pPr>
            <w:r>
              <w:rPr>
                <w:color w:val="auto"/>
                <w:sz w:val="24"/>
              </w:rPr>
              <w:t>审批机关：安徽省人民政府</w:t>
            </w:r>
          </w:p>
          <w:p w14:paraId="3C828616">
            <w:pPr>
              <w:autoSpaceDE w:val="0"/>
              <w:autoSpaceDN w:val="0"/>
              <w:adjustRightInd w:val="0"/>
              <w:snapToGrid w:val="0"/>
              <w:spacing w:line="360" w:lineRule="auto"/>
              <w:ind w:firstLine="480" w:firstLineChars="200"/>
              <w:rPr>
                <w:color w:val="auto"/>
                <w:sz w:val="24"/>
              </w:rPr>
            </w:pPr>
            <w:r>
              <w:rPr>
                <w:color w:val="auto"/>
                <w:sz w:val="24"/>
              </w:rPr>
              <w:t>审批文件名称：《关于淮南经济开发区总体规划的批复》</w:t>
            </w:r>
          </w:p>
          <w:p w14:paraId="2705AEC2">
            <w:pPr>
              <w:autoSpaceDE w:val="0"/>
              <w:autoSpaceDN w:val="0"/>
              <w:adjustRightInd w:val="0"/>
              <w:snapToGrid w:val="0"/>
              <w:spacing w:line="360" w:lineRule="auto"/>
              <w:ind w:firstLine="480" w:firstLineChars="200"/>
              <w:rPr>
                <w:color w:val="auto"/>
                <w:sz w:val="24"/>
              </w:rPr>
            </w:pPr>
            <w:r>
              <w:rPr>
                <w:color w:val="auto"/>
                <w:sz w:val="24"/>
              </w:rPr>
              <w:t>审批文号：皖政秘〔1995〕88号。</w:t>
            </w:r>
          </w:p>
          <w:p w14:paraId="4D31B151">
            <w:pPr>
              <w:autoSpaceDE w:val="0"/>
              <w:autoSpaceDN w:val="0"/>
              <w:adjustRightInd w:val="0"/>
              <w:snapToGrid w:val="0"/>
              <w:spacing w:line="360" w:lineRule="auto"/>
              <w:ind w:firstLine="480" w:firstLineChars="200"/>
              <w:rPr>
                <w:color w:val="auto"/>
                <w:sz w:val="24"/>
              </w:rPr>
            </w:pPr>
            <w:r>
              <w:rPr>
                <w:color w:val="auto"/>
                <w:sz w:val="24"/>
              </w:rPr>
              <w:t>（2）</w:t>
            </w:r>
            <w:r>
              <w:rPr>
                <w:rFonts w:hint="eastAsia"/>
                <w:color w:val="auto"/>
                <w:sz w:val="24"/>
              </w:rPr>
              <w:t>规划名称：《淮南市国土空间总体规划》（2021-2035年）</w:t>
            </w:r>
          </w:p>
          <w:p w14:paraId="0C7105CB">
            <w:pPr>
              <w:autoSpaceDE w:val="0"/>
              <w:autoSpaceDN w:val="0"/>
              <w:adjustRightInd w:val="0"/>
              <w:snapToGrid w:val="0"/>
              <w:spacing w:line="360" w:lineRule="auto"/>
              <w:ind w:firstLine="480" w:firstLineChars="200"/>
              <w:rPr>
                <w:color w:val="auto"/>
                <w:sz w:val="24"/>
              </w:rPr>
            </w:pPr>
            <w:r>
              <w:rPr>
                <w:color w:val="auto"/>
                <w:sz w:val="24"/>
              </w:rPr>
              <w:t>审批机关：</w:t>
            </w:r>
            <w:r>
              <w:rPr>
                <w:rFonts w:hint="eastAsia"/>
                <w:color w:val="auto"/>
                <w:sz w:val="24"/>
              </w:rPr>
              <w:t>安徽省人民政府</w:t>
            </w:r>
          </w:p>
          <w:p w14:paraId="57E10FF1">
            <w:pPr>
              <w:autoSpaceDE w:val="0"/>
              <w:autoSpaceDN w:val="0"/>
              <w:adjustRightInd w:val="0"/>
              <w:snapToGrid w:val="0"/>
              <w:spacing w:line="360" w:lineRule="auto"/>
              <w:ind w:firstLine="480" w:firstLineChars="200"/>
              <w:rPr>
                <w:color w:val="auto"/>
                <w:sz w:val="24"/>
              </w:rPr>
            </w:pPr>
            <w:r>
              <w:rPr>
                <w:color w:val="auto"/>
                <w:sz w:val="24"/>
              </w:rPr>
              <w:t>审批文件名称：</w:t>
            </w:r>
            <w:r>
              <w:rPr>
                <w:rFonts w:hint="eastAsia"/>
                <w:color w:val="auto"/>
                <w:sz w:val="24"/>
              </w:rPr>
              <w:t>安徽省人民政府关于〈淮南市国土空间总体规划（2021-2035年）〉的批复</w:t>
            </w:r>
          </w:p>
          <w:p w14:paraId="546EB5FC">
            <w:pPr>
              <w:autoSpaceDE w:val="0"/>
              <w:autoSpaceDN w:val="0"/>
              <w:adjustRightInd w:val="0"/>
              <w:snapToGrid w:val="0"/>
              <w:spacing w:line="360" w:lineRule="auto"/>
              <w:ind w:firstLine="480" w:firstLineChars="200"/>
              <w:rPr>
                <w:color w:val="auto"/>
                <w:sz w:val="24"/>
              </w:rPr>
            </w:pPr>
            <w:r>
              <w:rPr>
                <w:color w:val="auto"/>
                <w:sz w:val="24"/>
              </w:rPr>
              <w:t>审批文号：</w:t>
            </w:r>
            <w:r>
              <w:rPr>
                <w:rFonts w:hint="eastAsia"/>
                <w:color w:val="auto"/>
                <w:sz w:val="24"/>
              </w:rPr>
              <w:t>皖政秘〔2024〕46号。</w:t>
            </w:r>
          </w:p>
        </w:tc>
      </w:tr>
      <w:tr w14:paraId="3FA81B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136" w:type="dxa"/>
            <w:vAlign w:val="center"/>
          </w:tcPr>
          <w:p w14:paraId="3749E51A">
            <w:pPr>
              <w:adjustRightInd w:val="0"/>
              <w:snapToGrid w:val="0"/>
              <w:spacing w:line="440" w:lineRule="exact"/>
              <w:jc w:val="center"/>
              <w:rPr>
                <w:color w:val="auto"/>
                <w:sz w:val="24"/>
              </w:rPr>
            </w:pPr>
            <w:r>
              <w:rPr>
                <w:color w:val="auto"/>
                <w:sz w:val="24"/>
              </w:rPr>
              <w:t>规划环境影响评价情况</w:t>
            </w:r>
          </w:p>
        </w:tc>
        <w:tc>
          <w:tcPr>
            <w:tcW w:w="7684" w:type="dxa"/>
            <w:gridSpan w:val="4"/>
            <w:vAlign w:val="center"/>
          </w:tcPr>
          <w:p w14:paraId="0D2890D1">
            <w:pPr>
              <w:autoSpaceDE w:val="0"/>
              <w:autoSpaceDN w:val="0"/>
              <w:adjustRightInd w:val="0"/>
              <w:snapToGrid w:val="0"/>
              <w:spacing w:line="360" w:lineRule="auto"/>
              <w:ind w:firstLine="480" w:firstLineChars="200"/>
              <w:rPr>
                <w:color w:val="auto"/>
                <w:sz w:val="24"/>
              </w:rPr>
            </w:pPr>
            <w:r>
              <w:rPr>
                <w:color w:val="auto"/>
                <w:sz w:val="24"/>
              </w:rPr>
              <w:t>（1）规划环境影响评价文件：</w:t>
            </w:r>
            <w:r>
              <w:rPr>
                <w:color w:val="auto"/>
                <w:kern w:val="0"/>
                <w:sz w:val="24"/>
              </w:rPr>
              <w:t>《淮南市东部工业园区总体规划环境影响报告书》</w:t>
            </w:r>
            <w:r>
              <w:rPr>
                <w:color w:val="auto"/>
                <w:sz w:val="24"/>
              </w:rPr>
              <w:t>；</w:t>
            </w:r>
          </w:p>
          <w:p w14:paraId="19DE66FB">
            <w:pPr>
              <w:autoSpaceDE w:val="0"/>
              <w:autoSpaceDN w:val="0"/>
              <w:adjustRightInd w:val="0"/>
              <w:snapToGrid w:val="0"/>
              <w:spacing w:line="360" w:lineRule="auto"/>
              <w:ind w:firstLine="480" w:firstLineChars="200"/>
              <w:rPr>
                <w:color w:val="auto"/>
                <w:sz w:val="24"/>
              </w:rPr>
            </w:pPr>
            <w:r>
              <w:rPr>
                <w:color w:val="auto"/>
                <w:sz w:val="24"/>
              </w:rPr>
              <w:t>召集审查机关：淮南市生态环境局；</w:t>
            </w:r>
          </w:p>
          <w:p w14:paraId="5EB34B75">
            <w:pPr>
              <w:autoSpaceDE w:val="0"/>
              <w:autoSpaceDN w:val="0"/>
              <w:adjustRightInd w:val="0"/>
              <w:snapToGrid w:val="0"/>
              <w:spacing w:line="360" w:lineRule="auto"/>
              <w:ind w:firstLine="480" w:firstLineChars="200"/>
              <w:rPr>
                <w:color w:val="auto"/>
                <w:kern w:val="0"/>
                <w:sz w:val="24"/>
              </w:rPr>
            </w:pPr>
            <w:r>
              <w:rPr>
                <w:color w:val="auto"/>
                <w:sz w:val="24"/>
              </w:rPr>
              <w:t>审批文件名称：</w:t>
            </w:r>
            <w:r>
              <w:rPr>
                <w:color w:val="auto"/>
                <w:kern w:val="0"/>
                <w:sz w:val="24"/>
              </w:rPr>
              <w:t>《关于淮南市东部工业园区总体规划环境影响报告书的审查意见函》（淮环函[2010]130号），2010年6月17日。</w:t>
            </w:r>
          </w:p>
          <w:p w14:paraId="1913D7D8">
            <w:pPr>
              <w:autoSpaceDE w:val="0"/>
              <w:autoSpaceDN w:val="0"/>
              <w:adjustRightInd w:val="0"/>
              <w:snapToGrid w:val="0"/>
              <w:spacing w:line="360" w:lineRule="auto"/>
              <w:ind w:firstLine="480" w:firstLineChars="200"/>
              <w:rPr>
                <w:color w:val="auto"/>
                <w:sz w:val="24"/>
              </w:rPr>
            </w:pPr>
            <w:r>
              <w:rPr>
                <w:color w:val="auto"/>
                <w:sz w:val="24"/>
              </w:rPr>
              <w:t>（</w:t>
            </w:r>
            <w:r>
              <w:rPr>
                <w:rFonts w:hint="eastAsia"/>
                <w:color w:val="auto"/>
                <w:sz w:val="24"/>
                <w:lang w:val="en-US" w:eastAsia="zh-CN"/>
              </w:rPr>
              <w:t>2</w:t>
            </w:r>
            <w:r>
              <w:rPr>
                <w:color w:val="auto"/>
                <w:sz w:val="24"/>
              </w:rPr>
              <w:t>）规划跟踪评价名称：《淮南经济技术开发区总体发展规划环境影响跟踪评价报告书》</w:t>
            </w:r>
          </w:p>
          <w:p w14:paraId="61FB0F59">
            <w:pPr>
              <w:autoSpaceDE w:val="0"/>
              <w:autoSpaceDN w:val="0"/>
              <w:adjustRightInd w:val="0"/>
              <w:snapToGrid w:val="0"/>
              <w:spacing w:line="360" w:lineRule="auto"/>
              <w:ind w:firstLine="480" w:firstLineChars="200"/>
              <w:rPr>
                <w:color w:val="auto"/>
                <w:sz w:val="24"/>
              </w:rPr>
            </w:pPr>
            <w:r>
              <w:rPr>
                <w:color w:val="auto"/>
                <w:sz w:val="24"/>
              </w:rPr>
              <w:t>审查机关：安徽省生态环境厅</w:t>
            </w:r>
          </w:p>
          <w:p w14:paraId="50FB1272">
            <w:pPr>
              <w:autoSpaceDE w:val="0"/>
              <w:autoSpaceDN w:val="0"/>
              <w:adjustRightInd w:val="0"/>
              <w:snapToGrid w:val="0"/>
              <w:spacing w:line="360" w:lineRule="auto"/>
              <w:ind w:firstLine="480" w:firstLineChars="200"/>
              <w:rPr>
                <w:color w:val="auto"/>
                <w:sz w:val="24"/>
              </w:rPr>
            </w:pPr>
            <w:r>
              <w:rPr>
                <w:color w:val="auto"/>
                <w:sz w:val="24"/>
              </w:rPr>
              <w:t>审批文件名称：安徽省生态环境厅关于印发《淮南经济技术开发区总体发展规划环境影响跟踪评价报告书审核意见》的函</w:t>
            </w:r>
          </w:p>
          <w:p w14:paraId="3DB68519">
            <w:pPr>
              <w:autoSpaceDE w:val="0"/>
              <w:autoSpaceDN w:val="0"/>
              <w:adjustRightInd w:val="0"/>
              <w:snapToGrid w:val="0"/>
              <w:spacing w:line="360" w:lineRule="auto"/>
              <w:ind w:firstLine="480" w:firstLineChars="200"/>
              <w:rPr>
                <w:color w:val="auto"/>
                <w:sz w:val="24"/>
              </w:rPr>
            </w:pPr>
            <w:r>
              <w:rPr>
                <w:color w:val="auto"/>
                <w:sz w:val="24"/>
              </w:rPr>
              <w:t>审批文号：皖环函〔2020〕411号。</w:t>
            </w:r>
          </w:p>
        </w:tc>
      </w:tr>
      <w:tr w14:paraId="6AFBE3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36" w:type="dxa"/>
            <w:vAlign w:val="center"/>
          </w:tcPr>
          <w:p w14:paraId="3C93232B">
            <w:pPr>
              <w:adjustRightInd w:val="0"/>
              <w:snapToGrid w:val="0"/>
              <w:spacing w:line="440" w:lineRule="exact"/>
              <w:jc w:val="center"/>
              <w:rPr>
                <w:color w:val="auto"/>
                <w:sz w:val="24"/>
              </w:rPr>
            </w:pPr>
            <w:r>
              <w:rPr>
                <w:color w:val="auto"/>
                <w:sz w:val="24"/>
              </w:rPr>
              <w:t>规划及规划环境影响评价符合性分析</w:t>
            </w:r>
          </w:p>
        </w:tc>
        <w:tc>
          <w:tcPr>
            <w:tcW w:w="7684" w:type="dxa"/>
            <w:gridSpan w:val="4"/>
            <w:vAlign w:val="center"/>
          </w:tcPr>
          <w:p w14:paraId="43D10043">
            <w:pPr>
              <w:autoSpaceDE w:val="0"/>
              <w:autoSpaceDN w:val="0"/>
              <w:adjustRightInd w:val="0"/>
              <w:snapToGrid w:val="0"/>
              <w:spacing w:line="360" w:lineRule="auto"/>
              <w:ind w:firstLine="482" w:firstLineChars="200"/>
              <w:rPr>
                <w:b/>
                <w:bCs/>
                <w:color w:val="auto"/>
                <w:sz w:val="24"/>
              </w:rPr>
            </w:pPr>
            <w:bookmarkStart w:id="8" w:name="_Toc32116"/>
            <w:bookmarkStart w:id="9" w:name="_Toc3369"/>
            <w:r>
              <w:rPr>
                <w:b/>
                <w:bCs/>
                <w:color w:val="auto"/>
                <w:sz w:val="24"/>
              </w:rPr>
              <w:t>1、规划相符性分析</w:t>
            </w:r>
            <w:bookmarkEnd w:id="8"/>
            <w:bookmarkEnd w:id="9"/>
          </w:p>
          <w:p w14:paraId="00A2D8AB">
            <w:pPr>
              <w:spacing w:line="360" w:lineRule="auto"/>
              <w:ind w:firstLine="480" w:firstLineChars="200"/>
              <w:rPr>
                <w:color w:val="auto"/>
                <w:sz w:val="24"/>
              </w:rPr>
            </w:pPr>
            <w:r>
              <w:rPr>
                <w:color w:val="auto"/>
                <w:sz w:val="24"/>
              </w:rPr>
              <w:t>（1）与《安徽省主体功能区规划》相符性分析</w:t>
            </w:r>
          </w:p>
          <w:p w14:paraId="1007838A">
            <w:pPr>
              <w:spacing w:line="360" w:lineRule="auto"/>
              <w:ind w:firstLine="480" w:firstLineChars="200"/>
              <w:rPr>
                <w:color w:val="auto"/>
                <w:sz w:val="24"/>
              </w:rPr>
            </w:pPr>
            <w:r>
              <w:rPr>
                <w:color w:val="auto"/>
                <w:sz w:val="24"/>
              </w:rPr>
              <w:t>本项目与《安徽省主体功能区规划》相符性分析见</w:t>
            </w:r>
            <w:r>
              <w:rPr>
                <w:rFonts w:hint="eastAsia"/>
                <w:color w:val="auto"/>
                <w:sz w:val="24"/>
                <w:lang w:val="en-US" w:eastAsia="zh-CN"/>
              </w:rPr>
              <w:t>下表</w:t>
            </w:r>
            <w:r>
              <w:rPr>
                <w:color w:val="auto"/>
                <w:sz w:val="24"/>
              </w:rPr>
              <w:t>。</w:t>
            </w:r>
          </w:p>
          <w:p w14:paraId="5EA118EC">
            <w:pPr>
              <w:jc w:val="center"/>
              <w:rPr>
                <w:b/>
                <w:color w:val="auto"/>
                <w:szCs w:val="21"/>
              </w:rPr>
            </w:pPr>
            <w:r>
              <w:rPr>
                <w:b/>
                <w:color w:val="auto"/>
                <w:szCs w:val="21"/>
              </w:rPr>
              <w:t>表1-3  本项目与安徽省主体功能区规划相符性分析一览表</w:t>
            </w:r>
          </w:p>
          <w:tbl>
            <w:tblPr>
              <w:tblStyle w:val="32"/>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108" w:type="dxa"/>
                <w:bottom w:w="0" w:type="dxa"/>
                <w:right w:w="108" w:type="dxa"/>
              </w:tblCellMar>
            </w:tblPr>
            <w:tblGrid>
              <w:gridCol w:w="826"/>
              <w:gridCol w:w="5071"/>
              <w:gridCol w:w="882"/>
              <w:gridCol w:w="672"/>
            </w:tblGrid>
            <w:tr w14:paraId="691D2C3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826" w:type="dxa"/>
                  <w:tcBorders>
                    <w:bottom w:val="single" w:color="auto" w:sz="4" w:space="0"/>
                    <w:right w:val="single" w:color="auto" w:sz="4" w:space="0"/>
                  </w:tcBorders>
                  <w:tcMar>
                    <w:left w:w="28" w:type="dxa"/>
                    <w:right w:w="28" w:type="dxa"/>
                  </w:tcMar>
                  <w:vAlign w:val="center"/>
                </w:tcPr>
                <w:p w14:paraId="3313B484">
                  <w:pPr>
                    <w:widowControl/>
                    <w:adjustRightInd w:val="0"/>
                    <w:snapToGrid w:val="0"/>
                    <w:jc w:val="center"/>
                    <w:rPr>
                      <w:color w:val="auto"/>
                      <w:szCs w:val="21"/>
                    </w:rPr>
                  </w:pPr>
                  <w:r>
                    <w:rPr>
                      <w:color w:val="auto"/>
                      <w:szCs w:val="21"/>
                    </w:rPr>
                    <w:t>规划</w:t>
                  </w:r>
                </w:p>
              </w:tc>
              <w:tc>
                <w:tcPr>
                  <w:tcW w:w="5071" w:type="dxa"/>
                  <w:tcBorders>
                    <w:left w:val="single" w:color="auto" w:sz="4" w:space="0"/>
                    <w:bottom w:val="single" w:color="auto" w:sz="4" w:space="0"/>
                    <w:right w:val="single" w:color="auto" w:sz="4" w:space="0"/>
                  </w:tcBorders>
                  <w:tcMar>
                    <w:left w:w="28" w:type="dxa"/>
                    <w:right w:w="28" w:type="dxa"/>
                  </w:tcMar>
                  <w:vAlign w:val="center"/>
                </w:tcPr>
                <w:p w14:paraId="59C4D421">
                  <w:pPr>
                    <w:widowControl/>
                    <w:adjustRightInd w:val="0"/>
                    <w:snapToGrid w:val="0"/>
                    <w:jc w:val="center"/>
                    <w:rPr>
                      <w:color w:val="auto"/>
                      <w:szCs w:val="21"/>
                    </w:rPr>
                  </w:pPr>
                  <w:r>
                    <w:rPr>
                      <w:color w:val="auto"/>
                      <w:szCs w:val="21"/>
                    </w:rPr>
                    <w:t>规划要点</w:t>
                  </w:r>
                </w:p>
              </w:tc>
              <w:tc>
                <w:tcPr>
                  <w:tcW w:w="882" w:type="dxa"/>
                  <w:tcBorders>
                    <w:left w:val="single" w:color="auto" w:sz="4" w:space="0"/>
                    <w:bottom w:val="single" w:color="auto" w:sz="4" w:space="0"/>
                    <w:right w:val="single" w:color="auto" w:sz="4" w:space="0"/>
                  </w:tcBorders>
                  <w:tcMar>
                    <w:left w:w="28" w:type="dxa"/>
                    <w:right w:w="28" w:type="dxa"/>
                  </w:tcMar>
                  <w:vAlign w:val="center"/>
                </w:tcPr>
                <w:p w14:paraId="7BEB932F">
                  <w:pPr>
                    <w:widowControl/>
                    <w:adjustRightInd w:val="0"/>
                    <w:snapToGrid w:val="0"/>
                    <w:jc w:val="center"/>
                    <w:rPr>
                      <w:color w:val="auto"/>
                      <w:szCs w:val="21"/>
                    </w:rPr>
                  </w:pPr>
                  <w:r>
                    <w:rPr>
                      <w:color w:val="auto"/>
                      <w:szCs w:val="21"/>
                    </w:rPr>
                    <w:t>本项目情况</w:t>
                  </w:r>
                </w:p>
              </w:tc>
              <w:tc>
                <w:tcPr>
                  <w:tcW w:w="672" w:type="dxa"/>
                  <w:tcBorders>
                    <w:left w:val="single" w:color="auto" w:sz="4" w:space="0"/>
                    <w:bottom w:val="single" w:color="auto" w:sz="4" w:space="0"/>
                  </w:tcBorders>
                  <w:tcMar>
                    <w:left w:w="28" w:type="dxa"/>
                    <w:right w:w="28" w:type="dxa"/>
                  </w:tcMar>
                  <w:vAlign w:val="center"/>
                </w:tcPr>
                <w:p w14:paraId="3C163A0C">
                  <w:pPr>
                    <w:widowControl/>
                    <w:adjustRightInd w:val="0"/>
                    <w:snapToGrid w:val="0"/>
                    <w:jc w:val="center"/>
                    <w:rPr>
                      <w:color w:val="auto"/>
                      <w:szCs w:val="21"/>
                    </w:rPr>
                  </w:pPr>
                  <w:r>
                    <w:rPr>
                      <w:color w:val="auto"/>
                      <w:szCs w:val="21"/>
                    </w:rPr>
                    <w:t>符合性</w:t>
                  </w:r>
                </w:p>
              </w:tc>
            </w:tr>
            <w:tr w14:paraId="7A3C830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826" w:type="dxa"/>
                  <w:tcBorders>
                    <w:top w:val="single" w:color="auto" w:sz="4" w:space="0"/>
                    <w:right w:val="single" w:color="auto" w:sz="4" w:space="0"/>
                  </w:tcBorders>
                  <w:tcMar>
                    <w:left w:w="28" w:type="dxa"/>
                    <w:right w:w="28" w:type="dxa"/>
                  </w:tcMar>
                  <w:vAlign w:val="center"/>
                </w:tcPr>
                <w:p w14:paraId="6DCCF1B1">
                  <w:pPr>
                    <w:widowControl/>
                    <w:adjustRightInd w:val="0"/>
                    <w:snapToGrid w:val="0"/>
                    <w:jc w:val="center"/>
                    <w:rPr>
                      <w:color w:val="auto"/>
                      <w:szCs w:val="21"/>
                    </w:rPr>
                  </w:pPr>
                  <w:r>
                    <w:rPr>
                      <w:color w:val="auto"/>
                      <w:szCs w:val="21"/>
                    </w:rPr>
                    <w:t>《安徽省主体功能区规划》</w:t>
                  </w:r>
                </w:p>
              </w:tc>
              <w:tc>
                <w:tcPr>
                  <w:tcW w:w="5071" w:type="dxa"/>
                  <w:tcBorders>
                    <w:top w:val="single" w:color="auto" w:sz="4" w:space="0"/>
                    <w:left w:val="single" w:color="auto" w:sz="4" w:space="0"/>
                    <w:right w:val="single" w:color="auto" w:sz="4" w:space="0"/>
                  </w:tcBorders>
                  <w:tcMar>
                    <w:left w:w="28" w:type="dxa"/>
                    <w:right w:w="28" w:type="dxa"/>
                  </w:tcMar>
                  <w:vAlign w:val="center"/>
                </w:tcPr>
                <w:p w14:paraId="3AB196D1">
                  <w:pPr>
                    <w:widowControl/>
                    <w:adjustRightInd w:val="0"/>
                    <w:snapToGrid w:val="0"/>
                    <w:jc w:val="center"/>
                    <w:rPr>
                      <w:color w:val="auto"/>
                      <w:szCs w:val="21"/>
                    </w:rPr>
                  </w:pPr>
                  <w:r>
                    <w:rPr>
                      <w:color w:val="auto"/>
                      <w:szCs w:val="21"/>
                    </w:rPr>
                    <w:t>省重点开发区域：包括阜亳片区、淮（南）蚌片区、淮（北）宿片区、六安片区、黄山片区和重点开发城镇。</w:t>
                  </w:r>
                </w:p>
                <w:p w14:paraId="4AC35FF6">
                  <w:pPr>
                    <w:widowControl/>
                    <w:adjustRightInd w:val="0"/>
                    <w:snapToGrid w:val="0"/>
                    <w:jc w:val="center"/>
                    <w:rPr>
                      <w:color w:val="auto"/>
                      <w:szCs w:val="21"/>
                    </w:rPr>
                  </w:pPr>
                  <w:r>
                    <w:rPr>
                      <w:color w:val="auto"/>
                      <w:szCs w:val="21"/>
                    </w:rPr>
                    <w:t>重点生态功能区：包括六安、安庆、池州、黄山、宣城市的16个县（市、区），其中国家重点生态功能区6个县（金寨、霍山、岳西、太湖、潜山、石台县），省重点生态功能区（歙县、黟县、祁门县、休宁县、黄山区、青阳县、泾县、旌德县、绩溪县、宁国市）；</w:t>
                  </w:r>
                </w:p>
                <w:p w14:paraId="1BCFB5B9">
                  <w:pPr>
                    <w:widowControl/>
                    <w:adjustRightInd w:val="0"/>
                    <w:snapToGrid w:val="0"/>
                    <w:jc w:val="center"/>
                    <w:rPr>
                      <w:color w:val="auto"/>
                      <w:szCs w:val="21"/>
                    </w:rPr>
                  </w:pPr>
                  <w:r>
                    <w:rPr>
                      <w:color w:val="auto"/>
                      <w:szCs w:val="21"/>
                    </w:rPr>
                    <w:t>禁止开发区域：全省共有禁止开发区域1058处，其中，国家级和省级自然保护区36处、世界自然文化遗产2处、全国重点文物保护单位130处、省级文物保护单位708处（未列入名录）、国家级和省级风景名胜区41处、国家重要湿地5处、国家湿地公园12处、国家和省森林公园66处、国家和省地质公园16处、蓄滞（行）洪区23处，以及国家级水产种质资源保护区19处</w:t>
                  </w:r>
                </w:p>
              </w:tc>
              <w:tc>
                <w:tcPr>
                  <w:tcW w:w="882" w:type="dxa"/>
                  <w:tcBorders>
                    <w:top w:val="single" w:color="auto" w:sz="4" w:space="0"/>
                    <w:left w:val="single" w:color="auto" w:sz="4" w:space="0"/>
                    <w:right w:val="single" w:color="auto" w:sz="4" w:space="0"/>
                  </w:tcBorders>
                  <w:tcMar>
                    <w:left w:w="28" w:type="dxa"/>
                    <w:right w:w="28" w:type="dxa"/>
                  </w:tcMar>
                  <w:vAlign w:val="center"/>
                </w:tcPr>
                <w:p w14:paraId="622CE4B7">
                  <w:pPr>
                    <w:widowControl/>
                    <w:adjustRightInd w:val="0"/>
                    <w:snapToGrid w:val="0"/>
                    <w:jc w:val="center"/>
                    <w:rPr>
                      <w:color w:val="auto"/>
                      <w:szCs w:val="21"/>
                    </w:rPr>
                  </w:pPr>
                  <w:r>
                    <w:rPr>
                      <w:color w:val="auto"/>
                      <w:szCs w:val="21"/>
                    </w:rPr>
                    <w:t>本项目选址位于淮南经济技术开发区内，项目所在地不涉及禁止开发区域</w:t>
                  </w:r>
                </w:p>
              </w:tc>
              <w:tc>
                <w:tcPr>
                  <w:tcW w:w="672" w:type="dxa"/>
                  <w:tcBorders>
                    <w:top w:val="single" w:color="auto" w:sz="4" w:space="0"/>
                    <w:left w:val="single" w:color="auto" w:sz="4" w:space="0"/>
                  </w:tcBorders>
                  <w:tcMar>
                    <w:left w:w="28" w:type="dxa"/>
                    <w:right w:w="28" w:type="dxa"/>
                  </w:tcMar>
                  <w:vAlign w:val="center"/>
                </w:tcPr>
                <w:p w14:paraId="21CDCF5F">
                  <w:pPr>
                    <w:widowControl/>
                    <w:adjustRightInd w:val="0"/>
                    <w:snapToGrid w:val="0"/>
                    <w:jc w:val="center"/>
                    <w:rPr>
                      <w:color w:val="auto"/>
                      <w:szCs w:val="21"/>
                    </w:rPr>
                  </w:pPr>
                  <w:r>
                    <w:rPr>
                      <w:color w:val="auto"/>
                      <w:szCs w:val="21"/>
                    </w:rPr>
                    <w:t>符合</w:t>
                  </w:r>
                </w:p>
              </w:tc>
            </w:tr>
          </w:tbl>
          <w:p w14:paraId="3453DAE9">
            <w:pPr>
              <w:spacing w:line="360" w:lineRule="auto"/>
              <w:ind w:firstLine="482" w:firstLineChars="200"/>
              <w:rPr>
                <w:b/>
                <w:bCs/>
                <w:color w:val="auto"/>
                <w:sz w:val="24"/>
              </w:rPr>
            </w:pPr>
            <w:r>
              <w:rPr>
                <w:b/>
                <w:bCs/>
                <w:color w:val="auto"/>
                <w:sz w:val="24"/>
              </w:rPr>
              <w:t>综上所述，本项目符合《安徽省主体功能区规划》。</w:t>
            </w:r>
          </w:p>
          <w:p w14:paraId="363E2503">
            <w:pPr>
              <w:spacing w:line="360" w:lineRule="auto"/>
              <w:ind w:firstLine="480" w:firstLineChars="200"/>
              <w:rPr>
                <w:color w:val="auto"/>
              </w:rPr>
            </w:pPr>
            <w:r>
              <w:rPr>
                <w:color w:val="auto"/>
                <w:sz w:val="24"/>
              </w:rPr>
              <w:t>（2）《淮南市国土空间总体规划（2021—2035年）》相符性分析</w:t>
            </w:r>
            <w:r>
              <w:rPr>
                <w:color w:val="auto"/>
              </w:rPr>
              <w:object>
                <v:shape id="_x0000_i1025" o:spt="75" type="#_x0000_t75" style="height:259.9pt;width:369.45pt;" o:ole="t" filled="f" o:preferrelative="t" stroked="f" coordsize="21600,21600">
                  <v:path/>
                  <v:fill on="f" focussize="0,0"/>
                  <v:stroke on="f"/>
                  <v:imagedata r:id="rId8" o:title=""/>
                  <o:lock v:ext="edit" aspectratio="f"/>
                  <w10:wrap type="none"/>
                  <w10:anchorlock/>
                </v:shape>
                <o:OLEObject Type="Embed" ProgID="Visio.Drawing.15" ShapeID="_x0000_i1025" DrawAspect="Content" ObjectID="_1468075725" r:id="rId7">
                  <o:LockedField>false</o:LockedField>
                </o:OLEObject>
              </w:object>
            </w:r>
          </w:p>
          <w:p w14:paraId="5415AA10">
            <w:pPr>
              <w:jc w:val="center"/>
              <w:rPr>
                <w:b/>
                <w:color w:val="auto"/>
                <w:szCs w:val="21"/>
              </w:rPr>
            </w:pPr>
            <w:r>
              <w:rPr>
                <w:b/>
                <w:color w:val="auto"/>
                <w:szCs w:val="21"/>
              </w:rPr>
              <w:t>图1-1  淮南市国土空间总体规划（2021-2035年）国土空间规划分区</w:t>
            </w:r>
          </w:p>
          <w:p w14:paraId="6A23E143">
            <w:pPr>
              <w:spacing w:line="360" w:lineRule="auto"/>
              <w:ind w:firstLine="480" w:firstLineChars="200"/>
              <w:rPr>
                <w:color w:val="auto"/>
                <w:sz w:val="24"/>
              </w:rPr>
            </w:pPr>
            <w:r>
              <w:rPr>
                <w:color w:val="auto"/>
                <w:sz w:val="24"/>
              </w:rPr>
              <w:t>对照《淮南市国土空间总体规划（2021—2035年）》中淮南市国土空间总体规划（2021-2035年），本项目位于工业发展区，不涉及生态保护区、农田保护区等。</w:t>
            </w:r>
            <w:r>
              <w:rPr>
                <w:b/>
                <w:bCs/>
                <w:color w:val="auto"/>
                <w:sz w:val="24"/>
              </w:rPr>
              <w:t>项目符合《淮南市国土空间总体规划（2021—2035年）》。</w:t>
            </w:r>
          </w:p>
          <w:p w14:paraId="250BB935">
            <w:pPr>
              <w:spacing w:line="360" w:lineRule="auto"/>
              <w:ind w:firstLine="480" w:firstLineChars="200"/>
              <w:rPr>
                <w:color w:val="auto"/>
                <w:sz w:val="24"/>
              </w:rPr>
            </w:pPr>
            <w:r>
              <w:rPr>
                <w:color w:val="auto"/>
                <w:sz w:val="24"/>
              </w:rPr>
              <w:t>（3）与《淮南经济技术开发区环境影响区域评估报告》及其审查意见相符性分析</w:t>
            </w:r>
          </w:p>
          <w:p w14:paraId="46D38CF2">
            <w:pPr>
              <w:spacing w:line="360" w:lineRule="auto"/>
              <w:ind w:firstLine="480" w:firstLineChars="200"/>
              <w:rPr>
                <w:color w:val="auto"/>
                <w:sz w:val="24"/>
              </w:rPr>
            </w:pPr>
            <w:r>
              <w:rPr>
                <w:color w:val="auto"/>
                <w:sz w:val="24"/>
              </w:rPr>
              <w:t>安徽淮南经济技术开发区始建于1988年5月，原名“淮南市洛河经济开发区”；1993年4月被安徽省人民政府批准为省级开发区。1995年5月，安徽省人民政府批复（皖政秘〔1995〕88号）了淮南经济技术开发区总体规划，批准规划面积为4.29平方公里，其中第一期开发建设面积为2平方公里，四至范围为：东至中兴路，南至合阜铁路，西至建兴路-国庆东路-建设路，北至电厂路。2008年，淮南市人民政府委托上海同济城市规划设计研究院编制了《淮南市东部工业区总体规划》（2008-2020），规划范围为南至合徐高速公路淮南连接线、西至田大路、东至洛九路、北至电厂路，规划面积20km</w:t>
            </w:r>
            <w:r>
              <w:rPr>
                <w:color w:val="auto"/>
                <w:sz w:val="24"/>
                <w:vertAlign w:val="superscript"/>
              </w:rPr>
              <w:t>2</w:t>
            </w:r>
            <w:r>
              <w:rPr>
                <w:color w:val="auto"/>
                <w:sz w:val="24"/>
              </w:rPr>
              <w:t>，规划主导产业为生物医药、纺织服装、化学工业、机械电子与新型材料、食品加工、商贸流通。</w:t>
            </w:r>
          </w:p>
          <w:p w14:paraId="34983529">
            <w:pPr>
              <w:spacing w:line="360" w:lineRule="auto"/>
              <w:ind w:firstLine="480" w:firstLineChars="200"/>
              <w:rPr>
                <w:color w:val="auto"/>
                <w:sz w:val="24"/>
              </w:rPr>
            </w:pPr>
            <w:r>
              <w:rPr>
                <w:color w:val="auto"/>
                <w:sz w:val="24"/>
              </w:rPr>
              <w:t>2010年6月17日由原淮南市环境保护局以“淮环函〔2010〕130号”印发审查意见。</w:t>
            </w:r>
          </w:p>
          <w:p w14:paraId="146D9F76">
            <w:pPr>
              <w:spacing w:line="360" w:lineRule="auto"/>
              <w:ind w:firstLine="480" w:firstLineChars="200"/>
              <w:rPr>
                <w:color w:val="auto"/>
                <w:sz w:val="24"/>
              </w:rPr>
            </w:pPr>
            <w:r>
              <w:rPr>
                <w:color w:val="auto"/>
                <w:sz w:val="24"/>
              </w:rPr>
              <w:t>2011年7月24日，《关于安徽淮南经济开发区扩区的请示》获得安徽省人民政府批复（皖政秘﹝2011﹞252号），扩区后总体规划面积为20平方公里，规划范围为：东至206国道（洛九路），南至合徐高速淮南连接线公路，西至田大路，北至电厂路。</w:t>
            </w:r>
          </w:p>
          <w:p w14:paraId="7DCEC4AA">
            <w:pPr>
              <w:spacing w:line="360" w:lineRule="auto"/>
              <w:ind w:firstLine="480" w:firstLineChars="200"/>
              <w:rPr>
                <w:color w:val="auto"/>
                <w:sz w:val="24"/>
              </w:rPr>
            </w:pPr>
            <w:r>
              <w:rPr>
                <w:color w:val="auto"/>
                <w:sz w:val="24"/>
              </w:rPr>
              <w:t>2013年3月，中华人民共和国国务院办公厅以国办函[2013]42号文同意安徽淮南经济开发区升级为国家级经济技术开发区，定名为淮南经济技术开发区，四至范围为：东至中兴路，南至合阜铁路，西至建兴路-国庆东路-建设路，北至电厂路。</w:t>
            </w:r>
          </w:p>
          <w:p w14:paraId="549D5B4E">
            <w:pPr>
              <w:spacing w:line="360" w:lineRule="auto"/>
              <w:ind w:firstLine="480" w:firstLineChars="200"/>
              <w:rPr>
                <w:color w:val="auto"/>
                <w:sz w:val="24"/>
              </w:rPr>
            </w:pPr>
            <w:r>
              <w:rPr>
                <w:color w:val="auto"/>
                <w:sz w:val="24"/>
              </w:rPr>
              <w:t>《淮南经济技术开发区环境影响区域评估报告》依据《安徽省生态环境厅关于推行“环境影响区域评估+环境标准”工作的通知》（皖环发[2021]23号）要求针对性得出了生态空间准入清单和环境准入清单，汇总如下表，经对比分析可知，本项目符合《淮南经济技术开发区环境影响区域评估报告》中明确的生态空间准入清单和环境准入清单各项要求。</w:t>
            </w:r>
          </w:p>
          <w:p w14:paraId="5350C3C8">
            <w:pPr>
              <w:jc w:val="center"/>
              <w:rPr>
                <w:b/>
                <w:color w:val="auto"/>
                <w:szCs w:val="21"/>
              </w:rPr>
            </w:pPr>
            <w:r>
              <w:rPr>
                <w:b/>
                <w:color w:val="auto"/>
                <w:szCs w:val="21"/>
              </w:rPr>
              <w:t>表1-3  与《环境影响区域评估报告》中生态空间准入清单符合性分析</w:t>
            </w:r>
          </w:p>
          <w:tbl>
            <w:tblPr>
              <w:tblStyle w:val="32"/>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97"/>
              <w:gridCol w:w="402"/>
              <w:gridCol w:w="954"/>
              <w:gridCol w:w="642"/>
              <w:gridCol w:w="1558"/>
              <w:gridCol w:w="1641"/>
              <w:gridCol w:w="1855"/>
            </w:tblGrid>
            <w:tr w14:paraId="427901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tcBorders>
                    <w:tl2br w:val="nil"/>
                    <w:tr2bl w:val="nil"/>
                  </w:tcBorders>
                  <w:vAlign w:val="center"/>
                </w:tcPr>
                <w:p w14:paraId="394C5F7A">
                  <w:pPr>
                    <w:pStyle w:val="78"/>
                    <w:spacing w:before="24" w:after="24" w:line="240" w:lineRule="auto"/>
                    <w:rPr>
                      <w:rFonts w:ascii="Times New Roman"/>
                      <w:color w:val="auto"/>
                    </w:rPr>
                  </w:pPr>
                  <w:r>
                    <w:rPr>
                      <w:rFonts w:ascii="Times New Roman"/>
                      <w:color w:val="auto"/>
                    </w:rPr>
                    <w:t>类别</w:t>
                  </w:r>
                </w:p>
              </w:tc>
              <w:tc>
                <w:tcPr>
                  <w:tcW w:w="269" w:type="pct"/>
                  <w:tcBorders>
                    <w:tl2br w:val="nil"/>
                    <w:tr2bl w:val="nil"/>
                  </w:tcBorders>
                  <w:vAlign w:val="center"/>
                </w:tcPr>
                <w:p w14:paraId="2F166EBB">
                  <w:pPr>
                    <w:pStyle w:val="78"/>
                    <w:spacing w:before="24" w:after="24" w:line="240" w:lineRule="auto"/>
                    <w:rPr>
                      <w:rFonts w:ascii="Times New Roman"/>
                      <w:color w:val="auto"/>
                    </w:rPr>
                  </w:pPr>
                  <w:r>
                    <w:rPr>
                      <w:rFonts w:ascii="Times New Roman"/>
                      <w:color w:val="auto"/>
                    </w:rPr>
                    <w:t>序号</w:t>
                  </w:r>
                </w:p>
              </w:tc>
              <w:tc>
                <w:tcPr>
                  <w:tcW w:w="640" w:type="pct"/>
                  <w:tcBorders>
                    <w:tl2br w:val="nil"/>
                    <w:tr2bl w:val="nil"/>
                  </w:tcBorders>
                  <w:vAlign w:val="center"/>
                </w:tcPr>
                <w:p w14:paraId="080FF7B0">
                  <w:pPr>
                    <w:pStyle w:val="78"/>
                    <w:spacing w:before="24" w:after="24" w:line="240" w:lineRule="auto"/>
                    <w:rPr>
                      <w:rFonts w:ascii="Times New Roman"/>
                      <w:color w:val="auto"/>
                    </w:rPr>
                  </w:pPr>
                  <w:r>
                    <w:rPr>
                      <w:rFonts w:ascii="Times New Roman"/>
                      <w:color w:val="auto"/>
                    </w:rPr>
                    <w:t>范围</w:t>
                  </w:r>
                </w:p>
              </w:tc>
              <w:tc>
                <w:tcPr>
                  <w:tcW w:w="430" w:type="pct"/>
                  <w:tcBorders>
                    <w:tl2br w:val="nil"/>
                    <w:tr2bl w:val="nil"/>
                  </w:tcBorders>
                  <w:vAlign w:val="center"/>
                </w:tcPr>
                <w:p w14:paraId="7B528800">
                  <w:pPr>
                    <w:pStyle w:val="78"/>
                    <w:spacing w:before="24" w:after="24" w:line="240" w:lineRule="auto"/>
                    <w:rPr>
                      <w:rFonts w:ascii="Times New Roman"/>
                      <w:color w:val="auto"/>
                    </w:rPr>
                  </w:pPr>
                  <w:r>
                    <w:rPr>
                      <w:rFonts w:ascii="Times New Roman"/>
                      <w:color w:val="auto"/>
                    </w:rPr>
                    <w:t>面积/亩</w:t>
                  </w:r>
                </w:p>
              </w:tc>
              <w:tc>
                <w:tcPr>
                  <w:tcW w:w="1046" w:type="pct"/>
                  <w:tcBorders>
                    <w:tl2br w:val="nil"/>
                    <w:tr2bl w:val="nil"/>
                  </w:tcBorders>
                  <w:vAlign w:val="center"/>
                </w:tcPr>
                <w:p w14:paraId="2DDDEBB8">
                  <w:pPr>
                    <w:pStyle w:val="78"/>
                    <w:spacing w:before="24" w:after="24" w:line="240" w:lineRule="auto"/>
                    <w:rPr>
                      <w:rFonts w:ascii="Times New Roman"/>
                      <w:color w:val="auto"/>
                    </w:rPr>
                  </w:pPr>
                  <w:r>
                    <w:rPr>
                      <w:rFonts w:ascii="Times New Roman"/>
                      <w:color w:val="auto"/>
                    </w:rPr>
                    <w:t>保护对象及要求</w:t>
                  </w:r>
                </w:p>
              </w:tc>
              <w:tc>
                <w:tcPr>
                  <w:tcW w:w="1101" w:type="pct"/>
                  <w:tcBorders>
                    <w:tl2br w:val="nil"/>
                    <w:tr2bl w:val="nil"/>
                  </w:tcBorders>
                  <w:vAlign w:val="center"/>
                </w:tcPr>
                <w:p w14:paraId="7AB639F9">
                  <w:pPr>
                    <w:pStyle w:val="78"/>
                    <w:spacing w:before="24" w:after="24" w:line="240" w:lineRule="auto"/>
                    <w:rPr>
                      <w:rFonts w:ascii="Times New Roman"/>
                      <w:color w:val="auto"/>
                    </w:rPr>
                  </w:pPr>
                  <w:r>
                    <w:rPr>
                      <w:rFonts w:ascii="Times New Roman"/>
                      <w:color w:val="auto"/>
                    </w:rPr>
                    <w:t>管制要求</w:t>
                  </w:r>
                </w:p>
              </w:tc>
              <w:tc>
                <w:tcPr>
                  <w:tcW w:w="1245" w:type="pct"/>
                  <w:tcBorders>
                    <w:tl2br w:val="nil"/>
                    <w:tr2bl w:val="nil"/>
                  </w:tcBorders>
                  <w:vAlign w:val="center"/>
                </w:tcPr>
                <w:p w14:paraId="49616A61">
                  <w:pPr>
                    <w:pStyle w:val="78"/>
                    <w:spacing w:before="24" w:after="24" w:line="240" w:lineRule="auto"/>
                    <w:rPr>
                      <w:rFonts w:ascii="Times New Roman"/>
                      <w:color w:val="auto"/>
                    </w:rPr>
                  </w:pPr>
                  <w:r>
                    <w:rPr>
                      <w:rFonts w:ascii="Times New Roman"/>
                      <w:color w:val="auto"/>
                    </w:rPr>
                    <w:t>相符性</w:t>
                  </w:r>
                </w:p>
              </w:tc>
            </w:tr>
            <w:tr w14:paraId="0C4406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restart"/>
                  <w:tcBorders>
                    <w:tl2br w:val="nil"/>
                    <w:tr2bl w:val="nil"/>
                  </w:tcBorders>
                  <w:vAlign w:val="center"/>
                </w:tcPr>
                <w:p w14:paraId="520AF2EA">
                  <w:pPr>
                    <w:pStyle w:val="78"/>
                    <w:spacing w:before="24" w:after="24" w:line="240" w:lineRule="auto"/>
                    <w:rPr>
                      <w:rFonts w:ascii="Times New Roman"/>
                      <w:color w:val="auto"/>
                    </w:rPr>
                  </w:pPr>
                  <w:r>
                    <w:rPr>
                      <w:rFonts w:ascii="Times New Roman"/>
                      <w:color w:val="auto"/>
                    </w:rPr>
                    <w:t>生态 空间 布局</w:t>
                  </w:r>
                </w:p>
              </w:tc>
              <w:tc>
                <w:tcPr>
                  <w:tcW w:w="269" w:type="pct"/>
                  <w:tcBorders>
                    <w:tl2br w:val="nil"/>
                    <w:tr2bl w:val="nil"/>
                  </w:tcBorders>
                  <w:vAlign w:val="center"/>
                </w:tcPr>
                <w:p w14:paraId="4AF3CAD7">
                  <w:pPr>
                    <w:pStyle w:val="78"/>
                    <w:spacing w:before="24" w:after="24" w:line="240" w:lineRule="auto"/>
                    <w:rPr>
                      <w:rFonts w:ascii="Times New Roman"/>
                      <w:color w:val="auto"/>
                    </w:rPr>
                  </w:pPr>
                  <w:r>
                    <w:rPr>
                      <w:rFonts w:ascii="Times New Roman"/>
                      <w:color w:val="auto"/>
                    </w:rPr>
                    <w:t>1</w:t>
                  </w:r>
                </w:p>
              </w:tc>
              <w:tc>
                <w:tcPr>
                  <w:tcW w:w="640" w:type="pct"/>
                  <w:tcBorders>
                    <w:tl2br w:val="nil"/>
                    <w:tr2bl w:val="nil"/>
                  </w:tcBorders>
                  <w:vAlign w:val="center"/>
                </w:tcPr>
                <w:p w14:paraId="20BC1337">
                  <w:pPr>
                    <w:pStyle w:val="78"/>
                    <w:spacing w:before="24" w:after="24" w:line="240" w:lineRule="auto"/>
                    <w:rPr>
                      <w:rFonts w:ascii="Times New Roman"/>
                      <w:color w:val="auto"/>
                    </w:rPr>
                  </w:pPr>
                  <w:r>
                    <w:rPr>
                      <w:rFonts w:ascii="Times New Roman"/>
                      <w:color w:val="auto"/>
                    </w:rPr>
                    <w:t>绿地</w:t>
                  </w:r>
                </w:p>
              </w:tc>
              <w:tc>
                <w:tcPr>
                  <w:tcW w:w="430" w:type="pct"/>
                  <w:tcBorders>
                    <w:tl2br w:val="nil"/>
                    <w:tr2bl w:val="nil"/>
                  </w:tcBorders>
                  <w:vAlign w:val="center"/>
                </w:tcPr>
                <w:p w14:paraId="3B504925">
                  <w:pPr>
                    <w:pStyle w:val="78"/>
                    <w:spacing w:before="24" w:after="24" w:line="240" w:lineRule="auto"/>
                    <w:rPr>
                      <w:rFonts w:ascii="Times New Roman"/>
                      <w:color w:val="auto"/>
                    </w:rPr>
                  </w:pPr>
                  <w:r>
                    <w:rPr>
                      <w:rFonts w:ascii="Times New Roman"/>
                      <w:color w:val="auto"/>
                    </w:rPr>
                    <w:t>460.39</w:t>
                  </w:r>
                </w:p>
              </w:tc>
              <w:tc>
                <w:tcPr>
                  <w:tcW w:w="1046" w:type="pct"/>
                  <w:vMerge w:val="restart"/>
                  <w:tcBorders>
                    <w:tl2br w:val="nil"/>
                    <w:tr2bl w:val="nil"/>
                  </w:tcBorders>
                  <w:vAlign w:val="center"/>
                </w:tcPr>
                <w:p w14:paraId="100D722B">
                  <w:pPr>
                    <w:pStyle w:val="78"/>
                    <w:spacing w:before="24" w:after="24" w:line="240" w:lineRule="auto"/>
                    <w:rPr>
                      <w:rFonts w:ascii="Times New Roman"/>
                      <w:color w:val="auto"/>
                    </w:rPr>
                  </w:pPr>
                  <w:r>
                    <w:rPr>
                      <w:rFonts w:ascii="Times New Roman"/>
                      <w:color w:val="auto"/>
                    </w:rPr>
                    <w:t>开发区内的生态环境，以及绿化防护、调节气候、蓄纳洪水等功能</w:t>
                  </w:r>
                </w:p>
              </w:tc>
              <w:tc>
                <w:tcPr>
                  <w:tcW w:w="1101" w:type="pct"/>
                  <w:vMerge w:val="restart"/>
                  <w:tcBorders>
                    <w:tl2br w:val="nil"/>
                    <w:tr2bl w:val="nil"/>
                  </w:tcBorders>
                  <w:vAlign w:val="center"/>
                </w:tcPr>
                <w:p w14:paraId="27C6A188">
                  <w:pPr>
                    <w:pStyle w:val="78"/>
                    <w:spacing w:before="24" w:after="24" w:line="240" w:lineRule="auto"/>
                    <w:rPr>
                      <w:rFonts w:ascii="Times New Roman"/>
                      <w:color w:val="auto"/>
                    </w:rPr>
                  </w:pPr>
                  <w:r>
                    <w:rPr>
                      <w:rFonts w:ascii="Times New Roman"/>
                      <w:color w:val="auto"/>
                    </w:rPr>
                    <w:t>限建区。不得建设与其用地类别建设内容要求不相符的项目，限制大规模的城镇开发建设活动，维护区域范围生态绿地和生态廊道的连通性。</w:t>
                  </w:r>
                </w:p>
              </w:tc>
              <w:tc>
                <w:tcPr>
                  <w:tcW w:w="1245" w:type="pct"/>
                  <w:vMerge w:val="restart"/>
                  <w:tcBorders>
                    <w:tl2br w:val="nil"/>
                    <w:tr2bl w:val="nil"/>
                  </w:tcBorders>
                  <w:vAlign w:val="center"/>
                </w:tcPr>
                <w:p w14:paraId="776F88C3">
                  <w:pPr>
                    <w:pStyle w:val="78"/>
                    <w:spacing w:before="24" w:after="24" w:line="240" w:lineRule="auto"/>
                    <w:rPr>
                      <w:rFonts w:ascii="Times New Roman"/>
                      <w:color w:val="auto"/>
                    </w:rPr>
                  </w:pPr>
                  <w:r>
                    <w:rPr>
                      <w:rFonts w:ascii="Times New Roman"/>
                      <w:color w:val="auto"/>
                    </w:rPr>
                    <w:t>本项目位于淮南经济技术开发区，租用厂房实施本项目，根据《限制用地项目目录（2012年本）》和《禁止用地项目目录（2012年本）》，本项目不属于限制和禁止用地目录，符合。</w:t>
                  </w:r>
                </w:p>
              </w:tc>
            </w:tr>
            <w:tr w14:paraId="2ACA7F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3DE52EBE">
                  <w:pPr>
                    <w:pStyle w:val="78"/>
                    <w:spacing w:before="24" w:after="24" w:line="240" w:lineRule="auto"/>
                    <w:rPr>
                      <w:rFonts w:ascii="Times New Roman"/>
                      <w:color w:val="auto"/>
                    </w:rPr>
                  </w:pPr>
                </w:p>
              </w:tc>
              <w:tc>
                <w:tcPr>
                  <w:tcW w:w="269" w:type="pct"/>
                  <w:tcBorders>
                    <w:tl2br w:val="nil"/>
                    <w:tr2bl w:val="nil"/>
                  </w:tcBorders>
                  <w:vAlign w:val="center"/>
                </w:tcPr>
                <w:p w14:paraId="550D236F">
                  <w:pPr>
                    <w:pStyle w:val="78"/>
                    <w:spacing w:before="24" w:after="24" w:line="240" w:lineRule="auto"/>
                    <w:rPr>
                      <w:rFonts w:ascii="Times New Roman"/>
                      <w:color w:val="auto"/>
                    </w:rPr>
                  </w:pPr>
                  <w:r>
                    <w:rPr>
                      <w:rFonts w:ascii="Times New Roman"/>
                      <w:color w:val="auto"/>
                    </w:rPr>
                    <w:t>2</w:t>
                  </w:r>
                </w:p>
              </w:tc>
              <w:tc>
                <w:tcPr>
                  <w:tcW w:w="640" w:type="pct"/>
                  <w:tcBorders>
                    <w:tl2br w:val="nil"/>
                    <w:tr2bl w:val="nil"/>
                  </w:tcBorders>
                  <w:vAlign w:val="center"/>
                </w:tcPr>
                <w:p w14:paraId="34A94DB3">
                  <w:pPr>
                    <w:pStyle w:val="78"/>
                    <w:spacing w:before="24" w:after="24" w:line="240" w:lineRule="auto"/>
                    <w:rPr>
                      <w:rFonts w:ascii="Times New Roman"/>
                      <w:color w:val="auto"/>
                    </w:rPr>
                  </w:pPr>
                  <w:r>
                    <w:rPr>
                      <w:rFonts w:ascii="Times New Roman"/>
                      <w:color w:val="auto"/>
                    </w:rPr>
                    <w:t>水域</w:t>
                  </w:r>
                </w:p>
              </w:tc>
              <w:tc>
                <w:tcPr>
                  <w:tcW w:w="430" w:type="pct"/>
                  <w:tcBorders>
                    <w:tl2br w:val="nil"/>
                    <w:tr2bl w:val="nil"/>
                  </w:tcBorders>
                  <w:vAlign w:val="center"/>
                </w:tcPr>
                <w:p w14:paraId="453A8EE2">
                  <w:pPr>
                    <w:pStyle w:val="78"/>
                    <w:spacing w:before="24" w:after="24" w:line="240" w:lineRule="auto"/>
                    <w:rPr>
                      <w:rFonts w:ascii="Times New Roman"/>
                      <w:color w:val="auto"/>
                    </w:rPr>
                  </w:pPr>
                  <w:r>
                    <w:rPr>
                      <w:rFonts w:ascii="Times New Roman"/>
                      <w:color w:val="auto"/>
                    </w:rPr>
                    <w:t>9.11</w:t>
                  </w:r>
                </w:p>
              </w:tc>
              <w:tc>
                <w:tcPr>
                  <w:tcW w:w="1046" w:type="pct"/>
                  <w:vMerge w:val="continue"/>
                  <w:tcBorders>
                    <w:tl2br w:val="nil"/>
                    <w:tr2bl w:val="nil"/>
                  </w:tcBorders>
                  <w:vAlign w:val="center"/>
                </w:tcPr>
                <w:p w14:paraId="6E65D40F">
                  <w:pPr>
                    <w:pStyle w:val="78"/>
                    <w:spacing w:before="24" w:after="24" w:line="240" w:lineRule="auto"/>
                    <w:rPr>
                      <w:rFonts w:ascii="Times New Roman"/>
                      <w:color w:val="auto"/>
                    </w:rPr>
                  </w:pPr>
                </w:p>
              </w:tc>
              <w:tc>
                <w:tcPr>
                  <w:tcW w:w="1101" w:type="pct"/>
                  <w:vMerge w:val="continue"/>
                  <w:tcBorders>
                    <w:tl2br w:val="nil"/>
                    <w:tr2bl w:val="nil"/>
                  </w:tcBorders>
                  <w:vAlign w:val="center"/>
                </w:tcPr>
                <w:p w14:paraId="1CAAE087">
                  <w:pPr>
                    <w:pStyle w:val="78"/>
                    <w:spacing w:before="24" w:after="24" w:line="240" w:lineRule="auto"/>
                    <w:rPr>
                      <w:rFonts w:ascii="Times New Roman"/>
                      <w:color w:val="auto"/>
                    </w:rPr>
                  </w:pPr>
                </w:p>
              </w:tc>
              <w:tc>
                <w:tcPr>
                  <w:tcW w:w="1245" w:type="pct"/>
                  <w:vMerge w:val="continue"/>
                  <w:tcBorders>
                    <w:tl2br w:val="nil"/>
                    <w:tr2bl w:val="nil"/>
                  </w:tcBorders>
                  <w:vAlign w:val="center"/>
                </w:tcPr>
                <w:p w14:paraId="77B6CE75">
                  <w:pPr>
                    <w:pStyle w:val="78"/>
                    <w:spacing w:before="24" w:after="24" w:line="240" w:lineRule="auto"/>
                    <w:rPr>
                      <w:rFonts w:ascii="Times New Roman"/>
                      <w:color w:val="auto"/>
                    </w:rPr>
                  </w:pPr>
                </w:p>
              </w:tc>
            </w:tr>
            <w:tr w14:paraId="3A3B98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4096BE2B">
                  <w:pPr>
                    <w:pStyle w:val="78"/>
                    <w:spacing w:before="24" w:after="24" w:line="240" w:lineRule="auto"/>
                    <w:rPr>
                      <w:rFonts w:ascii="Times New Roman"/>
                      <w:color w:val="auto"/>
                    </w:rPr>
                  </w:pPr>
                </w:p>
              </w:tc>
              <w:tc>
                <w:tcPr>
                  <w:tcW w:w="269" w:type="pct"/>
                  <w:tcBorders>
                    <w:tl2br w:val="nil"/>
                    <w:tr2bl w:val="nil"/>
                  </w:tcBorders>
                  <w:vAlign w:val="center"/>
                </w:tcPr>
                <w:p w14:paraId="5C2F399A">
                  <w:pPr>
                    <w:pStyle w:val="78"/>
                    <w:spacing w:before="24" w:after="24" w:line="240" w:lineRule="auto"/>
                    <w:rPr>
                      <w:rFonts w:ascii="Times New Roman"/>
                      <w:color w:val="auto"/>
                    </w:rPr>
                  </w:pPr>
                  <w:r>
                    <w:rPr>
                      <w:rFonts w:ascii="Times New Roman"/>
                      <w:color w:val="auto"/>
                    </w:rPr>
                    <w:t>3</w:t>
                  </w:r>
                </w:p>
              </w:tc>
              <w:tc>
                <w:tcPr>
                  <w:tcW w:w="640" w:type="pct"/>
                  <w:tcBorders>
                    <w:tl2br w:val="nil"/>
                    <w:tr2bl w:val="nil"/>
                  </w:tcBorders>
                  <w:vAlign w:val="center"/>
                </w:tcPr>
                <w:p w14:paraId="7C4A4D86">
                  <w:pPr>
                    <w:pStyle w:val="78"/>
                    <w:spacing w:before="24" w:after="24" w:line="240" w:lineRule="auto"/>
                    <w:rPr>
                      <w:rFonts w:ascii="Times New Roman"/>
                      <w:color w:val="auto"/>
                    </w:rPr>
                  </w:pPr>
                  <w:r>
                    <w:rPr>
                      <w:rFonts w:ascii="Times New Roman"/>
                      <w:color w:val="auto"/>
                    </w:rPr>
                    <w:t>生态</w:t>
                  </w:r>
                </w:p>
              </w:tc>
              <w:tc>
                <w:tcPr>
                  <w:tcW w:w="430" w:type="pct"/>
                  <w:tcBorders>
                    <w:tl2br w:val="nil"/>
                    <w:tr2bl w:val="nil"/>
                  </w:tcBorders>
                  <w:vAlign w:val="center"/>
                </w:tcPr>
                <w:p w14:paraId="324683D6">
                  <w:pPr>
                    <w:pStyle w:val="78"/>
                    <w:spacing w:before="24" w:after="24" w:line="240" w:lineRule="auto"/>
                    <w:rPr>
                      <w:rFonts w:ascii="Times New Roman"/>
                      <w:color w:val="auto"/>
                    </w:rPr>
                  </w:pPr>
                  <w:r>
                    <w:rPr>
                      <w:rFonts w:ascii="Times New Roman"/>
                      <w:color w:val="auto"/>
                    </w:rPr>
                    <w:t>32</w:t>
                  </w:r>
                </w:p>
              </w:tc>
              <w:tc>
                <w:tcPr>
                  <w:tcW w:w="1046" w:type="pct"/>
                  <w:tcBorders>
                    <w:tl2br w:val="nil"/>
                    <w:tr2bl w:val="nil"/>
                  </w:tcBorders>
                  <w:vAlign w:val="center"/>
                </w:tcPr>
                <w:p w14:paraId="7185301C">
                  <w:pPr>
                    <w:pStyle w:val="78"/>
                    <w:spacing w:before="24" w:after="24" w:line="240" w:lineRule="auto"/>
                    <w:rPr>
                      <w:rFonts w:ascii="Times New Roman"/>
                      <w:color w:val="auto"/>
                    </w:rPr>
                  </w:pPr>
                  <w:r>
                    <w:rPr>
                      <w:rFonts w:ascii="Times New Roman"/>
                      <w:color w:val="auto"/>
                    </w:rPr>
                    <w:t>淮河干流堤防外缘线1公里范围内</w:t>
                  </w:r>
                </w:p>
              </w:tc>
              <w:tc>
                <w:tcPr>
                  <w:tcW w:w="1101" w:type="pct"/>
                  <w:tcBorders>
                    <w:tl2br w:val="nil"/>
                    <w:tr2bl w:val="nil"/>
                  </w:tcBorders>
                  <w:vAlign w:val="center"/>
                </w:tcPr>
                <w:p w14:paraId="575BAA4F">
                  <w:pPr>
                    <w:pStyle w:val="78"/>
                    <w:spacing w:before="24" w:after="24" w:line="240" w:lineRule="auto"/>
                    <w:rPr>
                      <w:rFonts w:ascii="Times New Roman"/>
                      <w:color w:val="auto"/>
                    </w:rPr>
                  </w:pPr>
                  <w:r>
                    <w:rPr>
                      <w:rFonts w:ascii="Times New Roman"/>
                      <w:color w:val="auto"/>
                    </w:rPr>
                    <w:t>“禁新建”。不得布局新的工业园区。已批未开工的项目，依法停止建设支持重新选址。</w:t>
                  </w:r>
                </w:p>
              </w:tc>
              <w:tc>
                <w:tcPr>
                  <w:tcW w:w="1245" w:type="pct"/>
                  <w:tcBorders>
                    <w:tl2br w:val="nil"/>
                    <w:tr2bl w:val="nil"/>
                  </w:tcBorders>
                  <w:vAlign w:val="center"/>
                </w:tcPr>
                <w:p w14:paraId="01886971">
                  <w:pPr>
                    <w:pStyle w:val="78"/>
                    <w:spacing w:before="24" w:after="24" w:line="240" w:lineRule="auto"/>
                    <w:rPr>
                      <w:rFonts w:ascii="Times New Roman"/>
                      <w:color w:val="auto"/>
                    </w:rPr>
                  </w:pPr>
                  <w:r>
                    <w:rPr>
                      <w:rFonts w:ascii="Times New Roman"/>
                      <w:color w:val="auto"/>
                    </w:rPr>
                    <w:t>本项目不在淮河岸线一公里范围内，符合。</w:t>
                  </w:r>
                </w:p>
              </w:tc>
            </w:tr>
            <w:tr w14:paraId="79944C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266" w:type="pct"/>
                  <w:vMerge w:val="restart"/>
                  <w:tcBorders>
                    <w:tl2br w:val="nil"/>
                    <w:tr2bl w:val="nil"/>
                  </w:tcBorders>
                  <w:vAlign w:val="center"/>
                </w:tcPr>
                <w:p w14:paraId="27203E0E">
                  <w:pPr>
                    <w:pStyle w:val="78"/>
                    <w:spacing w:before="24" w:after="24" w:line="240" w:lineRule="auto"/>
                    <w:rPr>
                      <w:rFonts w:ascii="Times New Roman"/>
                      <w:color w:val="auto"/>
                    </w:rPr>
                  </w:pPr>
                  <w:r>
                    <w:rPr>
                      <w:rFonts w:ascii="Times New Roman"/>
                      <w:color w:val="auto"/>
                    </w:rPr>
                    <w:t>产业 空间 结构</w:t>
                  </w:r>
                </w:p>
              </w:tc>
              <w:tc>
                <w:tcPr>
                  <w:tcW w:w="269" w:type="pct"/>
                  <w:tcBorders>
                    <w:tl2br w:val="nil"/>
                    <w:tr2bl w:val="nil"/>
                  </w:tcBorders>
                  <w:vAlign w:val="center"/>
                </w:tcPr>
                <w:p w14:paraId="3891536A">
                  <w:pPr>
                    <w:pStyle w:val="78"/>
                    <w:spacing w:before="24" w:after="24" w:line="240" w:lineRule="auto"/>
                    <w:rPr>
                      <w:rFonts w:ascii="Times New Roman"/>
                      <w:color w:val="auto"/>
                    </w:rPr>
                  </w:pPr>
                  <w:r>
                    <w:rPr>
                      <w:rFonts w:ascii="Times New Roman"/>
                      <w:color w:val="auto"/>
                    </w:rPr>
                    <w:t>1</w:t>
                  </w:r>
                </w:p>
              </w:tc>
              <w:tc>
                <w:tcPr>
                  <w:tcW w:w="640" w:type="pct"/>
                  <w:tcBorders>
                    <w:tl2br w:val="nil"/>
                    <w:tr2bl w:val="nil"/>
                  </w:tcBorders>
                  <w:vAlign w:val="center"/>
                </w:tcPr>
                <w:p w14:paraId="325B2DF2">
                  <w:pPr>
                    <w:pStyle w:val="78"/>
                    <w:spacing w:before="24" w:after="24" w:line="240" w:lineRule="auto"/>
                    <w:rPr>
                      <w:rFonts w:ascii="Times New Roman"/>
                      <w:color w:val="auto"/>
                    </w:rPr>
                  </w:pPr>
                  <w:r>
                    <w:rPr>
                      <w:rFonts w:ascii="Times New Roman"/>
                      <w:color w:val="auto"/>
                    </w:rPr>
                    <w:t>生物医药</w:t>
                  </w:r>
                </w:p>
              </w:tc>
              <w:tc>
                <w:tcPr>
                  <w:tcW w:w="430" w:type="pct"/>
                  <w:tcBorders>
                    <w:tl2br w:val="nil"/>
                    <w:tr2bl w:val="nil"/>
                  </w:tcBorders>
                  <w:vAlign w:val="center"/>
                </w:tcPr>
                <w:p w14:paraId="795E02E3">
                  <w:pPr>
                    <w:pStyle w:val="78"/>
                    <w:spacing w:before="24" w:after="24" w:line="240" w:lineRule="auto"/>
                    <w:rPr>
                      <w:rFonts w:ascii="Times New Roman"/>
                      <w:color w:val="auto"/>
                    </w:rPr>
                  </w:pPr>
                  <w:r>
                    <w:rPr>
                      <w:rFonts w:ascii="Times New Roman"/>
                      <w:color w:val="auto"/>
                    </w:rPr>
                    <w:t>1278</w:t>
                  </w:r>
                </w:p>
              </w:tc>
              <w:tc>
                <w:tcPr>
                  <w:tcW w:w="1046" w:type="pct"/>
                  <w:tcBorders>
                    <w:tl2br w:val="nil"/>
                    <w:tr2bl w:val="nil"/>
                  </w:tcBorders>
                  <w:vAlign w:val="center"/>
                </w:tcPr>
                <w:p w14:paraId="1680F5E5">
                  <w:pPr>
                    <w:pStyle w:val="78"/>
                    <w:spacing w:before="24" w:after="24" w:line="240" w:lineRule="auto"/>
                    <w:rPr>
                      <w:rFonts w:ascii="Times New Roman"/>
                      <w:color w:val="auto"/>
                    </w:rPr>
                  </w:pPr>
                  <w:r>
                    <w:rPr>
                      <w:rFonts w:ascii="Times New Roman"/>
                      <w:color w:val="auto"/>
                    </w:rPr>
                    <w:t>发展生物医药产业</w:t>
                  </w:r>
                </w:p>
              </w:tc>
              <w:tc>
                <w:tcPr>
                  <w:tcW w:w="1101" w:type="pct"/>
                  <w:vMerge w:val="restart"/>
                  <w:tcBorders>
                    <w:tl2br w:val="nil"/>
                    <w:tr2bl w:val="nil"/>
                  </w:tcBorders>
                  <w:vAlign w:val="center"/>
                </w:tcPr>
                <w:p w14:paraId="007B6D00">
                  <w:pPr>
                    <w:pStyle w:val="78"/>
                    <w:spacing w:before="24" w:after="24" w:line="240" w:lineRule="auto"/>
                    <w:rPr>
                      <w:rFonts w:ascii="Times New Roman"/>
                      <w:color w:val="auto"/>
                    </w:rPr>
                  </w:pPr>
                  <w:r>
                    <w:rPr>
                      <w:rFonts w:ascii="Times New Roman"/>
                      <w:color w:val="auto"/>
                    </w:rPr>
                    <w:t>严格控制产业用地边界，强化规划指导，限制占用生态和生活营地。提高环境准入门槛，引进项目应符合环境准入负面清单。落实入区企业污染减缓措施，加强环境保护管理，建立健全区域风险防范体系。</w:t>
                  </w:r>
                </w:p>
              </w:tc>
              <w:tc>
                <w:tcPr>
                  <w:tcW w:w="1245" w:type="pct"/>
                  <w:vMerge w:val="restart"/>
                  <w:tcBorders>
                    <w:tl2br w:val="nil"/>
                    <w:tr2bl w:val="nil"/>
                  </w:tcBorders>
                  <w:vAlign w:val="center"/>
                </w:tcPr>
                <w:p w14:paraId="364D9235">
                  <w:pPr>
                    <w:pStyle w:val="78"/>
                    <w:spacing w:before="24" w:after="24" w:line="240" w:lineRule="auto"/>
                    <w:rPr>
                      <w:rFonts w:ascii="Times New Roman"/>
                      <w:color w:val="auto"/>
                    </w:rPr>
                  </w:pPr>
                  <w:r>
                    <w:rPr>
                      <w:rFonts w:ascii="Times New Roman"/>
                      <w:color w:val="auto"/>
                    </w:rPr>
                    <w:t>本项目属于非金属矿物制品制造，</w:t>
                  </w:r>
                  <w:r>
                    <w:rPr>
                      <w:rFonts w:hint="eastAsia" w:ascii="Times New Roman"/>
                      <w:color w:val="auto"/>
                      <w:lang w:val="en-US" w:eastAsia="zh-CN"/>
                    </w:rPr>
                    <w:t>不占用</w:t>
                  </w:r>
                  <w:r>
                    <w:rPr>
                      <w:rFonts w:ascii="Times New Roman"/>
                      <w:color w:val="auto"/>
                    </w:rPr>
                    <w:t>限制占用生态和生活营地</w:t>
                  </w:r>
                  <w:r>
                    <w:rPr>
                      <w:rFonts w:hint="eastAsia" w:ascii="Times New Roman"/>
                      <w:color w:val="auto"/>
                      <w:lang w:eastAsia="zh-CN"/>
                    </w:rPr>
                    <w:t>，</w:t>
                  </w:r>
                  <w:r>
                    <w:rPr>
                      <w:rFonts w:hint="eastAsia" w:ascii="Times New Roman"/>
                      <w:color w:val="auto"/>
                      <w:lang w:val="en-US" w:eastAsia="zh-CN"/>
                    </w:rPr>
                    <w:t>不在规划</w:t>
                  </w:r>
                  <w:r>
                    <w:rPr>
                      <w:rFonts w:ascii="Times New Roman"/>
                      <w:color w:val="auto"/>
                    </w:rPr>
                    <w:t>环境准入负面清单</w:t>
                  </w:r>
                  <w:r>
                    <w:rPr>
                      <w:rFonts w:hint="eastAsia" w:ascii="Times New Roman"/>
                      <w:color w:val="auto"/>
                      <w:lang w:val="en-US" w:eastAsia="zh-CN"/>
                    </w:rPr>
                    <w:t>内</w:t>
                  </w:r>
                  <w:r>
                    <w:rPr>
                      <w:rFonts w:ascii="Times New Roman"/>
                      <w:color w:val="auto"/>
                    </w:rPr>
                    <w:t>；符合。</w:t>
                  </w:r>
                </w:p>
              </w:tc>
            </w:tr>
            <w:tr w14:paraId="04B0AD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0A05B635">
                  <w:pPr>
                    <w:pStyle w:val="78"/>
                    <w:spacing w:before="24" w:after="24" w:line="240" w:lineRule="auto"/>
                    <w:rPr>
                      <w:rFonts w:ascii="Times New Roman"/>
                      <w:color w:val="auto"/>
                    </w:rPr>
                  </w:pPr>
                </w:p>
              </w:tc>
              <w:tc>
                <w:tcPr>
                  <w:tcW w:w="269" w:type="pct"/>
                  <w:tcBorders>
                    <w:tl2br w:val="nil"/>
                    <w:tr2bl w:val="nil"/>
                  </w:tcBorders>
                  <w:vAlign w:val="center"/>
                </w:tcPr>
                <w:p w14:paraId="3CB0352D">
                  <w:pPr>
                    <w:pStyle w:val="78"/>
                    <w:spacing w:before="24" w:after="24" w:line="240" w:lineRule="auto"/>
                    <w:rPr>
                      <w:rFonts w:ascii="Times New Roman"/>
                      <w:color w:val="auto"/>
                    </w:rPr>
                  </w:pPr>
                  <w:r>
                    <w:rPr>
                      <w:rFonts w:ascii="Times New Roman"/>
                      <w:color w:val="auto"/>
                    </w:rPr>
                    <w:t>2</w:t>
                  </w:r>
                </w:p>
              </w:tc>
              <w:tc>
                <w:tcPr>
                  <w:tcW w:w="640" w:type="pct"/>
                  <w:tcBorders>
                    <w:tl2br w:val="nil"/>
                    <w:tr2bl w:val="nil"/>
                  </w:tcBorders>
                  <w:vAlign w:val="center"/>
                </w:tcPr>
                <w:p w14:paraId="49AF46CB">
                  <w:pPr>
                    <w:pStyle w:val="78"/>
                    <w:spacing w:before="24" w:after="24" w:line="240" w:lineRule="auto"/>
                    <w:rPr>
                      <w:rFonts w:ascii="Times New Roman"/>
                      <w:color w:val="auto"/>
                    </w:rPr>
                  </w:pPr>
                  <w:r>
                    <w:rPr>
                      <w:rFonts w:ascii="Times New Roman"/>
                      <w:color w:val="auto"/>
                    </w:rPr>
                    <w:t>纺织服装</w:t>
                  </w:r>
                </w:p>
              </w:tc>
              <w:tc>
                <w:tcPr>
                  <w:tcW w:w="430" w:type="pct"/>
                  <w:tcBorders>
                    <w:tl2br w:val="nil"/>
                    <w:tr2bl w:val="nil"/>
                  </w:tcBorders>
                  <w:vAlign w:val="center"/>
                </w:tcPr>
                <w:p w14:paraId="05DE07AA">
                  <w:pPr>
                    <w:pStyle w:val="78"/>
                    <w:spacing w:before="24" w:after="24" w:line="240" w:lineRule="auto"/>
                    <w:rPr>
                      <w:rFonts w:ascii="Times New Roman"/>
                      <w:color w:val="auto"/>
                    </w:rPr>
                  </w:pPr>
                  <w:r>
                    <w:rPr>
                      <w:rFonts w:ascii="Times New Roman"/>
                      <w:color w:val="auto"/>
                    </w:rPr>
                    <w:t>267</w:t>
                  </w:r>
                </w:p>
              </w:tc>
              <w:tc>
                <w:tcPr>
                  <w:tcW w:w="1046" w:type="pct"/>
                  <w:tcBorders>
                    <w:tl2br w:val="nil"/>
                    <w:tr2bl w:val="nil"/>
                  </w:tcBorders>
                  <w:vAlign w:val="center"/>
                </w:tcPr>
                <w:p w14:paraId="12D8CB16">
                  <w:pPr>
                    <w:pStyle w:val="78"/>
                    <w:spacing w:before="24" w:after="24" w:line="240" w:lineRule="auto"/>
                    <w:rPr>
                      <w:rFonts w:ascii="Times New Roman"/>
                      <w:color w:val="auto"/>
                    </w:rPr>
                  </w:pPr>
                  <w:r>
                    <w:rPr>
                      <w:rFonts w:ascii="Times New Roman"/>
                      <w:color w:val="auto"/>
                    </w:rPr>
                    <w:t>发展纺织服装产业</w:t>
                  </w:r>
                </w:p>
              </w:tc>
              <w:tc>
                <w:tcPr>
                  <w:tcW w:w="1101" w:type="pct"/>
                  <w:vMerge w:val="continue"/>
                  <w:tcBorders>
                    <w:tl2br w:val="nil"/>
                    <w:tr2bl w:val="nil"/>
                  </w:tcBorders>
                  <w:vAlign w:val="center"/>
                </w:tcPr>
                <w:p w14:paraId="55DAB66E">
                  <w:pPr>
                    <w:pStyle w:val="78"/>
                    <w:spacing w:before="24" w:after="24" w:line="240" w:lineRule="auto"/>
                    <w:rPr>
                      <w:rFonts w:ascii="Times New Roman"/>
                      <w:color w:val="auto"/>
                    </w:rPr>
                  </w:pPr>
                </w:p>
              </w:tc>
              <w:tc>
                <w:tcPr>
                  <w:tcW w:w="1245" w:type="pct"/>
                  <w:vMerge w:val="continue"/>
                  <w:tcBorders>
                    <w:tl2br w:val="nil"/>
                    <w:tr2bl w:val="nil"/>
                  </w:tcBorders>
                  <w:vAlign w:val="center"/>
                </w:tcPr>
                <w:p w14:paraId="0C8CC918">
                  <w:pPr>
                    <w:pStyle w:val="78"/>
                    <w:spacing w:before="24" w:after="24" w:line="240" w:lineRule="auto"/>
                    <w:rPr>
                      <w:rFonts w:ascii="Times New Roman"/>
                      <w:color w:val="auto"/>
                    </w:rPr>
                  </w:pPr>
                </w:p>
              </w:tc>
            </w:tr>
            <w:tr w14:paraId="1B2CC9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63B60A7B">
                  <w:pPr>
                    <w:pStyle w:val="78"/>
                    <w:spacing w:before="24" w:after="24" w:line="240" w:lineRule="auto"/>
                    <w:rPr>
                      <w:rFonts w:ascii="Times New Roman"/>
                      <w:color w:val="auto"/>
                    </w:rPr>
                  </w:pPr>
                </w:p>
              </w:tc>
              <w:tc>
                <w:tcPr>
                  <w:tcW w:w="269" w:type="pct"/>
                  <w:tcBorders>
                    <w:tl2br w:val="nil"/>
                    <w:tr2bl w:val="nil"/>
                  </w:tcBorders>
                  <w:vAlign w:val="center"/>
                </w:tcPr>
                <w:p w14:paraId="7BA80AA7">
                  <w:pPr>
                    <w:pStyle w:val="78"/>
                    <w:spacing w:before="24" w:after="24" w:line="240" w:lineRule="auto"/>
                    <w:rPr>
                      <w:rFonts w:ascii="Times New Roman"/>
                      <w:color w:val="auto"/>
                    </w:rPr>
                  </w:pPr>
                  <w:r>
                    <w:rPr>
                      <w:rFonts w:ascii="Times New Roman"/>
                      <w:color w:val="auto"/>
                    </w:rPr>
                    <w:t>3</w:t>
                  </w:r>
                </w:p>
              </w:tc>
              <w:tc>
                <w:tcPr>
                  <w:tcW w:w="640" w:type="pct"/>
                  <w:tcBorders>
                    <w:tl2br w:val="nil"/>
                    <w:tr2bl w:val="nil"/>
                  </w:tcBorders>
                  <w:vAlign w:val="center"/>
                </w:tcPr>
                <w:p w14:paraId="347CC405">
                  <w:pPr>
                    <w:pStyle w:val="78"/>
                    <w:spacing w:before="24" w:after="24" w:line="240" w:lineRule="auto"/>
                    <w:rPr>
                      <w:rFonts w:ascii="Times New Roman"/>
                      <w:color w:val="auto"/>
                    </w:rPr>
                  </w:pPr>
                  <w:r>
                    <w:rPr>
                      <w:rFonts w:ascii="Times New Roman"/>
                      <w:color w:val="auto"/>
                    </w:rPr>
                    <w:t>化学工业</w:t>
                  </w:r>
                </w:p>
              </w:tc>
              <w:tc>
                <w:tcPr>
                  <w:tcW w:w="430" w:type="pct"/>
                  <w:tcBorders>
                    <w:tl2br w:val="nil"/>
                    <w:tr2bl w:val="nil"/>
                  </w:tcBorders>
                  <w:vAlign w:val="center"/>
                </w:tcPr>
                <w:p w14:paraId="1C2E62D7">
                  <w:pPr>
                    <w:pStyle w:val="78"/>
                    <w:spacing w:before="24" w:after="24" w:line="240" w:lineRule="auto"/>
                    <w:rPr>
                      <w:rFonts w:ascii="Times New Roman"/>
                      <w:color w:val="auto"/>
                    </w:rPr>
                  </w:pPr>
                  <w:r>
                    <w:rPr>
                      <w:rFonts w:ascii="Times New Roman"/>
                      <w:color w:val="auto"/>
                    </w:rPr>
                    <w:t>30</w:t>
                  </w:r>
                </w:p>
              </w:tc>
              <w:tc>
                <w:tcPr>
                  <w:tcW w:w="1046" w:type="pct"/>
                  <w:tcBorders>
                    <w:tl2br w:val="nil"/>
                    <w:tr2bl w:val="nil"/>
                  </w:tcBorders>
                  <w:vAlign w:val="center"/>
                </w:tcPr>
                <w:p w14:paraId="5CB236A3">
                  <w:pPr>
                    <w:pStyle w:val="78"/>
                    <w:spacing w:before="24" w:after="24" w:line="240" w:lineRule="auto"/>
                    <w:rPr>
                      <w:rFonts w:ascii="Times New Roman"/>
                      <w:color w:val="auto"/>
                    </w:rPr>
                  </w:pPr>
                  <w:r>
                    <w:rPr>
                      <w:rFonts w:ascii="Times New Roman"/>
                      <w:color w:val="auto"/>
                    </w:rPr>
                    <w:t>发展医药化学工业产业</w:t>
                  </w:r>
                </w:p>
              </w:tc>
              <w:tc>
                <w:tcPr>
                  <w:tcW w:w="1101" w:type="pct"/>
                  <w:vMerge w:val="continue"/>
                  <w:tcBorders>
                    <w:tl2br w:val="nil"/>
                    <w:tr2bl w:val="nil"/>
                  </w:tcBorders>
                  <w:vAlign w:val="center"/>
                </w:tcPr>
                <w:p w14:paraId="2B1AB916">
                  <w:pPr>
                    <w:pStyle w:val="78"/>
                    <w:spacing w:before="24" w:after="24" w:line="240" w:lineRule="auto"/>
                    <w:rPr>
                      <w:rFonts w:ascii="Times New Roman"/>
                      <w:color w:val="auto"/>
                    </w:rPr>
                  </w:pPr>
                </w:p>
              </w:tc>
              <w:tc>
                <w:tcPr>
                  <w:tcW w:w="1245" w:type="pct"/>
                  <w:vMerge w:val="continue"/>
                  <w:tcBorders>
                    <w:tl2br w:val="nil"/>
                    <w:tr2bl w:val="nil"/>
                  </w:tcBorders>
                  <w:vAlign w:val="center"/>
                </w:tcPr>
                <w:p w14:paraId="24ACE233">
                  <w:pPr>
                    <w:pStyle w:val="78"/>
                    <w:spacing w:before="24" w:after="24" w:line="240" w:lineRule="auto"/>
                    <w:rPr>
                      <w:rFonts w:ascii="Times New Roman"/>
                      <w:color w:val="auto"/>
                    </w:rPr>
                  </w:pPr>
                </w:p>
              </w:tc>
            </w:tr>
            <w:tr w14:paraId="0A21AB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60E790C0">
                  <w:pPr>
                    <w:pStyle w:val="78"/>
                    <w:spacing w:before="24" w:after="24" w:line="240" w:lineRule="auto"/>
                    <w:rPr>
                      <w:rFonts w:ascii="Times New Roman"/>
                      <w:color w:val="auto"/>
                    </w:rPr>
                  </w:pPr>
                </w:p>
              </w:tc>
              <w:tc>
                <w:tcPr>
                  <w:tcW w:w="269" w:type="pct"/>
                  <w:tcBorders>
                    <w:tl2br w:val="nil"/>
                    <w:tr2bl w:val="nil"/>
                  </w:tcBorders>
                  <w:vAlign w:val="center"/>
                </w:tcPr>
                <w:p w14:paraId="6DECEF2F">
                  <w:pPr>
                    <w:pStyle w:val="78"/>
                    <w:spacing w:before="24" w:after="24" w:line="240" w:lineRule="auto"/>
                    <w:rPr>
                      <w:rFonts w:ascii="Times New Roman"/>
                      <w:color w:val="auto"/>
                    </w:rPr>
                  </w:pPr>
                  <w:r>
                    <w:rPr>
                      <w:rFonts w:ascii="Times New Roman"/>
                      <w:color w:val="auto"/>
                    </w:rPr>
                    <w:t>4</w:t>
                  </w:r>
                </w:p>
              </w:tc>
              <w:tc>
                <w:tcPr>
                  <w:tcW w:w="640" w:type="pct"/>
                  <w:tcBorders>
                    <w:tl2br w:val="nil"/>
                    <w:tr2bl w:val="nil"/>
                  </w:tcBorders>
                  <w:vAlign w:val="center"/>
                </w:tcPr>
                <w:p w14:paraId="162E8CDB">
                  <w:pPr>
                    <w:pStyle w:val="78"/>
                    <w:spacing w:before="24" w:after="24" w:line="240" w:lineRule="auto"/>
                    <w:rPr>
                      <w:rFonts w:ascii="Times New Roman"/>
                      <w:color w:val="auto"/>
                    </w:rPr>
                  </w:pPr>
                  <w:r>
                    <w:rPr>
                      <w:rFonts w:ascii="Times New Roman"/>
                      <w:color w:val="auto"/>
                    </w:rPr>
                    <w:t>机械电子与新型材料</w:t>
                  </w:r>
                </w:p>
              </w:tc>
              <w:tc>
                <w:tcPr>
                  <w:tcW w:w="430" w:type="pct"/>
                  <w:tcBorders>
                    <w:tl2br w:val="nil"/>
                    <w:tr2bl w:val="nil"/>
                  </w:tcBorders>
                  <w:vAlign w:val="center"/>
                </w:tcPr>
                <w:p w14:paraId="2BF2AFD6">
                  <w:pPr>
                    <w:pStyle w:val="78"/>
                    <w:spacing w:before="24" w:after="24" w:line="240" w:lineRule="auto"/>
                    <w:rPr>
                      <w:rFonts w:ascii="Times New Roman"/>
                      <w:color w:val="auto"/>
                    </w:rPr>
                  </w:pPr>
                  <w:r>
                    <w:rPr>
                      <w:rFonts w:ascii="Times New Roman"/>
                      <w:color w:val="auto"/>
                    </w:rPr>
                    <w:t>198</w:t>
                  </w:r>
                </w:p>
              </w:tc>
              <w:tc>
                <w:tcPr>
                  <w:tcW w:w="1046" w:type="pct"/>
                  <w:tcBorders>
                    <w:tl2br w:val="nil"/>
                    <w:tr2bl w:val="nil"/>
                  </w:tcBorders>
                  <w:vAlign w:val="center"/>
                </w:tcPr>
                <w:p w14:paraId="4F87BFFE">
                  <w:pPr>
                    <w:pStyle w:val="78"/>
                    <w:spacing w:before="24" w:after="24" w:line="240" w:lineRule="auto"/>
                    <w:rPr>
                      <w:rFonts w:ascii="Times New Roman"/>
                      <w:color w:val="auto"/>
                    </w:rPr>
                  </w:pPr>
                  <w:r>
                    <w:rPr>
                      <w:rFonts w:ascii="Times New Roman"/>
                      <w:color w:val="auto"/>
                    </w:rPr>
                    <w:t>发展机械电子与新型材料产业</w:t>
                  </w:r>
                </w:p>
              </w:tc>
              <w:tc>
                <w:tcPr>
                  <w:tcW w:w="1101" w:type="pct"/>
                  <w:vMerge w:val="continue"/>
                  <w:tcBorders>
                    <w:tl2br w:val="nil"/>
                    <w:tr2bl w:val="nil"/>
                  </w:tcBorders>
                  <w:vAlign w:val="center"/>
                </w:tcPr>
                <w:p w14:paraId="0A7C410F">
                  <w:pPr>
                    <w:pStyle w:val="78"/>
                    <w:spacing w:before="24" w:after="24" w:line="240" w:lineRule="auto"/>
                    <w:rPr>
                      <w:rFonts w:ascii="Times New Roman"/>
                      <w:color w:val="auto"/>
                    </w:rPr>
                  </w:pPr>
                </w:p>
              </w:tc>
              <w:tc>
                <w:tcPr>
                  <w:tcW w:w="1245" w:type="pct"/>
                  <w:vMerge w:val="continue"/>
                  <w:tcBorders>
                    <w:tl2br w:val="nil"/>
                    <w:tr2bl w:val="nil"/>
                  </w:tcBorders>
                  <w:vAlign w:val="center"/>
                </w:tcPr>
                <w:p w14:paraId="208A18EA">
                  <w:pPr>
                    <w:pStyle w:val="78"/>
                    <w:spacing w:before="24" w:after="24" w:line="240" w:lineRule="auto"/>
                    <w:rPr>
                      <w:rFonts w:ascii="Times New Roman"/>
                      <w:color w:val="auto"/>
                    </w:rPr>
                  </w:pPr>
                </w:p>
              </w:tc>
            </w:tr>
            <w:tr w14:paraId="412EDB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2316EAB1">
                  <w:pPr>
                    <w:pStyle w:val="78"/>
                    <w:spacing w:before="24" w:after="24" w:line="240" w:lineRule="auto"/>
                    <w:rPr>
                      <w:rFonts w:ascii="Times New Roman"/>
                      <w:color w:val="auto"/>
                    </w:rPr>
                  </w:pPr>
                </w:p>
              </w:tc>
              <w:tc>
                <w:tcPr>
                  <w:tcW w:w="269" w:type="pct"/>
                  <w:tcBorders>
                    <w:tl2br w:val="nil"/>
                    <w:tr2bl w:val="nil"/>
                  </w:tcBorders>
                  <w:vAlign w:val="center"/>
                </w:tcPr>
                <w:p w14:paraId="5A5DA0E4">
                  <w:pPr>
                    <w:pStyle w:val="78"/>
                    <w:spacing w:before="24" w:after="24" w:line="240" w:lineRule="auto"/>
                    <w:rPr>
                      <w:rFonts w:ascii="Times New Roman"/>
                      <w:color w:val="auto"/>
                    </w:rPr>
                  </w:pPr>
                  <w:r>
                    <w:rPr>
                      <w:rFonts w:ascii="Times New Roman"/>
                      <w:color w:val="auto"/>
                    </w:rPr>
                    <w:t>5</w:t>
                  </w:r>
                </w:p>
              </w:tc>
              <w:tc>
                <w:tcPr>
                  <w:tcW w:w="640" w:type="pct"/>
                  <w:tcBorders>
                    <w:tl2br w:val="nil"/>
                    <w:tr2bl w:val="nil"/>
                  </w:tcBorders>
                  <w:vAlign w:val="center"/>
                </w:tcPr>
                <w:p w14:paraId="1E96BB12">
                  <w:pPr>
                    <w:pStyle w:val="78"/>
                    <w:spacing w:before="24" w:after="24" w:line="240" w:lineRule="auto"/>
                    <w:rPr>
                      <w:rFonts w:ascii="Times New Roman"/>
                      <w:color w:val="auto"/>
                    </w:rPr>
                  </w:pPr>
                  <w:r>
                    <w:rPr>
                      <w:rFonts w:ascii="Times New Roman"/>
                      <w:color w:val="auto"/>
                    </w:rPr>
                    <w:t>食品加工</w:t>
                  </w:r>
                </w:p>
              </w:tc>
              <w:tc>
                <w:tcPr>
                  <w:tcW w:w="430" w:type="pct"/>
                  <w:tcBorders>
                    <w:tl2br w:val="nil"/>
                    <w:tr2bl w:val="nil"/>
                  </w:tcBorders>
                  <w:vAlign w:val="center"/>
                </w:tcPr>
                <w:p w14:paraId="4FE62D75">
                  <w:pPr>
                    <w:pStyle w:val="78"/>
                    <w:spacing w:before="24" w:after="24" w:line="240" w:lineRule="auto"/>
                    <w:rPr>
                      <w:rFonts w:ascii="Times New Roman"/>
                      <w:color w:val="auto"/>
                    </w:rPr>
                  </w:pPr>
                  <w:r>
                    <w:rPr>
                      <w:rFonts w:ascii="Times New Roman"/>
                      <w:color w:val="auto"/>
                    </w:rPr>
                    <w:t>454</w:t>
                  </w:r>
                </w:p>
              </w:tc>
              <w:tc>
                <w:tcPr>
                  <w:tcW w:w="1046" w:type="pct"/>
                  <w:tcBorders>
                    <w:tl2br w:val="nil"/>
                    <w:tr2bl w:val="nil"/>
                  </w:tcBorders>
                  <w:vAlign w:val="center"/>
                </w:tcPr>
                <w:p w14:paraId="517423B6">
                  <w:pPr>
                    <w:pStyle w:val="78"/>
                    <w:spacing w:before="24" w:after="24" w:line="240" w:lineRule="auto"/>
                    <w:rPr>
                      <w:rFonts w:ascii="Times New Roman"/>
                      <w:color w:val="auto"/>
                    </w:rPr>
                  </w:pPr>
                  <w:r>
                    <w:rPr>
                      <w:rFonts w:ascii="Times New Roman"/>
                      <w:color w:val="auto"/>
                    </w:rPr>
                    <w:t>发展食品加工产业</w:t>
                  </w:r>
                </w:p>
              </w:tc>
              <w:tc>
                <w:tcPr>
                  <w:tcW w:w="1101" w:type="pct"/>
                  <w:vMerge w:val="continue"/>
                  <w:tcBorders>
                    <w:tl2br w:val="nil"/>
                    <w:tr2bl w:val="nil"/>
                  </w:tcBorders>
                  <w:vAlign w:val="center"/>
                </w:tcPr>
                <w:p w14:paraId="242365AA">
                  <w:pPr>
                    <w:pStyle w:val="78"/>
                    <w:spacing w:before="24" w:after="24" w:line="240" w:lineRule="auto"/>
                    <w:rPr>
                      <w:rFonts w:ascii="Times New Roman"/>
                      <w:color w:val="auto"/>
                    </w:rPr>
                  </w:pPr>
                </w:p>
              </w:tc>
              <w:tc>
                <w:tcPr>
                  <w:tcW w:w="1245" w:type="pct"/>
                  <w:vMerge w:val="continue"/>
                  <w:tcBorders>
                    <w:tl2br w:val="nil"/>
                    <w:tr2bl w:val="nil"/>
                  </w:tcBorders>
                  <w:vAlign w:val="center"/>
                </w:tcPr>
                <w:p w14:paraId="7709DA52">
                  <w:pPr>
                    <w:pStyle w:val="78"/>
                    <w:spacing w:before="24" w:after="24" w:line="240" w:lineRule="auto"/>
                    <w:rPr>
                      <w:rFonts w:ascii="Times New Roman"/>
                      <w:color w:val="auto"/>
                    </w:rPr>
                  </w:pPr>
                </w:p>
              </w:tc>
            </w:tr>
            <w:tr w14:paraId="7E6BEC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3A862905">
                  <w:pPr>
                    <w:pStyle w:val="78"/>
                    <w:spacing w:before="24" w:after="24" w:line="240" w:lineRule="auto"/>
                    <w:rPr>
                      <w:rFonts w:ascii="Times New Roman"/>
                      <w:color w:val="auto"/>
                    </w:rPr>
                  </w:pPr>
                </w:p>
              </w:tc>
              <w:tc>
                <w:tcPr>
                  <w:tcW w:w="269" w:type="pct"/>
                  <w:tcBorders>
                    <w:tl2br w:val="nil"/>
                    <w:tr2bl w:val="nil"/>
                  </w:tcBorders>
                  <w:vAlign w:val="center"/>
                </w:tcPr>
                <w:p w14:paraId="5E0B558C">
                  <w:pPr>
                    <w:pStyle w:val="78"/>
                    <w:spacing w:before="24" w:after="24" w:line="240" w:lineRule="auto"/>
                    <w:rPr>
                      <w:rFonts w:ascii="Times New Roman"/>
                      <w:color w:val="auto"/>
                    </w:rPr>
                  </w:pPr>
                  <w:r>
                    <w:rPr>
                      <w:rFonts w:ascii="Times New Roman"/>
                      <w:color w:val="auto"/>
                    </w:rPr>
                    <w:t>6</w:t>
                  </w:r>
                </w:p>
              </w:tc>
              <w:tc>
                <w:tcPr>
                  <w:tcW w:w="640" w:type="pct"/>
                  <w:tcBorders>
                    <w:tl2br w:val="nil"/>
                    <w:tr2bl w:val="nil"/>
                  </w:tcBorders>
                  <w:vAlign w:val="center"/>
                </w:tcPr>
                <w:p w14:paraId="53303A45">
                  <w:pPr>
                    <w:pStyle w:val="78"/>
                    <w:spacing w:before="24" w:after="24" w:line="240" w:lineRule="auto"/>
                    <w:rPr>
                      <w:rFonts w:ascii="Times New Roman"/>
                      <w:color w:val="auto"/>
                    </w:rPr>
                  </w:pPr>
                  <w:r>
                    <w:rPr>
                      <w:rFonts w:ascii="Times New Roman"/>
                      <w:color w:val="auto"/>
                    </w:rPr>
                    <w:t>商贸流通</w:t>
                  </w:r>
                </w:p>
              </w:tc>
              <w:tc>
                <w:tcPr>
                  <w:tcW w:w="430" w:type="pct"/>
                  <w:tcBorders>
                    <w:tl2br w:val="nil"/>
                    <w:tr2bl w:val="nil"/>
                  </w:tcBorders>
                  <w:vAlign w:val="center"/>
                </w:tcPr>
                <w:p w14:paraId="2CA18533">
                  <w:pPr>
                    <w:pStyle w:val="78"/>
                    <w:spacing w:before="24" w:after="24" w:line="240" w:lineRule="auto"/>
                    <w:rPr>
                      <w:rFonts w:ascii="Times New Roman"/>
                      <w:color w:val="auto"/>
                    </w:rPr>
                  </w:pPr>
                  <w:r>
                    <w:rPr>
                      <w:rFonts w:ascii="Times New Roman"/>
                      <w:color w:val="auto"/>
                    </w:rPr>
                    <w:t>161</w:t>
                  </w:r>
                </w:p>
              </w:tc>
              <w:tc>
                <w:tcPr>
                  <w:tcW w:w="1046" w:type="pct"/>
                  <w:tcBorders>
                    <w:tl2br w:val="nil"/>
                    <w:tr2bl w:val="nil"/>
                  </w:tcBorders>
                  <w:vAlign w:val="center"/>
                </w:tcPr>
                <w:p w14:paraId="4C0C2138">
                  <w:pPr>
                    <w:pStyle w:val="78"/>
                    <w:spacing w:before="24" w:after="24" w:line="240" w:lineRule="auto"/>
                    <w:rPr>
                      <w:rFonts w:ascii="Times New Roman"/>
                      <w:color w:val="auto"/>
                    </w:rPr>
                  </w:pPr>
                  <w:r>
                    <w:rPr>
                      <w:rFonts w:ascii="Times New Roman"/>
                      <w:color w:val="auto"/>
                    </w:rPr>
                    <w:t>发展商贸流通产业</w:t>
                  </w:r>
                </w:p>
              </w:tc>
              <w:tc>
                <w:tcPr>
                  <w:tcW w:w="1101" w:type="pct"/>
                  <w:vMerge w:val="continue"/>
                  <w:tcBorders>
                    <w:tl2br w:val="nil"/>
                    <w:tr2bl w:val="nil"/>
                  </w:tcBorders>
                  <w:vAlign w:val="center"/>
                </w:tcPr>
                <w:p w14:paraId="448A8FF5">
                  <w:pPr>
                    <w:pStyle w:val="78"/>
                    <w:spacing w:before="24" w:after="24" w:line="240" w:lineRule="auto"/>
                    <w:rPr>
                      <w:rFonts w:ascii="Times New Roman"/>
                      <w:color w:val="auto"/>
                    </w:rPr>
                  </w:pPr>
                </w:p>
              </w:tc>
              <w:tc>
                <w:tcPr>
                  <w:tcW w:w="1245" w:type="pct"/>
                  <w:vMerge w:val="continue"/>
                  <w:tcBorders>
                    <w:tl2br w:val="nil"/>
                    <w:tr2bl w:val="nil"/>
                  </w:tcBorders>
                  <w:vAlign w:val="center"/>
                </w:tcPr>
                <w:p w14:paraId="27CD853A">
                  <w:pPr>
                    <w:pStyle w:val="78"/>
                    <w:spacing w:before="24" w:after="24" w:line="240" w:lineRule="auto"/>
                    <w:rPr>
                      <w:rFonts w:ascii="Times New Roman"/>
                      <w:color w:val="auto"/>
                    </w:rPr>
                  </w:pPr>
                </w:p>
              </w:tc>
            </w:tr>
            <w:tr w14:paraId="28B450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restart"/>
                  <w:tcBorders>
                    <w:tl2br w:val="nil"/>
                    <w:tr2bl w:val="nil"/>
                  </w:tcBorders>
                  <w:vAlign w:val="center"/>
                </w:tcPr>
                <w:p w14:paraId="71887250">
                  <w:pPr>
                    <w:pStyle w:val="78"/>
                    <w:spacing w:before="24" w:after="24" w:line="240" w:lineRule="auto"/>
                    <w:rPr>
                      <w:rFonts w:ascii="Times New Roman"/>
                      <w:color w:val="auto"/>
                    </w:rPr>
                  </w:pPr>
                  <w:r>
                    <w:rPr>
                      <w:rFonts w:ascii="Times New Roman"/>
                      <w:color w:val="auto"/>
                    </w:rPr>
                    <w:t>其他 要求</w:t>
                  </w:r>
                </w:p>
              </w:tc>
              <w:tc>
                <w:tcPr>
                  <w:tcW w:w="3488" w:type="pct"/>
                  <w:gridSpan w:val="5"/>
                  <w:tcBorders>
                    <w:tl2br w:val="nil"/>
                    <w:tr2bl w:val="nil"/>
                  </w:tcBorders>
                  <w:vAlign w:val="center"/>
                </w:tcPr>
                <w:p w14:paraId="35DC6AE8">
                  <w:pPr>
                    <w:pStyle w:val="78"/>
                    <w:spacing w:before="24" w:after="24" w:line="240" w:lineRule="auto"/>
                    <w:rPr>
                      <w:rFonts w:ascii="Times New Roman"/>
                      <w:color w:val="auto"/>
                    </w:rPr>
                  </w:pPr>
                  <w:r>
                    <w:rPr>
                      <w:rFonts w:ascii="Times New Roman"/>
                      <w:color w:val="auto"/>
                    </w:rPr>
                    <w:t>区内部分紧邻规划居住用地等环境敏感目标的工业用地，严格限制涉及使用危险化学品的企业进入。</w:t>
                  </w:r>
                </w:p>
              </w:tc>
              <w:tc>
                <w:tcPr>
                  <w:tcW w:w="1245" w:type="pct"/>
                  <w:vMerge w:val="restart"/>
                  <w:tcBorders>
                    <w:tl2br w:val="nil"/>
                    <w:tr2bl w:val="nil"/>
                  </w:tcBorders>
                  <w:vAlign w:val="center"/>
                </w:tcPr>
                <w:p w14:paraId="74C0A235">
                  <w:pPr>
                    <w:pStyle w:val="78"/>
                    <w:spacing w:before="24" w:after="24" w:line="240" w:lineRule="auto"/>
                    <w:rPr>
                      <w:rFonts w:ascii="Times New Roman"/>
                      <w:color w:val="auto"/>
                    </w:rPr>
                  </w:pPr>
                  <w:r>
                    <w:rPr>
                      <w:rFonts w:ascii="Times New Roman"/>
                      <w:color w:val="auto"/>
                    </w:rPr>
                    <w:t>本项目属于非金属矿物制品制造，项目所在地为工业用地，且周边为工业厂房，本项目同周边环境敏感目标保持一定的距离，符合。</w:t>
                  </w:r>
                </w:p>
              </w:tc>
            </w:tr>
            <w:tr w14:paraId="3B646F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266" w:type="pct"/>
                  <w:vMerge w:val="continue"/>
                  <w:tcBorders>
                    <w:tl2br w:val="nil"/>
                    <w:tr2bl w:val="nil"/>
                  </w:tcBorders>
                  <w:vAlign w:val="center"/>
                </w:tcPr>
                <w:p w14:paraId="74953820">
                  <w:pPr>
                    <w:pStyle w:val="78"/>
                    <w:spacing w:before="24" w:after="24" w:line="240" w:lineRule="auto"/>
                    <w:rPr>
                      <w:rFonts w:ascii="Times New Roman"/>
                      <w:color w:val="auto"/>
                    </w:rPr>
                  </w:pPr>
                </w:p>
              </w:tc>
              <w:tc>
                <w:tcPr>
                  <w:tcW w:w="3488" w:type="pct"/>
                  <w:gridSpan w:val="5"/>
                  <w:tcBorders>
                    <w:tl2br w:val="nil"/>
                    <w:tr2bl w:val="nil"/>
                  </w:tcBorders>
                  <w:vAlign w:val="center"/>
                </w:tcPr>
                <w:p w14:paraId="43B1BFF5">
                  <w:pPr>
                    <w:pStyle w:val="78"/>
                    <w:spacing w:before="24" w:after="24" w:line="240" w:lineRule="auto"/>
                    <w:rPr>
                      <w:rFonts w:ascii="Times New Roman"/>
                      <w:color w:val="auto"/>
                    </w:rPr>
                  </w:pPr>
                  <w:r>
                    <w:rPr>
                      <w:rFonts w:ascii="Times New Roman"/>
                      <w:color w:val="auto"/>
                    </w:rPr>
                    <w:t>区内规划产业片区内与居住用地相邻的工业用地严格明确为无污染或低污染的二类工业用地，所属地块内的工业企业应达到二类工业用地企业要求，同时应加强企业附属绿地建设。</w:t>
                  </w:r>
                </w:p>
              </w:tc>
              <w:tc>
                <w:tcPr>
                  <w:tcW w:w="1245" w:type="pct"/>
                  <w:vMerge w:val="continue"/>
                  <w:tcBorders>
                    <w:tl2br w:val="nil"/>
                    <w:tr2bl w:val="nil"/>
                  </w:tcBorders>
                  <w:vAlign w:val="center"/>
                </w:tcPr>
                <w:p w14:paraId="35522BE4">
                  <w:pPr>
                    <w:pStyle w:val="78"/>
                    <w:spacing w:before="24" w:after="24" w:line="240" w:lineRule="auto"/>
                    <w:rPr>
                      <w:rFonts w:ascii="Times New Roman"/>
                      <w:color w:val="auto"/>
                    </w:rPr>
                  </w:pPr>
                </w:p>
              </w:tc>
            </w:tr>
          </w:tbl>
          <w:p w14:paraId="1ED55E76">
            <w:pPr>
              <w:jc w:val="center"/>
              <w:rPr>
                <w:b/>
                <w:color w:val="auto"/>
                <w:szCs w:val="21"/>
              </w:rPr>
            </w:pPr>
            <w:r>
              <w:rPr>
                <w:b/>
                <w:color w:val="auto"/>
                <w:szCs w:val="21"/>
              </w:rPr>
              <w:t>表1-4  与《环境影响区域评估报告》中环境准入清单符合性分析</w:t>
            </w:r>
          </w:p>
          <w:tbl>
            <w:tblPr>
              <w:tblStyle w:val="32"/>
              <w:tblW w:w="7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7"/>
              <w:gridCol w:w="1046"/>
              <w:gridCol w:w="3340"/>
              <w:gridCol w:w="2237"/>
            </w:tblGrid>
            <w:tr w14:paraId="06E17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tcBorders>
                    <w:top w:val="single" w:color="auto" w:sz="4" w:space="0"/>
                    <w:left w:val="single" w:color="auto" w:sz="4" w:space="0"/>
                    <w:bottom w:val="single" w:color="auto" w:sz="4" w:space="0"/>
                    <w:right w:val="single" w:color="auto" w:sz="4" w:space="0"/>
                  </w:tcBorders>
                  <w:vAlign w:val="center"/>
                </w:tcPr>
                <w:p w14:paraId="65E18440">
                  <w:pPr>
                    <w:pStyle w:val="78"/>
                    <w:spacing w:before="24" w:after="24" w:line="240" w:lineRule="auto"/>
                    <w:rPr>
                      <w:rFonts w:ascii="Times New Roman"/>
                      <w:b/>
                      <w:bCs/>
                      <w:color w:val="auto"/>
                    </w:rPr>
                  </w:pPr>
                  <w:r>
                    <w:rPr>
                      <w:rFonts w:ascii="Times New Roman"/>
                      <w:b/>
                      <w:bCs/>
                      <w:color w:val="auto"/>
                    </w:rPr>
                    <w:t>清单类别</w:t>
                  </w:r>
                </w:p>
              </w:tc>
              <w:tc>
                <w:tcPr>
                  <w:tcW w:w="4386" w:type="dxa"/>
                  <w:gridSpan w:val="2"/>
                  <w:tcBorders>
                    <w:top w:val="single" w:color="auto" w:sz="4" w:space="0"/>
                    <w:left w:val="nil"/>
                    <w:bottom w:val="single" w:color="auto" w:sz="4" w:space="0"/>
                    <w:right w:val="single" w:color="auto" w:sz="4" w:space="0"/>
                  </w:tcBorders>
                  <w:vAlign w:val="center"/>
                </w:tcPr>
                <w:p w14:paraId="3E8D552E">
                  <w:pPr>
                    <w:pStyle w:val="78"/>
                    <w:spacing w:before="24" w:after="24" w:line="240" w:lineRule="auto"/>
                    <w:rPr>
                      <w:rFonts w:ascii="Times New Roman"/>
                      <w:b/>
                      <w:bCs/>
                      <w:color w:val="auto"/>
                    </w:rPr>
                  </w:pPr>
                  <w:r>
                    <w:rPr>
                      <w:rFonts w:ascii="Times New Roman"/>
                      <w:b/>
                      <w:bCs/>
                      <w:color w:val="auto"/>
                    </w:rPr>
                    <w:t>准入清单、控制要求</w:t>
                  </w:r>
                </w:p>
              </w:tc>
              <w:tc>
                <w:tcPr>
                  <w:tcW w:w="2237" w:type="dxa"/>
                  <w:tcBorders>
                    <w:top w:val="single" w:color="auto" w:sz="4" w:space="0"/>
                    <w:left w:val="nil"/>
                    <w:bottom w:val="single" w:color="auto" w:sz="4" w:space="0"/>
                    <w:right w:val="single" w:color="auto" w:sz="4" w:space="0"/>
                  </w:tcBorders>
                  <w:vAlign w:val="center"/>
                </w:tcPr>
                <w:p w14:paraId="64DDDA3C">
                  <w:pPr>
                    <w:pStyle w:val="78"/>
                    <w:spacing w:before="24" w:after="24" w:line="240" w:lineRule="auto"/>
                    <w:rPr>
                      <w:rFonts w:ascii="Times New Roman"/>
                      <w:b/>
                      <w:bCs/>
                      <w:color w:val="auto"/>
                    </w:rPr>
                  </w:pPr>
                  <w:r>
                    <w:rPr>
                      <w:rFonts w:ascii="Times New Roman"/>
                      <w:b/>
                      <w:bCs/>
                      <w:color w:val="auto"/>
                    </w:rPr>
                    <w:t>相符性</w:t>
                  </w:r>
                </w:p>
              </w:tc>
            </w:tr>
            <w:tr w14:paraId="2BA48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77" w:type="dxa"/>
                  <w:vMerge w:val="restart"/>
                  <w:tcBorders>
                    <w:top w:val="single" w:color="auto" w:sz="4" w:space="0"/>
                    <w:left w:val="single" w:color="auto" w:sz="4" w:space="0"/>
                    <w:right w:val="single" w:color="auto" w:sz="4" w:space="0"/>
                  </w:tcBorders>
                  <w:vAlign w:val="center"/>
                </w:tcPr>
                <w:p w14:paraId="4DE9D638">
                  <w:pPr>
                    <w:pStyle w:val="78"/>
                    <w:spacing w:before="24" w:after="24" w:line="240" w:lineRule="auto"/>
                    <w:rPr>
                      <w:rFonts w:ascii="Times New Roman"/>
                      <w:color w:val="auto"/>
                    </w:rPr>
                  </w:pPr>
                  <w:r>
                    <w:rPr>
                      <w:rFonts w:ascii="Times New Roman"/>
                      <w:color w:val="auto"/>
                    </w:rPr>
                    <w:t>优先引入</w:t>
                  </w:r>
                </w:p>
              </w:tc>
              <w:tc>
                <w:tcPr>
                  <w:tcW w:w="4386" w:type="dxa"/>
                  <w:gridSpan w:val="2"/>
                  <w:tcBorders>
                    <w:top w:val="single" w:color="auto" w:sz="4" w:space="0"/>
                    <w:left w:val="nil"/>
                    <w:bottom w:val="single" w:color="auto" w:sz="4" w:space="0"/>
                    <w:right w:val="single" w:color="auto" w:sz="4" w:space="0"/>
                  </w:tcBorders>
                  <w:vAlign w:val="center"/>
                </w:tcPr>
                <w:p w14:paraId="36389DFB">
                  <w:pPr>
                    <w:pStyle w:val="78"/>
                    <w:spacing w:before="24" w:after="24" w:line="240" w:lineRule="auto"/>
                    <w:rPr>
                      <w:rFonts w:ascii="Times New Roman"/>
                      <w:color w:val="auto"/>
                    </w:rPr>
                  </w:pPr>
                  <w:r>
                    <w:rPr>
                      <w:rFonts w:ascii="Times New Roman"/>
                      <w:color w:val="auto"/>
                    </w:rPr>
                    <w:t>符合开发区产业定位（六大主导产业）的项目；</w:t>
                  </w:r>
                </w:p>
              </w:tc>
              <w:tc>
                <w:tcPr>
                  <w:tcW w:w="2237" w:type="dxa"/>
                  <w:vMerge w:val="restart"/>
                  <w:tcBorders>
                    <w:top w:val="single" w:color="auto" w:sz="4" w:space="0"/>
                    <w:left w:val="nil"/>
                    <w:right w:val="single" w:color="auto" w:sz="4" w:space="0"/>
                  </w:tcBorders>
                  <w:vAlign w:val="center"/>
                </w:tcPr>
                <w:p w14:paraId="0FB7E60A">
                  <w:pPr>
                    <w:pStyle w:val="78"/>
                    <w:spacing w:before="24" w:after="24" w:line="240" w:lineRule="auto"/>
                    <w:rPr>
                      <w:rFonts w:ascii="Times New Roman"/>
                      <w:color w:val="auto"/>
                    </w:rPr>
                  </w:pPr>
                  <w:r>
                    <w:rPr>
                      <w:rFonts w:ascii="Times New Roman"/>
                      <w:color w:val="auto"/>
                    </w:rPr>
                    <w:t>本项目属于非金属矿物制品制造，已取得淮南经济技术开发区管委会经济发展局备案（2410-340461-04-01-770774），不属于园区禁止、</w:t>
                  </w:r>
                  <w:r>
                    <w:rPr>
                      <w:rFonts w:hint="eastAsia" w:ascii="Times New Roman"/>
                      <w:color w:val="auto"/>
                      <w:lang w:val="en-US" w:eastAsia="zh-CN"/>
                    </w:rPr>
                    <w:t>限制</w:t>
                  </w:r>
                  <w:r>
                    <w:rPr>
                      <w:rFonts w:ascii="Times New Roman"/>
                      <w:color w:val="auto"/>
                    </w:rPr>
                    <w:t>进入的项目，不属于污染严重、高耗能的项目，视为允许进入，符合相关产业政策，符合开发区产业准入条件；符合。</w:t>
                  </w:r>
                </w:p>
              </w:tc>
            </w:tr>
            <w:tr w14:paraId="281F9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07B96A4D">
                  <w:pPr>
                    <w:pStyle w:val="78"/>
                    <w:spacing w:before="24" w:after="24" w:line="240" w:lineRule="auto"/>
                    <w:rPr>
                      <w:rFonts w:ascii="Times New Roman"/>
                      <w:color w:val="auto"/>
                    </w:rPr>
                  </w:pPr>
                </w:p>
              </w:tc>
              <w:tc>
                <w:tcPr>
                  <w:tcW w:w="4386" w:type="dxa"/>
                  <w:gridSpan w:val="2"/>
                  <w:tcBorders>
                    <w:top w:val="single" w:color="auto" w:sz="4" w:space="0"/>
                    <w:left w:val="nil"/>
                    <w:bottom w:val="single" w:color="auto" w:sz="4" w:space="0"/>
                    <w:right w:val="single" w:color="auto" w:sz="4" w:space="0"/>
                  </w:tcBorders>
                  <w:vAlign w:val="center"/>
                </w:tcPr>
                <w:p w14:paraId="05FCBE6F">
                  <w:pPr>
                    <w:pStyle w:val="78"/>
                    <w:spacing w:before="24" w:after="24" w:line="240" w:lineRule="auto"/>
                    <w:rPr>
                      <w:rFonts w:ascii="Times New Roman"/>
                      <w:color w:val="auto"/>
                    </w:rPr>
                  </w:pPr>
                  <w:r>
                    <w:rPr>
                      <w:rFonts w:ascii="Times New Roman"/>
                      <w:color w:val="auto"/>
                    </w:rPr>
                    <w:t>科技含量高、产品附加值高的项目、能源资源消耗少、排污小的企业；</w:t>
                  </w:r>
                </w:p>
              </w:tc>
              <w:tc>
                <w:tcPr>
                  <w:tcW w:w="2237" w:type="dxa"/>
                  <w:vMerge w:val="continue"/>
                  <w:tcBorders>
                    <w:left w:val="nil"/>
                    <w:right w:val="single" w:color="auto" w:sz="4" w:space="0"/>
                  </w:tcBorders>
                  <w:vAlign w:val="center"/>
                </w:tcPr>
                <w:p w14:paraId="170B771D">
                  <w:pPr>
                    <w:pStyle w:val="78"/>
                    <w:spacing w:before="24" w:after="24" w:line="240" w:lineRule="auto"/>
                    <w:rPr>
                      <w:rFonts w:ascii="Times New Roman"/>
                      <w:color w:val="auto"/>
                    </w:rPr>
                  </w:pPr>
                </w:p>
              </w:tc>
            </w:tr>
            <w:tr w14:paraId="73558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11DD4B9D">
                  <w:pPr>
                    <w:pStyle w:val="78"/>
                    <w:spacing w:before="24" w:after="24" w:line="240" w:lineRule="auto"/>
                    <w:rPr>
                      <w:rFonts w:ascii="Times New Roman"/>
                      <w:color w:val="auto"/>
                    </w:rPr>
                  </w:pPr>
                </w:p>
              </w:tc>
              <w:tc>
                <w:tcPr>
                  <w:tcW w:w="4386" w:type="dxa"/>
                  <w:gridSpan w:val="2"/>
                  <w:tcBorders>
                    <w:top w:val="single" w:color="auto" w:sz="4" w:space="0"/>
                    <w:left w:val="nil"/>
                    <w:bottom w:val="single" w:color="auto" w:sz="4" w:space="0"/>
                    <w:right w:val="single" w:color="auto" w:sz="4" w:space="0"/>
                  </w:tcBorders>
                  <w:vAlign w:val="center"/>
                </w:tcPr>
                <w:p w14:paraId="629367B7">
                  <w:pPr>
                    <w:pStyle w:val="78"/>
                    <w:spacing w:before="24" w:after="24" w:line="240" w:lineRule="auto"/>
                    <w:rPr>
                      <w:rFonts w:ascii="Times New Roman"/>
                      <w:color w:val="auto"/>
                    </w:rPr>
                  </w:pPr>
                  <w:r>
                    <w:rPr>
                      <w:rFonts w:ascii="Times New Roman"/>
                      <w:color w:val="auto"/>
                    </w:rPr>
                    <w:t>符合产业定位且属于《产业结构调整指导目录(2019年版)》、《战略性新兴产业分类(2018) (国家统计局令第23号)等政策文件中的项目；</w:t>
                  </w:r>
                </w:p>
              </w:tc>
              <w:tc>
                <w:tcPr>
                  <w:tcW w:w="2237" w:type="dxa"/>
                  <w:vMerge w:val="continue"/>
                  <w:tcBorders>
                    <w:left w:val="nil"/>
                    <w:right w:val="single" w:color="auto" w:sz="4" w:space="0"/>
                  </w:tcBorders>
                  <w:vAlign w:val="center"/>
                </w:tcPr>
                <w:p w14:paraId="35606943">
                  <w:pPr>
                    <w:pStyle w:val="78"/>
                    <w:spacing w:before="24" w:after="24" w:line="240" w:lineRule="auto"/>
                    <w:rPr>
                      <w:rFonts w:ascii="Times New Roman"/>
                      <w:color w:val="auto"/>
                    </w:rPr>
                  </w:pPr>
                </w:p>
              </w:tc>
            </w:tr>
            <w:tr w14:paraId="0DAC6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676817A9">
                  <w:pPr>
                    <w:pStyle w:val="78"/>
                    <w:spacing w:before="24" w:after="24" w:line="240" w:lineRule="auto"/>
                    <w:rPr>
                      <w:rFonts w:ascii="Times New Roman"/>
                      <w:color w:val="auto"/>
                    </w:rPr>
                  </w:pPr>
                </w:p>
              </w:tc>
              <w:tc>
                <w:tcPr>
                  <w:tcW w:w="1046" w:type="dxa"/>
                  <w:tcBorders>
                    <w:top w:val="single" w:color="auto" w:sz="4" w:space="0"/>
                    <w:left w:val="nil"/>
                    <w:bottom w:val="single" w:color="auto" w:sz="4" w:space="0"/>
                    <w:right w:val="single" w:color="auto" w:sz="4" w:space="0"/>
                  </w:tcBorders>
                  <w:vAlign w:val="center"/>
                </w:tcPr>
                <w:p w14:paraId="54F3EBA8">
                  <w:pPr>
                    <w:pStyle w:val="78"/>
                    <w:spacing w:before="24" w:after="24" w:line="240" w:lineRule="auto"/>
                    <w:rPr>
                      <w:rFonts w:ascii="Times New Roman"/>
                      <w:color w:val="auto"/>
                    </w:rPr>
                  </w:pPr>
                  <w:r>
                    <w:rPr>
                      <w:rFonts w:ascii="Times New Roman"/>
                      <w:color w:val="auto"/>
                    </w:rPr>
                    <w:t>生物医药</w:t>
                  </w:r>
                </w:p>
              </w:tc>
              <w:tc>
                <w:tcPr>
                  <w:tcW w:w="3340" w:type="dxa"/>
                  <w:tcBorders>
                    <w:top w:val="single" w:color="auto" w:sz="4" w:space="0"/>
                    <w:left w:val="single" w:color="auto" w:sz="4" w:space="0"/>
                    <w:bottom w:val="single" w:color="auto" w:sz="4" w:space="0"/>
                    <w:right w:val="single" w:color="auto" w:sz="4" w:space="0"/>
                  </w:tcBorders>
                  <w:vAlign w:val="center"/>
                </w:tcPr>
                <w:p w14:paraId="148B13B7">
                  <w:pPr>
                    <w:pStyle w:val="78"/>
                    <w:spacing w:before="24" w:after="24" w:line="240" w:lineRule="auto"/>
                    <w:rPr>
                      <w:rFonts w:ascii="Times New Roman"/>
                      <w:color w:val="auto"/>
                    </w:rPr>
                  </w:pPr>
                  <w:r>
                    <w:rPr>
                      <w:rFonts w:ascii="Times New Roman"/>
                      <w:color w:val="auto"/>
                    </w:rPr>
                    <w:t>27医药制造业：单纯药品复配；仅化学药品制剂制造；中药饮片加工无提炼工艺的；卫生材料及医药用品制造的；</w:t>
                  </w:r>
                </w:p>
              </w:tc>
              <w:tc>
                <w:tcPr>
                  <w:tcW w:w="2237" w:type="dxa"/>
                  <w:vMerge w:val="continue"/>
                  <w:tcBorders>
                    <w:left w:val="nil"/>
                    <w:right w:val="single" w:color="auto" w:sz="4" w:space="0"/>
                  </w:tcBorders>
                  <w:vAlign w:val="center"/>
                </w:tcPr>
                <w:p w14:paraId="39B66C0C">
                  <w:pPr>
                    <w:pStyle w:val="78"/>
                    <w:spacing w:before="24" w:after="24" w:line="240" w:lineRule="auto"/>
                    <w:rPr>
                      <w:rFonts w:ascii="Times New Roman"/>
                      <w:color w:val="auto"/>
                    </w:rPr>
                  </w:pPr>
                </w:p>
              </w:tc>
            </w:tr>
            <w:tr w14:paraId="5CC71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49968D29">
                  <w:pPr>
                    <w:pStyle w:val="78"/>
                    <w:spacing w:before="24" w:after="24" w:line="240" w:lineRule="auto"/>
                    <w:rPr>
                      <w:rFonts w:ascii="Times New Roman"/>
                      <w:color w:val="auto"/>
                    </w:rPr>
                  </w:pPr>
                </w:p>
              </w:tc>
              <w:tc>
                <w:tcPr>
                  <w:tcW w:w="1046" w:type="dxa"/>
                  <w:vMerge w:val="restart"/>
                  <w:tcBorders>
                    <w:top w:val="single" w:color="auto" w:sz="4" w:space="0"/>
                    <w:left w:val="nil"/>
                    <w:right w:val="single" w:color="auto" w:sz="4" w:space="0"/>
                  </w:tcBorders>
                  <w:vAlign w:val="center"/>
                </w:tcPr>
                <w:p w14:paraId="30258182">
                  <w:pPr>
                    <w:pStyle w:val="78"/>
                    <w:spacing w:before="24" w:after="24" w:line="240" w:lineRule="auto"/>
                    <w:rPr>
                      <w:rFonts w:ascii="Times New Roman"/>
                      <w:color w:val="auto"/>
                    </w:rPr>
                  </w:pPr>
                  <w:r>
                    <w:rPr>
                      <w:rFonts w:ascii="Times New Roman"/>
                      <w:color w:val="auto"/>
                    </w:rPr>
                    <w:t>纺织服装</w:t>
                  </w:r>
                </w:p>
              </w:tc>
              <w:tc>
                <w:tcPr>
                  <w:tcW w:w="3340" w:type="dxa"/>
                  <w:tcBorders>
                    <w:top w:val="single" w:color="auto" w:sz="4" w:space="0"/>
                    <w:left w:val="single" w:color="auto" w:sz="4" w:space="0"/>
                    <w:bottom w:val="single" w:color="auto" w:sz="4" w:space="0"/>
                    <w:right w:val="single" w:color="auto" w:sz="4" w:space="0"/>
                  </w:tcBorders>
                  <w:vAlign w:val="center"/>
                </w:tcPr>
                <w:p w14:paraId="4CDD3E45">
                  <w:pPr>
                    <w:pStyle w:val="78"/>
                    <w:spacing w:before="24" w:after="24" w:line="240" w:lineRule="auto"/>
                    <w:rPr>
                      <w:rFonts w:ascii="Times New Roman"/>
                      <w:color w:val="auto"/>
                    </w:rPr>
                  </w:pPr>
                  <w:r>
                    <w:rPr>
                      <w:rFonts w:ascii="Times New Roman"/>
                      <w:color w:val="auto"/>
                    </w:rPr>
                    <w:t>17纺织业：176针织品、编织品及其制品制造、177家用纺织制成品制造、178产业用纺织制成品制造等不涉及洗毛、脱胶、缫丝、染整工艺的、使用有机溶剂的涂层工艺的；</w:t>
                  </w:r>
                </w:p>
              </w:tc>
              <w:tc>
                <w:tcPr>
                  <w:tcW w:w="2237" w:type="dxa"/>
                  <w:vMerge w:val="continue"/>
                  <w:tcBorders>
                    <w:left w:val="nil"/>
                    <w:right w:val="single" w:color="auto" w:sz="4" w:space="0"/>
                  </w:tcBorders>
                  <w:vAlign w:val="center"/>
                </w:tcPr>
                <w:p w14:paraId="1614C6EF">
                  <w:pPr>
                    <w:pStyle w:val="78"/>
                    <w:spacing w:before="24" w:after="24" w:line="240" w:lineRule="auto"/>
                    <w:rPr>
                      <w:rFonts w:ascii="Times New Roman"/>
                      <w:color w:val="auto"/>
                    </w:rPr>
                  </w:pPr>
                </w:p>
              </w:tc>
            </w:tr>
            <w:tr w14:paraId="5D013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76289BFC">
                  <w:pPr>
                    <w:pStyle w:val="78"/>
                    <w:spacing w:before="24" w:after="24" w:line="240" w:lineRule="auto"/>
                    <w:rPr>
                      <w:rFonts w:ascii="Times New Roman"/>
                      <w:color w:val="auto"/>
                    </w:rPr>
                  </w:pPr>
                </w:p>
              </w:tc>
              <w:tc>
                <w:tcPr>
                  <w:tcW w:w="1046" w:type="dxa"/>
                  <w:vMerge w:val="continue"/>
                  <w:tcBorders>
                    <w:left w:val="nil"/>
                    <w:bottom w:val="single" w:color="auto" w:sz="4" w:space="0"/>
                    <w:right w:val="single" w:color="auto" w:sz="4" w:space="0"/>
                  </w:tcBorders>
                  <w:vAlign w:val="center"/>
                </w:tcPr>
                <w:p w14:paraId="6849532A">
                  <w:pPr>
                    <w:pStyle w:val="78"/>
                    <w:spacing w:before="24" w:after="24" w:line="240" w:lineRule="auto"/>
                    <w:rPr>
                      <w:rFonts w:ascii="Times New Roman"/>
                      <w:color w:val="auto"/>
                    </w:rPr>
                  </w:pPr>
                </w:p>
              </w:tc>
              <w:tc>
                <w:tcPr>
                  <w:tcW w:w="3340" w:type="dxa"/>
                  <w:tcBorders>
                    <w:top w:val="single" w:color="auto" w:sz="4" w:space="0"/>
                    <w:left w:val="single" w:color="auto" w:sz="4" w:space="0"/>
                    <w:bottom w:val="single" w:color="auto" w:sz="4" w:space="0"/>
                    <w:right w:val="single" w:color="auto" w:sz="4" w:space="0"/>
                  </w:tcBorders>
                  <w:vAlign w:val="center"/>
                </w:tcPr>
                <w:p w14:paraId="050BD8C9">
                  <w:pPr>
                    <w:pStyle w:val="78"/>
                    <w:spacing w:before="24" w:after="24" w:line="240" w:lineRule="auto"/>
                    <w:rPr>
                      <w:rFonts w:ascii="Times New Roman"/>
                      <w:color w:val="auto"/>
                    </w:rPr>
                  </w:pPr>
                  <w:r>
                    <w:rPr>
                      <w:rFonts w:ascii="Times New Roman"/>
                      <w:color w:val="auto"/>
                    </w:rPr>
                    <w:t>18纺织服装、服饰业：181机织服装制造、182针织或钩针编织服装制造、183服饰制造等不涉及染色、印花工艺的；</w:t>
                  </w:r>
                </w:p>
              </w:tc>
              <w:tc>
                <w:tcPr>
                  <w:tcW w:w="2237" w:type="dxa"/>
                  <w:vMerge w:val="continue"/>
                  <w:tcBorders>
                    <w:left w:val="nil"/>
                    <w:right w:val="single" w:color="auto" w:sz="4" w:space="0"/>
                  </w:tcBorders>
                  <w:vAlign w:val="center"/>
                </w:tcPr>
                <w:p w14:paraId="57C23951">
                  <w:pPr>
                    <w:pStyle w:val="78"/>
                    <w:spacing w:before="24" w:after="24" w:line="240" w:lineRule="auto"/>
                    <w:rPr>
                      <w:rFonts w:ascii="Times New Roman"/>
                      <w:color w:val="auto"/>
                    </w:rPr>
                  </w:pPr>
                </w:p>
              </w:tc>
            </w:tr>
            <w:tr w14:paraId="18A2D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75B68444">
                  <w:pPr>
                    <w:pStyle w:val="78"/>
                    <w:spacing w:before="24" w:after="24" w:line="240" w:lineRule="auto"/>
                    <w:rPr>
                      <w:rFonts w:ascii="Times New Roman"/>
                      <w:color w:val="auto"/>
                    </w:rPr>
                  </w:pPr>
                </w:p>
              </w:tc>
              <w:tc>
                <w:tcPr>
                  <w:tcW w:w="1046" w:type="dxa"/>
                  <w:tcBorders>
                    <w:top w:val="single" w:color="auto" w:sz="4" w:space="0"/>
                    <w:left w:val="nil"/>
                    <w:bottom w:val="single" w:color="auto" w:sz="4" w:space="0"/>
                    <w:right w:val="single" w:color="auto" w:sz="4" w:space="0"/>
                  </w:tcBorders>
                  <w:vAlign w:val="center"/>
                </w:tcPr>
                <w:p w14:paraId="1EBFB637">
                  <w:pPr>
                    <w:pStyle w:val="78"/>
                    <w:spacing w:before="24" w:after="24" w:line="240" w:lineRule="auto"/>
                    <w:rPr>
                      <w:rFonts w:ascii="Times New Roman"/>
                      <w:color w:val="auto"/>
                    </w:rPr>
                  </w:pPr>
                  <w:r>
                    <w:rPr>
                      <w:rFonts w:ascii="Times New Roman"/>
                      <w:color w:val="auto"/>
                    </w:rPr>
                    <w:t>化学工业</w:t>
                  </w:r>
                </w:p>
              </w:tc>
              <w:tc>
                <w:tcPr>
                  <w:tcW w:w="3340" w:type="dxa"/>
                  <w:tcBorders>
                    <w:top w:val="single" w:color="auto" w:sz="4" w:space="0"/>
                    <w:left w:val="single" w:color="auto" w:sz="4" w:space="0"/>
                    <w:bottom w:val="single" w:color="auto" w:sz="4" w:space="0"/>
                    <w:right w:val="single" w:color="auto" w:sz="4" w:space="0"/>
                  </w:tcBorders>
                  <w:vAlign w:val="center"/>
                </w:tcPr>
                <w:p w14:paraId="2FA90C4E">
                  <w:pPr>
                    <w:pStyle w:val="78"/>
                    <w:spacing w:before="24" w:after="24" w:line="240" w:lineRule="auto"/>
                    <w:rPr>
                      <w:rFonts w:ascii="Times New Roman"/>
                      <w:color w:val="auto"/>
                    </w:rPr>
                  </w:pPr>
                  <w:r>
                    <w:rPr>
                      <w:rFonts w:ascii="Times New Roman"/>
                      <w:color w:val="auto"/>
                    </w:rPr>
                    <w:t>26化学原材料及化学制品制造业：单纯物理分离、物理提纯、混合、分装的</w:t>
                  </w:r>
                </w:p>
              </w:tc>
              <w:tc>
                <w:tcPr>
                  <w:tcW w:w="2237" w:type="dxa"/>
                  <w:vMerge w:val="continue"/>
                  <w:tcBorders>
                    <w:left w:val="nil"/>
                    <w:right w:val="single" w:color="auto" w:sz="4" w:space="0"/>
                  </w:tcBorders>
                  <w:vAlign w:val="center"/>
                </w:tcPr>
                <w:p w14:paraId="0D44CF59">
                  <w:pPr>
                    <w:pStyle w:val="78"/>
                    <w:spacing w:before="24" w:after="24" w:line="240" w:lineRule="auto"/>
                    <w:rPr>
                      <w:rFonts w:ascii="Times New Roman"/>
                      <w:color w:val="auto"/>
                    </w:rPr>
                  </w:pPr>
                </w:p>
              </w:tc>
            </w:tr>
            <w:tr w14:paraId="57DB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70A46755">
                  <w:pPr>
                    <w:pStyle w:val="78"/>
                    <w:spacing w:before="24" w:after="24" w:line="240" w:lineRule="auto"/>
                    <w:rPr>
                      <w:rFonts w:ascii="Times New Roman"/>
                      <w:color w:val="auto"/>
                    </w:rPr>
                  </w:pPr>
                </w:p>
              </w:tc>
              <w:tc>
                <w:tcPr>
                  <w:tcW w:w="1046" w:type="dxa"/>
                  <w:vMerge w:val="restart"/>
                  <w:tcBorders>
                    <w:top w:val="single" w:color="auto" w:sz="4" w:space="0"/>
                    <w:left w:val="nil"/>
                    <w:right w:val="single" w:color="auto" w:sz="4" w:space="0"/>
                  </w:tcBorders>
                  <w:vAlign w:val="center"/>
                </w:tcPr>
                <w:p w14:paraId="4DC78E0E">
                  <w:pPr>
                    <w:pStyle w:val="78"/>
                    <w:spacing w:before="24" w:after="24" w:line="240" w:lineRule="auto"/>
                    <w:rPr>
                      <w:rFonts w:ascii="Times New Roman"/>
                      <w:color w:val="auto"/>
                    </w:rPr>
                  </w:pPr>
                  <w:r>
                    <w:rPr>
                      <w:rFonts w:ascii="Times New Roman"/>
                      <w:color w:val="auto"/>
                    </w:rPr>
                    <w:t>机械电子与新型材料</w:t>
                  </w:r>
                </w:p>
              </w:tc>
              <w:tc>
                <w:tcPr>
                  <w:tcW w:w="3340" w:type="dxa"/>
                  <w:tcBorders>
                    <w:top w:val="single" w:color="auto" w:sz="4" w:space="0"/>
                    <w:left w:val="single" w:color="auto" w:sz="4" w:space="0"/>
                    <w:bottom w:val="single" w:color="auto" w:sz="4" w:space="0"/>
                    <w:right w:val="single" w:color="auto" w:sz="4" w:space="0"/>
                  </w:tcBorders>
                  <w:vAlign w:val="center"/>
                </w:tcPr>
                <w:p w14:paraId="6945919B">
                  <w:pPr>
                    <w:pStyle w:val="78"/>
                    <w:spacing w:before="24" w:after="24" w:line="240" w:lineRule="auto"/>
                    <w:rPr>
                      <w:rFonts w:ascii="Times New Roman"/>
                      <w:color w:val="auto"/>
                    </w:rPr>
                  </w:pPr>
                  <w:r>
                    <w:rPr>
                      <w:rFonts w:ascii="Times New Roman"/>
                      <w:color w:val="auto"/>
                    </w:rPr>
                    <w:t>34通用设备制造业：无电镀工艺且仅采用分割、焊接、组装工艺、使用非溶剂型低VOCs含量涂料的</w:t>
                  </w:r>
                </w:p>
              </w:tc>
              <w:tc>
                <w:tcPr>
                  <w:tcW w:w="2237" w:type="dxa"/>
                  <w:vMerge w:val="continue"/>
                  <w:tcBorders>
                    <w:left w:val="nil"/>
                    <w:right w:val="single" w:color="auto" w:sz="4" w:space="0"/>
                  </w:tcBorders>
                  <w:vAlign w:val="center"/>
                </w:tcPr>
                <w:p w14:paraId="60263B92">
                  <w:pPr>
                    <w:pStyle w:val="78"/>
                    <w:spacing w:before="24" w:after="24" w:line="240" w:lineRule="auto"/>
                    <w:rPr>
                      <w:rFonts w:ascii="Times New Roman"/>
                      <w:color w:val="auto"/>
                    </w:rPr>
                  </w:pPr>
                </w:p>
              </w:tc>
            </w:tr>
            <w:tr w14:paraId="0CC94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236F9AE0">
                  <w:pPr>
                    <w:pStyle w:val="78"/>
                    <w:spacing w:before="24" w:after="24" w:line="240" w:lineRule="auto"/>
                    <w:rPr>
                      <w:rFonts w:ascii="Times New Roman"/>
                      <w:color w:val="auto"/>
                    </w:rPr>
                  </w:pPr>
                </w:p>
              </w:tc>
              <w:tc>
                <w:tcPr>
                  <w:tcW w:w="1046" w:type="dxa"/>
                  <w:vMerge w:val="continue"/>
                  <w:tcBorders>
                    <w:left w:val="nil"/>
                    <w:right w:val="single" w:color="auto" w:sz="4" w:space="0"/>
                  </w:tcBorders>
                  <w:vAlign w:val="center"/>
                </w:tcPr>
                <w:p w14:paraId="517D69F6">
                  <w:pPr>
                    <w:pStyle w:val="78"/>
                    <w:spacing w:before="24" w:after="24" w:line="240" w:lineRule="auto"/>
                    <w:rPr>
                      <w:rFonts w:ascii="Times New Roman"/>
                      <w:color w:val="auto"/>
                    </w:rPr>
                  </w:pPr>
                </w:p>
              </w:tc>
              <w:tc>
                <w:tcPr>
                  <w:tcW w:w="3340" w:type="dxa"/>
                  <w:tcBorders>
                    <w:top w:val="single" w:color="auto" w:sz="4" w:space="0"/>
                    <w:left w:val="single" w:color="auto" w:sz="4" w:space="0"/>
                    <w:bottom w:val="single" w:color="auto" w:sz="4" w:space="0"/>
                    <w:right w:val="single" w:color="auto" w:sz="4" w:space="0"/>
                  </w:tcBorders>
                  <w:vAlign w:val="center"/>
                </w:tcPr>
                <w:p w14:paraId="7F9E4B0E">
                  <w:pPr>
                    <w:pStyle w:val="78"/>
                    <w:spacing w:before="24" w:after="24" w:line="240" w:lineRule="auto"/>
                    <w:rPr>
                      <w:rFonts w:ascii="Times New Roman"/>
                      <w:color w:val="auto"/>
                    </w:rPr>
                  </w:pPr>
                  <w:r>
                    <w:rPr>
                      <w:rFonts w:ascii="Times New Roman"/>
                      <w:color w:val="auto"/>
                    </w:rPr>
                    <w:t>35专用设备制造业：351采矿、冶金、建筑专用设备制造、358医疗仪器设备及器械制造等无电镀工艺且采用分割、焊接、组装工艺、使用非溶剂型低VOCs含量涂料的</w:t>
                  </w:r>
                </w:p>
              </w:tc>
              <w:tc>
                <w:tcPr>
                  <w:tcW w:w="2237" w:type="dxa"/>
                  <w:vMerge w:val="continue"/>
                  <w:tcBorders>
                    <w:left w:val="nil"/>
                    <w:right w:val="single" w:color="auto" w:sz="4" w:space="0"/>
                  </w:tcBorders>
                  <w:vAlign w:val="center"/>
                </w:tcPr>
                <w:p w14:paraId="475DDFA1">
                  <w:pPr>
                    <w:pStyle w:val="78"/>
                    <w:spacing w:before="24" w:after="24" w:line="240" w:lineRule="auto"/>
                    <w:rPr>
                      <w:rFonts w:ascii="Times New Roman"/>
                      <w:color w:val="auto"/>
                    </w:rPr>
                  </w:pPr>
                </w:p>
              </w:tc>
            </w:tr>
            <w:tr w14:paraId="608BF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79F1F155">
                  <w:pPr>
                    <w:pStyle w:val="78"/>
                    <w:spacing w:before="24" w:after="24" w:line="240" w:lineRule="auto"/>
                    <w:rPr>
                      <w:rFonts w:ascii="Times New Roman"/>
                      <w:color w:val="auto"/>
                    </w:rPr>
                  </w:pPr>
                </w:p>
              </w:tc>
              <w:tc>
                <w:tcPr>
                  <w:tcW w:w="1046" w:type="dxa"/>
                  <w:vMerge w:val="continue"/>
                  <w:tcBorders>
                    <w:left w:val="nil"/>
                    <w:right w:val="single" w:color="auto" w:sz="4" w:space="0"/>
                  </w:tcBorders>
                  <w:vAlign w:val="center"/>
                </w:tcPr>
                <w:p w14:paraId="2C4E2B5F">
                  <w:pPr>
                    <w:pStyle w:val="78"/>
                    <w:spacing w:before="24" w:after="24" w:line="240" w:lineRule="auto"/>
                    <w:rPr>
                      <w:rFonts w:ascii="Times New Roman"/>
                      <w:color w:val="auto"/>
                    </w:rPr>
                  </w:pPr>
                </w:p>
              </w:tc>
              <w:tc>
                <w:tcPr>
                  <w:tcW w:w="3340" w:type="dxa"/>
                  <w:tcBorders>
                    <w:top w:val="single" w:color="auto" w:sz="4" w:space="0"/>
                    <w:left w:val="single" w:color="auto" w:sz="4" w:space="0"/>
                    <w:bottom w:val="single" w:color="auto" w:sz="4" w:space="0"/>
                    <w:right w:val="single" w:color="auto" w:sz="4" w:space="0"/>
                  </w:tcBorders>
                  <w:vAlign w:val="center"/>
                </w:tcPr>
                <w:p w14:paraId="24777AF2">
                  <w:pPr>
                    <w:pStyle w:val="78"/>
                    <w:spacing w:before="24" w:after="24" w:line="240" w:lineRule="auto"/>
                    <w:rPr>
                      <w:rFonts w:ascii="Times New Roman"/>
                      <w:color w:val="auto"/>
                    </w:rPr>
                  </w:pPr>
                  <w:r>
                    <w:rPr>
                      <w:rFonts w:ascii="Times New Roman"/>
                      <w:color w:val="auto"/>
                    </w:rPr>
                    <w:t>38电气机械和器材制造业：389其他电气机械及器材制造等无电镀工艺且仅采用分割、焊接、组装工艺、使用非溶剂型低VOCs含量涂料的</w:t>
                  </w:r>
                </w:p>
              </w:tc>
              <w:tc>
                <w:tcPr>
                  <w:tcW w:w="2237" w:type="dxa"/>
                  <w:vMerge w:val="continue"/>
                  <w:tcBorders>
                    <w:left w:val="nil"/>
                    <w:right w:val="single" w:color="auto" w:sz="4" w:space="0"/>
                  </w:tcBorders>
                  <w:vAlign w:val="center"/>
                </w:tcPr>
                <w:p w14:paraId="72A903CB">
                  <w:pPr>
                    <w:pStyle w:val="78"/>
                    <w:spacing w:before="24" w:after="24" w:line="240" w:lineRule="auto"/>
                    <w:rPr>
                      <w:rFonts w:ascii="Times New Roman"/>
                      <w:color w:val="auto"/>
                    </w:rPr>
                  </w:pPr>
                </w:p>
              </w:tc>
            </w:tr>
            <w:tr w14:paraId="64233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6DD1E6A3">
                  <w:pPr>
                    <w:pStyle w:val="78"/>
                    <w:spacing w:before="24" w:after="24" w:line="240" w:lineRule="auto"/>
                    <w:rPr>
                      <w:rFonts w:ascii="Times New Roman"/>
                      <w:color w:val="auto"/>
                    </w:rPr>
                  </w:pPr>
                </w:p>
              </w:tc>
              <w:tc>
                <w:tcPr>
                  <w:tcW w:w="1046" w:type="dxa"/>
                  <w:vMerge w:val="continue"/>
                  <w:tcBorders>
                    <w:left w:val="nil"/>
                    <w:bottom w:val="single" w:color="auto" w:sz="4" w:space="0"/>
                    <w:right w:val="single" w:color="auto" w:sz="4" w:space="0"/>
                  </w:tcBorders>
                  <w:vAlign w:val="center"/>
                </w:tcPr>
                <w:p w14:paraId="41133CAE">
                  <w:pPr>
                    <w:pStyle w:val="78"/>
                    <w:spacing w:before="24" w:after="24" w:line="240" w:lineRule="auto"/>
                    <w:rPr>
                      <w:rFonts w:ascii="Times New Roman"/>
                      <w:color w:val="auto"/>
                    </w:rPr>
                  </w:pPr>
                </w:p>
              </w:tc>
              <w:tc>
                <w:tcPr>
                  <w:tcW w:w="3340" w:type="dxa"/>
                  <w:tcBorders>
                    <w:top w:val="single" w:color="auto" w:sz="4" w:space="0"/>
                    <w:left w:val="single" w:color="auto" w:sz="4" w:space="0"/>
                    <w:bottom w:val="single" w:color="auto" w:sz="4" w:space="0"/>
                    <w:right w:val="single" w:color="auto" w:sz="4" w:space="0"/>
                  </w:tcBorders>
                  <w:vAlign w:val="center"/>
                </w:tcPr>
                <w:p w14:paraId="0CAF21AD">
                  <w:pPr>
                    <w:pStyle w:val="78"/>
                    <w:spacing w:before="24" w:after="24" w:line="240" w:lineRule="auto"/>
                    <w:rPr>
                      <w:rFonts w:ascii="Times New Roman"/>
                      <w:color w:val="auto"/>
                    </w:rPr>
                  </w:pPr>
                  <w:r>
                    <w:rPr>
                      <w:rFonts w:ascii="Times New Roman"/>
                      <w:color w:val="auto"/>
                    </w:rPr>
                    <w:t>39计算机、通信和其他电子设备制造业：392通信设备制造、393广播电视设备制造、394雷达及配套设备制造、395非专业视听设备制造、396 智能消费设备制造、399其他电子设备制造</w:t>
                  </w:r>
                </w:p>
              </w:tc>
              <w:tc>
                <w:tcPr>
                  <w:tcW w:w="2237" w:type="dxa"/>
                  <w:vMerge w:val="continue"/>
                  <w:tcBorders>
                    <w:left w:val="nil"/>
                    <w:right w:val="single" w:color="auto" w:sz="4" w:space="0"/>
                  </w:tcBorders>
                  <w:vAlign w:val="center"/>
                </w:tcPr>
                <w:p w14:paraId="066F1FA7">
                  <w:pPr>
                    <w:pStyle w:val="78"/>
                    <w:spacing w:before="24" w:after="24" w:line="240" w:lineRule="auto"/>
                    <w:rPr>
                      <w:rFonts w:ascii="Times New Roman"/>
                      <w:color w:val="auto"/>
                    </w:rPr>
                  </w:pPr>
                </w:p>
              </w:tc>
            </w:tr>
            <w:tr w14:paraId="7326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518CDFC3">
                  <w:pPr>
                    <w:pStyle w:val="78"/>
                    <w:spacing w:before="24" w:after="24" w:line="240" w:lineRule="auto"/>
                    <w:rPr>
                      <w:rFonts w:ascii="Times New Roman"/>
                      <w:color w:val="auto"/>
                    </w:rPr>
                  </w:pPr>
                </w:p>
              </w:tc>
              <w:tc>
                <w:tcPr>
                  <w:tcW w:w="1046" w:type="dxa"/>
                  <w:tcBorders>
                    <w:top w:val="single" w:color="auto" w:sz="4" w:space="0"/>
                    <w:left w:val="nil"/>
                    <w:bottom w:val="single" w:color="auto" w:sz="4" w:space="0"/>
                    <w:right w:val="single" w:color="auto" w:sz="4" w:space="0"/>
                  </w:tcBorders>
                  <w:vAlign w:val="center"/>
                </w:tcPr>
                <w:p w14:paraId="3C5DDE0C">
                  <w:pPr>
                    <w:pStyle w:val="78"/>
                    <w:spacing w:before="24" w:after="24" w:line="240" w:lineRule="auto"/>
                    <w:rPr>
                      <w:rFonts w:ascii="Times New Roman"/>
                      <w:color w:val="auto"/>
                    </w:rPr>
                  </w:pPr>
                  <w:r>
                    <w:rPr>
                      <w:rFonts w:ascii="Times New Roman"/>
                      <w:color w:val="auto"/>
                    </w:rPr>
                    <w:t>食品加工</w:t>
                  </w:r>
                </w:p>
              </w:tc>
              <w:tc>
                <w:tcPr>
                  <w:tcW w:w="3340" w:type="dxa"/>
                  <w:tcBorders>
                    <w:top w:val="single" w:color="auto" w:sz="4" w:space="0"/>
                    <w:left w:val="single" w:color="auto" w:sz="4" w:space="0"/>
                    <w:bottom w:val="single" w:color="auto" w:sz="4" w:space="0"/>
                    <w:right w:val="single" w:color="auto" w:sz="4" w:space="0"/>
                  </w:tcBorders>
                  <w:vAlign w:val="center"/>
                </w:tcPr>
                <w:p w14:paraId="2DBC174B">
                  <w:pPr>
                    <w:pStyle w:val="78"/>
                    <w:spacing w:before="24" w:after="24" w:line="240" w:lineRule="auto"/>
                    <w:rPr>
                      <w:rFonts w:ascii="Times New Roman"/>
                      <w:color w:val="auto"/>
                    </w:rPr>
                  </w:pPr>
                  <w:r>
                    <w:rPr>
                      <w:rFonts w:ascii="Times New Roman"/>
                      <w:color w:val="auto"/>
                    </w:rPr>
                    <w:t>14食品制造业：142糖果、巧克力及蜜饯制造、143方便食品制造、144 乳制品制造、145罐头食品制造</w:t>
                  </w:r>
                </w:p>
              </w:tc>
              <w:tc>
                <w:tcPr>
                  <w:tcW w:w="2237" w:type="dxa"/>
                  <w:vMerge w:val="continue"/>
                  <w:tcBorders>
                    <w:left w:val="nil"/>
                    <w:right w:val="single" w:color="auto" w:sz="4" w:space="0"/>
                  </w:tcBorders>
                  <w:vAlign w:val="center"/>
                </w:tcPr>
                <w:p w14:paraId="13634E3D">
                  <w:pPr>
                    <w:pStyle w:val="78"/>
                    <w:spacing w:before="24" w:after="24" w:line="240" w:lineRule="auto"/>
                    <w:rPr>
                      <w:rFonts w:ascii="Times New Roman"/>
                      <w:color w:val="auto"/>
                    </w:rPr>
                  </w:pPr>
                </w:p>
              </w:tc>
            </w:tr>
            <w:tr w14:paraId="50F42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bottom w:val="single" w:color="auto" w:sz="4" w:space="0"/>
                    <w:right w:val="single" w:color="auto" w:sz="4" w:space="0"/>
                  </w:tcBorders>
                  <w:vAlign w:val="center"/>
                </w:tcPr>
                <w:p w14:paraId="6D73F85A">
                  <w:pPr>
                    <w:pStyle w:val="78"/>
                    <w:spacing w:before="24" w:after="24" w:line="240" w:lineRule="auto"/>
                    <w:rPr>
                      <w:rFonts w:ascii="Times New Roman"/>
                      <w:color w:val="auto"/>
                    </w:rPr>
                  </w:pPr>
                </w:p>
              </w:tc>
              <w:tc>
                <w:tcPr>
                  <w:tcW w:w="1046" w:type="dxa"/>
                  <w:tcBorders>
                    <w:top w:val="single" w:color="auto" w:sz="4" w:space="0"/>
                    <w:left w:val="nil"/>
                    <w:bottom w:val="single" w:color="auto" w:sz="4" w:space="0"/>
                    <w:right w:val="single" w:color="auto" w:sz="4" w:space="0"/>
                  </w:tcBorders>
                  <w:vAlign w:val="center"/>
                </w:tcPr>
                <w:p w14:paraId="795F1E4F">
                  <w:pPr>
                    <w:pStyle w:val="78"/>
                    <w:spacing w:before="24" w:after="24" w:line="240" w:lineRule="auto"/>
                    <w:rPr>
                      <w:rFonts w:ascii="Times New Roman"/>
                      <w:color w:val="auto"/>
                    </w:rPr>
                  </w:pPr>
                  <w:r>
                    <w:rPr>
                      <w:rFonts w:ascii="Times New Roman"/>
                      <w:color w:val="auto"/>
                    </w:rPr>
                    <w:t>商贸物流</w:t>
                  </w:r>
                </w:p>
              </w:tc>
              <w:tc>
                <w:tcPr>
                  <w:tcW w:w="3340" w:type="dxa"/>
                  <w:tcBorders>
                    <w:top w:val="single" w:color="auto" w:sz="4" w:space="0"/>
                    <w:left w:val="single" w:color="auto" w:sz="4" w:space="0"/>
                    <w:bottom w:val="single" w:color="auto" w:sz="4" w:space="0"/>
                    <w:right w:val="single" w:color="auto" w:sz="4" w:space="0"/>
                  </w:tcBorders>
                  <w:vAlign w:val="center"/>
                </w:tcPr>
                <w:p w14:paraId="65C2C04A">
                  <w:pPr>
                    <w:pStyle w:val="78"/>
                    <w:spacing w:before="24" w:after="24" w:line="240" w:lineRule="auto"/>
                    <w:rPr>
                      <w:rFonts w:ascii="Times New Roman"/>
                      <w:color w:val="auto"/>
                    </w:rPr>
                  </w:pPr>
                  <w:r>
                    <w:rPr>
                      <w:rFonts w:ascii="Times New Roman"/>
                      <w:color w:val="auto"/>
                    </w:rPr>
                    <w:t>81机动车、电子产品和日用产品修理业：811汽车、摩托车等修理与维护</w:t>
                  </w:r>
                </w:p>
              </w:tc>
              <w:tc>
                <w:tcPr>
                  <w:tcW w:w="2237" w:type="dxa"/>
                  <w:vMerge w:val="continue"/>
                  <w:tcBorders>
                    <w:left w:val="nil"/>
                    <w:right w:val="single" w:color="auto" w:sz="4" w:space="0"/>
                  </w:tcBorders>
                  <w:vAlign w:val="center"/>
                </w:tcPr>
                <w:p w14:paraId="536AC00E">
                  <w:pPr>
                    <w:pStyle w:val="78"/>
                    <w:spacing w:before="24" w:after="24" w:line="240" w:lineRule="auto"/>
                    <w:rPr>
                      <w:rFonts w:ascii="Times New Roman"/>
                      <w:color w:val="auto"/>
                    </w:rPr>
                  </w:pPr>
                </w:p>
              </w:tc>
            </w:tr>
            <w:tr w14:paraId="5D633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restart"/>
                  <w:tcBorders>
                    <w:top w:val="single" w:color="auto" w:sz="4" w:space="0"/>
                    <w:left w:val="single" w:color="auto" w:sz="4" w:space="0"/>
                    <w:right w:val="single" w:color="auto" w:sz="4" w:space="0"/>
                  </w:tcBorders>
                  <w:vAlign w:val="center"/>
                </w:tcPr>
                <w:p w14:paraId="2C2EF508">
                  <w:pPr>
                    <w:pStyle w:val="78"/>
                    <w:spacing w:before="24" w:after="24" w:line="240" w:lineRule="auto"/>
                    <w:rPr>
                      <w:rFonts w:ascii="Times New Roman"/>
                      <w:color w:val="auto"/>
                    </w:rPr>
                  </w:pPr>
                  <w:r>
                    <w:rPr>
                      <w:rFonts w:ascii="Times New Roman"/>
                      <w:color w:val="auto"/>
                    </w:rPr>
                    <w:t>禁止类</w:t>
                  </w:r>
                </w:p>
              </w:tc>
              <w:tc>
                <w:tcPr>
                  <w:tcW w:w="4386" w:type="dxa"/>
                  <w:gridSpan w:val="2"/>
                  <w:tcBorders>
                    <w:top w:val="single" w:color="auto" w:sz="4" w:space="0"/>
                    <w:left w:val="nil"/>
                    <w:bottom w:val="single" w:color="auto" w:sz="4" w:space="0"/>
                    <w:right w:val="single" w:color="auto" w:sz="4" w:space="0"/>
                  </w:tcBorders>
                  <w:vAlign w:val="center"/>
                </w:tcPr>
                <w:p w14:paraId="2EC01AC0">
                  <w:pPr>
                    <w:pStyle w:val="78"/>
                    <w:spacing w:before="24" w:after="24" w:line="240" w:lineRule="auto"/>
                    <w:rPr>
                      <w:rFonts w:ascii="Times New Roman"/>
                      <w:color w:val="auto"/>
                    </w:rPr>
                  </w:pPr>
                  <w:r>
                    <w:rPr>
                      <w:rFonts w:ascii="Times New Roman"/>
                      <w:color w:val="auto"/>
                    </w:rPr>
                    <w:t>禁止引入国家明令禁止建设或投资的、引入列入《产业结构调整指导目录（2024年本）》、《外商投资产业指导目录（2017年修订）》、《市场准入负面清单（2020年版）》等相关产业政策中禁止或淘汰类项目、产品、工艺和设备。</w:t>
                  </w:r>
                </w:p>
              </w:tc>
              <w:tc>
                <w:tcPr>
                  <w:tcW w:w="2237" w:type="dxa"/>
                  <w:vMerge w:val="continue"/>
                  <w:tcBorders>
                    <w:left w:val="nil"/>
                    <w:right w:val="single" w:color="auto" w:sz="4" w:space="0"/>
                  </w:tcBorders>
                  <w:vAlign w:val="center"/>
                </w:tcPr>
                <w:p w14:paraId="5DF2B55D">
                  <w:pPr>
                    <w:pStyle w:val="78"/>
                    <w:spacing w:before="24" w:after="24" w:line="240" w:lineRule="auto"/>
                    <w:rPr>
                      <w:rFonts w:ascii="Times New Roman"/>
                      <w:color w:val="auto"/>
                    </w:rPr>
                  </w:pPr>
                </w:p>
              </w:tc>
            </w:tr>
            <w:tr w14:paraId="41DD6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right w:val="single" w:color="auto" w:sz="4" w:space="0"/>
                  </w:tcBorders>
                  <w:vAlign w:val="center"/>
                </w:tcPr>
                <w:p w14:paraId="0BBD11FF">
                  <w:pPr>
                    <w:pStyle w:val="78"/>
                    <w:spacing w:before="24" w:after="24" w:line="240" w:lineRule="auto"/>
                    <w:rPr>
                      <w:rFonts w:ascii="Times New Roman"/>
                      <w:color w:val="auto"/>
                    </w:rPr>
                  </w:pPr>
                </w:p>
              </w:tc>
              <w:tc>
                <w:tcPr>
                  <w:tcW w:w="4386" w:type="dxa"/>
                  <w:gridSpan w:val="2"/>
                  <w:tcBorders>
                    <w:top w:val="single" w:color="auto" w:sz="4" w:space="0"/>
                    <w:left w:val="nil"/>
                    <w:bottom w:val="single" w:color="auto" w:sz="4" w:space="0"/>
                    <w:right w:val="single" w:color="auto" w:sz="4" w:space="0"/>
                  </w:tcBorders>
                  <w:vAlign w:val="center"/>
                </w:tcPr>
                <w:p w14:paraId="6839F56B">
                  <w:pPr>
                    <w:pStyle w:val="78"/>
                    <w:spacing w:before="24" w:after="24" w:line="240" w:lineRule="auto"/>
                    <w:rPr>
                      <w:rFonts w:ascii="Times New Roman"/>
                      <w:color w:val="auto"/>
                    </w:rPr>
                  </w:pPr>
                  <w:r>
                    <w:rPr>
                      <w:rFonts w:ascii="Times New Roman"/>
                      <w:color w:val="auto"/>
                    </w:rPr>
                    <w:t>禁止引进国家、安徽省明确规定不得审批的建设项目。</w:t>
                  </w:r>
                </w:p>
              </w:tc>
              <w:tc>
                <w:tcPr>
                  <w:tcW w:w="2237" w:type="dxa"/>
                  <w:vMerge w:val="continue"/>
                  <w:tcBorders>
                    <w:left w:val="nil"/>
                    <w:right w:val="single" w:color="auto" w:sz="4" w:space="0"/>
                  </w:tcBorders>
                  <w:vAlign w:val="center"/>
                </w:tcPr>
                <w:p w14:paraId="6110B08B">
                  <w:pPr>
                    <w:pStyle w:val="78"/>
                    <w:spacing w:before="24" w:after="24" w:line="240" w:lineRule="auto"/>
                    <w:rPr>
                      <w:rFonts w:ascii="Times New Roman"/>
                      <w:color w:val="auto"/>
                    </w:rPr>
                  </w:pPr>
                </w:p>
              </w:tc>
            </w:tr>
            <w:tr w14:paraId="08BD7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vMerge w:val="continue"/>
                  <w:tcBorders>
                    <w:left w:val="single" w:color="auto" w:sz="4" w:space="0"/>
                    <w:bottom w:val="single" w:color="auto" w:sz="4" w:space="0"/>
                    <w:right w:val="single" w:color="auto" w:sz="4" w:space="0"/>
                  </w:tcBorders>
                  <w:vAlign w:val="center"/>
                </w:tcPr>
                <w:p w14:paraId="7D87DD2B">
                  <w:pPr>
                    <w:pStyle w:val="78"/>
                    <w:spacing w:before="24" w:after="24" w:line="240" w:lineRule="auto"/>
                    <w:rPr>
                      <w:rFonts w:ascii="Times New Roman"/>
                      <w:color w:val="auto"/>
                    </w:rPr>
                  </w:pPr>
                </w:p>
              </w:tc>
              <w:tc>
                <w:tcPr>
                  <w:tcW w:w="4386" w:type="dxa"/>
                  <w:gridSpan w:val="2"/>
                  <w:tcBorders>
                    <w:top w:val="single" w:color="auto" w:sz="4" w:space="0"/>
                    <w:left w:val="nil"/>
                    <w:bottom w:val="single" w:color="auto" w:sz="4" w:space="0"/>
                    <w:right w:val="single" w:color="auto" w:sz="4" w:space="0"/>
                  </w:tcBorders>
                  <w:vAlign w:val="center"/>
                </w:tcPr>
                <w:p w14:paraId="29A1DE6B">
                  <w:pPr>
                    <w:pStyle w:val="78"/>
                    <w:spacing w:before="24" w:after="24" w:line="240" w:lineRule="auto"/>
                    <w:rPr>
                      <w:rFonts w:ascii="Times New Roman"/>
                      <w:color w:val="auto"/>
                    </w:rPr>
                  </w:pPr>
                  <w:r>
                    <w:rPr>
                      <w:rFonts w:ascii="Times New Roman"/>
                      <w:color w:val="auto"/>
                    </w:rPr>
                    <w:t>禁止引进化学制浆造纸企业和印染、制革、化工、电镀、酿造等污染严重的小型企业。严格限制在淮河流域新建印染、制革、化工、电镀、酿造等大中型项目或者其他污染严重的项目；建设该类项目的，应当事前征得省人民政府生态环境行政主管部门的同意，并按照规定办理有关手续。禁止其他涉及印染、制革、电镀等与主导产业定位不相符的高能耗、高污染制造项目。</w:t>
                  </w:r>
                </w:p>
              </w:tc>
              <w:tc>
                <w:tcPr>
                  <w:tcW w:w="2237" w:type="dxa"/>
                  <w:vMerge w:val="continue"/>
                  <w:tcBorders>
                    <w:left w:val="nil"/>
                    <w:right w:val="single" w:color="auto" w:sz="4" w:space="0"/>
                  </w:tcBorders>
                  <w:vAlign w:val="center"/>
                </w:tcPr>
                <w:p w14:paraId="5424EF01">
                  <w:pPr>
                    <w:pStyle w:val="78"/>
                    <w:spacing w:before="24" w:after="24" w:line="240" w:lineRule="auto"/>
                    <w:rPr>
                      <w:rFonts w:ascii="Times New Roman"/>
                      <w:color w:val="auto"/>
                    </w:rPr>
                  </w:pPr>
                </w:p>
              </w:tc>
            </w:tr>
            <w:tr w14:paraId="257ED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tcBorders>
                    <w:top w:val="single" w:color="auto" w:sz="4" w:space="0"/>
                    <w:left w:val="single" w:color="auto" w:sz="4" w:space="0"/>
                    <w:bottom w:val="single" w:color="auto" w:sz="4" w:space="0"/>
                    <w:right w:val="single" w:color="auto" w:sz="4" w:space="0"/>
                  </w:tcBorders>
                  <w:vAlign w:val="center"/>
                </w:tcPr>
                <w:p w14:paraId="4A704363">
                  <w:pPr>
                    <w:pStyle w:val="78"/>
                    <w:spacing w:before="24" w:after="24" w:line="240" w:lineRule="auto"/>
                    <w:rPr>
                      <w:rFonts w:ascii="Times New Roman"/>
                      <w:color w:val="auto"/>
                    </w:rPr>
                  </w:pPr>
                  <w:r>
                    <w:rPr>
                      <w:rFonts w:ascii="Times New Roman"/>
                      <w:color w:val="auto"/>
                    </w:rPr>
                    <w:t>限制类</w:t>
                  </w:r>
                </w:p>
              </w:tc>
              <w:tc>
                <w:tcPr>
                  <w:tcW w:w="4386" w:type="dxa"/>
                  <w:gridSpan w:val="2"/>
                  <w:tcBorders>
                    <w:top w:val="single" w:color="auto" w:sz="4" w:space="0"/>
                    <w:left w:val="nil"/>
                    <w:bottom w:val="single" w:color="auto" w:sz="4" w:space="0"/>
                    <w:right w:val="single" w:color="auto" w:sz="4" w:space="0"/>
                  </w:tcBorders>
                  <w:vAlign w:val="center"/>
                </w:tcPr>
                <w:p w14:paraId="06DEB199">
                  <w:pPr>
                    <w:pStyle w:val="78"/>
                    <w:spacing w:before="24" w:after="24" w:line="240" w:lineRule="auto"/>
                    <w:rPr>
                      <w:rFonts w:ascii="Times New Roman"/>
                      <w:color w:val="auto"/>
                    </w:rPr>
                  </w:pPr>
                  <w:r>
                    <w:rPr>
                      <w:rFonts w:ascii="Times New Roman"/>
                      <w:color w:val="auto"/>
                    </w:rPr>
                    <w:t>限制发展能源、资源消耗量或排污量较大但效益相对较好的企业，主要为除经开区规划六大主导产业外、非禁止类项目，具体项目引入需经充分环境影响论证。</w:t>
                  </w:r>
                </w:p>
              </w:tc>
              <w:tc>
                <w:tcPr>
                  <w:tcW w:w="2237" w:type="dxa"/>
                  <w:vMerge w:val="continue"/>
                  <w:tcBorders>
                    <w:left w:val="nil"/>
                    <w:bottom w:val="single" w:color="auto" w:sz="4" w:space="0"/>
                    <w:right w:val="single" w:color="auto" w:sz="4" w:space="0"/>
                  </w:tcBorders>
                  <w:vAlign w:val="center"/>
                </w:tcPr>
                <w:p w14:paraId="4CBE3768">
                  <w:pPr>
                    <w:pStyle w:val="78"/>
                    <w:spacing w:before="24" w:after="24" w:line="240" w:lineRule="auto"/>
                    <w:rPr>
                      <w:rFonts w:ascii="Times New Roman"/>
                      <w:color w:val="auto"/>
                    </w:rPr>
                  </w:pPr>
                </w:p>
              </w:tc>
            </w:tr>
            <w:tr w14:paraId="25FC8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tcBorders>
                    <w:top w:val="single" w:color="auto" w:sz="4" w:space="0"/>
                    <w:left w:val="single" w:color="auto" w:sz="4" w:space="0"/>
                    <w:bottom w:val="single" w:color="auto" w:sz="4" w:space="0"/>
                    <w:right w:val="single" w:color="auto" w:sz="4" w:space="0"/>
                  </w:tcBorders>
                  <w:vAlign w:val="center"/>
                </w:tcPr>
                <w:p w14:paraId="6042B4CC">
                  <w:pPr>
                    <w:pStyle w:val="78"/>
                    <w:spacing w:before="24" w:after="24" w:line="240" w:lineRule="auto"/>
                    <w:rPr>
                      <w:rFonts w:ascii="Times New Roman"/>
                      <w:color w:val="auto"/>
                    </w:rPr>
                  </w:pPr>
                  <w:r>
                    <w:rPr>
                      <w:rFonts w:ascii="Times New Roman"/>
                      <w:color w:val="auto"/>
                    </w:rPr>
                    <w:t>新增或改扩建项目风险要求</w:t>
                  </w:r>
                </w:p>
              </w:tc>
              <w:tc>
                <w:tcPr>
                  <w:tcW w:w="4386" w:type="dxa"/>
                  <w:gridSpan w:val="2"/>
                  <w:tcBorders>
                    <w:top w:val="single" w:color="auto" w:sz="4" w:space="0"/>
                    <w:left w:val="nil"/>
                    <w:bottom w:val="single" w:color="auto" w:sz="4" w:space="0"/>
                    <w:right w:val="single" w:color="auto" w:sz="4" w:space="0"/>
                  </w:tcBorders>
                  <w:vAlign w:val="center"/>
                </w:tcPr>
                <w:p w14:paraId="166BA05D">
                  <w:pPr>
                    <w:pStyle w:val="78"/>
                    <w:spacing w:before="24" w:after="24" w:line="240" w:lineRule="auto"/>
                    <w:rPr>
                      <w:rFonts w:ascii="Times New Roman"/>
                      <w:color w:val="auto"/>
                    </w:rPr>
                  </w:pPr>
                  <w:r>
                    <w:rPr>
                      <w:rFonts w:ascii="Times New Roman"/>
                      <w:color w:val="auto"/>
                    </w:rPr>
                    <w:t>区内新增或改扩建存在环境风险的项目，在建设项目环评阶段须重点开展环境风险评价，与项目周边环境敏感目标之前控制合理的风险控制距离，提出并落实风险防范措施及应急联动要求，编制应急预案，并与经开区应急预案联动，在经开区进行环境风险源、应急设备、物资等的备案。</w:t>
                  </w:r>
                </w:p>
              </w:tc>
              <w:tc>
                <w:tcPr>
                  <w:tcW w:w="2237" w:type="dxa"/>
                  <w:tcBorders>
                    <w:top w:val="single" w:color="auto" w:sz="4" w:space="0"/>
                    <w:left w:val="nil"/>
                    <w:bottom w:val="single" w:color="auto" w:sz="4" w:space="0"/>
                    <w:right w:val="single" w:color="auto" w:sz="4" w:space="0"/>
                  </w:tcBorders>
                  <w:vAlign w:val="center"/>
                </w:tcPr>
                <w:p w14:paraId="5690C3CE">
                  <w:pPr>
                    <w:pStyle w:val="78"/>
                    <w:spacing w:before="24" w:after="24" w:line="240" w:lineRule="auto"/>
                    <w:rPr>
                      <w:rFonts w:ascii="Times New Roman"/>
                      <w:color w:val="auto"/>
                    </w:rPr>
                  </w:pPr>
                  <w:r>
                    <w:rPr>
                      <w:rFonts w:ascii="Times New Roman"/>
                      <w:color w:val="auto"/>
                    </w:rPr>
                    <w:t>项目实施过程中注重环境风险管控，建立健全突发环境事件应急预案和应急体系、能力，加强同开发区应急预案联动；项目同周边环境敏感目标保持合理的距离；符合。</w:t>
                  </w:r>
                </w:p>
              </w:tc>
            </w:tr>
            <w:tr w14:paraId="24730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877" w:type="dxa"/>
                  <w:tcBorders>
                    <w:top w:val="single" w:color="auto" w:sz="4" w:space="0"/>
                    <w:left w:val="single" w:color="auto" w:sz="4" w:space="0"/>
                    <w:bottom w:val="single" w:color="auto" w:sz="4" w:space="0"/>
                    <w:right w:val="single" w:color="auto" w:sz="4" w:space="0"/>
                  </w:tcBorders>
                  <w:vAlign w:val="center"/>
                </w:tcPr>
                <w:p w14:paraId="12975DFB">
                  <w:pPr>
                    <w:pStyle w:val="78"/>
                    <w:spacing w:before="24" w:after="24" w:line="240" w:lineRule="auto"/>
                    <w:rPr>
                      <w:rFonts w:ascii="Times New Roman"/>
                      <w:color w:val="auto"/>
                    </w:rPr>
                  </w:pPr>
                  <w:r>
                    <w:rPr>
                      <w:rFonts w:ascii="Times New Roman"/>
                      <w:color w:val="auto"/>
                    </w:rPr>
                    <w:t>清洁生产要求</w:t>
                  </w:r>
                </w:p>
              </w:tc>
              <w:tc>
                <w:tcPr>
                  <w:tcW w:w="4386" w:type="dxa"/>
                  <w:gridSpan w:val="2"/>
                  <w:tcBorders>
                    <w:top w:val="single" w:color="auto" w:sz="4" w:space="0"/>
                    <w:left w:val="nil"/>
                    <w:bottom w:val="single" w:color="auto" w:sz="4" w:space="0"/>
                    <w:right w:val="single" w:color="auto" w:sz="4" w:space="0"/>
                  </w:tcBorders>
                  <w:vAlign w:val="center"/>
                </w:tcPr>
                <w:p w14:paraId="5C787E73">
                  <w:pPr>
                    <w:pStyle w:val="78"/>
                    <w:spacing w:before="24" w:after="24" w:line="240" w:lineRule="auto"/>
                    <w:rPr>
                      <w:rFonts w:ascii="Times New Roman"/>
                      <w:color w:val="auto"/>
                    </w:rPr>
                  </w:pPr>
                  <w:r>
                    <w:rPr>
                      <w:rFonts w:ascii="Times New Roman"/>
                      <w:color w:val="auto"/>
                    </w:rPr>
                    <w:t>引进项目的清洁生产水平至少需达到同期国内先进水平（行业清洁生产标准），优先引进清洁生产水平达到国际先进水平的项目，禁止引进低于国内先进水平的项目。严格审查入区企业行业类型和生产工艺，要求开发区入驻企业采用先进的生产工艺，在生产、产品和服务中最大限度的做到节能、减污、降耗、增效。</w:t>
                  </w:r>
                </w:p>
              </w:tc>
              <w:tc>
                <w:tcPr>
                  <w:tcW w:w="2237" w:type="dxa"/>
                  <w:tcBorders>
                    <w:top w:val="single" w:color="auto" w:sz="4" w:space="0"/>
                    <w:left w:val="nil"/>
                    <w:bottom w:val="single" w:color="auto" w:sz="4" w:space="0"/>
                    <w:right w:val="single" w:color="auto" w:sz="4" w:space="0"/>
                  </w:tcBorders>
                  <w:vAlign w:val="center"/>
                </w:tcPr>
                <w:p w14:paraId="02D1C917">
                  <w:pPr>
                    <w:pStyle w:val="78"/>
                    <w:spacing w:before="24" w:after="24" w:line="240" w:lineRule="auto"/>
                    <w:rPr>
                      <w:rFonts w:ascii="Times New Roman"/>
                      <w:color w:val="auto"/>
                    </w:rPr>
                  </w:pPr>
                  <w:r>
                    <w:rPr>
                      <w:rFonts w:ascii="Times New Roman"/>
                      <w:color w:val="auto"/>
                    </w:rPr>
                    <w:t>本项目属于非金属矿物制品制造，能达到清洁生产国内先进水平；符合。</w:t>
                  </w:r>
                </w:p>
              </w:tc>
            </w:tr>
          </w:tbl>
          <w:p w14:paraId="2D475931">
            <w:pPr>
              <w:jc w:val="center"/>
              <w:rPr>
                <w:b/>
                <w:color w:val="auto"/>
                <w:szCs w:val="21"/>
              </w:rPr>
            </w:pPr>
            <w:r>
              <w:rPr>
                <w:b/>
                <w:color w:val="auto"/>
                <w:szCs w:val="21"/>
              </w:rPr>
              <w:t>表1-5  与《环境影响区域评估报告》审查意见符合性分析</w:t>
            </w:r>
          </w:p>
          <w:tbl>
            <w:tblPr>
              <w:tblStyle w:val="32"/>
              <w:tblpPr w:leftFromText="180" w:rightFromText="180" w:vertAnchor="text" w:tblpXSpec="center" w:tblpY="1"/>
              <w:tblOverlap w:val="never"/>
              <w:tblW w:w="74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0"/>
              <w:gridCol w:w="3625"/>
              <w:gridCol w:w="2859"/>
              <w:gridCol w:w="634"/>
            </w:tblGrid>
            <w:tr w14:paraId="582E4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360" w:type="dxa"/>
                  <w:tcBorders>
                    <w:top w:val="single" w:color="auto" w:sz="4" w:space="0"/>
                    <w:left w:val="single" w:color="auto" w:sz="4" w:space="0"/>
                    <w:bottom w:val="single" w:color="auto" w:sz="4" w:space="0"/>
                    <w:right w:val="single" w:color="auto" w:sz="4" w:space="0"/>
                  </w:tcBorders>
                  <w:vAlign w:val="center"/>
                </w:tcPr>
                <w:p w14:paraId="3C92663C">
                  <w:pPr>
                    <w:pStyle w:val="78"/>
                    <w:spacing w:before="24" w:after="24" w:line="240" w:lineRule="auto"/>
                    <w:rPr>
                      <w:rFonts w:ascii="Times New Roman"/>
                      <w:b/>
                      <w:bCs/>
                      <w:color w:val="auto"/>
                    </w:rPr>
                  </w:pPr>
                  <w:r>
                    <w:rPr>
                      <w:rFonts w:ascii="Times New Roman"/>
                      <w:b/>
                      <w:bCs/>
                      <w:color w:val="auto"/>
                    </w:rPr>
                    <w:t>序号</w:t>
                  </w:r>
                </w:p>
              </w:tc>
              <w:tc>
                <w:tcPr>
                  <w:tcW w:w="3625" w:type="dxa"/>
                  <w:tcBorders>
                    <w:top w:val="single" w:color="auto" w:sz="4" w:space="0"/>
                    <w:left w:val="single" w:color="auto" w:sz="4" w:space="0"/>
                    <w:bottom w:val="single" w:color="auto" w:sz="4" w:space="0"/>
                    <w:right w:val="single" w:color="auto" w:sz="4" w:space="0"/>
                  </w:tcBorders>
                  <w:vAlign w:val="center"/>
                </w:tcPr>
                <w:p w14:paraId="2A6387D4">
                  <w:pPr>
                    <w:pStyle w:val="78"/>
                    <w:spacing w:before="24" w:after="24" w:line="240" w:lineRule="auto"/>
                    <w:rPr>
                      <w:rFonts w:ascii="Times New Roman"/>
                      <w:b/>
                      <w:bCs/>
                      <w:color w:val="auto"/>
                    </w:rPr>
                  </w:pPr>
                  <w:r>
                    <w:rPr>
                      <w:rFonts w:ascii="Times New Roman"/>
                      <w:b/>
                      <w:bCs/>
                      <w:color w:val="auto"/>
                    </w:rPr>
                    <w:t>环境影响区域评估报告审查意见</w:t>
                  </w:r>
                </w:p>
              </w:tc>
              <w:tc>
                <w:tcPr>
                  <w:tcW w:w="2859" w:type="dxa"/>
                  <w:tcBorders>
                    <w:top w:val="single" w:color="auto" w:sz="4" w:space="0"/>
                    <w:left w:val="single" w:color="auto" w:sz="4" w:space="0"/>
                    <w:bottom w:val="single" w:color="auto" w:sz="4" w:space="0"/>
                    <w:right w:val="single" w:color="auto" w:sz="4" w:space="0"/>
                  </w:tcBorders>
                  <w:vAlign w:val="center"/>
                </w:tcPr>
                <w:p w14:paraId="5C483DD7">
                  <w:pPr>
                    <w:pStyle w:val="78"/>
                    <w:spacing w:before="24" w:after="24" w:line="240" w:lineRule="auto"/>
                    <w:rPr>
                      <w:rFonts w:ascii="Times New Roman"/>
                      <w:b/>
                      <w:bCs/>
                      <w:color w:val="auto"/>
                    </w:rPr>
                  </w:pPr>
                  <w:r>
                    <w:rPr>
                      <w:rFonts w:ascii="Times New Roman"/>
                      <w:b/>
                      <w:bCs/>
                      <w:color w:val="auto"/>
                    </w:rPr>
                    <w:t>本项目基本情况</w:t>
                  </w:r>
                </w:p>
              </w:tc>
              <w:tc>
                <w:tcPr>
                  <w:tcW w:w="634" w:type="dxa"/>
                  <w:tcBorders>
                    <w:top w:val="single" w:color="auto" w:sz="4" w:space="0"/>
                    <w:left w:val="single" w:color="auto" w:sz="4" w:space="0"/>
                    <w:bottom w:val="single" w:color="auto" w:sz="4" w:space="0"/>
                    <w:right w:val="single" w:color="auto" w:sz="4" w:space="0"/>
                  </w:tcBorders>
                  <w:vAlign w:val="center"/>
                </w:tcPr>
                <w:p w14:paraId="287DF1BD">
                  <w:pPr>
                    <w:pStyle w:val="78"/>
                    <w:spacing w:before="24" w:after="24" w:line="240" w:lineRule="auto"/>
                    <w:rPr>
                      <w:rFonts w:ascii="Times New Roman"/>
                      <w:b/>
                      <w:bCs/>
                      <w:color w:val="auto"/>
                    </w:rPr>
                  </w:pPr>
                  <w:r>
                    <w:rPr>
                      <w:rFonts w:ascii="Times New Roman"/>
                      <w:b/>
                      <w:bCs/>
                      <w:color w:val="auto"/>
                    </w:rPr>
                    <w:t>符合性</w:t>
                  </w:r>
                </w:p>
              </w:tc>
            </w:tr>
            <w:tr w14:paraId="65612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360" w:type="dxa"/>
                  <w:tcBorders>
                    <w:top w:val="single" w:color="auto" w:sz="4" w:space="0"/>
                    <w:left w:val="single" w:color="auto" w:sz="4" w:space="0"/>
                    <w:bottom w:val="single" w:color="auto" w:sz="4" w:space="0"/>
                    <w:right w:val="single" w:color="auto" w:sz="4" w:space="0"/>
                  </w:tcBorders>
                  <w:vAlign w:val="center"/>
                </w:tcPr>
                <w:p w14:paraId="29B09D08">
                  <w:pPr>
                    <w:pStyle w:val="78"/>
                    <w:spacing w:before="24" w:after="24" w:line="240" w:lineRule="auto"/>
                    <w:rPr>
                      <w:rFonts w:ascii="Times New Roman"/>
                      <w:color w:val="auto"/>
                    </w:rPr>
                  </w:pPr>
                  <w:r>
                    <w:rPr>
                      <w:rFonts w:ascii="Times New Roman"/>
                      <w:color w:val="auto"/>
                    </w:rPr>
                    <w:t>1</w:t>
                  </w:r>
                </w:p>
              </w:tc>
              <w:tc>
                <w:tcPr>
                  <w:tcW w:w="3625" w:type="dxa"/>
                  <w:tcBorders>
                    <w:top w:val="single" w:color="auto" w:sz="4" w:space="0"/>
                    <w:left w:val="single" w:color="auto" w:sz="4" w:space="0"/>
                    <w:bottom w:val="single" w:color="auto" w:sz="4" w:space="0"/>
                    <w:right w:val="single" w:color="auto" w:sz="4" w:space="0"/>
                  </w:tcBorders>
                  <w:vAlign w:val="center"/>
                </w:tcPr>
                <w:p w14:paraId="46BDE1F0">
                  <w:pPr>
                    <w:pStyle w:val="78"/>
                    <w:spacing w:before="24" w:after="24" w:line="240" w:lineRule="auto"/>
                    <w:rPr>
                      <w:rFonts w:ascii="Times New Roman"/>
                      <w:snapToGrid w:val="0"/>
                      <w:color w:val="auto"/>
                      <w:kern w:val="2"/>
                      <w:szCs w:val="22"/>
                    </w:rPr>
                  </w:pPr>
                  <w:r>
                    <w:rPr>
                      <w:rFonts w:ascii="Times New Roman"/>
                      <w:color w:val="auto"/>
                    </w:rPr>
                    <w:t>结合《产业结构调整指导目录》、《市场准入负面清单》、淮河生态经济带规划、区域资源及环境条件，进一步细化空间准入、环境质量管控、污染物排放总量管控限值、环境准入清单等方面的准入内容，提出相应行业和环境要素的监测计划、管理要求等，进一步提升准入清单的指导性、针对性和可操作性；入区项目应围绕主导产业，确保工艺先进、技术创新、排污量少，并达到清洁生产国内先进水平；根据环境质量现状、规划主导产业产排污情况，细化环境质量改善目标，提出切实可行的区域污染减排措施。</w:t>
                  </w:r>
                </w:p>
              </w:tc>
              <w:tc>
                <w:tcPr>
                  <w:tcW w:w="2859" w:type="dxa"/>
                  <w:tcBorders>
                    <w:top w:val="single" w:color="auto" w:sz="4" w:space="0"/>
                    <w:left w:val="single" w:color="auto" w:sz="4" w:space="0"/>
                    <w:bottom w:val="single" w:color="auto" w:sz="4" w:space="0"/>
                    <w:right w:val="single" w:color="auto" w:sz="4" w:space="0"/>
                  </w:tcBorders>
                  <w:vAlign w:val="center"/>
                </w:tcPr>
                <w:p w14:paraId="25DB748A">
                  <w:pPr>
                    <w:pStyle w:val="78"/>
                    <w:spacing w:before="24" w:after="24" w:line="240" w:lineRule="auto"/>
                    <w:rPr>
                      <w:rFonts w:ascii="Times New Roman"/>
                      <w:color w:val="auto"/>
                    </w:rPr>
                  </w:pPr>
                  <w:r>
                    <w:rPr>
                      <w:rFonts w:ascii="Times New Roman"/>
                      <w:color w:val="auto"/>
                    </w:rPr>
                    <w:t>本项目属于</w:t>
                  </w:r>
                  <w:r>
                    <w:rPr>
                      <w:rFonts w:ascii="Times New Roman"/>
                      <w:color w:val="auto"/>
                      <w:szCs w:val="21"/>
                    </w:rPr>
                    <w:t>非金属矿物制品制造</w:t>
                  </w:r>
                  <w:r>
                    <w:rPr>
                      <w:rFonts w:ascii="Times New Roman"/>
                      <w:color w:val="auto"/>
                    </w:rPr>
                    <w:t>，工艺先进，清洁水平可达，结合淮南市国土空间规划、《产业结构调整指导目录》、《市场准入负面清单》、淮河生态经济带规划，不属于园区禁止引入、控制进入的项目，不属于污染严重、高耗能的项目，视为允许进入，符合相关产业政策，符合开发区产业准入条件，本项目参考《排污许可证申请与核发技术规范 石墨及其他非金属矿物制品制造》（HJ1119-2020）提出了监测计划</w:t>
                  </w:r>
                </w:p>
              </w:tc>
              <w:tc>
                <w:tcPr>
                  <w:tcW w:w="634" w:type="dxa"/>
                  <w:tcBorders>
                    <w:top w:val="single" w:color="auto" w:sz="4" w:space="0"/>
                    <w:left w:val="single" w:color="auto" w:sz="4" w:space="0"/>
                    <w:bottom w:val="single" w:color="auto" w:sz="4" w:space="0"/>
                    <w:right w:val="single" w:color="auto" w:sz="4" w:space="0"/>
                  </w:tcBorders>
                  <w:vAlign w:val="center"/>
                </w:tcPr>
                <w:p w14:paraId="6C4841AD">
                  <w:pPr>
                    <w:pStyle w:val="78"/>
                    <w:spacing w:before="24" w:after="24" w:line="240" w:lineRule="auto"/>
                    <w:rPr>
                      <w:rFonts w:ascii="Times New Roman"/>
                      <w:color w:val="auto"/>
                    </w:rPr>
                  </w:pPr>
                  <w:r>
                    <w:rPr>
                      <w:rFonts w:ascii="Times New Roman"/>
                      <w:color w:val="auto"/>
                    </w:rPr>
                    <w:t>相符</w:t>
                  </w:r>
                </w:p>
              </w:tc>
            </w:tr>
          </w:tbl>
          <w:p w14:paraId="3CDA25DF">
            <w:pPr>
              <w:spacing w:line="360" w:lineRule="auto"/>
              <w:ind w:firstLine="480" w:firstLineChars="200"/>
              <w:rPr>
                <w:color w:val="auto"/>
                <w:sz w:val="24"/>
              </w:rPr>
            </w:pPr>
            <w:r>
              <w:rPr>
                <w:color w:val="auto"/>
                <w:sz w:val="24"/>
              </w:rPr>
              <w:t>（</w:t>
            </w:r>
            <w:r>
              <w:rPr>
                <w:rFonts w:hint="eastAsia"/>
                <w:color w:val="auto"/>
                <w:sz w:val="24"/>
                <w:lang w:val="en-US" w:eastAsia="zh-CN"/>
              </w:rPr>
              <w:t>4</w:t>
            </w:r>
            <w:r>
              <w:rPr>
                <w:color w:val="auto"/>
                <w:sz w:val="24"/>
              </w:rPr>
              <w:t>）与《淮南经济技术开发区总体发展规划环境影响跟踪评价报告书》及其审查意见相符性分析</w:t>
            </w:r>
          </w:p>
          <w:p w14:paraId="78612B94">
            <w:pPr>
              <w:spacing w:line="360" w:lineRule="auto"/>
              <w:ind w:firstLine="480" w:firstLineChars="200"/>
              <w:rPr>
                <w:color w:val="auto"/>
                <w:kern w:val="0"/>
                <w:sz w:val="24"/>
              </w:rPr>
            </w:pPr>
            <w:r>
              <w:rPr>
                <w:color w:val="auto"/>
                <w:kern w:val="0"/>
                <w:sz w:val="24"/>
              </w:rPr>
              <w:t>对于实施五年以上的产业园区，规划编制部门应组织开展环境影响跟踪评价工作，淮南经济技术开发区管委会于2020年3月23日委托安徽锦程安环科技发展有限公司开展规划的环境影响跟踪评价工作，2020年8月4日安徽省生态环境厅以皖环函[2020]411号文件对《淮南经济技术开发区总体发展规划环境影响跟踪评价报告书》出具了审核意见的函。</w:t>
            </w:r>
          </w:p>
          <w:p w14:paraId="37676C4C">
            <w:pPr>
              <w:spacing w:line="360" w:lineRule="auto"/>
              <w:ind w:firstLine="480" w:firstLineChars="200"/>
              <w:rPr>
                <w:color w:val="auto"/>
                <w:kern w:val="0"/>
                <w:sz w:val="24"/>
              </w:rPr>
            </w:pPr>
            <w:r>
              <w:rPr>
                <w:color w:val="auto"/>
                <w:kern w:val="0"/>
                <w:sz w:val="24"/>
              </w:rPr>
              <w:t>项目于其符合性分析见下表：</w:t>
            </w:r>
          </w:p>
          <w:p w14:paraId="35BED8AC">
            <w:pPr>
              <w:jc w:val="center"/>
              <w:rPr>
                <w:b/>
                <w:color w:val="auto"/>
                <w:szCs w:val="21"/>
              </w:rPr>
            </w:pPr>
            <w:r>
              <w:rPr>
                <w:b/>
                <w:color w:val="auto"/>
                <w:szCs w:val="21"/>
              </w:rPr>
              <w:t>表1-6  与区域规划环境影响跟踪评价及审查意见符合性分析</w:t>
            </w:r>
          </w:p>
          <w:tbl>
            <w:tblPr>
              <w:tblStyle w:val="32"/>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1"/>
              <w:gridCol w:w="3384"/>
              <w:gridCol w:w="2897"/>
              <w:gridCol w:w="629"/>
            </w:tblGrid>
            <w:tr w14:paraId="60932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567" w:type="dxa"/>
                  <w:tcBorders>
                    <w:top w:val="single" w:color="auto" w:sz="4" w:space="0"/>
                    <w:left w:val="single" w:color="auto" w:sz="4" w:space="0"/>
                    <w:bottom w:val="single" w:color="auto" w:sz="4" w:space="0"/>
                    <w:right w:val="single" w:color="auto" w:sz="4" w:space="0"/>
                  </w:tcBorders>
                  <w:vAlign w:val="center"/>
                </w:tcPr>
                <w:p w14:paraId="7DCA4541">
                  <w:pPr>
                    <w:pStyle w:val="78"/>
                    <w:spacing w:before="24" w:after="24" w:line="240" w:lineRule="auto"/>
                    <w:rPr>
                      <w:rFonts w:ascii="Times New Roman"/>
                      <w:b/>
                      <w:bCs/>
                      <w:color w:val="auto"/>
                      <w:szCs w:val="21"/>
                    </w:rPr>
                  </w:pPr>
                  <w:r>
                    <w:rPr>
                      <w:rFonts w:ascii="Times New Roman"/>
                      <w:b/>
                      <w:bCs/>
                      <w:color w:val="auto"/>
                      <w:szCs w:val="21"/>
                    </w:rPr>
                    <w:t>序号</w:t>
                  </w:r>
                </w:p>
              </w:tc>
              <w:tc>
                <w:tcPr>
                  <w:tcW w:w="3551" w:type="dxa"/>
                  <w:tcBorders>
                    <w:top w:val="single" w:color="auto" w:sz="4" w:space="0"/>
                    <w:left w:val="single" w:color="auto" w:sz="4" w:space="0"/>
                    <w:bottom w:val="single" w:color="auto" w:sz="4" w:space="0"/>
                    <w:right w:val="single" w:color="auto" w:sz="4" w:space="0"/>
                  </w:tcBorders>
                  <w:vAlign w:val="center"/>
                </w:tcPr>
                <w:p w14:paraId="5907D183">
                  <w:pPr>
                    <w:pStyle w:val="78"/>
                    <w:spacing w:before="24" w:after="24" w:line="240" w:lineRule="auto"/>
                    <w:rPr>
                      <w:rFonts w:ascii="Times New Roman"/>
                      <w:b/>
                      <w:bCs/>
                      <w:color w:val="auto"/>
                      <w:szCs w:val="21"/>
                    </w:rPr>
                  </w:pPr>
                  <w:r>
                    <w:rPr>
                      <w:rFonts w:ascii="Times New Roman"/>
                      <w:b/>
                      <w:bCs/>
                      <w:color w:val="auto"/>
                      <w:szCs w:val="21"/>
                    </w:rPr>
                    <w:t>淮南经济技术开发区总体发展规划环境影响跟踪评价及审查意见</w:t>
                  </w:r>
                </w:p>
              </w:tc>
              <w:tc>
                <w:tcPr>
                  <w:tcW w:w="3040" w:type="dxa"/>
                  <w:tcBorders>
                    <w:top w:val="single" w:color="auto" w:sz="4" w:space="0"/>
                    <w:left w:val="single" w:color="auto" w:sz="4" w:space="0"/>
                    <w:bottom w:val="single" w:color="auto" w:sz="4" w:space="0"/>
                    <w:right w:val="single" w:color="auto" w:sz="4" w:space="0"/>
                  </w:tcBorders>
                  <w:vAlign w:val="center"/>
                </w:tcPr>
                <w:p w14:paraId="7919E74C">
                  <w:pPr>
                    <w:pStyle w:val="78"/>
                    <w:spacing w:before="24" w:after="24" w:line="240" w:lineRule="auto"/>
                    <w:rPr>
                      <w:rFonts w:ascii="Times New Roman"/>
                      <w:b/>
                      <w:bCs/>
                      <w:color w:val="auto"/>
                      <w:szCs w:val="21"/>
                    </w:rPr>
                  </w:pPr>
                  <w:r>
                    <w:rPr>
                      <w:rFonts w:ascii="Times New Roman"/>
                      <w:b/>
                      <w:bCs/>
                      <w:color w:val="auto"/>
                      <w:szCs w:val="21"/>
                    </w:rPr>
                    <w:t>本项目基本情况</w:t>
                  </w:r>
                </w:p>
              </w:tc>
              <w:tc>
                <w:tcPr>
                  <w:tcW w:w="659" w:type="dxa"/>
                  <w:tcBorders>
                    <w:top w:val="single" w:color="auto" w:sz="4" w:space="0"/>
                    <w:left w:val="single" w:color="auto" w:sz="4" w:space="0"/>
                    <w:bottom w:val="single" w:color="auto" w:sz="4" w:space="0"/>
                    <w:right w:val="single" w:color="auto" w:sz="4" w:space="0"/>
                  </w:tcBorders>
                  <w:vAlign w:val="center"/>
                </w:tcPr>
                <w:p w14:paraId="2C5107C8">
                  <w:pPr>
                    <w:pStyle w:val="78"/>
                    <w:spacing w:before="24" w:after="24" w:line="240" w:lineRule="auto"/>
                    <w:rPr>
                      <w:rFonts w:ascii="Times New Roman"/>
                      <w:b/>
                      <w:bCs/>
                      <w:color w:val="auto"/>
                      <w:szCs w:val="21"/>
                    </w:rPr>
                  </w:pPr>
                  <w:r>
                    <w:rPr>
                      <w:rFonts w:ascii="Times New Roman"/>
                      <w:b/>
                      <w:bCs/>
                      <w:color w:val="auto"/>
                      <w:szCs w:val="21"/>
                    </w:rPr>
                    <w:t>符合性</w:t>
                  </w:r>
                </w:p>
              </w:tc>
            </w:tr>
            <w:tr w14:paraId="64316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567" w:type="dxa"/>
                  <w:tcBorders>
                    <w:top w:val="single" w:color="auto" w:sz="4" w:space="0"/>
                    <w:left w:val="single" w:color="auto" w:sz="4" w:space="0"/>
                    <w:bottom w:val="single" w:color="auto" w:sz="4" w:space="0"/>
                    <w:right w:val="single" w:color="auto" w:sz="4" w:space="0"/>
                  </w:tcBorders>
                  <w:vAlign w:val="center"/>
                </w:tcPr>
                <w:p w14:paraId="40FE05A2">
                  <w:pPr>
                    <w:pStyle w:val="78"/>
                    <w:spacing w:before="24" w:after="24" w:line="240" w:lineRule="auto"/>
                    <w:rPr>
                      <w:rFonts w:ascii="Times New Roman"/>
                      <w:color w:val="auto"/>
                      <w:szCs w:val="21"/>
                    </w:rPr>
                  </w:pPr>
                  <w:r>
                    <w:rPr>
                      <w:rFonts w:ascii="Times New Roman"/>
                      <w:color w:val="auto"/>
                      <w:szCs w:val="21"/>
                    </w:rPr>
                    <w:t>1</w:t>
                  </w:r>
                </w:p>
              </w:tc>
              <w:tc>
                <w:tcPr>
                  <w:tcW w:w="3551" w:type="dxa"/>
                  <w:tcBorders>
                    <w:top w:val="single" w:color="auto" w:sz="4" w:space="0"/>
                    <w:left w:val="single" w:color="auto" w:sz="4" w:space="0"/>
                    <w:bottom w:val="single" w:color="auto" w:sz="4" w:space="0"/>
                    <w:right w:val="single" w:color="auto" w:sz="4" w:space="0"/>
                  </w:tcBorders>
                  <w:vAlign w:val="center"/>
                </w:tcPr>
                <w:p w14:paraId="34F37F41">
                  <w:pPr>
                    <w:pStyle w:val="78"/>
                    <w:spacing w:before="24" w:after="24" w:line="240" w:lineRule="auto"/>
                    <w:rPr>
                      <w:rFonts w:ascii="Times New Roman"/>
                      <w:color w:val="auto"/>
                      <w:szCs w:val="21"/>
                    </w:rPr>
                  </w:pPr>
                  <w:r>
                    <w:rPr>
                      <w:rFonts w:ascii="Times New Roman"/>
                      <w:color w:val="auto"/>
                      <w:szCs w:val="21"/>
                    </w:rPr>
                    <w:t>组织开展规划环评编制，鉴于开发区现行规划未开展规划环评报生态环境部审查，建议开发区结合淮南市国土空间规划编制，重新组织开展区域总体发展规划编制，并同步开展规划环评报生态环境部审查。</w:t>
                  </w:r>
                </w:p>
              </w:tc>
              <w:tc>
                <w:tcPr>
                  <w:tcW w:w="3040" w:type="dxa"/>
                  <w:tcBorders>
                    <w:top w:val="single" w:color="auto" w:sz="4" w:space="0"/>
                    <w:left w:val="single" w:color="auto" w:sz="4" w:space="0"/>
                    <w:bottom w:val="single" w:color="auto" w:sz="4" w:space="0"/>
                    <w:right w:val="single" w:color="auto" w:sz="4" w:space="0"/>
                  </w:tcBorders>
                  <w:vAlign w:val="center"/>
                </w:tcPr>
                <w:p w14:paraId="7DC6B98D">
                  <w:pPr>
                    <w:pStyle w:val="78"/>
                    <w:spacing w:before="24" w:after="24" w:line="240" w:lineRule="auto"/>
                    <w:rPr>
                      <w:rFonts w:ascii="Times New Roman"/>
                      <w:color w:val="auto"/>
                      <w:szCs w:val="21"/>
                    </w:rPr>
                  </w:pPr>
                  <w:r>
                    <w:rPr>
                      <w:rFonts w:ascii="Times New Roman"/>
                      <w:color w:val="auto"/>
                      <w:szCs w:val="21"/>
                    </w:rPr>
                    <w:t>本项目属于非金属矿物制品制造，参照开发区规划部门结合淮南市国土空间规划，按照国家有关规定，履行环境影响评价手续。</w:t>
                  </w:r>
                </w:p>
              </w:tc>
              <w:tc>
                <w:tcPr>
                  <w:tcW w:w="659" w:type="dxa"/>
                  <w:tcBorders>
                    <w:top w:val="single" w:color="auto" w:sz="4" w:space="0"/>
                    <w:left w:val="single" w:color="auto" w:sz="4" w:space="0"/>
                    <w:bottom w:val="single" w:color="auto" w:sz="4" w:space="0"/>
                    <w:right w:val="single" w:color="auto" w:sz="4" w:space="0"/>
                  </w:tcBorders>
                  <w:vAlign w:val="center"/>
                </w:tcPr>
                <w:p w14:paraId="538BFF8A">
                  <w:pPr>
                    <w:pStyle w:val="78"/>
                    <w:spacing w:before="24" w:after="24" w:line="240" w:lineRule="auto"/>
                    <w:rPr>
                      <w:rFonts w:ascii="Times New Roman"/>
                      <w:color w:val="auto"/>
                      <w:szCs w:val="21"/>
                    </w:rPr>
                  </w:pPr>
                  <w:r>
                    <w:rPr>
                      <w:rFonts w:ascii="Times New Roman"/>
                      <w:color w:val="auto"/>
                      <w:szCs w:val="21"/>
                    </w:rPr>
                    <w:t>相符</w:t>
                  </w:r>
                </w:p>
              </w:tc>
            </w:tr>
            <w:tr w14:paraId="5102B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67" w:type="dxa"/>
                  <w:tcBorders>
                    <w:top w:val="single" w:color="auto" w:sz="4" w:space="0"/>
                    <w:left w:val="single" w:color="auto" w:sz="4" w:space="0"/>
                    <w:bottom w:val="single" w:color="auto" w:sz="4" w:space="0"/>
                    <w:right w:val="single" w:color="auto" w:sz="4" w:space="0"/>
                  </w:tcBorders>
                  <w:vAlign w:val="center"/>
                </w:tcPr>
                <w:p w14:paraId="52C4C50D">
                  <w:pPr>
                    <w:pStyle w:val="78"/>
                    <w:spacing w:before="24" w:after="24" w:line="240" w:lineRule="auto"/>
                    <w:rPr>
                      <w:rFonts w:ascii="Times New Roman"/>
                      <w:color w:val="auto"/>
                      <w:szCs w:val="21"/>
                    </w:rPr>
                  </w:pPr>
                  <w:r>
                    <w:rPr>
                      <w:rFonts w:ascii="Times New Roman"/>
                      <w:color w:val="auto"/>
                      <w:szCs w:val="21"/>
                    </w:rPr>
                    <w:t>2</w:t>
                  </w:r>
                </w:p>
              </w:tc>
              <w:tc>
                <w:tcPr>
                  <w:tcW w:w="3551" w:type="dxa"/>
                  <w:tcBorders>
                    <w:top w:val="single" w:color="auto" w:sz="4" w:space="0"/>
                    <w:left w:val="single" w:color="auto" w:sz="4" w:space="0"/>
                    <w:bottom w:val="single" w:color="auto" w:sz="4" w:space="0"/>
                    <w:right w:val="single" w:color="auto" w:sz="4" w:space="0"/>
                  </w:tcBorders>
                  <w:vAlign w:val="center"/>
                </w:tcPr>
                <w:p w14:paraId="5961CE48">
                  <w:pPr>
                    <w:pStyle w:val="78"/>
                    <w:spacing w:before="24" w:after="24" w:line="240" w:lineRule="auto"/>
                    <w:rPr>
                      <w:rFonts w:ascii="Times New Roman"/>
                      <w:color w:val="auto"/>
                      <w:szCs w:val="21"/>
                    </w:rPr>
                  </w:pPr>
                  <w:r>
                    <w:rPr>
                      <w:rFonts w:ascii="Times New Roman"/>
                      <w:color w:val="auto"/>
                      <w:szCs w:val="21"/>
                    </w:rPr>
                    <w:t>完善环境基础设施建设。加快中水回用规划实施，做好管网等配套措施建设，提高中水回用率，完善雨污管网分流改造；现有燃煤工业炉窑不得扩大规模，并实施安徽省大气特别排放限值达标改造。</w:t>
                  </w:r>
                </w:p>
              </w:tc>
              <w:tc>
                <w:tcPr>
                  <w:tcW w:w="3040" w:type="dxa"/>
                  <w:tcBorders>
                    <w:top w:val="single" w:color="auto" w:sz="4" w:space="0"/>
                    <w:left w:val="single" w:color="auto" w:sz="4" w:space="0"/>
                    <w:bottom w:val="single" w:color="auto" w:sz="4" w:space="0"/>
                    <w:right w:val="single" w:color="auto" w:sz="4" w:space="0"/>
                  </w:tcBorders>
                  <w:vAlign w:val="center"/>
                </w:tcPr>
                <w:p w14:paraId="49CDB106">
                  <w:pPr>
                    <w:pStyle w:val="78"/>
                    <w:spacing w:before="24" w:after="24" w:line="240" w:lineRule="auto"/>
                    <w:rPr>
                      <w:rFonts w:ascii="Times New Roman"/>
                      <w:color w:val="auto"/>
                      <w:szCs w:val="21"/>
                    </w:rPr>
                  </w:pPr>
                  <w:r>
                    <w:rPr>
                      <w:rFonts w:ascii="Times New Roman"/>
                      <w:color w:val="auto"/>
                      <w:szCs w:val="21"/>
                    </w:rPr>
                    <w:t>本项目实施雨污分流；</w:t>
                  </w:r>
                  <w:r>
                    <w:rPr>
                      <w:rFonts w:hint="eastAsia" w:ascii="Times New Roman"/>
                      <w:color w:val="auto"/>
                      <w:szCs w:val="21"/>
                      <w:lang w:val="en-US" w:eastAsia="zh-CN"/>
                    </w:rPr>
                    <w:t>项目水淬、浮洗前水洗用水沉淀后回用，能够提高水利用率，</w:t>
                  </w:r>
                  <w:r>
                    <w:rPr>
                      <w:rFonts w:ascii="Times New Roman"/>
                      <w:color w:val="auto"/>
                      <w:szCs w:val="21"/>
                    </w:rPr>
                    <w:t>项目不使用煤炭作为燃料。</w:t>
                  </w:r>
                </w:p>
              </w:tc>
              <w:tc>
                <w:tcPr>
                  <w:tcW w:w="659" w:type="dxa"/>
                  <w:tcBorders>
                    <w:top w:val="single" w:color="auto" w:sz="4" w:space="0"/>
                    <w:left w:val="single" w:color="auto" w:sz="4" w:space="0"/>
                    <w:bottom w:val="single" w:color="auto" w:sz="4" w:space="0"/>
                    <w:right w:val="single" w:color="auto" w:sz="4" w:space="0"/>
                  </w:tcBorders>
                  <w:vAlign w:val="center"/>
                </w:tcPr>
                <w:p w14:paraId="33F00142">
                  <w:pPr>
                    <w:pStyle w:val="78"/>
                    <w:spacing w:before="24" w:after="24" w:line="240" w:lineRule="auto"/>
                    <w:rPr>
                      <w:rFonts w:ascii="Times New Roman"/>
                      <w:color w:val="auto"/>
                      <w:szCs w:val="21"/>
                    </w:rPr>
                  </w:pPr>
                  <w:r>
                    <w:rPr>
                      <w:rFonts w:ascii="Times New Roman"/>
                      <w:color w:val="auto"/>
                      <w:szCs w:val="21"/>
                    </w:rPr>
                    <w:t>相符</w:t>
                  </w:r>
                </w:p>
              </w:tc>
            </w:tr>
            <w:tr w14:paraId="65FA9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67" w:type="dxa"/>
                  <w:tcBorders>
                    <w:top w:val="single" w:color="auto" w:sz="4" w:space="0"/>
                    <w:left w:val="single" w:color="auto" w:sz="4" w:space="0"/>
                    <w:bottom w:val="single" w:color="auto" w:sz="4" w:space="0"/>
                    <w:right w:val="single" w:color="auto" w:sz="4" w:space="0"/>
                  </w:tcBorders>
                  <w:vAlign w:val="center"/>
                </w:tcPr>
                <w:p w14:paraId="68B5821D">
                  <w:pPr>
                    <w:pStyle w:val="78"/>
                    <w:spacing w:before="24" w:after="24" w:line="240" w:lineRule="auto"/>
                    <w:rPr>
                      <w:rFonts w:ascii="Times New Roman"/>
                      <w:color w:val="auto"/>
                      <w:szCs w:val="21"/>
                    </w:rPr>
                  </w:pPr>
                  <w:r>
                    <w:rPr>
                      <w:rFonts w:ascii="Times New Roman"/>
                      <w:color w:val="auto"/>
                      <w:szCs w:val="21"/>
                    </w:rPr>
                    <w:t>3</w:t>
                  </w:r>
                </w:p>
              </w:tc>
              <w:tc>
                <w:tcPr>
                  <w:tcW w:w="3551" w:type="dxa"/>
                  <w:tcBorders>
                    <w:top w:val="single" w:color="auto" w:sz="4" w:space="0"/>
                    <w:left w:val="single" w:color="auto" w:sz="4" w:space="0"/>
                    <w:bottom w:val="single" w:color="auto" w:sz="4" w:space="0"/>
                    <w:right w:val="single" w:color="auto" w:sz="4" w:space="0"/>
                  </w:tcBorders>
                  <w:vAlign w:val="center"/>
                </w:tcPr>
                <w:p w14:paraId="6E9752D8">
                  <w:pPr>
                    <w:pStyle w:val="78"/>
                    <w:spacing w:before="24" w:after="24" w:line="240" w:lineRule="auto"/>
                    <w:rPr>
                      <w:rFonts w:ascii="Times New Roman"/>
                      <w:color w:val="auto"/>
                      <w:szCs w:val="21"/>
                    </w:rPr>
                  </w:pPr>
                  <w:r>
                    <w:rPr>
                      <w:rFonts w:ascii="Times New Roman"/>
                      <w:color w:val="auto"/>
                      <w:szCs w:val="21"/>
                    </w:rPr>
                    <w:t>强化区域环境质量改善。以改善区域环境质量为核心，细化开发区“三线一单”并落实。进一步削减现有项目大气污染物排放，提高尾水回用率、降低生产废水排放量，加大地下水和土壤防护力度。</w:t>
                  </w:r>
                </w:p>
              </w:tc>
              <w:tc>
                <w:tcPr>
                  <w:tcW w:w="3040" w:type="dxa"/>
                  <w:tcBorders>
                    <w:top w:val="single" w:color="auto" w:sz="4" w:space="0"/>
                    <w:left w:val="single" w:color="auto" w:sz="4" w:space="0"/>
                    <w:bottom w:val="single" w:color="auto" w:sz="4" w:space="0"/>
                    <w:right w:val="single" w:color="auto" w:sz="4" w:space="0"/>
                  </w:tcBorders>
                  <w:vAlign w:val="center"/>
                </w:tcPr>
                <w:p w14:paraId="36E3A94E">
                  <w:pPr>
                    <w:pStyle w:val="78"/>
                    <w:spacing w:before="24" w:after="24" w:line="240" w:lineRule="auto"/>
                    <w:rPr>
                      <w:rFonts w:ascii="Times New Roman"/>
                      <w:color w:val="auto"/>
                      <w:szCs w:val="21"/>
                    </w:rPr>
                  </w:pPr>
                  <w:r>
                    <w:rPr>
                      <w:rFonts w:ascii="Times New Roman"/>
                      <w:color w:val="auto"/>
                      <w:szCs w:val="21"/>
                    </w:rPr>
                    <w:t>本项目全面落实大气污染防治防范措施，</w:t>
                  </w:r>
                  <w:r>
                    <w:rPr>
                      <w:rFonts w:hint="eastAsia" w:ascii="Times New Roman"/>
                      <w:color w:val="auto"/>
                      <w:szCs w:val="21"/>
                      <w:lang w:val="en-US" w:eastAsia="zh-CN"/>
                    </w:rPr>
                    <w:t>项目水淬、浮洗前水洗用水沉淀后回用，能够提高水利用率，</w:t>
                  </w:r>
                  <w:r>
                    <w:rPr>
                      <w:rFonts w:hint="eastAsia" w:ascii="Times New Roman"/>
                      <w:color w:val="auto"/>
                      <w:szCs w:val="21"/>
                    </w:rPr>
                    <w:t>项目为新建项目拟</w:t>
                  </w:r>
                  <w:r>
                    <w:rPr>
                      <w:rFonts w:ascii="Times New Roman"/>
                      <w:color w:val="auto"/>
                      <w:szCs w:val="21"/>
                    </w:rPr>
                    <w:t>实施清洁生产</w:t>
                  </w:r>
                  <w:r>
                    <w:rPr>
                      <w:rFonts w:hint="eastAsia" w:ascii="Times New Roman"/>
                      <w:color w:val="auto"/>
                      <w:szCs w:val="21"/>
                    </w:rPr>
                    <w:t>，车间</w:t>
                  </w:r>
                  <w:r>
                    <w:rPr>
                      <w:rFonts w:ascii="Times New Roman"/>
                      <w:color w:val="auto"/>
                      <w:szCs w:val="21"/>
                    </w:rPr>
                    <w:t>采取分区防渗保护措施。各类污染物采取相应的污染防治措施后排放不会对周边环境造成不良影响。</w:t>
                  </w:r>
                </w:p>
              </w:tc>
              <w:tc>
                <w:tcPr>
                  <w:tcW w:w="659" w:type="dxa"/>
                  <w:tcBorders>
                    <w:top w:val="single" w:color="auto" w:sz="4" w:space="0"/>
                    <w:left w:val="single" w:color="auto" w:sz="4" w:space="0"/>
                    <w:bottom w:val="single" w:color="auto" w:sz="4" w:space="0"/>
                    <w:right w:val="single" w:color="auto" w:sz="4" w:space="0"/>
                  </w:tcBorders>
                  <w:vAlign w:val="center"/>
                </w:tcPr>
                <w:p w14:paraId="2AC97500">
                  <w:pPr>
                    <w:pStyle w:val="78"/>
                    <w:spacing w:before="24" w:after="24" w:line="240" w:lineRule="auto"/>
                    <w:rPr>
                      <w:rFonts w:ascii="Times New Roman"/>
                      <w:color w:val="auto"/>
                      <w:szCs w:val="21"/>
                    </w:rPr>
                  </w:pPr>
                  <w:r>
                    <w:rPr>
                      <w:rFonts w:ascii="Times New Roman"/>
                      <w:color w:val="auto"/>
                      <w:szCs w:val="21"/>
                    </w:rPr>
                    <w:t>相符</w:t>
                  </w:r>
                </w:p>
              </w:tc>
            </w:tr>
          </w:tbl>
          <w:p w14:paraId="7DA8576C">
            <w:pPr>
              <w:spacing w:line="360" w:lineRule="auto"/>
              <w:ind w:firstLine="480" w:firstLineChars="200"/>
              <w:rPr>
                <w:color w:val="auto"/>
                <w:kern w:val="0"/>
                <w:sz w:val="24"/>
              </w:rPr>
            </w:pPr>
            <w:r>
              <w:rPr>
                <w:color w:val="auto"/>
                <w:kern w:val="0"/>
                <w:sz w:val="24"/>
              </w:rPr>
              <w:t>本次跟踪评价结合区域生态保护红线、环境质量底线、资源利用上线、环境影响等综合考虑，提出开发区产业准入负面清单，具体见下表。在后续发展过程中，可按照国家、安徽省和淮南市最新的产业政策和规划，对产业发展环境准入负面清单及准入清单进行动态更新。</w:t>
            </w:r>
          </w:p>
          <w:p w14:paraId="3EB1F16E">
            <w:pPr>
              <w:jc w:val="center"/>
              <w:rPr>
                <w:b/>
                <w:color w:val="auto"/>
                <w:szCs w:val="21"/>
              </w:rPr>
            </w:pPr>
            <w:r>
              <w:rPr>
                <w:b/>
                <w:color w:val="auto"/>
                <w:szCs w:val="21"/>
              </w:rPr>
              <w:t>表1-7  与开发区产业准入负面清单符合性分析</w:t>
            </w:r>
          </w:p>
          <w:tbl>
            <w:tblPr>
              <w:tblStyle w:val="32"/>
              <w:tblW w:w="494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446"/>
              <w:gridCol w:w="598"/>
              <w:gridCol w:w="3016"/>
              <w:gridCol w:w="2642"/>
              <w:gridCol w:w="673"/>
            </w:tblGrid>
            <w:tr w14:paraId="0B2BF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5AA1EAA7">
                  <w:pPr>
                    <w:pStyle w:val="78"/>
                    <w:spacing w:before="24" w:after="24" w:line="240" w:lineRule="auto"/>
                    <w:rPr>
                      <w:rFonts w:ascii="Times New Roman"/>
                      <w:b/>
                      <w:bCs/>
                      <w:color w:val="auto"/>
                      <w:szCs w:val="21"/>
                    </w:rPr>
                  </w:pPr>
                  <w:r>
                    <w:rPr>
                      <w:rFonts w:ascii="Times New Roman"/>
                      <w:b/>
                      <w:bCs/>
                      <w:color w:val="auto"/>
                      <w:szCs w:val="21"/>
                    </w:rPr>
                    <w:t>序号</w:t>
                  </w:r>
                </w:p>
              </w:tc>
              <w:tc>
                <w:tcPr>
                  <w:tcW w:w="598" w:type="dxa"/>
                  <w:tcBorders>
                    <w:top w:val="single" w:color="000000" w:sz="4" w:space="0"/>
                    <w:left w:val="nil"/>
                    <w:bottom w:val="single" w:color="000000" w:sz="4" w:space="0"/>
                    <w:right w:val="single" w:color="000000" w:sz="4" w:space="0"/>
                  </w:tcBorders>
                  <w:vAlign w:val="center"/>
                </w:tcPr>
                <w:p w14:paraId="1AA0A55C">
                  <w:pPr>
                    <w:pStyle w:val="78"/>
                    <w:spacing w:before="24" w:after="24" w:line="240" w:lineRule="auto"/>
                    <w:rPr>
                      <w:rFonts w:ascii="Times New Roman"/>
                      <w:b/>
                      <w:bCs/>
                      <w:color w:val="auto"/>
                      <w:szCs w:val="21"/>
                    </w:rPr>
                  </w:pPr>
                  <w:r>
                    <w:rPr>
                      <w:rFonts w:ascii="Times New Roman"/>
                      <w:b/>
                      <w:bCs/>
                      <w:color w:val="auto"/>
                      <w:szCs w:val="21"/>
                    </w:rPr>
                    <w:t>类型</w:t>
                  </w:r>
                </w:p>
              </w:tc>
              <w:tc>
                <w:tcPr>
                  <w:tcW w:w="3016" w:type="dxa"/>
                  <w:tcBorders>
                    <w:top w:val="single" w:color="000000" w:sz="4" w:space="0"/>
                    <w:left w:val="nil"/>
                    <w:bottom w:val="single" w:color="000000" w:sz="4" w:space="0"/>
                    <w:right w:val="single" w:color="000000" w:sz="4" w:space="0"/>
                  </w:tcBorders>
                  <w:vAlign w:val="center"/>
                </w:tcPr>
                <w:p w14:paraId="29EA42BB">
                  <w:pPr>
                    <w:pStyle w:val="78"/>
                    <w:spacing w:before="24" w:after="24" w:line="240" w:lineRule="auto"/>
                    <w:rPr>
                      <w:rFonts w:ascii="Times New Roman"/>
                      <w:b/>
                      <w:bCs/>
                      <w:color w:val="auto"/>
                      <w:szCs w:val="21"/>
                    </w:rPr>
                  </w:pPr>
                  <w:r>
                    <w:rPr>
                      <w:rFonts w:ascii="Times New Roman"/>
                      <w:b/>
                      <w:bCs/>
                      <w:color w:val="auto"/>
                      <w:szCs w:val="21"/>
                    </w:rPr>
                    <w:t>负面清单要求</w:t>
                  </w:r>
                </w:p>
              </w:tc>
              <w:tc>
                <w:tcPr>
                  <w:tcW w:w="2642" w:type="dxa"/>
                  <w:tcBorders>
                    <w:top w:val="single" w:color="000000" w:sz="4" w:space="0"/>
                    <w:left w:val="nil"/>
                    <w:bottom w:val="single" w:color="000000" w:sz="4" w:space="0"/>
                    <w:right w:val="single" w:color="000000" w:sz="4" w:space="0"/>
                  </w:tcBorders>
                  <w:vAlign w:val="center"/>
                </w:tcPr>
                <w:p w14:paraId="653159AC">
                  <w:pPr>
                    <w:pStyle w:val="78"/>
                    <w:spacing w:before="24" w:after="24" w:line="240" w:lineRule="auto"/>
                    <w:rPr>
                      <w:rFonts w:ascii="Times New Roman"/>
                      <w:b/>
                      <w:bCs/>
                      <w:color w:val="auto"/>
                      <w:szCs w:val="21"/>
                    </w:rPr>
                  </w:pPr>
                  <w:r>
                    <w:rPr>
                      <w:rFonts w:ascii="Times New Roman"/>
                      <w:b/>
                      <w:bCs/>
                      <w:color w:val="auto"/>
                      <w:szCs w:val="21"/>
                    </w:rPr>
                    <w:t>本项目情况</w:t>
                  </w:r>
                </w:p>
              </w:tc>
              <w:tc>
                <w:tcPr>
                  <w:tcW w:w="673" w:type="dxa"/>
                  <w:tcBorders>
                    <w:top w:val="single" w:color="000000" w:sz="4" w:space="0"/>
                    <w:left w:val="nil"/>
                    <w:bottom w:val="single" w:color="000000" w:sz="4" w:space="0"/>
                    <w:right w:val="single" w:color="000000" w:sz="4" w:space="0"/>
                  </w:tcBorders>
                  <w:vAlign w:val="center"/>
                </w:tcPr>
                <w:p w14:paraId="35218CDD">
                  <w:pPr>
                    <w:pStyle w:val="78"/>
                    <w:spacing w:before="24" w:after="24" w:line="240" w:lineRule="auto"/>
                    <w:rPr>
                      <w:rFonts w:ascii="Times New Roman"/>
                      <w:b/>
                      <w:bCs/>
                      <w:color w:val="auto"/>
                      <w:szCs w:val="21"/>
                    </w:rPr>
                  </w:pPr>
                  <w:r>
                    <w:rPr>
                      <w:rFonts w:ascii="Times New Roman"/>
                      <w:b/>
                      <w:bCs/>
                      <w:color w:val="auto"/>
                      <w:szCs w:val="21"/>
                    </w:rPr>
                    <w:t>相符性</w:t>
                  </w:r>
                </w:p>
              </w:tc>
            </w:tr>
            <w:tr w14:paraId="1DCC3B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55F53463">
                  <w:pPr>
                    <w:pStyle w:val="78"/>
                    <w:spacing w:before="24" w:after="24" w:line="240" w:lineRule="auto"/>
                    <w:rPr>
                      <w:rFonts w:ascii="Times New Roman"/>
                      <w:color w:val="auto"/>
                      <w:szCs w:val="21"/>
                    </w:rPr>
                  </w:pPr>
                  <w:r>
                    <w:rPr>
                      <w:rFonts w:ascii="Times New Roman"/>
                      <w:color w:val="auto"/>
                      <w:szCs w:val="21"/>
                    </w:rPr>
                    <w:t>1</w:t>
                  </w:r>
                </w:p>
              </w:tc>
              <w:tc>
                <w:tcPr>
                  <w:tcW w:w="598" w:type="dxa"/>
                  <w:vMerge w:val="restart"/>
                  <w:tcBorders>
                    <w:top w:val="nil"/>
                    <w:left w:val="nil"/>
                    <w:bottom w:val="single" w:color="000000" w:sz="4" w:space="0"/>
                    <w:right w:val="single" w:color="000000" w:sz="4" w:space="0"/>
                  </w:tcBorders>
                  <w:vAlign w:val="center"/>
                </w:tcPr>
                <w:p w14:paraId="005A5F70">
                  <w:pPr>
                    <w:pStyle w:val="78"/>
                    <w:spacing w:before="24" w:after="24" w:line="240" w:lineRule="auto"/>
                    <w:rPr>
                      <w:rFonts w:ascii="Times New Roman"/>
                      <w:color w:val="auto"/>
                      <w:szCs w:val="21"/>
                    </w:rPr>
                  </w:pPr>
                  <w:r>
                    <w:rPr>
                      <w:rFonts w:ascii="Times New Roman"/>
                      <w:color w:val="auto"/>
                      <w:szCs w:val="21"/>
                    </w:rPr>
                    <w:t>产业</w:t>
                  </w:r>
                </w:p>
                <w:p w14:paraId="52A39D81">
                  <w:pPr>
                    <w:pStyle w:val="78"/>
                    <w:spacing w:before="24" w:after="24" w:line="240" w:lineRule="auto"/>
                    <w:rPr>
                      <w:rFonts w:ascii="Times New Roman"/>
                      <w:color w:val="auto"/>
                      <w:szCs w:val="21"/>
                    </w:rPr>
                  </w:pPr>
                  <w:r>
                    <w:rPr>
                      <w:rFonts w:ascii="Times New Roman"/>
                      <w:color w:val="auto"/>
                      <w:szCs w:val="21"/>
                    </w:rPr>
                    <w:t>导向</w:t>
                  </w:r>
                </w:p>
              </w:tc>
              <w:tc>
                <w:tcPr>
                  <w:tcW w:w="3016" w:type="dxa"/>
                  <w:tcBorders>
                    <w:top w:val="single" w:color="000000" w:sz="4" w:space="0"/>
                    <w:left w:val="nil"/>
                    <w:bottom w:val="single" w:color="000000" w:sz="4" w:space="0"/>
                    <w:right w:val="single" w:color="000000" w:sz="4" w:space="0"/>
                  </w:tcBorders>
                  <w:vAlign w:val="center"/>
                </w:tcPr>
                <w:p w14:paraId="306CEA0C">
                  <w:pPr>
                    <w:pStyle w:val="78"/>
                    <w:spacing w:before="24" w:after="24" w:line="240" w:lineRule="auto"/>
                    <w:rPr>
                      <w:rFonts w:ascii="Times New Roman"/>
                      <w:color w:val="auto"/>
                      <w:szCs w:val="21"/>
                    </w:rPr>
                  </w:pPr>
                  <w:r>
                    <w:rPr>
                      <w:rFonts w:ascii="Times New Roman"/>
                      <w:color w:val="auto"/>
                      <w:szCs w:val="21"/>
                    </w:rPr>
                    <w:t>禁止引入国家明令禁止建设或投资的、列入《产业结构调整指导目录(2024年本)》、《外商投资产业指导目录(2017年修订)》、《市场准入负面清单《2019年版)》等相关产业政策中禁止或淘汰类的项目。</w:t>
                  </w:r>
                </w:p>
              </w:tc>
              <w:tc>
                <w:tcPr>
                  <w:tcW w:w="2642" w:type="dxa"/>
                  <w:tcBorders>
                    <w:top w:val="single" w:color="000000" w:sz="4" w:space="0"/>
                    <w:left w:val="nil"/>
                    <w:bottom w:val="single" w:color="000000" w:sz="4" w:space="0"/>
                    <w:right w:val="single" w:color="000000" w:sz="4" w:space="0"/>
                  </w:tcBorders>
                  <w:vAlign w:val="center"/>
                </w:tcPr>
                <w:p w14:paraId="06F6568B">
                  <w:pPr>
                    <w:pStyle w:val="78"/>
                    <w:spacing w:before="24" w:after="24" w:line="240" w:lineRule="auto"/>
                    <w:rPr>
                      <w:rFonts w:ascii="Times New Roman"/>
                      <w:color w:val="auto"/>
                      <w:szCs w:val="21"/>
                    </w:rPr>
                  </w:pPr>
                  <w:r>
                    <w:rPr>
                      <w:rFonts w:ascii="Times New Roman"/>
                      <w:color w:val="auto"/>
                      <w:szCs w:val="21"/>
                    </w:rPr>
                    <w:t>本项目为非金属矿物制品制造，不属于国家产业政策禁止或淘汰类的项目。</w:t>
                  </w:r>
                </w:p>
              </w:tc>
              <w:tc>
                <w:tcPr>
                  <w:tcW w:w="673" w:type="dxa"/>
                  <w:tcBorders>
                    <w:top w:val="single" w:color="000000" w:sz="4" w:space="0"/>
                    <w:left w:val="nil"/>
                    <w:bottom w:val="single" w:color="000000" w:sz="4" w:space="0"/>
                    <w:right w:val="single" w:color="000000" w:sz="4" w:space="0"/>
                  </w:tcBorders>
                  <w:vAlign w:val="center"/>
                </w:tcPr>
                <w:p w14:paraId="3865433C">
                  <w:pPr>
                    <w:pStyle w:val="78"/>
                    <w:spacing w:before="24" w:after="24" w:line="240" w:lineRule="auto"/>
                    <w:rPr>
                      <w:rFonts w:ascii="Times New Roman"/>
                      <w:color w:val="auto"/>
                      <w:szCs w:val="21"/>
                    </w:rPr>
                  </w:pPr>
                  <w:r>
                    <w:rPr>
                      <w:rFonts w:ascii="Times New Roman"/>
                      <w:color w:val="auto"/>
                      <w:szCs w:val="21"/>
                    </w:rPr>
                    <w:t>相符</w:t>
                  </w:r>
                </w:p>
              </w:tc>
            </w:tr>
            <w:tr w14:paraId="5D4D8D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5FA49A7A">
                  <w:pPr>
                    <w:pStyle w:val="78"/>
                    <w:spacing w:before="24" w:after="24" w:line="240" w:lineRule="auto"/>
                    <w:rPr>
                      <w:rFonts w:ascii="Times New Roman"/>
                      <w:color w:val="auto"/>
                      <w:szCs w:val="21"/>
                    </w:rPr>
                  </w:pPr>
                  <w:r>
                    <w:rPr>
                      <w:rFonts w:ascii="Times New Roman"/>
                      <w:color w:val="auto"/>
                      <w:szCs w:val="21"/>
                    </w:rPr>
                    <w:t>2</w:t>
                  </w:r>
                </w:p>
              </w:tc>
              <w:tc>
                <w:tcPr>
                  <w:tcW w:w="598" w:type="dxa"/>
                  <w:vMerge w:val="continue"/>
                  <w:tcBorders>
                    <w:top w:val="nil"/>
                    <w:left w:val="nil"/>
                    <w:bottom w:val="single" w:color="000000" w:sz="4" w:space="0"/>
                    <w:right w:val="single" w:color="000000" w:sz="4" w:space="0"/>
                  </w:tcBorders>
                  <w:vAlign w:val="center"/>
                </w:tcPr>
                <w:p w14:paraId="573667B4">
                  <w:pPr>
                    <w:pStyle w:val="78"/>
                    <w:spacing w:before="24" w:after="24" w:line="240" w:lineRule="auto"/>
                    <w:rPr>
                      <w:rFonts w:ascii="Times New Roman"/>
                      <w:color w:val="auto"/>
                      <w:szCs w:val="21"/>
                    </w:rPr>
                  </w:pPr>
                </w:p>
              </w:tc>
              <w:tc>
                <w:tcPr>
                  <w:tcW w:w="3016" w:type="dxa"/>
                  <w:tcBorders>
                    <w:top w:val="single" w:color="000000" w:sz="4" w:space="0"/>
                    <w:left w:val="nil"/>
                    <w:bottom w:val="single" w:color="000000" w:sz="4" w:space="0"/>
                    <w:right w:val="single" w:color="000000" w:sz="4" w:space="0"/>
                  </w:tcBorders>
                  <w:vAlign w:val="center"/>
                </w:tcPr>
                <w:p w14:paraId="52ED1D7A">
                  <w:pPr>
                    <w:pStyle w:val="78"/>
                    <w:spacing w:before="24" w:after="24" w:line="240" w:lineRule="auto"/>
                    <w:rPr>
                      <w:rFonts w:ascii="Times New Roman"/>
                      <w:color w:val="auto"/>
                      <w:szCs w:val="21"/>
                    </w:rPr>
                  </w:pPr>
                  <w:r>
                    <w:rPr>
                      <w:rFonts w:ascii="Times New Roman"/>
                      <w:color w:val="auto"/>
                      <w:szCs w:val="21"/>
                    </w:rPr>
                    <w:t>禁止引进国家、安徽省明确规定不得审批的建设项目。</w:t>
                  </w:r>
                </w:p>
              </w:tc>
              <w:tc>
                <w:tcPr>
                  <w:tcW w:w="2642" w:type="dxa"/>
                  <w:tcBorders>
                    <w:top w:val="single" w:color="000000" w:sz="4" w:space="0"/>
                    <w:left w:val="nil"/>
                    <w:bottom w:val="single" w:color="000000" w:sz="4" w:space="0"/>
                    <w:right w:val="single" w:color="000000" w:sz="4" w:space="0"/>
                  </w:tcBorders>
                  <w:vAlign w:val="center"/>
                </w:tcPr>
                <w:p w14:paraId="39B41599">
                  <w:pPr>
                    <w:pStyle w:val="78"/>
                    <w:spacing w:before="24" w:after="24" w:line="240" w:lineRule="auto"/>
                    <w:rPr>
                      <w:rFonts w:ascii="Times New Roman"/>
                      <w:color w:val="auto"/>
                      <w:szCs w:val="21"/>
                    </w:rPr>
                  </w:pPr>
                  <w:r>
                    <w:rPr>
                      <w:rFonts w:ascii="Times New Roman"/>
                      <w:color w:val="auto"/>
                      <w:szCs w:val="21"/>
                    </w:rPr>
                    <w:t>本项目为非金属矿物制品制造，不属于国家、安徽省明确规定不得审批的建设项目。</w:t>
                  </w:r>
                </w:p>
              </w:tc>
              <w:tc>
                <w:tcPr>
                  <w:tcW w:w="673" w:type="dxa"/>
                  <w:tcBorders>
                    <w:top w:val="single" w:color="000000" w:sz="4" w:space="0"/>
                    <w:left w:val="nil"/>
                    <w:bottom w:val="single" w:color="000000" w:sz="4" w:space="0"/>
                    <w:right w:val="single" w:color="000000" w:sz="4" w:space="0"/>
                  </w:tcBorders>
                  <w:vAlign w:val="center"/>
                </w:tcPr>
                <w:p w14:paraId="0F587A6D">
                  <w:pPr>
                    <w:pStyle w:val="78"/>
                    <w:spacing w:before="24" w:after="24" w:line="240" w:lineRule="auto"/>
                    <w:rPr>
                      <w:rFonts w:ascii="Times New Roman"/>
                      <w:color w:val="auto"/>
                      <w:szCs w:val="21"/>
                    </w:rPr>
                  </w:pPr>
                  <w:r>
                    <w:rPr>
                      <w:rFonts w:ascii="Times New Roman"/>
                      <w:color w:val="auto"/>
                      <w:szCs w:val="21"/>
                    </w:rPr>
                    <w:t>相符</w:t>
                  </w:r>
                </w:p>
              </w:tc>
            </w:tr>
            <w:tr w14:paraId="466E3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0F263814">
                  <w:pPr>
                    <w:pStyle w:val="78"/>
                    <w:spacing w:before="24" w:after="24" w:line="240" w:lineRule="auto"/>
                    <w:rPr>
                      <w:rFonts w:ascii="Times New Roman"/>
                      <w:color w:val="auto"/>
                      <w:szCs w:val="21"/>
                    </w:rPr>
                  </w:pPr>
                  <w:r>
                    <w:rPr>
                      <w:rFonts w:ascii="Times New Roman"/>
                      <w:color w:val="auto"/>
                      <w:szCs w:val="21"/>
                    </w:rPr>
                    <w:t>3</w:t>
                  </w:r>
                </w:p>
              </w:tc>
              <w:tc>
                <w:tcPr>
                  <w:tcW w:w="598" w:type="dxa"/>
                  <w:vMerge w:val="continue"/>
                  <w:tcBorders>
                    <w:top w:val="nil"/>
                    <w:left w:val="nil"/>
                    <w:bottom w:val="single" w:color="000000" w:sz="4" w:space="0"/>
                    <w:right w:val="single" w:color="000000" w:sz="4" w:space="0"/>
                  </w:tcBorders>
                  <w:vAlign w:val="center"/>
                </w:tcPr>
                <w:p w14:paraId="21F6239D">
                  <w:pPr>
                    <w:pStyle w:val="78"/>
                    <w:spacing w:before="24" w:after="24" w:line="240" w:lineRule="auto"/>
                    <w:rPr>
                      <w:rFonts w:ascii="Times New Roman"/>
                      <w:color w:val="auto"/>
                      <w:szCs w:val="21"/>
                    </w:rPr>
                  </w:pPr>
                </w:p>
              </w:tc>
              <w:tc>
                <w:tcPr>
                  <w:tcW w:w="3016" w:type="dxa"/>
                  <w:tcBorders>
                    <w:top w:val="single" w:color="000000" w:sz="4" w:space="0"/>
                    <w:left w:val="nil"/>
                    <w:bottom w:val="single" w:color="000000" w:sz="4" w:space="0"/>
                    <w:right w:val="single" w:color="000000" w:sz="4" w:space="0"/>
                  </w:tcBorders>
                  <w:vAlign w:val="center"/>
                </w:tcPr>
                <w:p w14:paraId="403B8A0B">
                  <w:pPr>
                    <w:pStyle w:val="78"/>
                    <w:spacing w:before="24" w:after="24" w:line="240" w:lineRule="auto"/>
                    <w:rPr>
                      <w:rFonts w:ascii="Times New Roman"/>
                      <w:color w:val="auto"/>
                      <w:szCs w:val="21"/>
                    </w:rPr>
                  </w:pPr>
                  <w:r>
                    <w:rPr>
                      <w:rFonts w:ascii="Times New Roman"/>
                      <w:color w:val="auto"/>
                      <w:szCs w:val="21"/>
                    </w:rPr>
                    <w:t>禁止引进钢铁、焦化、电解铝、铸造、水泥和平板玻璃等产能类项目。</w:t>
                  </w:r>
                </w:p>
              </w:tc>
              <w:tc>
                <w:tcPr>
                  <w:tcW w:w="2642" w:type="dxa"/>
                  <w:tcBorders>
                    <w:top w:val="single" w:color="000000" w:sz="4" w:space="0"/>
                    <w:left w:val="nil"/>
                    <w:bottom w:val="single" w:color="000000" w:sz="4" w:space="0"/>
                    <w:right w:val="single" w:color="000000" w:sz="4" w:space="0"/>
                  </w:tcBorders>
                  <w:vAlign w:val="center"/>
                </w:tcPr>
                <w:p w14:paraId="7C4E75C3">
                  <w:pPr>
                    <w:pStyle w:val="78"/>
                    <w:spacing w:before="24" w:after="24" w:line="240" w:lineRule="auto"/>
                    <w:rPr>
                      <w:rFonts w:ascii="Times New Roman"/>
                      <w:color w:val="auto"/>
                      <w:szCs w:val="21"/>
                    </w:rPr>
                  </w:pPr>
                  <w:r>
                    <w:rPr>
                      <w:rFonts w:ascii="Times New Roman"/>
                      <w:color w:val="auto"/>
                      <w:szCs w:val="21"/>
                    </w:rPr>
                    <w:t>本项目不涉及</w:t>
                  </w:r>
                </w:p>
              </w:tc>
              <w:tc>
                <w:tcPr>
                  <w:tcW w:w="673" w:type="dxa"/>
                  <w:tcBorders>
                    <w:top w:val="single" w:color="000000" w:sz="4" w:space="0"/>
                    <w:left w:val="nil"/>
                    <w:bottom w:val="single" w:color="000000" w:sz="4" w:space="0"/>
                    <w:right w:val="single" w:color="000000" w:sz="4" w:space="0"/>
                  </w:tcBorders>
                  <w:vAlign w:val="center"/>
                </w:tcPr>
                <w:p w14:paraId="0AC08366">
                  <w:pPr>
                    <w:pStyle w:val="78"/>
                    <w:spacing w:before="24" w:after="24" w:line="240" w:lineRule="auto"/>
                    <w:rPr>
                      <w:rFonts w:ascii="Times New Roman"/>
                      <w:color w:val="auto"/>
                      <w:szCs w:val="21"/>
                    </w:rPr>
                  </w:pPr>
                  <w:r>
                    <w:rPr>
                      <w:rFonts w:ascii="Times New Roman"/>
                      <w:color w:val="auto"/>
                      <w:szCs w:val="21"/>
                    </w:rPr>
                    <w:t>相符</w:t>
                  </w:r>
                </w:p>
              </w:tc>
            </w:tr>
            <w:tr w14:paraId="5582ED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76D2A22C">
                  <w:pPr>
                    <w:pStyle w:val="78"/>
                    <w:spacing w:before="24" w:after="24" w:line="240" w:lineRule="auto"/>
                    <w:rPr>
                      <w:rFonts w:ascii="Times New Roman"/>
                      <w:color w:val="auto"/>
                      <w:szCs w:val="21"/>
                    </w:rPr>
                  </w:pPr>
                  <w:r>
                    <w:rPr>
                      <w:rFonts w:ascii="Times New Roman"/>
                      <w:color w:val="auto"/>
                      <w:szCs w:val="21"/>
                    </w:rPr>
                    <w:t>4</w:t>
                  </w:r>
                </w:p>
              </w:tc>
              <w:tc>
                <w:tcPr>
                  <w:tcW w:w="598" w:type="dxa"/>
                  <w:vMerge w:val="continue"/>
                  <w:tcBorders>
                    <w:top w:val="nil"/>
                    <w:left w:val="nil"/>
                    <w:bottom w:val="single" w:color="000000" w:sz="4" w:space="0"/>
                    <w:right w:val="single" w:color="000000" w:sz="4" w:space="0"/>
                  </w:tcBorders>
                  <w:vAlign w:val="center"/>
                </w:tcPr>
                <w:p w14:paraId="42C42D2C">
                  <w:pPr>
                    <w:pStyle w:val="78"/>
                    <w:spacing w:before="24" w:after="24" w:line="240" w:lineRule="auto"/>
                    <w:rPr>
                      <w:rFonts w:ascii="Times New Roman"/>
                      <w:color w:val="auto"/>
                      <w:szCs w:val="21"/>
                    </w:rPr>
                  </w:pPr>
                </w:p>
              </w:tc>
              <w:tc>
                <w:tcPr>
                  <w:tcW w:w="3016" w:type="dxa"/>
                  <w:tcBorders>
                    <w:top w:val="single" w:color="000000" w:sz="4" w:space="0"/>
                    <w:left w:val="nil"/>
                    <w:bottom w:val="single" w:color="000000" w:sz="4" w:space="0"/>
                    <w:right w:val="single" w:color="000000" w:sz="4" w:space="0"/>
                  </w:tcBorders>
                  <w:vAlign w:val="center"/>
                </w:tcPr>
                <w:p w14:paraId="79EC1408">
                  <w:pPr>
                    <w:pStyle w:val="78"/>
                    <w:spacing w:before="24" w:after="24" w:line="240" w:lineRule="auto"/>
                    <w:rPr>
                      <w:rFonts w:ascii="Times New Roman"/>
                      <w:color w:val="auto"/>
                      <w:szCs w:val="21"/>
                    </w:rPr>
                  </w:pPr>
                  <w:r>
                    <w:rPr>
                      <w:rFonts w:ascii="Times New Roman"/>
                      <w:color w:val="auto"/>
                      <w:szCs w:val="21"/>
                    </w:rPr>
                    <w:t>禁止新引入农药制造等污染较重的化工类项目。</w:t>
                  </w:r>
                </w:p>
              </w:tc>
              <w:tc>
                <w:tcPr>
                  <w:tcW w:w="2642" w:type="dxa"/>
                  <w:tcBorders>
                    <w:top w:val="single" w:color="000000" w:sz="4" w:space="0"/>
                    <w:left w:val="nil"/>
                    <w:bottom w:val="single" w:color="000000" w:sz="4" w:space="0"/>
                    <w:right w:val="single" w:color="000000" w:sz="4" w:space="0"/>
                  </w:tcBorders>
                  <w:vAlign w:val="center"/>
                </w:tcPr>
                <w:p w14:paraId="674DC010">
                  <w:pPr>
                    <w:pStyle w:val="78"/>
                    <w:spacing w:before="24" w:after="24" w:line="240" w:lineRule="auto"/>
                    <w:rPr>
                      <w:rFonts w:ascii="Times New Roman"/>
                      <w:color w:val="auto"/>
                      <w:szCs w:val="21"/>
                    </w:rPr>
                  </w:pPr>
                  <w:r>
                    <w:rPr>
                      <w:rFonts w:ascii="Times New Roman"/>
                      <w:color w:val="auto"/>
                      <w:szCs w:val="21"/>
                    </w:rPr>
                    <w:t>本项目不涉及</w:t>
                  </w:r>
                </w:p>
              </w:tc>
              <w:tc>
                <w:tcPr>
                  <w:tcW w:w="673" w:type="dxa"/>
                  <w:tcBorders>
                    <w:top w:val="single" w:color="000000" w:sz="4" w:space="0"/>
                    <w:left w:val="nil"/>
                    <w:bottom w:val="single" w:color="000000" w:sz="4" w:space="0"/>
                    <w:right w:val="single" w:color="000000" w:sz="4" w:space="0"/>
                  </w:tcBorders>
                  <w:vAlign w:val="center"/>
                </w:tcPr>
                <w:p w14:paraId="710A2D7E">
                  <w:pPr>
                    <w:pStyle w:val="78"/>
                    <w:spacing w:before="24" w:after="24" w:line="240" w:lineRule="auto"/>
                    <w:rPr>
                      <w:rFonts w:ascii="Times New Roman"/>
                      <w:color w:val="auto"/>
                      <w:szCs w:val="21"/>
                    </w:rPr>
                  </w:pPr>
                  <w:r>
                    <w:rPr>
                      <w:rFonts w:ascii="Times New Roman"/>
                      <w:color w:val="auto"/>
                      <w:szCs w:val="21"/>
                    </w:rPr>
                    <w:t>相符</w:t>
                  </w:r>
                </w:p>
              </w:tc>
            </w:tr>
            <w:tr w14:paraId="1495E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66DC19E8">
                  <w:pPr>
                    <w:pStyle w:val="78"/>
                    <w:spacing w:before="24" w:after="24" w:line="240" w:lineRule="auto"/>
                    <w:rPr>
                      <w:rFonts w:ascii="Times New Roman"/>
                      <w:color w:val="auto"/>
                      <w:szCs w:val="21"/>
                    </w:rPr>
                  </w:pPr>
                  <w:r>
                    <w:rPr>
                      <w:rFonts w:ascii="Times New Roman"/>
                      <w:color w:val="auto"/>
                      <w:szCs w:val="21"/>
                    </w:rPr>
                    <w:t>5</w:t>
                  </w:r>
                </w:p>
              </w:tc>
              <w:tc>
                <w:tcPr>
                  <w:tcW w:w="598" w:type="dxa"/>
                  <w:vMerge w:val="continue"/>
                  <w:tcBorders>
                    <w:top w:val="nil"/>
                    <w:left w:val="nil"/>
                    <w:bottom w:val="single" w:color="000000" w:sz="4" w:space="0"/>
                    <w:right w:val="single" w:color="000000" w:sz="4" w:space="0"/>
                  </w:tcBorders>
                  <w:vAlign w:val="center"/>
                </w:tcPr>
                <w:p w14:paraId="5DADEF28">
                  <w:pPr>
                    <w:pStyle w:val="78"/>
                    <w:spacing w:before="24" w:after="24" w:line="240" w:lineRule="auto"/>
                    <w:rPr>
                      <w:rFonts w:ascii="Times New Roman"/>
                      <w:color w:val="auto"/>
                      <w:szCs w:val="21"/>
                    </w:rPr>
                  </w:pPr>
                </w:p>
              </w:tc>
              <w:tc>
                <w:tcPr>
                  <w:tcW w:w="3016" w:type="dxa"/>
                  <w:tcBorders>
                    <w:top w:val="single" w:color="000000" w:sz="4" w:space="0"/>
                    <w:left w:val="nil"/>
                    <w:bottom w:val="single" w:color="000000" w:sz="4" w:space="0"/>
                    <w:right w:val="single" w:color="000000" w:sz="4" w:space="0"/>
                  </w:tcBorders>
                  <w:vAlign w:val="center"/>
                </w:tcPr>
                <w:p w14:paraId="1EC23E79">
                  <w:pPr>
                    <w:pStyle w:val="78"/>
                    <w:spacing w:before="24" w:after="24" w:line="240" w:lineRule="auto"/>
                    <w:rPr>
                      <w:rFonts w:ascii="Times New Roman"/>
                      <w:color w:val="auto"/>
                      <w:szCs w:val="21"/>
                    </w:rPr>
                  </w:pPr>
                  <w:r>
                    <w:rPr>
                      <w:rFonts w:ascii="Times New Roman"/>
                      <w:color w:val="auto"/>
                      <w:szCs w:val="21"/>
                    </w:rPr>
                    <w:t>禁止引进化学制浆造纸企业和印染、制革、化工、电镀、酿造等污染严重的小型企业。</w:t>
                  </w:r>
                </w:p>
              </w:tc>
              <w:tc>
                <w:tcPr>
                  <w:tcW w:w="2642" w:type="dxa"/>
                  <w:tcBorders>
                    <w:top w:val="single" w:color="000000" w:sz="4" w:space="0"/>
                    <w:left w:val="nil"/>
                    <w:bottom w:val="single" w:color="000000" w:sz="4" w:space="0"/>
                    <w:right w:val="single" w:color="000000" w:sz="4" w:space="0"/>
                  </w:tcBorders>
                  <w:vAlign w:val="center"/>
                </w:tcPr>
                <w:p w14:paraId="6C6CB13D">
                  <w:pPr>
                    <w:pStyle w:val="78"/>
                    <w:spacing w:before="24" w:after="24" w:line="240" w:lineRule="auto"/>
                    <w:rPr>
                      <w:rFonts w:ascii="Times New Roman"/>
                      <w:color w:val="auto"/>
                      <w:szCs w:val="21"/>
                    </w:rPr>
                  </w:pPr>
                  <w:r>
                    <w:rPr>
                      <w:rFonts w:ascii="Times New Roman"/>
                      <w:color w:val="auto"/>
                      <w:szCs w:val="21"/>
                    </w:rPr>
                    <w:t>本项目不涉及</w:t>
                  </w:r>
                </w:p>
              </w:tc>
              <w:tc>
                <w:tcPr>
                  <w:tcW w:w="673" w:type="dxa"/>
                  <w:tcBorders>
                    <w:top w:val="single" w:color="000000" w:sz="4" w:space="0"/>
                    <w:left w:val="nil"/>
                    <w:bottom w:val="single" w:color="000000" w:sz="4" w:space="0"/>
                    <w:right w:val="single" w:color="000000" w:sz="4" w:space="0"/>
                  </w:tcBorders>
                  <w:vAlign w:val="center"/>
                </w:tcPr>
                <w:p w14:paraId="6397359A">
                  <w:pPr>
                    <w:pStyle w:val="78"/>
                    <w:spacing w:before="24" w:after="24" w:line="240" w:lineRule="auto"/>
                    <w:rPr>
                      <w:rFonts w:ascii="Times New Roman"/>
                      <w:color w:val="auto"/>
                      <w:szCs w:val="21"/>
                    </w:rPr>
                  </w:pPr>
                  <w:r>
                    <w:rPr>
                      <w:rFonts w:ascii="Times New Roman"/>
                      <w:color w:val="auto"/>
                      <w:szCs w:val="21"/>
                    </w:rPr>
                    <w:t>相符</w:t>
                  </w:r>
                </w:p>
              </w:tc>
            </w:tr>
            <w:tr w14:paraId="648F4C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6851E02F">
                  <w:pPr>
                    <w:pStyle w:val="78"/>
                    <w:spacing w:before="24" w:after="24" w:line="240" w:lineRule="auto"/>
                    <w:rPr>
                      <w:rFonts w:ascii="Times New Roman"/>
                      <w:color w:val="auto"/>
                      <w:szCs w:val="21"/>
                    </w:rPr>
                  </w:pPr>
                  <w:r>
                    <w:rPr>
                      <w:rFonts w:ascii="Times New Roman"/>
                      <w:color w:val="auto"/>
                      <w:szCs w:val="21"/>
                    </w:rPr>
                    <w:t>6</w:t>
                  </w:r>
                </w:p>
              </w:tc>
              <w:tc>
                <w:tcPr>
                  <w:tcW w:w="598" w:type="dxa"/>
                  <w:vMerge w:val="continue"/>
                  <w:tcBorders>
                    <w:top w:val="nil"/>
                    <w:left w:val="nil"/>
                    <w:bottom w:val="single" w:color="000000" w:sz="4" w:space="0"/>
                    <w:right w:val="single" w:color="000000" w:sz="4" w:space="0"/>
                  </w:tcBorders>
                  <w:vAlign w:val="center"/>
                </w:tcPr>
                <w:p w14:paraId="3D9C1E43">
                  <w:pPr>
                    <w:pStyle w:val="78"/>
                    <w:spacing w:before="24" w:after="24" w:line="240" w:lineRule="auto"/>
                    <w:rPr>
                      <w:rFonts w:ascii="Times New Roman"/>
                      <w:color w:val="auto"/>
                      <w:szCs w:val="21"/>
                    </w:rPr>
                  </w:pPr>
                </w:p>
              </w:tc>
              <w:tc>
                <w:tcPr>
                  <w:tcW w:w="3016" w:type="dxa"/>
                  <w:tcBorders>
                    <w:top w:val="single" w:color="000000" w:sz="4" w:space="0"/>
                    <w:left w:val="nil"/>
                    <w:bottom w:val="single" w:color="000000" w:sz="4" w:space="0"/>
                    <w:right w:val="single" w:color="000000" w:sz="4" w:space="0"/>
                  </w:tcBorders>
                  <w:vAlign w:val="center"/>
                </w:tcPr>
                <w:p w14:paraId="1A557293">
                  <w:pPr>
                    <w:pStyle w:val="78"/>
                    <w:spacing w:before="24" w:after="24" w:line="240" w:lineRule="auto"/>
                    <w:rPr>
                      <w:rFonts w:ascii="Times New Roman"/>
                      <w:color w:val="auto"/>
                      <w:szCs w:val="21"/>
                    </w:rPr>
                  </w:pPr>
                  <w:r>
                    <w:rPr>
                      <w:rFonts w:ascii="Times New Roman"/>
                      <w:color w:val="auto"/>
                      <w:szCs w:val="21"/>
                    </w:rPr>
                    <w:t>严格控制化学药品原药制造等污染较重的项目。</w:t>
                  </w:r>
                </w:p>
              </w:tc>
              <w:tc>
                <w:tcPr>
                  <w:tcW w:w="2642" w:type="dxa"/>
                  <w:tcBorders>
                    <w:top w:val="single" w:color="000000" w:sz="4" w:space="0"/>
                    <w:left w:val="nil"/>
                    <w:bottom w:val="single" w:color="000000" w:sz="4" w:space="0"/>
                    <w:right w:val="single" w:color="000000" w:sz="4" w:space="0"/>
                  </w:tcBorders>
                  <w:vAlign w:val="center"/>
                </w:tcPr>
                <w:p w14:paraId="4535BD3C">
                  <w:pPr>
                    <w:pStyle w:val="78"/>
                    <w:spacing w:before="24" w:after="24" w:line="240" w:lineRule="auto"/>
                    <w:rPr>
                      <w:rFonts w:ascii="Times New Roman"/>
                      <w:color w:val="auto"/>
                      <w:szCs w:val="21"/>
                    </w:rPr>
                  </w:pPr>
                  <w:r>
                    <w:rPr>
                      <w:rFonts w:ascii="Times New Roman"/>
                      <w:color w:val="auto"/>
                      <w:szCs w:val="21"/>
                    </w:rPr>
                    <w:t>本项目不涉及</w:t>
                  </w:r>
                </w:p>
              </w:tc>
              <w:tc>
                <w:tcPr>
                  <w:tcW w:w="673" w:type="dxa"/>
                  <w:tcBorders>
                    <w:top w:val="single" w:color="000000" w:sz="4" w:space="0"/>
                    <w:left w:val="nil"/>
                    <w:bottom w:val="single" w:color="000000" w:sz="4" w:space="0"/>
                    <w:right w:val="single" w:color="000000" w:sz="4" w:space="0"/>
                  </w:tcBorders>
                  <w:vAlign w:val="center"/>
                </w:tcPr>
                <w:p w14:paraId="6E635A26">
                  <w:pPr>
                    <w:pStyle w:val="78"/>
                    <w:spacing w:before="24" w:after="24" w:line="240" w:lineRule="auto"/>
                    <w:rPr>
                      <w:rFonts w:ascii="Times New Roman"/>
                      <w:color w:val="auto"/>
                      <w:szCs w:val="21"/>
                    </w:rPr>
                  </w:pPr>
                  <w:r>
                    <w:rPr>
                      <w:rFonts w:ascii="Times New Roman"/>
                      <w:color w:val="auto"/>
                      <w:szCs w:val="21"/>
                    </w:rPr>
                    <w:t>相符</w:t>
                  </w:r>
                </w:p>
              </w:tc>
            </w:tr>
            <w:tr w14:paraId="6E29A5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516BF4CA">
                  <w:pPr>
                    <w:pStyle w:val="78"/>
                    <w:spacing w:before="24" w:after="24" w:line="240" w:lineRule="auto"/>
                    <w:rPr>
                      <w:rFonts w:ascii="Times New Roman"/>
                      <w:color w:val="auto"/>
                      <w:szCs w:val="21"/>
                    </w:rPr>
                  </w:pPr>
                  <w:r>
                    <w:rPr>
                      <w:rFonts w:ascii="Times New Roman"/>
                      <w:color w:val="auto"/>
                      <w:szCs w:val="21"/>
                    </w:rPr>
                    <w:t>7</w:t>
                  </w:r>
                </w:p>
              </w:tc>
              <w:tc>
                <w:tcPr>
                  <w:tcW w:w="598" w:type="dxa"/>
                  <w:vMerge w:val="continue"/>
                  <w:tcBorders>
                    <w:top w:val="nil"/>
                    <w:left w:val="nil"/>
                    <w:bottom w:val="single" w:color="000000" w:sz="4" w:space="0"/>
                    <w:right w:val="single" w:color="000000" w:sz="4" w:space="0"/>
                  </w:tcBorders>
                  <w:vAlign w:val="center"/>
                </w:tcPr>
                <w:p w14:paraId="176E3378">
                  <w:pPr>
                    <w:pStyle w:val="78"/>
                    <w:spacing w:before="24" w:after="24" w:line="240" w:lineRule="auto"/>
                    <w:rPr>
                      <w:rFonts w:ascii="Times New Roman"/>
                      <w:color w:val="auto"/>
                      <w:szCs w:val="21"/>
                    </w:rPr>
                  </w:pPr>
                </w:p>
              </w:tc>
              <w:tc>
                <w:tcPr>
                  <w:tcW w:w="3016" w:type="dxa"/>
                  <w:tcBorders>
                    <w:top w:val="single" w:color="000000" w:sz="4" w:space="0"/>
                    <w:left w:val="nil"/>
                    <w:bottom w:val="single" w:color="000000" w:sz="4" w:space="0"/>
                    <w:right w:val="single" w:color="000000" w:sz="4" w:space="0"/>
                  </w:tcBorders>
                  <w:vAlign w:val="center"/>
                </w:tcPr>
                <w:p w14:paraId="558EEB34">
                  <w:pPr>
                    <w:pStyle w:val="78"/>
                    <w:spacing w:before="24" w:after="24" w:line="240" w:lineRule="auto"/>
                    <w:rPr>
                      <w:rFonts w:ascii="Times New Roman"/>
                      <w:color w:val="auto"/>
                      <w:szCs w:val="21"/>
                    </w:rPr>
                  </w:pPr>
                  <w:r>
                    <w:rPr>
                      <w:rFonts w:ascii="Times New Roman"/>
                      <w:color w:val="auto"/>
                      <w:szCs w:val="21"/>
                    </w:rPr>
                    <w:t>严格控制非主导产业高污染、高能耗类项目。</w:t>
                  </w:r>
                </w:p>
              </w:tc>
              <w:tc>
                <w:tcPr>
                  <w:tcW w:w="2642" w:type="dxa"/>
                  <w:tcBorders>
                    <w:top w:val="single" w:color="000000" w:sz="4" w:space="0"/>
                    <w:left w:val="nil"/>
                    <w:bottom w:val="single" w:color="000000" w:sz="4" w:space="0"/>
                    <w:right w:val="single" w:color="000000" w:sz="4" w:space="0"/>
                  </w:tcBorders>
                  <w:vAlign w:val="center"/>
                </w:tcPr>
                <w:p w14:paraId="79177CE1">
                  <w:pPr>
                    <w:pStyle w:val="78"/>
                    <w:spacing w:before="24" w:after="24" w:line="240" w:lineRule="auto"/>
                    <w:rPr>
                      <w:rFonts w:ascii="Times New Roman"/>
                      <w:color w:val="auto"/>
                      <w:szCs w:val="21"/>
                    </w:rPr>
                  </w:pPr>
                  <w:r>
                    <w:rPr>
                      <w:rFonts w:ascii="Times New Roman"/>
                      <w:color w:val="auto"/>
                      <w:szCs w:val="21"/>
                    </w:rPr>
                    <w:t>本项目为非金属矿物制品制造，对照安徽省“两高”项目管理目录（试行），本项目未列入安徽省“两高”项目，不属于高污染、高能耗类项目，无新建燃煤锅炉。</w:t>
                  </w:r>
                </w:p>
              </w:tc>
              <w:tc>
                <w:tcPr>
                  <w:tcW w:w="673" w:type="dxa"/>
                  <w:tcBorders>
                    <w:top w:val="single" w:color="000000" w:sz="4" w:space="0"/>
                    <w:left w:val="nil"/>
                    <w:bottom w:val="single" w:color="000000" w:sz="4" w:space="0"/>
                    <w:right w:val="single" w:color="000000" w:sz="4" w:space="0"/>
                  </w:tcBorders>
                  <w:vAlign w:val="center"/>
                </w:tcPr>
                <w:p w14:paraId="704F5B36">
                  <w:pPr>
                    <w:pStyle w:val="78"/>
                    <w:spacing w:before="24" w:after="24" w:line="240" w:lineRule="auto"/>
                    <w:rPr>
                      <w:rFonts w:ascii="Times New Roman"/>
                      <w:color w:val="auto"/>
                      <w:szCs w:val="21"/>
                    </w:rPr>
                  </w:pPr>
                  <w:r>
                    <w:rPr>
                      <w:rFonts w:ascii="Times New Roman"/>
                      <w:color w:val="auto"/>
                      <w:szCs w:val="21"/>
                    </w:rPr>
                    <w:t>相符</w:t>
                  </w:r>
                </w:p>
              </w:tc>
            </w:tr>
            <w:tr w14:paraId="53267F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6E329539">
                  <w:pPr>
                    <w:pStyle w:val="78"/>
                    <w:spacing w:before="24" w:after="24" w:line="240" w:lineRule="auto"/>
                    <w:rPr>
                      <w:rFonts w:ascii="Times New Roman"/>
                      <w:color w:val="auto"/>
                      <w:szCs w:val="21"/>
                    </w:rPr>
                  </w:pPr>
                  <w:r>
                    <w:rPr>
                      <w:rFonts w:ascii="Times New Roman"/>
                      <w:color w:val="auto"/>
                      <w:szCs w:val="21"/>
                    </w:rPr>
                    <w:t>8</w:t>
                  </w:r>
                </w:p>
              </w:tc>
              <w:tc>
                <w:tcPr>
                  <w:tcW w:w="598" w:type="dxa"/>
                  <w:vMerge w:val="restart"/>
                  <w:tcBorders>
                    <w:top w:val="nil"/>
                    <w:left w:val="nil"/>
                    <w:bottom w:val="single" w:color="000000" w:sz="4" w:space="0"/>
                    <w:right w:val="single" w:color="000000" w:sz="4" w:space="0"/>
                  </w:tcBorders>
                  <w:vAlign w:val="center"/>
                </w:tcPr>
                <w:p w14:paraId="2FDE9A80">
                  <w:pPr>
                    <w:pStyle w:val="78"/>
                    <w:spacing w:before="24" w:after="24" w:line="240" w:lineRule="auto"/>
                    <w:rPr>
                      <w:rFonts w:ascii="Times New Roman"/>
                      <w:color w:val="auto"/>
                      <w:szCs w:val="21"/>
                    </w:rPr>
                  </w:pPr>
                  <w:r>
                    <w:rPr>
                      <w:rFonts w:ascii="Times New Roman"/>
                      <w:color w:val="auto"/>
                      <w:szCs w:val="21"/>
                    </w:rPr>
                    <w:t>生产</w:t>
                  </w:r>
                </w:p>
                <w:p w14:paraId="2836710A">
                  <w:pPr>
                    <w:pStyle w:val="78"/>
                    <w:spacing w:before="24" w:after="24" w:line="240" w:lineRule="auto"/>
                    <w:rPr>
                      <w:rFonts w:ascii="Times New Roman"/>
                      <w:color w:val="auto"/>
                      <w:szCs w:val="21"/>
                    </w:rPr>
                  </w:pPr>
                  <w:r>
                    <w:rPr>
                      <w:rFonts w:ascii="Times New Roman"/>
                      <w:color w:val="auto"/>
                      <w:szCs w:val="21"/>
                    </w:rPr>
                    <w:t>工艺</w:t>
                  </w:r>
                </w:p>
              </w:tc>
              <w:tc>
                <w:tcPr>
                  <w:tcW w:w="3016" w:type="dxa"/>
                  <w:tcBorders>
                    <w:top w:val="single" w:color="000000" w:sz="4" w:space="0"/>
                    <w:left w:val="nil"/>
                    <w:bottom w:val="single" w:color="000000" w:sz="4" w:space="0"/>
                    <w:right w:val="single" w:color="000000" w:sz="4" w:space="0"/>
                  </w:tcBorders>
                  <w:vAlign w:val="center"/>
                </w:tcPr>
                <w:p w14:paraId="38609CA7">
                  <w:pPr>
                    <w:pStyle w:val="78"/>
                    <w:spacing w:before="24" w:after="24" w:line="240" w:lineRule="auto"/>
                    <w:rPr>
                      <w:rFonts w:ascii="Times New Roman"/>
                      <w:color w:val="auto"/>
                      <w:szCs w:val="21"/>
                    </w:rPr>
                  </w:pPr>
                  <w:r>
                    <w:rPr>
                      <w:rFonts w:ascii="Times New Roman"/>
                      <w:color w:val="auto"/>
                      <w:szCs w:val="21"/>
                    </w:rPr>
                    <w:t>禁止引进炼油、产生致癌、致畸、致突变物质的项目。</w:t>
                  </w:r>
                </w:p>
              </w:tc>
              <w:tc>
                <w:tcPr>
                  <w:tcW w:w="2642" w:type="dxa"/>
                  <w:tcBorders>
                    <w:top w:val="single" w:color="000000" w:sz="4" w:space="0"/>
                    <w:left w:val="nil"/>
                    <w:bottom w:val="single" w:color="000000" w:sz="4" w:space="0"/>
                    <w:right w:val="single" w:color="000000" w:sz="4" w:space="0"/>
                  </w:tcBorders>
                  <w:vAlign w:val="center"/>
                </w:tcPr>
                <w:p w14:paraId="0C9745FA">
                  <w:pPr>
                    <w:pStyle w:val="78"/>
                    <w:spacing w:before="24" w:after="24" w:line="240" w:lineRule="auto"/>
                    <w:rPr>
                      <w:rFonts w:ascii="Times New Roman"/>
                      <w:color w:val="auto"/>
                      <w:szCs w:val="21"/>
                    </w:rPr>
                  </w:pPr>
                  <w:r>
                    <w:rPr>
                      <w:rFonts w:ascii="Times New Roman"/>
                      <w:color w:val="auto"/>
                      <w:szCs w:val="21"/>
                    </w:rPr>
                    <w:t>本项目不涉及</w:t>
                  </w:r>
                </w:p>
              </w:tc>
              <w:tc>
                <w:tcPr>
                  <w:tcW w:w="673" w:type="dxa"/>
                  <w:tcBorders>
                    <w:top w:val="single" w:color="000000" w:sz="4" w:space="0"/>
                    <w:left w:val="nil"/>
                    <w:bottom w:val="single" w:color="000000" w:sz="4" w:space="0"/>
                    <w:right w:val="single" w:color="000000" w:sz="4" w:space="0"/>
                  </w:tcBorders>
                  <w:vAlign w:val="center"/>
                </w:tcPr>
                <w:p w14:paraId="617B2D3A">
                  <w:pPr>
                    <w:pStyle w:val="78"/>
                    <w:spacing w:before="24" w:after="24" w:line="240" w:lineRule="auto"/>
                    <w:rPr>
                      <w:rFonts w:ascii="Times New Roman"/>
                      <w:color w:val="auto"/>
                      <w:szCs w:val="21"/>
                    </w:rPr>
                  </w:pPr>
                  <w:r>
                    <w:rPr>
                      <w:rFonts w:ascii="Times New Roman"/>
                      <w:color w:val="auto"/>
                      <w:szCs w:val="21"/>
                    </w:rPr>
                    <w:t>相符</w:t>
                  </w:r>
                </w:p>
              </w:tc>
            </w:tr>
            <w:tr w14:paraId="13D2A1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115027C2">
                  <w:pPr>
                    <w:pStyle w:val="78"/>
                    <w:spacing w:before="24" w:after="24" w:line="240" w:lineRule="auto"/>
                    <w:rPr>
                      <w:rFonts w:ascii="Times New Roman"/>
                      <w:color w:val="auto"/>
                      <w:szCs w:val="21"/>
                    </w:rPr>
                  </w:pPr>
                  <w:r>
                    <w:rPr>
                      <w:rFonts w:ascii="Times New Roman"/>
                      <w:color w:val="auto"/>
                      <w:szCs w:val="21"/>
                    </w:rPr>
                    <w:t>9</w:t>
                  </w:r>
                </w:p>
              </w:tc>
              <w:tc>
                <w:tcPr>
                  <w:tcW w:w="598" w:type="dxa"/>
                  <w:vMerge w:val="continue"/>
                  <w:tcBorders>
                    <w:top w:val="nil"/>
                    <w:left w:val="nil"/>
                    <w:bottom w:val="single" w:color="000000" w:sz="4" w:space="0"/>
                    <w:right w:val="single" w:color="000000" w:sz="4" w:space="0"/>
                  </w:tcBorders>
                  <w:vAlign w:val="center"/>
                </w:tcPr>
                <w:p w14:paraId="00C86DB2">
                  <w:pPr>
                    <w:pStyle w:val="78"/>
                    <w:spacing w:before="24" w:after="24" w:line="240" w:lineRule="auto"/>
                    <w:rPr>
                      <w:rFonts w:ascii="Times New Roman"/>
                      <w:color w:val="auto"/>
                      <w:szCs w:val="21"/>
                    </w:rPr>
                  </w:pPr>
                </w:p>
              </w:tc>
              <w:tc>
                <w:tcPr>
                  <w:tcW w:w="3016" w:type="dxa"/>
                  <w:tcBorders>
                    <w:top w:val="single" w:color="000000" w:sz="4" w:space="0"/>
                    <w:left w:val="nil"/>
                    <w:bottom w:val="single" w:color="000000" w:sz="4" w:space="0"/>
                    <w:right w:val="single" w:color="000000" w:sz="4" w:space="0"/>
                  </w:tcBorders>
                  <w:vAlign w:val="center"/>
                </w:tcPr>
                <w:p w14:paraId="4DEFB616">
                  <w:pPr>
                    <w:pStyle w:val="78"/>
                    <w:spacing w:before="24" w:after="24" w:line="240" w:lineRule="auto"/>
                    <w:rPr>
                      <w:rFonts w:ascii="Times New Roman"/>
                      <w:color w:val="auto"/>
                      <w:szCs w:val="21"/>
                    </w:rPr>
                  </w:pPr>
                  <w:r>
                    <w:rPr>
                      <w:rFonts w:ascii="Times New Roman"/>
                      <w:color w:val="auto"/>
                      <w:szCs w:val="21"/>
                    </w:rPr>
                    <w:t>为主导产业及配套的上下游及延伸产业链项目的生产工艺、设备、污染治理技术等未达到清洁生产国内先进水平的、不符合环保相关要求的项目。</w:t>
                  </w:r>
                </w:p>
              </w:tc>
              <w:tc>
                <w:tcPr>
                  <w:tcW w:w="2642" w:type="dxa"/>
                  <w:tcBorders>
                    <w:top w:val="single" w:color="000000" w:sz="4" w:space="0"/>
                    <w:left w:val="nil"/>
                    <w:bottom w:val="single" w:color="000000" w:sz="4" w:space="0"/>
                    <w:right w:val="single" w:color="000000" w:sz="4" w:space="0"/>
                  </w:tcBorders>
                  <w:vAlign w:val="center"/>
                </w:tcPr>
                <w:p w14:paraId="24E2B328">
                  <w:pPr>
                    <w:pStyle w:val="78"/>
                    <w:spacing w:before="24" w:after="24" w:line="240" w:lineRule="auto"/>
                    <w:rPr>
                      <w:rFonts w:ascii="Times New Roman"/>
                      <w:color w:val="auto"/>
                      <w:szCs w:val="21"/>
                    </w:rPr>
                  </w:pPr>
                  <w:r>
                    <w:rPr>
                      <w:rFonts w:ascii="Times New Roman"/>
                      <w:color w:val="auto"/>
                      <w:szCs w:val="21"/>
                    </w:rPr>
                    <w:t>本项目为非金属矿物制品制造，生产工艺、设备、污染治理技术等达到清洁生产国内先进水平，符合环保相关要求。</w:t>
                  </w:r>
                </w:p>
              </w:tc>
              <w:tc>
                <w:tcPr>
                  <w:tcW w:w="673" w:type="dxa"/>
                  <w:tcBorders>
                    <w:top w:val="single" w:color="000000" w:sz="4" w:space="0"/>
                    <w:left w:val="nil"/>
                    <w:bottom w:val="single" w:color="000000" w:sz="4" w:space="0"/>
                    <w:right w:val="single" w:color="000000" w:sz="4" w:space="0"/>
                  </w:tcBorders>
                  <w:vAlign w:val="center"/>
                </w:tcPr>
                <w:p w14:paraId="4A9F1916">
                  <w:pPr>
                    <w:pStyle w:val="78"/>
                    <w:spacing w:before="24" w:after="24" w:line="240" w:lineRule="auto"/>
                    <w:rPr>
                      <w:rFonts w:ascii="Times New Roman"/>
                      <w:color w:val="auto"/>
                      <w:szCs w:val="21"/>
                    </w:rPr>
                  </w:pPr>
                  <w:r>
                    <w:rPr>
                      <w:rFonts w:ascii="Times New Roman"/>
                      <w:color w:val="auto"/>
                      <w:szCs w:val="21"/>
                    </w:rPr>
                    <w:t>相符</w:t>
                  </w:r>
                </w:p>
              </w:tc>
            </w:tr>
            <w:tr w14:paraId="0C7684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33B46CC4">
                  <w:pPr>
                    <w:pStyle w:val="78"/>
                    <w:spacing w:before="24" w:after="24" w:line="240" w:lineRule="auto"/>
                    <w:rPr>
                      <w:rFonts w:ascii="Times New Roman"/>
                      <w:color w:val="auto"/>
                      <w:szCs w:val="21"/>
                    </w:rPr>
                  </w:pPr>
                  <w:r>
                    <w:rPr>
                      <w:rFonts w:ascii="Times New Roman"/>
                      <w:color w:val="auto"/>
                      <w:szCs w:val="21"/>
                    </w:rPr>
                    <w:t>10</w:t>
                  </w:r>
                </w:p>
              </w:tc>
              <w:tc>
                <w:tcPr>
                  <w:tcW w:w="598" w:type="dxa"/>
                  <w:tcBorders>
                    <w:top w:val="single" w:color="000000" w:sz="4" w:space="0"/>
                    <w:left w:val="nil"/>
                    <w:bottom w:val="single" w:color="000000" w:sz="4" w:space="0"/>
                    <w:right w:val="single" w:color="000000" w:sz="4" w:space="0"/>
                  </w:tcBorders>
                  <w:vAlign w:val="center"/>
                </w:tcPr>
                <w:p w14:paraId="6BD57349">
                  <w:pPr>
                    <w:pStyle w:val="78"/>
                    <w:spacing w:before="24" w:after="24" w:line="240" w:lineRule="auto"/>
                    <w:rPr>
                      <w:rFonts w:ascii="Times New Roman"/>
                      <w:color w:val="auto"/>
                      <w:szCs w:val="21"/>
                    </w:rPr>
                  </w:pPr>
                  <w:r>
                    <w:rPr>
                      <w:rFonts w:ascii="Times New Roman"/>
                      <w:color w:val="auto"/>
                      <w:szCs w:val="21"/>
                    </w:rPr>
                    <w:t>环保</w:t>
                  </w:r>
                </w:p>
                <w:p w14:paraId="3474BF9C">
                  <w:pPr>
                    <w:pStyle w:val="78"/>
                    <w:spacing w:before="24" w:after="24" w:line="240" w:lineRule="auto"/>
                    <w:rPr>
                      <w:rFonts w:ascii="Times New Roman"/>
                      <w:color w:val="auto"/>
                      <w:szCs w:val="21"/>
                    </w:rPr>
                  </w:pPr>
                  <w:r>
                    <w:rPr>
                      <w:rFonts w:ascii="Times New Roman"/>
                      <w:color w:val="auto"/>
                      <w:szCs w:val="21"/>
                    </w:rPr>
                    <w:t>要求</w:t>
                  </w:r>
                </w:p>
              </w:tc>
              <w:tc>
                <w:tcPr>
                  <w:tcW w:w="3016" w:type="dxa"/>
                  <w:tcBorders>
                    <w:top w:val="single" w:color="000000" w:sz="4" w:space="0"/>
                    <w:left w:val="nil"/>
                    <w:bottom w:val="single" w:color="000000" w:sz="4" w:space="0"/>
                    <w:right w:val="single" w:color="000000" w:sz="4" w:space="0"/>
                  </w:tcBorders>
                  <w:vAlign w:val="center"/>
                </w:tcPr>
                <w:p w14:paraId="4CF3F7EE">
                  <w:pPr>
                    <w:pStyle w:val="78"/>
                    <w:spacing w:before="24" w:after="24" w:line="240" w:lineRule="auto"/>
                    <w:rPr>
                      <w:rFonts w:ascii="Times New Roman"/>
                      <w:color w:val="auto"/>
                      <w:szCs w:val="21"/>
                    </w:rPr>
                  </w:pPr>
                  <w:r>
                    <w:rPr>
                      <w:rFonts w:ascii="Times New Roman"/>
                      <w:color w:val="auto"/>
                      <w:szCs w:val="21"/>
                    </w:rPr>
                    <w:t>禁止引入尚需自行建设燃煤锅炉的企业入区，引进项目必须使用清洁能源或实施集中供热。</w:t>
                  </w:r>
                </w:p>
              </w:tc>
              <w:tc>
                <w:tcPr>
                  <w:tcW w:w="2642" w:type="dxa"/>
                  <w:tcBorders>
                    <w:top w:val="single" w:color="000000" w:sz="4" w:space="0"/>
                    <w:left w:val="nil"/>
                    <w:bottom w:val="single" w:color="000000" w:sz="4" w:space="0"/>
                    <w:right w:val="single" w:color="000000" w:sz="4" w:space="0"/>
                  </w:tcBorders>
                  <w:vAlign w:val="center"/>
                </w:tcPr>
                <w:p w14:paraId="21761A43">
                  <w:pPr>
                    <w:pStyle w:val="78"/>
                    <w:spacing w:before="24" w:after="24" w:line="240" w:lineRule="auto"/>
                    <w:rPr>
                      <w:rFonts w:ascii="Times New Roman"/>
                      <w:color w:val="auto"/>
                      <w:szCs w:val="21"/>
                    </w:rPr>
                  </w:pPr>
                  <w:r>
                    <w:rPr>
                      <w:rFonts w:ascii="Times New Roman"/>
                      <w:color w:val="auto"/>
                      <w:szCs w:val="21"/>
                    </w:rPr>
                    <w:t>本项目实施集中供热</w:t>
                  </w:r>
                </w:p>
              </w:tc>
              <w:tc>
                <w:tcPr>
                  <w:tcW w:w="673" w:type="dxa"/>
                  <w:tcBorders>
                    <w:top w:val="single" w:color="000000" w:sz="4" w:space="0"/>
                    <w:left w:val="nil"/>
                    <w:bottom w:val="single" w:color="000000" w:sz="4" w:space="0"/>
                    <w:right w:val="single" w:color="000000" w:sz="4" w:space="0"/>
                  </w:tcBorders>
                  <w:vAlign w:val="center"/>
                </w:tcPr>
                <w:p w14:paraId="790198D4">
                  <w:pPr>
                    <w:pStyle w:val="78"/>
                    <w:spacing w:before="24" w:after="24" w:line="240" w:lineRule="auto"/>
                    <w:rPr>
                      <w:rFonts w:ascii="Times New Roman"/>
                      <w:color w:val="auto"/>
                      <w:szCs w:val="21"/>
                    </w:rPr>
                  </w:pPr>
                  <w:r>
                    <w:rPr>
                      <w:rFonts w:ascii="Times New Roman"/>
                      <w:color w:val="auto"/>
                      <w:szCs w:val="21"/>
                    </w:rPr>
                    <w:t>相符</w:t>
                  </w:r>
                </w:p>
              </w:tc>
            </w:tr>
            <w:tr w14:paraId="7E7ECE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446" w:type="dxa"/>
                  <w:tcBorders>
                    <w:top w:val="single" w:color="000000" w:sz="4" w:space="0"/>
                    <w:left w:val="single" w:color="000000" w:sz="4" w:space="0"/>
                    <w:bottom w:val="single" w:color="000000" w:sz="4" w:space="0"/>
                    <w:right w:val="single" w:color="000000" w:sz="4" w:space="0"/>
                  </w:tcBorders>
                  <w:vAlign w:val="center"/>
                </w:tcPr>
                <w:p w14:paraId="1380FFDF">
                  <w:pPr>
                    <w:pStyle w:val="78"/>
                    <w:spacing w:before="24" w:after="24" w:line="240" w:lineRule="auto"/>
                    <w:rPr>
                      <w:rFonts w:ascii="Times New Roman"/>
                      <w:color w:val="auto"/>
                      <w:szCs w:val="21"/>
                    </w:rPr>
                  </w:pPr>
                  <w:r>
                    <w:rPr>
                      <w:rFonts w:ascii="Times New Roman"/>
                      <w:color w:val="auto"/>
                      <w:szCs w:val="21"/>
                    </w:rPr>
                    <w:t>11</w:t>
                  </w:r>
                </w:p>
              </w:tc>
              <w:tc>
                <w:tcPr>
                  <w:tcW w:w="598" w:type="dxa"/>
                  <w:tcBorders>
                    <w:top w:val="single" w:color="000000" w:sz="4" w:space="0"/>
                    <w:left w:val="nil"/>
                    <w:bottom w:val="single" w:color="000000" w:sz="4" w:space="0"/>
                    <w:right w:val="single" w:color="000000" w:sz="4" w:space="0"/>
                  </w:tcBorders>
                  <w:vAlign w:val="center"/>
                </w:tcPr>
                <w:p w14:paraId="72364F71">
                  <w:pPr>
                    <w:pStyle w:val="78"/>
                    <w:spacing w:before="24" w:after="24" w:line="240" w:lineRule="auto"/>
                    <w:rPr>
                      <w:rFonts w:ascii="Times New Roman"/>
                      <w:color w:val="auto"/>
                      <w:szCs w:val="21"/>
                    </w:rPr>
                  </w:pPr>
                  <w:r>
                    <w:rPr>
                      <w:rFonts w:ascii="Times New Roman"/>
                      <w:color w:val="auto"/>
                      <w:szCs w:val="21"/>
                    </w:rPr>
                    <w:t>清洁</w:t>
                  </w:r>
                </w:p>
                <w:p w14:paraId="1F04AEA1">
                  <w:pPr>
                    <w:pStyle w:val="78"/>
                    <w:spacing w:before="24" w:after="24" w:line="240" w:lineRule="auto"/>
                    <w:rPr>
                      <w:rFonts w:ascii="Times New Roman"/>
                      <w:color w:val="auto"/>
                      <w:szCs w:val="21"/>
                    </w:rPr>
                  </w:pPr>
                  <w:r>
                    <w:rPr>
                      <w:rFonts w:ascii="Times New Roman"/>
                      <w:color w:val="auto"/>
                      <w:szCs w:val="21"/>
                    </w:rPr>
                    <w:t>生产</w:t>
                  </w:r>
                </w:p>
              </w:tc>
              <w:tc>
                <w:tcPr>
                  <w:tcW w:w="3016" w:type="dxa"/>
                  <w:tcBorders>
                    <w:top w:val="single" w:color="000000" w:sz="4" w:space="0"/>
                    <w:left w:val="nil"/>
                    <w:bottom w:val="single" w:color="000000" w:sz="4" w:space="0"/>
                    <w:right w:val="single" w:color="000000" w:sz="4" w:space="0"/>
                  </w:tcBorders>
                  <w:vAlign w:val="center"/>
                </w:tcPr>
                <w:p w14:paraId="46B111E5">
                  <w:pPr>
                    <w:pStyle w:val="78"/>
                    <w:spacing w:before="24" w:after="24" w:line="240" w:lineRule="auto"/>
                    <w:rPr>
                      <w:rFonts w:ascii="Times New Roman"/>
                      <w:color w:val="auto"/>
                      <w:szCs w:val="21"/>
                    </w:rPr>
                  </w:pPr>
                  <w:r>
                    <w:rPr>
                      <w:rFonts w:ascii="Times New Roman"/>
                      <w:color w:val="auto"/>
                      <w:szCs w:val="21"/>
                    </w:rPr>
                    <w:t>禁止引入清洁生产低于国内先进水平的项目。</w:t>
                  </w:r>
                </w:p>
              </w:tc>
              <w:tc>
                <w:tcPr>
                  <w:tcW w:w="2642" w:type="dxa"/>
                  <w:tcBorders>
                    <w:top w:val="single" w:color="000000" w:sz="4" w:space="0"/>
                    <w:left w:val="nil"/>
                    <w:bottom w:val="single" w:color="000000" w:sz="4" w:space="0"/>
                    <w:right w:val="single" w:color="000000" w:sz="4" w:space="0"/>
                  </w:tcBorders>
                  <w:vAlign w:val="center"/>
                </w:tcPr>
                <w:p w14:paraId="10B1A117">
                  <w:pPr>
                    <w:pStyle w:val="78"/>
                    <w:spacing w:before="24" w:after="24" w:line="240" w:lineRule="auto"/>
                    <w:rPr>
                      <w:rFonts w:ascii="Times New Roman"/>
                      <w:color w:val="auto"/>
                      <w:szCs w:val="21"/>
                    </w:rPr>
                  </w:pPr>
                  <w:r>
                    <w:rPr>
                      <w:rFonts w:ascii="Times New Roman"/>
                      <w:color w:val="auto"/>
                      <w:szCs w:val="21"/>
                    </w:rPr>
                    <w:t>本项目不涉及</w:t>
                  </w:r>
                </w:p>
              </w:tc>
              <w:tc>
                <w:tcPr>
                  <w:tcW w:w="673" w:type="dxa"/>
                  <w:tcBorders>
                    <w:top w:val="single" w:color="000000" w:sz="4" w:space="0"/>
                    <w:left w:val="nil"/>
                    <w:bottom w:val="single" w:color="000000" w:sz="4" w:space="0"/>
                    <w:right w:val="single" w:color="000000" w:sz="4" w:space="0"/>
                  </w:tcBorders>
                  <w:vAlign w:val="center"/>
                </w:tcPr>
                <w:p w14:paraId="0B470711">
                  <w:pPr>
                    <w:pStyle w:val="78"/>
                    <w:spacing w:before="24" w:after="24" w:line="240" w:lineRule="auto"/>
                    <w:rPr>
                      <w:rFonts w:ascii="Times New Roman"/>
                      <w:color w:val="auto"/>
                      <w:szCs w:val="21"/>
                    </w:rPr>
                  </w:pPr>
                  <w:r>
                    <w:rPr>
                      <w:rFonts w:ascii="Times New Roman"/>
                      <w:color w:val="auto"/>
                      <w:szCs w:val="21"/>
                    </w:rPr>
                    <w:t>相符</w:t>
                  </w:r>
                </w:p>
              </w:tc>
            </w:tr>
            <w:tr w14:paraId="7AA0D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7" w:hRule="atLeast"/>
                <w:jc w:val="center"/>
              </w:trPr>
              <w:tc>
                <w:tcPr>
                  <w:tcW w:w="7375" w:type="dxa"/>
                  <w:gridSpan w:val="5"/>
                  <w:tcBorders>
                    <w:top w:val="single" w:color="000000" w:sz="4" w:space="0"/>
                    <w:left w:val="single" w:color="000000" w:sz="4" w:space="0"/>
                    <w:bottom w:val="single" w:color="000000" w:sz="4" w:space="0"/>
                    <w:right w:val="single" w:color="000000" w:sz="4" w:space="0"/>
                  </w:tcBorders>
                  <w:vAlign w:val="center"/>
                </w:tcPr>
                <w:p w14:paraId="55434EE1">
                  <w:pPr>
                    <w:pStyle w:val="78"/>
                    <w:spacing w:before="24" w:after="24" w:line="240" w:lineRule="auto"/>
                    <w:jc w:val="left"/>
                    <w:rPr>
                      <w:rFonts w:ascii="Times New Roman"/>
                      <w:color w:val="auto"/>
                      <w:szCs w:val="21"/>
                    </w:rPr>
                  </w:pPr>
                  <w:r>
                    <w:rPr>
                      <w:rFonts w:ascii="Times New Roman"/>
                      <w:color w:val="auto"/>
                      <w:szCs w:val="21"/>
                    </w:rPr>
                    <w:t>注:相关指南更新时以最新版要求为准。</w:t>
                  </w:r>
                </w:p>
              </w:tc>
            </w:tr>
          </w:tbl>
          <w:p w14:paraId="7B8D71BB">
            <w:pPr>
              <w:spacing w:line="360" w:lineRule="auto"/>
              <w:ind w:firstLine="480" w:firstLineChars="200"/>
              <w:rPr>
                <w:color w:val="auto"/>
                <w:kern w:val="0"/>
                <w:sz w:val="24"/>
              </w:rPr>
            </w:pPr>
            <w:r>
              <w:rPr>
                <w:color w:val="auto"/>
                <w:sz w:val="24"/>
              </w:rPr>
              <w:t>综上所述，根据开发区产业准入负面清单内容，本项目属于非金属矿物制品制造，不在淮南经济技术开发区负面准入清单内容里。同时，本项目不属于淮南经济技术开发区禁止类、限制类产业，符合淮南经开区产业政策要求。</w:t>
            </w:r>
          </w:p>
        </w:tc>
      </w:tr>
      <w:tr w14:paraId="7C2CD8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36" w:type="dxa"/>
            <w:vAlign w:val="center"/>
          </w:tcPr>
          <w:p w14:paraId="36F00465">
            <w:pPr>
              <w:autoSpaceDE w:val="0"/>
              <w:autoSpaceDN w:val="0"/>
              <w:adjustRightInd w:val="0"/>
              <w:snapToGrid w:val="0"/>
              <w:spacing w:line="440" w:lineRule="exact"/>
              <w:jc w:val="center"/>
              <w:rPr>
                <w:color w:val="auto"/>
                <w:kern w:val="0"/>
                <w:sz w:val="24"/>
              </w:rPr>
            </w:pPr>
            <w:r>
              <w:rPr>
                <w:color w:val="auto"/>
                <w:kern w:val="0"/>
                <w:sz w:val="24"/>
              </w:rPr>
              <w:t>其他符合性分析</w:t>
            </w:r>
          </w:p>
        </w:tc>
        <w:tc>
          <w:tcPr>
            <w:tcW w:w="7684" w:type="dxa"/>
            <w:gridSpan w:val="4"/>
            <w:vAlign w:val="center"/>
          </w:tcPr>
          <w:p w14:paraId="03B3C5B5">
            <w:pPr>
              <w:spacing w:line="360" w:lineRule="auto"/>
              <w:ind w:firstLine="480"/>
              <w:rPr>
                <w:color w:val="auto"/>
                <w:sz w:val="24"/>
              </w:rPr>
            </w:pPr>
            <w:r>
              <w:rPr>
                <w:color w:val="auto"/>
                <w:sz w:val="24"/>
              </w:rPr>
              <w:t>1、产业政策符合性分析符合性分析</w:t>
            </w:r>
          </w:p>
          <w:p w14:paraId="7FA9AFBA">
            <w:pPr>
              <w:autoSpaceDE w:val="0"/>
              <w:autoSpaceDN w:val="0"/>
              <w:adjustRightInd w:val="0"/>
              <w:snapToGrid w:val="0"/>
              <w:spacing w:line="360" w:lineRule="auto"/>
              <w:ind w:firstLine="480" w:firstLineChars="200"/>
              <w:jc w:val="both"/>
              <w:rPr>
                <w:color w:val="auto"/>
                <w:sz w:val="24"/>
              </w:rPr>
            </w:pPr>
            <w:r>
              <w:rPr>
                <w:color w:val="auto"/>
                <w:sz w:val="24"/>
              </w:rPr>
              <w:t>本项目不涉及</w:t>
            </w:r>
            <w:r>
              <w:rPr>
                <w:rFonts w:hint="eastAsia"/>
                <w:color w:val="auto"/>
                <w:sz w:val="24"/>
              </w:rPr>
              <w:t>《</w:t>
            </w:r>
            <w:r>
              <w:rPr>
                <w:color w:val="auto"/>
                <w:sz w:val="24"/>
              </w:rPr>
              <w:t>产业结构调整指导目录》（2024年本）中明确的限制、淘汰类落后工艺；同时本项目已经淮南经济技术开发区管理委员会同意备案（2309-340461-04-01-221307），</w:t>
            </w:r>
            <w:r>
              <w:rPr>
                <w:b/>
                <w:bCs/>
                <w:color w:val="auto"/>
                <w:sz w:val="24"/>
              </w:rPr>
              <w:t>因此，本项目符合国家、地方产业政策要求。</w:t>
            </w:r>
          </w:p>
          <w:p w14:paraId="673FEDA5">
            <w:pPr>
              <w:pStyle w:val="111"/>
              <w:ind w:firstLine="480"/>
              <w:rPr>
                <w:rFonts w:hint="default"/>
                <w:color w:val="auto"/>
                <w:sz w:val="24"/>
              </w:rPr>
            </w:pPr>
            <w:r>
              <w:rPr>
                <w:rFonts w:hint="default"/>
                <w:color w:val="auto"/>
                <w:sz w:val="24"/>
              </w:rPr>
              <w:t>2、与《安徽省淮河流域水污染防治条例》符合性分析</w:t>
            </w:r>
          </w:p>
          <w:p w14:paraId="4FEC83E4">
            <w:pPr>
              <w:jc w:val="center"/>
              <w:rPr>
                <w:b/>
                <w:color w:val="auto"/>
                <w:szCs w:val="21"/>
              </w:rPr>
            </w:pPr>
            <w:r>
              <w:rPr>
                <w:b/>
                <w:color w:val="auto"/>
                <w:szCs w:val="21"/>
              </w:rPr>
              <w:t>表1-8 本项目与《安徽省淮河流域水污染防治条例》相符性一览表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2"/>
              <w:gridCol w:w="3069"/>
            </w:tblGrid>
            <w:tr w14:paraId="57C50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2" w:type="dxa"/>
                  <w:vAlign w:val="center"/>
                </w:tcPr>
                <w:p w14:paraId="3CC9E391">
                  <w:pPr>
                    <w:pStyle w:val="112"/>
                    <w:rPr>
                      <w:rFonts w:hint="default"/>
                      <w:color w:val="auto"/>
                    </w:rPr>
                  </w:pPr>
                  <w:r>
                    <w:rPr>
                      <w:rFonts w:hint="default"/>
                      <w:color w:val="auto"/>
                    </w:rPr>
                    <w:t>文件要求</w:t>
                  </w:r>
                </w:p>
              </w:tc>
              <w:tc>
                <w:tcPr>
                  <w:tcW w:w="3069" w:type="dxa"/>
                  <w:vAlign w:val="center"/>
                </w:tcPr>
                <w:p w14:paraId="1505107C">
                  <w:pPr>
                    <w:pStyle w:val="112"/>
                    <w:rPr>
                      <w:rFonts w:hint="default"/>
                      <w:color w:val="auto"/>
                    </w:rPr>
                  </w:pPr>
                  <w:r>
                    <w:rPr>
                      <w:rFonts w:hint="default"/>
                      <w:color w:val="auto"/>
                    </w:rPr>
                    <w:t>符合性分析</w:t>
                  </w:r>
                </w:p>
              </w:tc>
            </w:tr>
            <w:tr w14:paraId="593EF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2" w:type="dxa"/>
                  <w:vAlign w:val="center"/>
                </w:tcPr>
                <w:p w14:paraId="4B284D38">
                  <w:pPr>
                    <w:pStyle w:val="112"/>
                    <w:rPr>
                      <w:rFonts w:hint="default"/>
                      <w:color w:val="auto"/>
                    </w:rPr>
                  </w:pPr>
                  <w:r>
                    <w:rPr>
                      <w:rFonts w:hint="default"/>
                      <w:color w:val="auto"/>
                    </w:rPr>
                    <w:t>第十三条：禁止在淮河流域新建化学制浆造纸企业和印染、制革、化工、电镀、酿造等污染严重的小型企业。严格限制在淮河流域新建印染、制革、化工、电镀、酿造等大中型项目或者其他污染严重的项目；建设该类项目的，应当事前征得省人民政府生态环境行政主管部门的同意，并按规定办理有关手续。</w:t>
                  </w:r>
                </w:p>
              </w:tc>
              <w:tc>
                <w:tcPr>
                  <w:tcW w:w="3069" w:type="dxa"/>
                  <w:vAlign w:val="center"/>
                </w:tcPr>
                <w:p w14:paraId="227FC66B">
                  <w:pPr>
                    <w:pStyle w:val="112"/>
                    <w:rPr>
                      <w:rFonts w:hint="default"/>
                      <w:color w:val="auto"/>
                    </w:rPr>
                  </w:pPr>
                  <w:r>
                    <w:rPr>
                      <w:rFonts w:hint="default"/>
                      <w:color w:val="auto"/>
                    </w:rPr>
                    <w:t>本项目不属于化学制浆造纸企业和印染、制革、化工、电镀、酿造等污染严重的企业。</w:t>
                  </w:r>
                </w:p>
              </w:tc>
            </w:tr>
            <w:tr w14:paraId="54DAE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2" w:type="dxa"/>
                  <w:vAlign w:val="center"/>
                </w:tcPr>
                <w:p w14:paraId="23D91FC3">
                  <w:pPr>
                    <w:pStyle w:val="112"/>
                    <w:rPr>
                      <w:rFonts w:hint="default"/>
                      <w:color w:val="auto"/>
                    </w:rPr>
                  </w:pPr>
                  <w:r>
                    <w:rPr>
                      <w:rFonts w:hint="default"/>
                      <w:color w:val="auto"/>
                    </w:rPr>
                    <w:t>第十四条：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新建、扩建、改建项目，除执行前款规定外，还应当遵守下列规定：（一）新建项目的选址应符合城市总体规划，避开饮用水水源地和对环境有特殊要求的功能区</w:t>
                  </w:r>
                </w:p>
              </w:tc>
              <w:tc>
                <w:tcPr>
                  <w:tcW w:w="3069" w:type="dxa"/>
                  <w:vAlign w:val="center"/>
                </w:tcPr>
                <w:p w14:paraId="767AB9F1">
                  <w:pPr>
                    <w:pStyle w:val="112"/>
                    <w:rPr>
                      <w:rFonts w:hint="default"/>
                      <w:color w:val="auto"/>
                    </w:rPr>
                  </w:pPr>
                  <w:r>
                    <w:rPr>
                      <w:rFonts w:hint="default"/>
                      <w:color w:val="auto"/>
                    </w:rPr>
                    <w:t>本项目为新建项目，本项目废水经处理达标后排入污水管网后进入淮南经济开发区</w:t>
                  </w:r>
                  <w:r>
                    <w:rPr>
                      <w:rFonts w:hint="eastAsia"/>
                      <w:color w:val="auto"/>
                      <w:lang w:eastAsia="zh-CN"/>
                    </w:rPr>
                    <w:t>工业污水处理厂</w:t>
                  </w:r>
                  <w:r>
                    <w:rPr>
                      <w:rFonts w:hint="default"/>
                      <w:color w:val="auto"/>
                    </w:rPr>
                    <w:t>处理达标后尾水排入淮河。拟建项目新建安全设施符合国家规定标准，且与主体工程同时设计、同时施工、同时投入运行和使用。本项目选址符合城市总体规划，避开饮用水水源地和对环境有特殊要求的功能区。</w:t>
                  </w:r>
                </w:p>
              </w:tc>
            </w:tr>
            <w:tr w14:paraId="3E99D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2" w:type="dxa"/>
                  <w:vAlign w:val="center"/>
                </w:tcPr>
                <w:p w14:paraId="1904B97B">
                  <w:pPr>
                    <w:pStyle w:val="112"/>
                    <w:rPr>
                      <w:rFonts w:hint="default"/>
                      <w:color w:val="auto"/>
                    </w:rPr>
                  </w:pPr>
                  <w:r>
                    <w:rPr>
                      <w:rFonts w:hint="default"/>
                      <w:color w:val="auto"/>
                    </w:rPr>
                    <w:t>第十六条：在淮河流域城市公共排水设施覆盖区域内，应当实行雨水、污水分流；排水户应当将雨水、污水分别排入公共雨水、污水管网及其附属设施。现有排水设施未实行雨水、污水分流的， 应当编制规划，进行分流改造。</w:t>
                  </w:r>
                </w:p>
              </w:tc>
              <w:tc>
                <w:tcPr>
                  <w:tcW w:w="3069" w:type="dxa"/>
                  <w:vAlign w:val="center"/>
                </w:tcPr>
                <w:p w14:paraId="3D67F015">
                  <w:pPr>
                    <w:pStyle w:val="112"/>
                    <w:rPr>
                      <w:rFonts w:hint="default"/>
                      <w:color w:val="auto"/>
                    </w:rPr>
                  </w:pPr>
                  <w:r>
                    <w:rPr>
                      <w:rFonts w:hint="default"/>
                      <w:color w:val="auto"/>
                    </w:rPr>
                    <w:t>本项目实行“雨污分流”，生活污水排入市政污水管网，雨水经雨水管网排入市政雨水管网。</w:t>
                  </w:r>
                </w:p>
              </w:tc>
            </w:tr>
          </w:tbl>
          <w:p w14:paraId="3A4C9AC8">
            <w:pPr>
              <w:spacing w:line="360" w:lineRule="auto"/>
              <w:ind w:firstLine="462" w:firstLineChars="200"/>
              <w:rPr>
                <w:b/>
                <w:bCs/>
                <w:color w:val="auto"/>
                <w:spacing w:val="-4"/>
                <w:sz w:val="24"/>
              </w:rPr>
            </w:pPr>
            <w:r>
              <w:rPr>
                <w:b/>
                <w:bCs/>
                <w:color w:val="auto"/>
                <w:spacing w:val="-5"/>
                <w:sz w:val="24"/>
              </w:rPr>
              <w:t>综上，本项目符合《安徽淮河流域水污染防治条例》中相关</w:t>
            </w:r>
            <w:r>
              <w:rPr>
                <w:b/>
                <w:bCs/>
                <w:color w:val="auto"/>
                <w:spacing w:val="-4"/>
                <w:sz w:val="24"/>
              </w:rPr>
              <w:t>要求。</w:t>
            </w:r>
          </w:p>
          <w:p w14:paraId="7EDEEB2D">
            <w:pPr>
              <w:spacing w:line="360" w:lineRule="auto"/>
              <w:ind w:firstLine="480" w:firstLineChars="200"/>
              <w:rPr>
                <w:bCs/>
                <w:color w:val="auto"/>
                <w:sz w:val="24"/>
              </w:rPr>
            </w:pPr>
            <w:r>
              <w:rPr>
                <w:bCs/>
                <w:color w:val="auto"/>
                <w:sz w:val="24"/>
              </w:rPr>
              <w:t>3、长江经济带生态环境保护规划</w:t>
            </w:r>
          </w:p>
          <w:p w14:paraId="0095F3C2">
            <w:pPr>
              <w:jc w:val="center"/>
              <w:rPr>
                <w:b/>
                <w:color w:val="auto"/>
                <w:szCs w:val="21"/>
              </w:rPr>
            </w:pPr>
            <w:r>
              <w:rPr>
                <w:b/>
                <w:color w:val="auto"/>
                <w:szCs w:val="21"/>
              </w:rPr>
              <w:t>表1-9 长江经济带生态环境保护规划符合性</w:t>
            </w:r>
            <w:r>
              <w:rPr>
                <w:rFonts w:hint="eastAsia"/>
                <w:b/>
                <w:color w:val="auto"/>
                <w:szCs w:val="21"/>
              </w:rPr>
              <w:t>（节选）</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5520"/>
              <w:gridCol w:w="795"/>
              <w:gridCol w:w="495"/>
            </w:tblGrid>
            <w:tr w14:paraId="40B9B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Mar>
                    <w:left w:w="28" w:type="dxa"/>
                    <w:right w:w="28" w:type="dxa"/>
                  </w:tcMar>
                  <w:vAlign w:val="center"/>
                </w:tcPr>
                <w:p w14:paraId="18839656">
                  <w:pPr>
                    <w:widowControl/>
                    <w:jc w:val="center"/>
                    <w:rPr>
                      <w:b/>
                      <w:bCs/>
                      <w:color w:val="auto"/>
                      <w:kern w:val="0"/>
                      <w:szCs w:val="21"/>
                    </w:rPr>
                  </w:pPr>
                  <w:r>
                    <w:rPr>
                      <w:b/>
                      <w:bCs/>
                      <w:color w:val="auto"/>
                      <w:kern w:val="0"/>
                      <w:szCs w:val="21"/>
                    </w:rPr>
                    <w:t>政策名称</w:t>
                  </w:r>
                </w:p>
              </w:tc>
              <w:tc>
                <w:tcPr>
                  <w:tcW w:w="5520" w:type="dxa"/>
                  <w:tcMar>
                    <w:left w:w="28" w:type="dxa"/>
                    <w:right w:w="28" w:type="dxa"/>
                  </w:tcMar>
                  <w:vAlign w:val="center"/>
                </w:tcPr>
                <w:p w14:paraId="13F84F73">
                  <w:pPr>
                    <w:widowControl/>
                    <w:jc w:val="center"/>
                    <w:rPr>
                      <w:b/>
                      <w:bCs/>
                      <w:color w:val="auto"/>
                      <w:kern w:val="0"/>
                      <w:szCs w:val="21"/>
                    </w:rPr>
                  </w:pPr>
                  <w:r>
                    <w:rPr>
                      <w:b/>
                      <w:bCs/>
                      <w:color w:val="auto"/>
                      <w:kern w:val="0"/>
                      <w:szCs w:val="21"/>
                    </w:rPr>
                    <w:t>相关要求</w:t>
                  </w:r>
                </w:p>
              </w:tc>
              <w:tc>
                <w:tcPr>
                  <w:tcW w:w="795" w:type="dxa"/>
                  <w:tcMar>
                    <w:left w:w="28" w:type="dxa"/>
                    <w:right w:w="28" w:type="dxa"/>
                  </w:tcMar>
                  <w:vAlign w:val="center"/>
                </w:tcPr>
                <w:p w14:paraId="15700E37">
                  <w:pPr>
                    <w:widowControl/>
                    <w:jc w:val="center"/>
                    <w:rPr>
                      <w:b/>
                      <w:bCs/>
                      <w:color w:val="auto"/>
                      <w:kern w:val="0"/>
                      <w:szCs w:val="21"/>
                    </w:rPr>
                  </w:pPr>
                  <w:r>
                    <w:rPr>
                      <w:b/>
                      <w:bCs/>
                      <w:color w:val="auto"/>
                      <w:kern w:val="0"/>
                      <w:szCs w:val="21"/>
                    </w:rPr>
                    <w:t>本项目情况</w:t>
                  </w:r>
                </w:p>
              </w:tc>
              <w:tc>
                <w:tcPr>
                  <w:tcW w:w="495" w:type="dxa"/>
                  <w:tcMar>
                    <w:left w:w="28" w:type="dxa"/>
                    <w:right w:w="28" w:type="dxa"/>
                  </w:tcMar>
                  <w:vAlign w:val="center"/>
                </w:tcPr>
                <w:p w14:paraId="0367A0D3">
                  <w:pPr>
                    <w:widowControl/>
                    <w:jc w:val="center"/>
                    <w:rPr>
                      <w:b/>
                      <w:bCs/>
                      <w:color w:val="auto"/>
                      <w:kern w:val="0"/>
                      <w:szCs w:val="21"/>
                    </w:rPr>
                  </w:pPr>
                  <w:r>
                    <w:rPr>
                      <w:b/>
                      <w:bCs/>
                      <w:color w:val="auto"/>
                      <w:kern w:val="0"/>
                      <w:szCs w:val="21"/>
                    </w:rPr>
                    <w:t>符合性</w:t>
                  </w:r>
                </w:p>
              </w:tc>
            </w:tr>
            <w:tr w14:paraId="6E46E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1" w:type="dxa"/>
                  <w:tcMar>
                    <w:left w:w="28" w:type="dxa"/>
                    <w:right w:w="28" w:type="dxa"/>
                  </w:tcMar>
                  <w:vAlign w:val="center"/>
                </w:tcPr>
                <w:p w14:paraId="3037C0FA">
                  <w:pPr>
                    <w:widowControl/>
                    <w:jc w:val="center"/>
                    <w:rPr>
                      <w:color w:val="auto"/>
                      <w:kern w:val="0"/>
                      <w:szCs w:val="21"/>
                    </w:rPr>
                  </w:pPr>
                  <w:r>
                    <w:rPr>
                      <w:color w:val="auto"/>
                      <w:kern w:val="0"/>
                      <w:szCs w:val="21"/>
                    </w:rPr>
                    <w:t>长江经济带生态环境保护规划</w:t>
                  </w:r>
                </w:p>
              </w:tc>
              <w:tc>
                <w:tcPr>
                  <w:tcW w:w="5520" w:type="dxa"/>
                  <w:tcMar>
                    <w:left w:w="28" w:type="dxa"/>
                    <w:right w:w="28" w:type="dxa"/>
                  </w:tcMar>
                  <w:vAlign w:val="center"/>
                </w:tcPr>
                <w:p w14:paraId="1AD761CF">
                  <w:pPr>
                    <w:widowControl/>
                    <w:rPr>
                      <w:color w:val="auto"/>
                      <w:kern w:val="0"/>
                      <w:szCs w:val="21"/>
                    </w:rPr>
                  </w:pPr>
                  <w:r>
                    <w:rPr>
                      <w:color w:val="auto"/>
                      <w:kern w:val="0"/>
                      <w:szCs w:val="21"/>
                    </w:rPr>
                    <w:t>全面推进长江经济带126个地级及以上城市空气质量限期达标工作，已达标城市空气质量进一步巩固，未达标城市要制定并实施分阶段达标计划。完善大气污染物排放总量控制制度，加强二氧化硫、氮氧化物、烟粉尘、挥发性有机物等主要污染物综合防治。实施石化、化工、工业涂装、包装印刷、油品储运销、机动车等重点行业挥发性有机物综合整治工程。推进石化、化工、工业涂装、包装印刷、油品储运销、机动车等重点行业挥发性有机物排放总量控制。</w:t>
                  </w:r>
                </w:p>
              </w:tc>
              <w:tc>
                <w:tcPr>
                  <w:tcW w:w="795" w:type="dxa"/>
                  <w:tcMar>
                    <w:left w:w="28" w:type="dxa"/>
                    <w:right w:w="28" w:type="dxa"/>
                  </w:tcMar>
                  <w:vAlign w:val="center"/>
                </w:tcPr>
                <w:p w14:paraId="76C08E47">
                  <w:pPr>
                    <w:widowControl/>
                    <w:jc w:val="center"/>
                    <w:rPr>
                      <w:color w:val="auto"/>
                      <w:kern w:val="0"/>
                      <w:szCs w:val="21"/>
                    </w:rPr>
                  </w:pPr>
                  <w:r>
                    <w:rPr>
                      <w:color w:val="auto"/>
                      <w:kern w:val="0"/>
                      <w:szCs w:val="21"/>
                    </w:rPr>
                    <w:t>本项目新增总量指标</w:t>
                  </w:r>
                  <w:r>
                    <w:rPr>
                      <w:rFonts w:hint="eastAsia"/>
                      <w:color w:val="auto"/>
                      <w:kern w:val="0"/>
                      <w:szCs w:val="21"/>
                    </w:rPr>
                    <w:t>按要求进行</w:t>
                  </w:r>
                  <w:r>
                    <w:rPr>
                      <w:rFonts w:hint="eastAsia"/>
                      <w:color w:val="auto"/>
                    </w:rPr>
                    <w:t>区域削减替代</w:t>
                  </w:r>
                </w:p>
              </w:tc>
              <w:tc>
                <w:tcPr>
                  <w:tcW w:w="495" w:type="dxa"/>
                  <w:tcMar>
                    <w:left w:w="28" w:type="dxa"/>
                    <w:right w:w="28" w:type="dxa"/>
                  </w:tcMar>
                  <w:vAlign w:val="center"/>
                </w:tcPr>
                <w:p w14:paraId="776305AC">
                  <w:pPr>
                    <w:widowControl/>
                    <w:jc w:val="center"/>
                    <w:rPr>
                      <w:color w:val="auto"/>
                      <w:kern w:val="0"/>
                      <w:szCs w:val="21"/>
                    </w:rPr>
                  </w:pPr>
                  <w:r>
                    <w:rPr>
                      <w:color w:val="auto"/>
                      <w:kern w:val="0"/>
                      <w:szCs w:val="21"/>
                    </w:rPr>
                    <w:t>符合</w:t>
                  </w:r>
                </w:p>
              </w:tc>
            </w:tr>
          </w:tbl>
          <w:p w14:paraId="2FCFDC7E">
            <w:pPr>
              <w:spacing w:line="360" w:lineRule="auto"/>
              <w:ind w:firstLine="482" w:firstLineChars="200"/>
              <w:rPr>
                <w:b/>
                <w:color w:val="auto"/>
                <w:sz w:val="24"/>
              </w:rPr>
            </w:pPr>
            <w:r>
              <w:rPr>
                <w:b/>
                <w:color w:val="auto"/>
                <w:sz w:val="24"/>
              </w:rPr>
              <w:t>综上，项目建设符合长江经济带生态环境保护规划。</w:t>
            </w:r>
          </w:p>
          <w:p w14:paraId="4CAD68BB">
            <w:pPr>
              <w:spacing w:line="360" w:lineRule="auto"/>
              <w:ind w:firstLine="480" w:firstLineChars="200"/>
              <w:rPr>
                <w:bCs/>
                <w:color w:val="auto"/>
                <w:sz w:val="24"/>
              </w:rPr>
            </w:pPr>
            <w:r>
              <w:rPr>
                <w:bCs/>
                <w:color w:val="auto"/>
                <w:sz w:val="24"/>
              </w:rPr>
              <w:t>4、《安徽省人民政府关于印发安徽省贯彻落实淮河生态经济带发展规划实施方案的通知》（皖政【2020】38号）</w:t>
            </w:r>
          </w:p>
          <w:p w14:paraId="74F0929F">
            <w:pPr>
              <w:jc w:val="center"/>
              <w:rPr>
                <w:b/>
                <w:color w:val="auto"/>
                <w:szCs w:val="21"/>
              </w:rPr>
            </w:pPr>
            <w:r>
              <w:rPr>
                <w:b/>
                <w:color w:val="auto"/>
                <w:szCs w:val="21"/>
              </w:rPr>
              <w:t>表1-10 淮河生态经济带发展规划实施方案符合性</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1"/>
              <w:gridCol w:w="5014"/>
              <w:gridCol w:w="1321"/>
              <w:gridCol w:w="535"/>
            </w:tblGrid>
            <w:tr w14:paraId="7592C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1" w:type="dxa"/>
                  <w:tcMar>
                    <w:left w:w="28" w:type="dxa"/>
                    <w:right w:w="28" w:type="dxa"/>
                  </w:tcMar>
                  <w:vAlign w:val="center"/>
                </w:tcPr>
                <w:p w14:paraId="24FD59F0">
                  <w:pPr>
                    <w:widowControl/>
                    <w:jc w:val="center"/>
                    <w:rPr>
                      <w:b/>
                      <w:bCs/>
                      <w:color w:val="auto"/>
                      <w:kern w:val="0"/>
                      <w:szCs w:val="21"/>
                    </w:rPr>
                  </w:pPr>
                  <w:r>
                    <w:rPr>
                      <w:b/>
                      <w:bCs/>
                      <w:color w:val="auto"/>
                      <w:kern w:val="0"/>
                      <w:szCs w:val="21"/>
                    </w:rPr>
                    <w:t>政策名称</w:t>
                  </w:r>
                </w:p>
              </w:tc>
              <w:tc>
                <w:tcPr>
                  <w:tcW w:w="5014" w:type="dxa"/>
                  <w:tcMar>
                    <w:left w:w="28" w:type="dxa"/>
                    <w:right w:w="28" w:type="dxa"/>
                  </w:tcMar>
                  <w:vAlign w:val="center"/>
                </w:tcPr>
                <w:p w14:paraId="29201490">
                  <w:pPr>
                    <w:widowControl/>
                    <w:jc w:val="center"/>
                    <w:rPr>
                      <w:b/>
                      <w:bCs/>
                      <w:color w:val="auto"/>
                      <w:kern w:val="0"/>
                      <w:szCs w:val="21"/>
                    </w:rPr>
                  </w:pPr>
                  <w:r>
                    <w:rPr>
                      <w:b/>
                      <w:bCs/>
                      <w:color w:val="auto"/>
                      <w:kern w:val="0"/>
                      <w:szCs w:val="21"/>
                    </w:rPr>
                    <w:t>相关要求</w:t>
                  </w:r>
                </w:p>
              </w:tc>
              <w:tc>
                <w:tcPr>
                  <w:tcW w:w="1321" w:type="dxa"/>
                  <w:tcMar>
                    <w:left w:w="28" w:type="dxa"/>
                    <w:right w:w="28" w:type="dxa"/>
                  </w:tcMar>
                  <w:vAlign w:val="center"/>
                </w:tcPr>
                <w:p w14:paraId="0AA07165">
                  <w:pPr>
                    <w:widowControl/>
                    <w:jc w:val="center"/>
                    <w:rPr>
                      <w:b/>
                      <w:bCs/>
                      <w:color w:val="auto"/>
                      <w:kern w:val="0"/>
                      <w:szCs w:val="21"/>
                    </w:rPr>
                  </w:pPr>
                  <w:r>
                    <w:rPr>
                      <w:b/>
                      <w:bCs/>
                      <w:color w:val="auto"/>
                      <w:kern w:val="0"/>
                      <w:szCs w:val="21"/>
                    </w:rPr>
                    <w:t>本项目情况</w:t>
                  </w:r>
                </w:p>
              </w:tc>
              <w:tc>
                <w:tcPr>
                  <w:tcW w:w="535" w:type="dxa"/>
                  <w:tcMar>
                    <w:left w:w="28" w:type="dxa"/>
                    <w:right w:w="28" w:type="dxa"/>
                  </w:tcMar>
                  <w:vAlign w:val="center"/>
                </w:tcPr>
                <w:p w14:paraId="5A65A9FF">
                  <w:pPr>
                    <w:widowControl/>
                    <w:jc w:val="center"/>
                    <w:rPr>
                      <w:b/>
                      <w:bCs/>
                      <w:color w:val="auto"/>
                      <w:kern w:val="0"/>
                      <w:szCs w:val="21"/>
                    </w:rPr>
                  </w:pPr>
                  <w:r>
                    <w:rPr>
                      <w:b/>
                      <w:bCs/>
                      <w:color w:val="auto"/>
                      <w:kern w:val="0"/>
                      <w:szCs w:val="21"/>
                    </w:rPr>
                    <w:t>符合性</w:t>
                  </w:r>
                </w:p>
              </w:tc>
            </w:tr>
            <w:tr w14:paraId="28550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581" w:type="dxa"/>
                  <w:vMerge w:val="restart"/>
                  <w:tcMar>
                    <w:left w:w="28" w:type="dxa"/>
                    <w:right w:w="28" w:type="dxa"/>
                  </w:tcMar>
                  <w:vAlign w:val="center"/>
                </w:tcPr>
                <w:p w14:paraId="72CCB842">
                  <w:pPr>
                    <w:widowControl/>
                    <w:jc w:val="center"/>
                    <w:rPr>
                      <w:color w:val="auto"/>
                      <w:kern w:val="0"/>
                      <w:szCs w:val="21"/>
                    </w:rPr>
                  </w:pPr>
                  <w:r>
                    <w:rPr>
                      <w:color w:val="auto"/>
                      <w:kern w:val="0"/>
                      <w:szCs w:val="21"/>
                    </w:rPr>
                    <w:t>《安徽省人民政府关于印发安徽省贯彻落实淮河生态经济带发展规划实施方案的通知》（皖政【2020】38号）</w:t>
                  </w:r>
                </w:p>
              </w:tc>
              <w:tc>
                <w:tcPr>
                  <w:tcW w:w="5014" w:type="dxa"/>
                  <w:tcMar>
                    <w:left w:w="28" w:type="dxa"/>
                    <w:right w:w="28" w:type="dxa"/>
                  </w:tcMar>
                  <w:vAlign w:val="center"/>
                </w:tcPr>
                <w:p w14:paraId="44900EA5">
                  <w:pPr>
                    <w:widowControl/>
                    <w:rPr>
                      <w:color w:val="auto"/>
                      <w:kern w:val="0"/>
                      <w:szCs w:val="21"/>
                    </w:rPr>
                  </w:pPr>
                  <w:r>
                    <w:rPr>
                      <w:color w:val="auto"/>
                      <w:kern w:val="0"/>
                      <w:szCs w:val="21"/>
                    </w:rPr>
                    <w:t>（一）加强环境污染综合治理。</w:t>
                  </w:r>
                </w:p>
                <w:p w14:paraId="24794F52">
                  <w:pPr>
                    <w:widowControl/>
                    <w:rPr>
                      <w:color w:val="auto"/>
                      <w:kern w:val="0"/>
                      <w:szCs w:val="21"/>
                    </w:rPr>
                  </w:pPr>
                  <w:r>
                    <w:rPr>
                      <w:color w:val="auto"/>
                      <w:kern w:val="0"/>
                      <w:szCs w:val="21"/>
                    </w:rPr>
                    <w:t>纵深推进“三大一强”专项攻坚行动，突出重点生态环境问题整改，构筑“1公里、5公里、15公里”分级管控体系，持续推进“禁新建、减存量、关污源、进园区、建新绿、纳统管、强机制”七大行动，加快推进淮河（安徽）经济带绿化美化生态化。强化“散乱污”企业综合整治，建立企业动态管理机制，坚决杜绝“散乱污”企业项目建设和已取缔企业异地转移、死灰复燃，定期开展“回头看”督查，巩固综合整治成果。综合运用法律、经济、科技等手段，促使一批能耗、环保、安全、技术不达标和生产不合格产品或淘汰类产能，依法依规关停退出。鼓励企业通过主动压减、兼并重组、转型转产、搬迁改造、国际产能合作等途径，退出过剩产能。加强重点行业脱硫、脱硝、除尘设施运行监管，鼓励企业实施超低排放改造，推广多污染物协同控制技术。大力推进煤炭消费减量替代，开展燃煤“散乱污”锅炉综合整治，加快淘汰排放高、污染重的煤电机组，依法严禁秸秆露天焚烧。坚持水资源水生态水环境水灾害统筹治理，严格落实水产种质资源保护区和自然保护区全面禁捕措施。</w:t>
                  </w:r>
                </w:p>
              </w:tc>
              <w:tc>
                <w:tcPr>
                  <w:tcW w:w="1321" w:type="dxa"/>
                  <w:tcMar>
                    <w:left w:w="28" w:type="dxa"/>
                    <w:right w:w="28" w:type="dxa"/>
                  </w:tcMar>
                  <w:vAlign w:val="center"/>
                </w:tcPr>
                <w:p w14:paraId="53C02A17">
                  <w:pPr>
                    <w:widowControl/>
                    <w:jc w:val="center"/>
                    <w:rPr>
                      <w:color w:val="auto"/>
                      <w:kern w:val="0"/>
                      <w:szCs w:val="21"/>
                    </w:rPr>
                  </w:pPr>
                  <w:r>
                    <w:rPr>
                      <w:color w:val="auto"/>
                      <w:kern w:val="0"/>
                      <w:szCs w:val="21"/>
                    </w:rPr>
                    <w:t>本项目距离淮河最近距离超过5.5km，不在1公里范围内。本项目不属于严格控制的煤化工、石油化工等重污染、重化工项目。本项目位于淮南经济技术开发区，选址符合区域规划，不属于“散乱污”企业。厂区不设锅炉。</w:t>
                  </w:r>
                </w:p>
              </w:tc>
              <w:tc>
                <w:tcPr>
                  <w:tcW w:w="535" w:type="dxa"/>
                  <w:tcMar>
                    <w:left w:w="28" w:type="dxa"/>
                    <w:right w:w="28" w:type="dxa"/>
                  </w:tcMar>
                  <w:vAlign w:val="center"/>
                </w:tcPr>
                <w:p w14:paraId="0B79135D">
                  <w:pPr>
                    <w:widowControl/>
                    <w:jc w:val="center"/>
                    <w:rPr>
                      <w:color w:val="auto"/>
                      <w:kern w:val="0"/>
                      <w:szCs w:val="21"/>
                    </w:rPr>
                  </w:pPr>
                  <w:r>
                    <w:rPr>
                      <w:color w:val="auto"/>
                      <w:kern w:val="0"/>
                      <w:szCs w:val="21"/>
                    </w:rPr>
                    <w:t>符合</w:t>
                  </w:r>
                </w:p>
              </w:tc>
            </w:tr>
            <w:tr w14:paraId="3C6C2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9" w:hRule="atLeast"/>
                <w:jc w:val="center"/>
              </w:trPr>
              <w:tc>
                <w:tcPr>
                  <w:tcW w:w="581" w:type="dxa"/>
                  <w:vMerge w:val="continue"/>
                  <w:tcMar>
                    <w:left w:w="28" w:type="dxa"/>
                    <w:right w:w="28" w:type="dxa"/>
                  </w:tcMar>
                  <w:vAlign w:val="center"/>
                </w:tcPr>
                <w:p w14:paraId="3E42CBFB">
                  <w:pPr>
                    <w:widowControl/>
                    <w:jc w:val="center"/>
                    <w:rPr>
                      <w:color w:val="auto"/>
                      <w:kern w:val="0"/>
                      <w:szCs w:val="21"/>
                    </w:rPr>
                  </w:pPr>
                </w:p>
              </w:tc>
              <w:tc>
                <w:tcPr>
                  <w:tcW w:w="5014" w:type="dxa"/>
                  <w:tcMar>
                    <w:left w:w="28" w:type="dxa"/>
                    <w:right w:w="28" w:type="dxa"/>
                  </w:tcMar>
                  <w:vAlign w:val="center"/>
                </w:tcPr>
                <w:p w14:paraId="77951045">
                  <w:pPr>
                    <w:widowControl/>
                    <w:rPr>
                      <w:color w:val="auto"/>
                      <w:kern w:val="0"/>
                      <w:szCs w:val="21"/>
                    </w:rPr>
                  </w:pPr>
                  <w:r>
                    <w:rPr>
                      <w:color w:val="auto"/>
                      <w:kern w:val="0"/>
                      <w:szCs w:val="21"/>
                    </w:rPr>
                    <w:t>（三）推进水资源保护和利用。</w:t>
                  </w:r>
                </w:p>
                <w:p w14:paraId="483DA819">
                  <w:pPr>
                    <w:widowControl/>
                    <w:rPr>
                      <w:color w:val="auto"/>
                      <w:kern w:val="0"/>
                      <w:szCs w:val="21"/>
                    </w:rPr>
                  </w:pPr>
                  <w:r>
                    <w:rPr>
                      <w:color w:val="auto"/>
                      <w:kern w:val="0"/>
                      <w:szCs w:val="21"/>
                    </w:rPr>
                    <w:t>加强水资源保护。严格水功能区监管，落实水功能区限制纳污总量控制要求。深入开展淮河入河排污口规范整治专项行动，全面排查整治入河排污口及不达标水体。加强干流、重要支流水质控制断面水质监测，提升水质监测预警能力。全面落实最严格水资源管理制度，探索建立满足淮河生态基本需求的水量保障机制和流域横向生态补偿试点。以淮北地区为重点，严控地下水超采，加强地下水资源涵养和保护。加强饮用水水源地规范化建设和管理，确保八市县级及以上集中式饮用水水源地水质全部达到国家规定标准。</w:t>
                  </w:r>
                </w:p>
              </w:tc>
              <w:tc>
                <w:tcPr>
                  <w:tcW w:w="1321" w:type="dxa"/>
                  <w:tcMar>
                    <w:left w:w="28" w:type="dxa"/>
                    <w:right w:w="28" w:type="dxa"/>
                  </w:tcMar>
                  <w:vAlign w:val="center"/>
                </w:tcPr>
                <w:p w14:paraId="2FCA1D88">
                  <w:pPr>
                    <w:widowControl/>
                    <w:jc w:val="center"/>
                    <w:rPr>
                      <w:color w:val="auto"/>
                      <w:kern w:val="0"/>
                      <w:szCs w:val="21"/>
                    </w:rPr>
                  </w:pPr>
                  <w:r>
                    <w:rPr>
                      <w:color w:val="auto"/>
                      <w:kern w:val="0"/>
                      <w:szCs w:val="21"/>
                    </w:rPr>
                    <w:t>项目废水经过预处理后全部进入经济开发区</w:t>
                  </w:r>
                  <w:r>
                    <w:rPr>
                      <w:rFonts w:hint="eastAsia"/>
                      <w:color w:val="auto"/>
                      <w:kern w:val="0"/>
                      <w:szCs w:val="21"/>
                      <w:lang w:eastAsia="zh-CN"/>
                    </w:rPr>
                    <w:t>工业污水处理厂</w:t>
                  </w:r>
                  <w:r>
                    <w:rPr>
                      <w:color w:val="auto"/>
                      <w:kern w:val="0"/>
                      <w:szCs w:val="21"/>
                    </w:rPr>
                    <w:t>处理</w:t>
                  </w:r>
                  <w:r>
                    <w:rPr>
                      <w:rFonts w:hint="eastAsia"/>
                      <w:color w:val="auto"/>
                      <w:kern w:val="0"/>
                      <w:szCs w:val="21"/>
                      <w:lang w:eastAsia="zh-CN"/>
                    </w:rPr>
                    <w:t>，</w:t>
                  </w:r>
                  <w:r>
                    <w:rPr>
                      <w:rFonts w:hint="eastAsia"/>
                      <w:color w:val="auto"/>
                      <w:kern w:val="0"/>
                      <w:szCs w:val="21"/>
                      <w:lang w:val="en-US" w:eastAsia="zh-CN"/>
                    </w:rPr>
                    <w:t>不直接外排地表</w:t>
                  </w:r>
                  <w:r>
                    <w:rPr>
                      <w:color w:val="auto"/>
                      <w:kern w:val="0"/>
                      <w:szCs w:val="21"/>
                    </w:rPr>
                    <w:t>。</w:t>
                  </w:r>
                </w:p>
              </w:tc>
              <w:tc>
                <w:tcPr>
                  <w:tcW w:w="535" w:type="dxa"/>
                  <w:tcMar>
                    <w:left w:w="28" w:type="dxa"/>
                    <w:right w:w="28" w:type="dxa"/>
                  </w:tcMar>
                  <w:vAlign w:val="center"/>
                </w:tcPr>
                <w:p w14:paraId="17546E16">
                  <w:pPr>
                    <w:widowControl/>
                    <w:jc w:val="center"/>
                    <w:rPr>
                      <w:color w:val="auto"/>
                      <w:kern w:val="0"/>
                      <w:szCs w:val="21"/>
                    </w:rPr>
                  </w:pPr>
                  <w:r>
                    <w:rPr>
                      <w:color w:val="auto"/>
                      <w:kern w:val="0"/>
                      <w:szCs w:val="21"/>
                    </w:rPr>
                    <w:t>符合</w:t>
                  </w:r>
                </w:p>
              </w:tc>
            </w:tr>
          </w:tbl>
          <w:p w14:paraId="3AC3B368">
            <w:pPr>
              <w:spacing w:line="360" w:lineRule="auto"/>
              <w:ind w:firstLine="482" w:firstLineChars="200"/>
              <w:rPr>
                <w:b/>
                <w:color w:val="auto"/>
                <w:kern w:val="0"/>
                <w:sz w:val="24"/>
              </w:rPr>
            </w:pPr>
            <w:r>
              <w:rPr>
                <w:b/>
                <w:color w:val="auto"/>
                <w:sz w:val="24"/>
              </w:rPr>
              <w:t>综上，项目建设符合《安徽省人民政府关于印发安徽省贯彻落实淮河生态经济带发展规划实施方案的通知》（皖政【2020】38号）相关要求。</w:t>
            </w:r>
          </w:p>
          <w:p w14:paraId="704A9DB2">
            <w:pPr>
              <w:spacing w:line="360" w:lineRule="auto"/>
              <w:ind w:firstLine="480" w:firstLineChars="200"/>
              <w:rPr>
                <w:rFonts w:hint="eastAsia"/>
                <w:bCs/>
                <w:color w:val="auto"/>
                <w:sz w:val="24"/>
                <w:lang w:val="en-US" w:eastAsia="zh-CN"/>
              </w:rPr>
            </w:pPr>
            <w:bookmarkStart w:id="10" w:name="_Toc2964"/>
            <w:bookmarkStart w:id="11" w:name="_Toc9769"/>
            <w:r>
              <w:rPr>
                <w:bCs/>
                <w:color w:val="auto"/>
                <w:sz w:val="24"/>
              </w:rPr>
              <w:t>5、</w:t>
            </w:r>
            <w:r>
              <w:rPr>
                <w:rFonts w:hint="eastAsia"/>
                <w:bCs/>
                <w:color w:val="auto"/>
                <w:sz w:val="24"/>
              </w:rPr>
              <w:t>关于淮南经济技术开发区城镇建设投资有限公司“淮南经开区高端装备产业园项目</w:t>
            </w:r>
            <w:r>
              <w:rPr>
                <w:rFonts w:hint="eastAsia"/>
                <w:bCs/>
                <w:color w:val="auto"/>
                <w:sz w:val="24"/>
                <w:lang w:eastAsia="zh-CN"/>
              </w:rPr>
              <w:t>”</w:t>
            </w:r>
            <w:r>
              <w:rPr>
                <w:rFonts w:hint="eastAsia"/>
                <w:bCs/>
                <w:color w:val="auto"/>
                <w:sz w:val="24"/>
              </w:rPr>
              <w:t>环境影响报告表的批复</w:t>
            </w:r>
            <w:r>
              <w:rPr>
                <w:rFonts w:hint="eastAsia"/>
                <w:bCs/>
                <w:color w:val="auto"/>
                <w:sz w:val="24"/>
                <w:lang w:val="en-US" w:eastAsia="zh-CN"/>
              </w:rPr>
              <w:t>符合性分析</w:t>
            </w:r>
          </w:p>
          <w:p w14:paraId="1577E12F">
            <w:pPr>
              <w:spacing w:line="360" w:lineRule="auto"/>
              <w:ind w:firstLine="480" w:firstLineChars="200"/>
              <w:rPr>
                <w:rFonts w:hint="default"/>
                <w:bCs/>
                <w:color w:val="auto"/>
                <w:sz w:val="24"/>
                <w:lang w:val="en-US" w:eastAsia="zh-CN"/>
              </w:rPr>
            </w:pPr>
            <w:r>
              <w:rPr>
                <w:rFonts w:hint="eastAsia"/>
                <w:bCs/>
                <w:color w:val="auto"/>
                <w:sz w:val="24"/>
                <w:lang w:val="en-US" w:eastAsia="zh-CN"/>
              </w:rPr>
              <w:t>本项目入驻淮南经开区高端装备产业园，对照关于淮南经济技术开发区城镇建设投资有限公司“淮南经开区高端装备产业园项目”环境影响报告表的批复（开环复[2023]8号）符合性分析如下：</w:t>
            </w:r>
          </w:p>
          <w:p w14:paraId="51A39029">
            <w:pPr>
              <w:jc w:val="center"/>
              <w:rPr>
                <w:b/>
                <w:color w:val="auto"/>
                <w:szCs w:val="21"/>
              </w:rPr>
            </w:pPr>
          </w:p>
          <w:p w14:paraId="55AA7476">
            <w:pPr>
              <w:jc w:val="center"/>
              <w:rPr>
                <w:b/>
                <w:color w:val="auto"/>
                <w:szCs w:val="21"/>
              </w:rPr>
            </w:pPr>
          </w:p>
          <w:p w14:paraId="2976FA9C">
            <w:pPr>
              <w:jc w:val="center"/>
              <w:rPr>
                <w:rFonts w:hint="eastAsia" w:eastAsia="宋体"/>
                <w:b/>
                <w:color w:val="auto"/>
                <w:szCs w:val="21"/>
                <w:lang w:eastAsia="zh-CN"/>
              </w:rPr>
            </w:pPr>
            <w:r>
              <w:rPr>
                <w:b/>
                <w:color w:val="auto"/>
                <w:szCs w:val="21"/>
              </w:rPr>
              <w:t>表1-1</w:t>
            </w:r>
            <w:r>
              <w:rPr>
                <w:rFonts w:hint="eastAsia"/>
                <w:b/>
                <w:color w:val="auto"/>
                <w:szCs w:val="21"/>
                <w:lang w:val="en-US" w:eastAsia="zh-CN"/>
              </w:rPr>
              <w:t xml:space="preserve">1 </w:t>
            </w:r>
            <w:r>
              <w:rPr>
                <w:rFonts w:hint="eastAsia"/>
                <w:b/>
                <w:color w:val="auto"/>
                <w:szCs w:val="21"/>
              </w:rPr>
              <w:t>“淮南经开区高端装备产业园项目”批复</w:t>
            </w:r>
            <w:r>
              <w:rPr>
                <w:b/>
                <w:color w:val="auto"/>
                <w:szCs w:val="21"/>
              </w:rPr>
              <w:t>符合性</w:t>
            </w:r>
            <w:r>
              <w:rPr>
                <w:rFonts w:hint="eastAsia"/>
                <w:b/>
                <w:color w:val="auto"/>
                <w:szCs w:val="21"/>
                <w:lang w:eastAsia="zh-CN"/>
              </w:rPr>
              <w:t>（</w:t>
            </w:r>
            <w:r>
              <w:rPr>
                <w:rFonts w:hint="eastAsia"/>
                <w:b/>
                <w:color w:val="auto"/>
                <w:szCs w:val="21"/>
                <w:lang w:val="en-US" w:eastAsia="zh-CN"/>
              </w:rPr>
              <w:t>节选</w:t>
            </w:r>
            <w:r>
              <w:rPr>
                <w:rFonts w:hint="eastAsia"/>
                <w:b/>
                <w:color w:val="auto"/>
                <w:szCs w:val="21"/>
                <w:lang w:eastAsia="zh-CN"/>
              </w:rPr>
              <w:t>）</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6"/>
              <w:gridCol w:w="2325"/>
              <w:gridCol w:w="580"/>
            </w:tblGrid>
            <w:tr w14:paraId="62D9D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6" w:type="dxa"/>
                  <w:tcMar>
                    <w:left w:w="28" w:type="dxa"/>
                    <w:right w:w="28" w:type="dxa"/>
                  </w:tcMar>
                  <w:vAlign w:val="center"/>
                </w:tcPr>
                <w:p w14:paraId="46E4ACC6">
                  <w:pPr>
                    <w:widowControl/>
                    <w:jc w:val="center"/>
                    <w:rPr>
                      <w:rFonts w:hint="eastAsia" w:eastAsia="宋体"/>
                      <w:b/>
                      <w:bCs/>
                      <w:color w:val="auto"/>
                      <w:kern w:val="0"/>
                      <w:szCs w:val="21"/>
                      <w:lang w:val="en-US" w:eastAsia="zh-CN"/>
                    </w:rPr>
                  </w:pPr>
                  <w:r>
                    <w:rPr>
                      <w:rFonts w:hint="eastAsia"/>
                      <w:b/>
                      <w:color w:val="auto"/>
                      <w:szCs w:val="21"/>
                    </w:rPr>
                    <w:t>批复</w:t>
                  </w:r>
                  <w:r>
                    <w:rPr>
                      <w:rFonts w:hint="eastAsia"/>
                      <w:b/>
                      <w:color w:val="auto"/>
                      <w:szCs w:val="21"/>
                      <w:lang w:val="en-US" w:eastAsia="zh-CN"/>
                    </w:rPr>
                    <w:t>内容</w:t>
                  </w:r>
                </w:p>
              </w:tc>
              <w:tc>
                <w:tcPr>
                  <w:tcW w:w="2325" w:type="dxa"/>
                  <w:tcMar>
                    <w:left w:w="28" w:type="dxa"/>
                    <w:right w:w="28" w:type="dxa"/>
                  </w:tcMar>
                  <w:vAlign w:val="center"/>
                </w:tcPr>
                <w:p w14:paraId="0A6B4A77">
                  <w:pPr>
                    <w:widowControl/>
                    <w:jc w:val="center"/>
                    <w:rPr>
                      <w:b/>
                      <w:bCs/>
                      <w:color w:val="auto"/>
                      <w:kern w:val="0"/>
                      <w:szCs w:val="21"/>
                    </w:rPr>
                  </w:pPr>
                  <w:r>
                    <w:rPr>
                      <w:b/>
                      <w:bCs/>
                      <w:color w:val="auto"/>
                      <w:kern w:val="0"/>
                      <w:szCs w:val="21"/>
                    </w:rPr>
                    <w:t>本项目情况</w:t>
                  </w:r>
                </w:p>
              </w:tc>
              <w:tc>
                <w:tcPr>
                  <w:tcW w:w="580" w:type="dxa"/>
                  <w:tcMar>
                    <w:left w:w="28" w:type="dxa"/>
                    <w:right w:w="28" w:type="dxa"/>
                  </w:tcMar>
                  <w:vAlign w:val="center"/>
                </w:tcPr>
                <w:p w14:paraId="12AD33CD">
                  <w:pPr>
                    <w:widowControl/>
                    <w:jc w:val="center"/>
                    <w:rPr>
                      <w:b/>
                      <w:bCs/>
                      <w:color w:val="auto"/>
                      <w:kern w:val="0"/>
                      <w:szCs w:val="21"/>
                    </w:rPr>
                  </w:pPr>
                  <w:r>
                    <w:rPr>
                      <w:b/>
                      <w:bCs/>
                      <w:color w:val="auto"/>
                      <w:kern w:val="0"/>
                      <w:szCs w:val="21"/>
                    </w:rPr>
                    <w:t>符合性</w:t>
                  </w:r>
                </w:p>
              </w:tc>
            </w:tr>
            <w:tr w14:paraId="156BD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4546" w:type="dxa"/>
                  <w:tcMar>
                    <w:left w:w="28" w:type="dxa"/>
                    <w:right w:w="28" w:type="dxa"/>
                  </w:tcMar>
                  <w:vAlign w:val="center"/>
                </w:tcPr>
                <w:p w14:paraId="3FF2BFCB">
                  <w:pPr>
                    <w:widowControl/>
                    <w:rPr>
                      <w:color w:val="auto"/>
                      <w:kern w:val="0"/>
                      <w:szCs w:val="21"/>
                    </w:rPr>
                  </w:pPr>
                  <w:r>
                    <w:rPr>
                      <w:rFonts w:hint="eastAsia"/>
                      <w:color w:val="auto"/>
                      <w:kern w:val="0"/>
                      <w:szCs w:val="21"/>
                    </w:rPr>
                    <w:t>1、大气污染防治措施。每栋标准化厂房预留废气处理装置位置及废气排放专用竖井。入驻企业根据实际情况在室内租赁区域开孔，根据企业实际需求自行设置废气处理装置和采样平台。</w:t>
                  </w:r>
                </w:p>
              </w:tc>
              <w:tc>
                <w:tcPr>
                  <w:tcW w:w="2325" w:type="dxa"/>
                  <w:tcMar>
                    <w:left w:w="28" w:type="dxa"/>
                    <w:right w:w="28" w:type="dxa"/>
                  </w:tcMar>
                  <w:vAlign w:val="center"/>
                </w:tcPr>
                <w:p w14:paraId="78EA6621">
                  <w:pPr>
                    <w:widowControl/>
                    <w:jc w:val="center"/>
                    <w:rPr>
                      <w:rFonts w:hint="default" w:eastAsia="宋体"/>
                      <w:color w:val="auto"/>
                      <w:kern w:val="0"/>
                      <w:szCs w:val="21"/>
                      <w:lang w:val="en-US" w:eastAsia="zh-CN"/>
                    </w:rPr>
                  </w:pPr>
                  <w:r>
                    <w:rPr>
                      <w:rFonts w:hint="eastAsia"/>
                      <w:color w:val="auto"/>
                      <w:kern w:val="0"/>
                      <w:szCs w:val="21"/>
                      <w:lang w:val="en-US" w:eastAsia="zh-CN"/>
                    </w:rPr>
                    <w:t>本项目实施后拟单独设置符合要求的</w:t>
                  </w:r>
                  <w:r>
                    <w:rPr>
                      <w:rFonts w:hint="eastAsia"/>
                      <w:color w:val="auto"/>
                      <w:kern w:val="0"/>
                      <w:szCs w:val="21"/>
                    </w:rPr>
                    <w:t>废气处理装置和采样平台</w:t>
                  </w:r>
                </w:p>
              </w:tc>
              <w:tc>
                <w:tcPr>
                  <w:tcW w:w="580" w:type="dxa"/>
                  <w:tcMar>
                    <w:left w:w="28" w:type="dxa"/>
                    <w:right w:w="28" w:type="dxa"/>
                  </w:tcMar>
                  <w:vAlign w:val="center"/>
                </w:tcPr>
                <w:p w14:paraId="6ECF7031">
                  <w:pPr>
                    <w:widowControl/>
                    <w:jc w:val="center"/>
                    <w:rPr>
                      <w:color w:val="auto"/>
                      <w:kern w:val="0"/>
                      <w:szCs w:val="21"/>
                    </w:rPr>
                  </w:pPr>
                  <w:r>
                    <w:rPr>
                      <w:color w:val="auto"/>
                      <w:kern w:val="0"/>
                      <w:szCs w:val="21"/>
                    </w:rPr>
                    <w:t>符合</w:t>
                  </w:r>
                </w:p>
              </w:tc>
            </w:tr>
            <w:tr w14:paraId="077A3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46" w:type="dxa"/>
                  <w:tcMar>
                    <w:left w:w="28" w:type="dxa"/>
                    <w:right w:w="28" w:type="dxa"/>
                  </w:tcMar>
                  <w:vAlign w:val="center"/>
                </w:tcPr>
                <w:p w14:paraId="0DD8562A">
                  <w:pPr>
                    <w:widowControl/>
                    <w:rPr>
                      <w:rFonts w:hint="eastAsia" w:eastAsia="宋体"/>
                      <w:color w:val="auto"/>
                      <w:kern w:val="0"/>
                      <w:szCs w:val="21"/>
                      <w:lang w:eastAsia="zh-CN"/>
                    </w:rPr>
                  </w:pPr>
                  <w:r>
                    <w:rPr>
                      <w:rFonts w:hint="eastAsia"/>
                      <w:color w:val="auto"/>
                      <w:kern w:val="0"/>
                      <w:szCs w:val="21"/>
                    </w:rPr>
                    <w:t>2、水污染防治措施。实施雨污分流。根据入驻企业根据生产工艺情况，如需对生产工艺废水进行处理的，要求自行建设废水处理设施。在每一栋标准化厂房旁预留污水处理设施位置，处理后的生产废水与生活污水排入产业园内污水管网进入淮南经济技术开发区工业污水处理厂处理，废水纳管排放浓度满足《污水综合排放标准》(GB8978-1996)表4中三级标准的同时满足《淮南经开区企业生产废水排放限值》排放标准要求，废水经淮南经济技术开发区工业污水处理厂深度处理达标后排入淮河，尾水外排执行《城镇污水处理厂污染物排放标准》(GB18918-2002)一级标准中的A标准。每栋标准化厂房需预留雨水和污水排口，接入园区雨污总排口</w:t>
                  </w:r>
                  <w:r>
                    <w:rPr>
                      <w:rFonts w:hint="eastAsia"/>
                      <w:color w:val="auto"/>
                      <w:kern w:val="0"/>
                      <w:szCs w:val="21"/>
                      <w:lang w:eastAsia="zh-CN"/>
                    </w:rPr>
                    <w:t>。</w:t>
                  </w:r>
                </w:p>
              </w:tc>
              <w:tc>
                <w:tcPr>
                  <w:tcW w:w="2325" w:type="dxa"/>
                  <w:tcMar>
                    <w:left w:w="28" w:type="dxa"/>
                    <w:right w:w="28" w:type="dxa"/>
                  </w:tcMar>
                  <w:vAlign w:val="center"/>
                </w:tcPr>
                <w:p w14:paraId="1B7A2368">
                  <w:pPr>
                    <w:widowControl/>
                    <w:jc w:val="center"/>
                    <w:rPr>
                      <w:rFonts w:hint="eastAsia" w:eastAsia="宋体"/>
                      <w:color w:val="auto"/>
                      <w:kern w:val="0"/>
                      <w:szCs w:val="21"/>
                      <w:lang w:val="en-US" w:eastAsia="zh-CN"/>
                    </w:rPr>
                  </w:pPr>
                  <w:r>
                    <w:rPr>
                      <w:rFonts w:hint="eastAsia"/>
                      <w:color w:val="auto"/>
                      <w:kern w:val="0"/>
                      <w:szCs w:val="21"/>
                      <w:lang w:val="en-US" w:eastAsia="zh-CN"/>
                    </w:rPr>
                    <w:t>本项目</w:t>
                  </w:r>
                  <w:r>
                    <w:rPr>
                      <w:rFonts w:hint="eastAsia"/>
                      <w:color w:val="auto"/>
                      <w:kern w:val="0"/>
                      <w:szCs w:val="21"/>
                    </w:rPr>
                    <w:t>实施雨污分流</w:t>
                  </w:r>
                  <w:r>
                    <w:rPr>
                      <w:rFonts w:hint="eastAsia"/>
                      <w:color w:val="auto"/>
                      <w:kern w:val="0"/>
                      <w:szCs w:val="21"/>
                      <w:lang w:eastAsia="zh-CN"/>
                    </w:rPr>
                    <w:t>，</w:t>
                  </w:r>
                  <w:r>
                    <w:rPr>
                      <w:rFonts w:hint="eastAsia"/>
                      <w:color w:val="auto"/>
                      <w:kern w:val="0"/>
                      <w:szCs w:val="21"/>
                    </w:rPr>
                    <w:t>自行建设废水处理设施</w:t>
                  </w:r>
                  <w:r>
                    <w:rPr>
                      <w:rFonts w:hint="eastAsia"/>
                      <w:color w:val="auto"/>
                      <w:kern w:val="0"/>
                      <w:szCs w:val="21"/>
                      <w:lang w:eastAsia="zh-CN"/>
                    </w:rPr>
                    <w:t>，</w:t>
                  </w:r>
                  <w:r>
                    <w:rPr>
                      <w:rFonts w:hint="eastAsia"/>
                      <w:color w:val="auto"/>
                      <w:kern w:val="0"/>
                      <w:szCs w:val="21"/>
                    </w:rPr>
                    <w:t>处理后的生产废水与生活污水排入产业园内污水管网进入淮南经济技术开发区工业污水处理厂处理，废水纳管排放浓度满足《污水综合排放标准》(GB8978-1996)表4中三级标准的同时满足《淮南经开区企业生产废水排放限值》排放标准要求</w:t>
                  </w:r>
                </w:p>
              </w:tc>
              <w:tc>
                <w:tcPr>
                  <w:tcW w:w="580" w:type="dxa"/>
                  <w:tcMar>
                    <w:left w:w="28" w:type="dxa"/>
                    <w:right w:w="28" w:type="dxa"/>
                  </w:tcMar>
                  <w:vAlign w:val="center"/>
                </w:tcPr>
                <w:p w14:paraId="0B8D8432">
                  <w:pPr>
                    <w:widowControl/>
                    <w:jc w:val="center"/>
                    <w:rPr>
                      <w:color w:val="auto"/>
                      <w:kern w:val="0"/>
                      <w:szCs w:val="21"/>
                    </w:rPr>
                  </w:pPr>
                  <w:r>
                    <w:rPr>
                      <w:color w:val="auto"/>
                      <w:kern w:val="0"/>
                      <w:szCs w:val="21"/>
                    </w:rPr>
                    <w:t>符合</w:t>
                  </w:r>
                </w:p>
              </w:tc>
            </w:tr>
            <w:tr w14:paraId="5581C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4546" w:type="dxa"/>
                  <w:tcMar>
                    <w:left w:w="28" w:type="dxa"/>
                    <w:right w:w="28" w:type="dxa"/>
                  </w:tcMar>
                  <w:vAlign w:val="center"/>
                </w:tcPr>
                <w:p w14:paraId="3F7A52E3">
                  <w:pPr>
                    <w:widowControl/>
                    <w:rPr>
                      <w:color w:val="auto"/>
                      <w:kern w:val="0"/>
                      <w:szCs w:val="21"/>
                    </w:rPr>
                  </w:pPr>
                  <w:r>
                    <w:rPr>
                      <w:rFonts w:hint="eastAsia"/>
                      <w:color w:val="auto"/>
                      <w:kern w:val="0"/>
                      <w:szCs w:val="21"/>
                    </w:rPr>
                    <w:t>3、噪声污染防治措施。通过设备合理选型(低噪设备)、合理空间布局、基础减振、加强日常维护等措施，厂界噪声均能达到《工业企业厂界环境噪声排放标准》(GB12348-2008)3类标准的要求实现达标排放。</w:t>
                  </w:r>
                </w:p>
              </w:tc>
              <w:tc>
                <w:tcPr>
                  <w:tcW w:w="2325" w:type="dxa"/>
                  <w:tcMar>
                    <w:left w:w="28" w:type="dxa"/>
                    <w:right w:w="28" w:type="dxa"/>
                  </w:tcMar>
                  <w:vAlign w:val="center"/>
                </w:tcPr>
                <w:p w14:paraId="0AD4EC2B">
                  <w:pPr>
                    <w:widowControl/>
                    <w:jc w:val="center"/>
                    <w:rPr>
                      <w:rFonts w:hint="default" w:eastAsia="宋体"/>
                      <w:color w:val="auto"/>
                      <w:kern w:val="0"/>
                      <w:szCs w:val="21"/>
                      <w:lang w:val="en-US" w:eastAsia="zh-CN"/>
                    </w:rPr>
                  </w:pPr>
                  <w:r>
                    <w:rPr>
                      <w:rFonts w:hint="eastAsia"/>
                      <w:color w:val="auto"/>
                      <w:kern w:val="0"/>
                      <w:szCs w:val="21"/>
                      <w:lang w:val="en-US" w:eastAsia="zh-CN"/>
                    </w:rPr>
                    <w:t>本项目拟采购</w:t>
                  </w:r>
                  <w:r>
                    <w:rPr>
                      <w:rFonts w:hint="eastAsia"/>
                      <w:color w:val="auto"/>
                      <w:kern w:val="0"/>
                      <w:szCs w:val="21"/>
                    </w:rPr>
                    <w:t>低噪设备、合理空间布局、基础减振、加强日常维护等措施</w:t>
                  </w:r>
                  <w:r>
                    <w:rPr>
                      <w:rFonts w:hint="eastAsia"/>
                      <w:color w:val="auto"/>
                      <w:kern w:val="0"/>
                      <w:szCs w:val="21"/>
                      <w:lang w:val="en-US" w:eastAsia="zh-CN"/>
                    </w:rPr>
                    <w:t>确保噪声排放达标</w:t>
                  </w:r>
                </w:p>
              </w:tc>
              <w:tc>
                <w:tcPr>
                  <w:tcW w:w="580" w:type="dxa"/>
                  <w:tcMar>
                    <w:left w:w="28" w:type="dxa"/>
                    <w:right w:w="28" w:type="dxa"/>
                  </w:tcMar>
                  <w:vAlign w:val="center"/>
                </w:tcPr>
                <w:p w14:paraId="60391070">
                  <w:pPr>
                    <w:widowControl/>
                    <w:jc w:val="center"/>
                    <w:rPr>
                      <w:color w:val="auto"/>
                      <w:kern w:val="0"/>
                      <w:szCs w:val="21"/>
                    </w:rPr>
                  </w:pPr>
                  <w:r>
                    <w:rPr>
                      <w:color w:val="auto"/>
                      <w:kern w:val="0"/>
                      <w:szCs w:val="21"/>
                    </w:rPr>
                    <w:t>符合</w:t>
                  </w:r>
                </w:p>
              </w:tc>
            </w:tr>
            <w:tr w14:paraId="4AB7E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46" w:type="dxa"/>
                  <w:tcMar>
                    <w:left w:w="28" w:type="dxa"/>
                    <w:right w:w="28" w:type="dxa"/>
                  </w:tcMar>
                  <w:vAlign w:val="center"/>
                </w:tcPr>
                <w:p w14:paraId="21C3C7A2">
                  <w:pPr>
                    <w:widowControl/>
                    <w:rPr>
                      <w:color w:val="auto"/>
                      <w:kern w:val="0"/>
                      <w:szCs w:val="21"/>
                    </w:rPr>
                  </w:pPr>
                  <w:r>
                    <w:rPr>
                      <w:rFonts w:hint="eastAsia"/>
                      <w:color w:val="auto"/>
                      <w:kern w:val="0"/>
                      <w:szCs w:val="21"/>
                    </w:rPr>
                    <w:t>4、固废污染防治措施。生活垃圾经收集后交由环卫部门统一清运处理。运营期根据入驻企业根据生产工艺及排污情况，如有危险废物需要处置的，入驻企业需在厂房内建设危废暂存间。</w:t>
                  </w:r>
                </w:p>
              </w:tc>
              <w:tc>
                <w:tcPr>
                  <w:tcW w:w="2325" w:type="dxa"/>
                  <w:tcMar>
                    <w:left w:w="28" w:type="dxa"/>
                    <w:right w:w="28" w:type="dxa"/>
                  </w:tcMar>
                  <w:vAlign w:val="center"/>
                </w:tcPr>
                <w:p w14:paraId="49DA0122">
                  <w:pPr>
                    <w:widowControl/>
                    <w:jc w:val="center"/>
                    <w:rPr>
                      <w:rFonts w:hint="default" w:eastAsia="宋体"/>
                      <w:color w:val="auto"/>
                      <w:kern w:val="0"/>
                      <w:szCs w:val="21"/>
                      <w:lang w:val="en-US" w:eastAsia="zh-CN"/>
                    </w:rPr>
                  </w:pPr>
                  <w:r>
                    <w:rPr>
                      <w:rFonts w:hint="eastAsia"/>
                      <w:color w:val="auto"/>
                      <w:kern w:val="0"/>
                      <w:szCs w:val="21"/>
                      <w:lang w:val="en-US" w:eastAsia="zh-CN"/>
                    </w:rPr>
                    <w:t>本项目拟单独设置危废仓库，确保各类固废暂存、处置合理</w:t>
                  </w:r>
                </w:p>
              </w:tc>
              <w:tc>
                <w:tcPr>
                  <w:tcW w:w="580" w:type="dxa"/>
                  <w:tcMar>
                    <w:left w:w="28" w:type="dxa"/>
                    <w:right w:w="28" w:type="dxa"/>
                  </w:tcMar>
                  <w:vAlign w:val="center"/>
                </w:tcPr>
                <w:p w14:paraId="75F52FA6">
                  <w:pPr>
                    <w:widowControl/>
                    <w:jc w:val="center"/>
                    <w:rPr>
                      <w:color w:val="auto"/>
                      <w:kern w:val="0"/>
                      <w:szCs w:val="21"/>
                    </w:rPr>
                  </w:pPr>
                  <w:r>
                    <w:rPr>
                      <w:color w:val="auto"/>
                      <w:kern w:val="0"/>
                      <w:szCs w:val="21"/>
                    </w:rPr>
                    <w:t>符合</w:t>
                  </w:r>
                </w:p>
              </w:tc>
            </w:tr>
            <w:tr w14:paraId="0623E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46" w:type="dxa"/>
                  <w:tcMar>
                    <w:left w:w="28" w:type="dxa"/>
                    <w:right w:w="28" w:type="dxa"/>
                  </w:tcMar>
                  <w:vAlign w:val="center"/>
                </w:tcPr>
                <w:p w14:paraId="5D29038A">
                  <w:pPr>
                    <w:widowControl/>
                    <w:rPr>
                      <w:color w:val="auto"/>
                      <w:kern w:val="0"/>
                      <w:szCs w:val="21"/>
                    </w:rPr>
                  </w:pPr>
                  <w:r>
                    <w:rPr>
                      <w:rFonts w:hint="eastAsia"/>
                      <w:color w:val="auto"/>
                      <w:kern w:val="0"/>
                      <w:szCs w:val="21"/>
                    </w:rPr>
                    <w:t>5、生态环境防治措施</w:t>
                  </w:r>
                  <w:r>
                    <w:rPr>
                      <w:rFonts w:hint="eastAsia"/>
                      <w:color w:val="auto"/>
                      <w:kern w:val="0"/>
                      <w:szCs w:val="21"/>
                      <w:lang w:eastAsia="zh-CN"/>
                    </w:rPr>
                    <w:t>。</w:t>
                  </w:r>
                  <w:r>
                    <w:rPr>
                      <w:rFonts w:hint="eastAsia"/>
                      <w:color w:val="auto"/>
                      <w:kern w:val="0"/>
                      <w:szCs w:val="21"/>
                    </w:rPr>
                    <w:t>强化施工期环境管理，严格控制施工范围，明确施工界限，确保在合理的范围内施工，减小水土流失。</w:t>
                  </w:r>
                </w:p>
              </w:tc>
              <w:tc>
                <w:tcPr>
                  <w:tcW w:w="2325" w:type="dxa"/>
                  <w:tcMar>
                    <w:left w:w="28" w:type="dxa"/>
                    <w:right w:w="28" w:type="dxa"/>
                  </w:tcMar>
                  <w:vAlign w:val="center"/>
                </w:tcPr>
                <w:p w14:paraId="02FCCB96">
                  <w:pPr>
                    <w:widowControl/>
                    <w:jc w:val="center"/>
                    <w:rPr>
                      <w:rFonts w:hint="eastAsia" w:eastAsia="宋体"/>
                      <w:color w:val="auto"/>
                      <w:kern w:val="0"/>
                      <w:szCs w:val="21"/>
                      <w:lang w:val="en-US" w:eastAsia="zh-CN"/>
                    </w:rPr>
                  </w:pPr>
                  <w:r>
                    <w:rPr>
                      <w:rFonts w:hint="eastAsia"/>
                      <w:color w:val="auto"/>
                      <w:kern w:val="0"/>
                      <w:szCs w:val="21"/>
                      <w:lang w:val="en-US" w:eastAsia="zh-CN"/>
                    </w:rPr>
                    <w:t>企业租用厂房已基本建成，施工期环境影响较小</w:t>
                  </w:r>
                </w:p>
              </w:tc>
              <w:tc>
                <w:tcPr>
                  <w:tcW w:w="580" w:type="dxa"/>
                  <w:tcMar>
                    <w:left w:w="28" w:type="dxa"/>
                    <w:right w:w="28" w:type="dxa"/>
                  </w:tcMar>
                  <w:vAlign w:val="center"/>
                </w:tcPr>
                <w:p w14:paraId="57752C43">
                  <w:pPr>
                    <w:widowControl/>
                    <w:jc w:val="center"/>
                    <w:rPr>
                      <w:color w:val="auto"/>
                      <w:kern w:val="0"/>
                      <w:szCs w:val="21"/>
                    </w:rPr>
                  </w:pPr>
                  <w:r>
                    <w:rPr>
                      <w:color w:val="auto"/>
                      <w:kern w:val="0"/>
                      <w:szCs w:val="21"/>
                    </w:rPr>
                    <w:t>符合</w:t>
                  </w:r>
                </w:p>
              </w:tc>
            </w:tr>
            <w:tr w14:paraId="0E30C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46" w:type="dxa"/>
                  <w:tcMar>
                    <w:left w:w="28" w:type="dxa"/>
                    <w:right w:w="28" w:type="dxa"/>
                  </w:tcMar>
                  <w:vAlign w:val="center"/>
                </w:tcPr>
                <w:p w14:paraId="6FBE22B7">
                  <w:pPr>
                    <w:widowControl/>
                    <w:rPr>
                      <w:color w:val="auto"/>
                      <w:kern w:val="0"/>
                      <w:szCs w:val="21"/>
                    </w:rPr>
                  </w:pPr>
                  <w:r>
                    <w:rPr>
                      <w:rFonts w:hint="eastAsia"/>
                      <w:color w:val="auto"/>
                      <w:kern w:val="0"/>
                      <w:szCs w:val="21"/>
                    </w:rPr>
                    <w:t>6、后期入驻企业需满足入园行业环境准入控制清单要求，入驻企业需另行履行环境影响评价手续。</w:t>
                  </w:r>
                </w:p>
              </w:tc>
              <w:tc>
                <w:tcPr>
                  <w:tcW w:w="2325" w:type="dxa"/>
                  <w:tcMar>
                    <w:left w:w="28" w:type="dxa"/>
                    <w:right w:w="28" w:type="dxa"/>
                  </w:tcMar>
                  <w:vAlign w:val="center"/>
                </w:tcPr>
                <w:p w14:paraId="4B5964FC">
                  <w:pPr>
                    <w:widowControl/>
                    <w:jc w:val="center"/>
                    <w:rPr>
                      <w:rFonts w:hint="default" w:eastAsia="宋体"/>
                      <w:color w:val="auto"/>
                      <w:kern w:val="0"/>
                      <w:szCs w:val="21"/>
                      <w:lang w:val="en-US" w:eastAsia="zh-CN"/>
                    </w:rPr>
                  </w:pPr>
                  <w:r>
                    <w:rPr>
                      <w:rFonts w:hint="eastAsia"/>
                      <w:color w:val="auto"/>
                      <w:kern w:val="0"/>
                      <w:szCs w:val="21"/>
                      <w:lang w:val="en-US" w:eastAsia="zh-CN"/>
                    </w:rPr>
                    <w:t>本项目符合相关产业政策，符合《禁止用地项目目录（2012年本）》、《限制用地项目目录（2012年本）》、《市场准入负面清单（2020年版）》、《淮南经济技术开发区环境影响区域评估报告》（2021年版）等准入条件</w:t>
                  </w:r>
                </w:p>
              </w:tc>
              <w:tc>
                <w:tcPr>
                  <w:tcW w:w="580" w:type="dxa"/>
                  <w:tcMar>
                    <w:left w:w="28" w:type="dxa"/>
                    <w:right w:w="28" w:type="dxa"/>
                  </w:tcMar>
                  <w:vAlign w:val="center"/>
                </w:tcPr>
                <w:p w14:paraId="77318F09">
                  <w:pPr>
                    <w:widowControl/>
                    <w:jc w:val="center"/>
                    <w:rPr>
                      <w:color w:val="auto"/>
                      <w:kern w:val="0"/>
                      <w:szCs w:val="21"/>
                    </w:rPr>
                  </w:pPr>
                  <w:r>
                    <w:rPr>
                      <w:color w:val="auto"/>
                      <w:kern w:val="0"/>
                      <w:szCs w:val="21"/>
                    </w:rPr>
                    <w:t>符合</w:t>
                  </w:r>
                </w:p>
              </w:tc>
            </w:tr>
          </w:tbl>
          <w:p w14:paraId="07B8D0F1">
            <w:pPr>
              <w:spacing w:line="360" w:lineRule="auto"/>
              <w:ind w:firstLine="480" w:firstLineChars="200"/>
              <w:rPr>
                <w:bCs/>
                <w:color w:val="auto"/>
                <w:sz w:val="24"/>
              </w:rPr>
            </w:pPr>
            <w:r>
              <w:rPr>
                <w:rFonts w:hint="eastAsia"/>
                <w:bCs/>
                <w:color w:val="auto"/>
                <w:sz w:val="24"/>
                <w:lang w:val="en-US" w:eastAsia="zh-CN"/>
              </w:rPr>
              <w:t>6、</w:t>
            </w:r>
            <w:r>
              <w:rPr>
                <w:bCs/>
                <w:color w:val="auto"/>
                <w:sz w:val="24"/>
              </w:rPr>
              <w:t>淮南市生态环境分区管控相符性分析</w:t>
            </w:r>
            <w:bookmarkEnd w:id="10"/>
            <w:bookmarkEnd w:id="11"/>
          </w:p>
          <w:p w14:paraId="3B165DE1">
            <w:pPr>
              <w:spacing w:line="360" w:lineRule="auto"/>
              <w:ind w:firstLine="480" w:firstLineChars="200"/>
              <w:rPr>
                <w:color w:val="auto"/>
                <w:sz w:val="24"/>
              </w:rPr>
            </w:pPr>
            <w:r>
              <w:rPr>
                <w:color w:val="auto"/>
                <w:sz w:val="24"/>
              </w:rPr>
              <w:t>（1）生态保护红线</w:t>
            </w:r>
          </w:p>
          <w:p w14:paraId="7F762A71">
            <w:pPr>
              <w:spacing w:line="360" w:lineRule="auto"/>
              <w:ind w:firstLine="480" w:firstLineChars="200"/>
              <w:rPr>
                <w:color w:val="auto"/>
                <w:sz w:val="24"/>
              </w:rPr>
            </w:pPr>
            <w:r>
              <w:rPr>
                <w:color w:val="auto"/>
                <w:sz w:val="24"/>
              </w:rPr>
              <w:t>项目位于</w:t>
            </w:r>
            <w:r>
              <w:rPr>
                <w:color w:val="auto"/>
                <w:sz w:val="24"/>
                <w:lang w:val="zh-CN"/>
              </w:rPr>
              <w:t>淮南经济技术开发区内</w:t>
            </w:r>
            <w:r>
              <w:rPr>
                <w:color w:val="auto"/>
                <w:sz w:val="24"/>
              </w:rPr>
              <w:t>，用地为工业用地。对照《安徽省生态保护红线》</w:t>
            </w:r>
            <w:r>
              <w:rPr>
                <w:rFonts w:hint="eastAsia"/>
                <w:color w:val="auto"/>
                <w:sz w:val="24"/>
              </w:rPr>
              <w:t>、</w:t>
            </w:r>
            <w:r>
              <w:rPr>
                <w:color w:val="auto"/>
                <w:sz w:val="24"/>
              </w:rPr>
              <w:t>安徽省“三线一单”生态环境分区管控公众服务平台</w:t>
            </w:r>
            <w:r>
              <w:rPr>
                <w:rFonts w:hint="eastAsia"/>
                <w:color w:val="auto"/>
                <w:sz w:val="24"/>
              </w:rPr>
              <w:t>(见附图8)</w:t>
            </w:r>
            <w:r>
              <w:rPr>
                <w:color w:val="auto"/>
                <w:sz w:val="24"/>
              </w:rPr>
              <w:t>，项目建设区域不在划定的安徽省生态保护红线区域，故项目建设符合淮南市生态环境分区管控成果要求。项目所在区域与淮南市生态保护红线的位置关系见附图</w:t>
            </w:r>
            <w:r>
              <w:rPr>
                <w:rFonts w:hint="eastAsia"/>
                <w:color w:val="auto"/>
                <w:sz w:val="24"/>
              </w:rPr>
              <w:t>8</w:t>
            </w:r>
            <w:r>
              <w:rPr>
                <w:color w:val="auto"/>
                <w:sz w:val="24"/>
              </w:rPr>
              <w:t>。</w:t>
            </w:r>
          </w:p>
          <w:p w14:paraId="38D5BDEB">
            <w:pPr>
              <w:spacing w:line="360" w:lineRule="auto"/>
              <w:ind w:firstLine="480" w:firstLineChars="200"/>
              <w:rPr>
                <w:color w:val="auto"/>
                <w:sz w:val="24"/>
              </w:rPr>
            </w:pPr>
            <w:r>
              <w:rPr>
                <w:color w:val="auto"/>
                <w:sz w:val="24"/>
              </w:rPr>
              <w:t>（2）与环境质量底线相符性</w:t>
            </w:r>
          </w:p>
          <w:p w14:paraId="7B2F425D">
            <w:pPr>
              <w:spacing w:line="360" w:lineRule="auto"/>
              <w:ind w:firstLine="480" w:firstLineChars="200"/>
              <w:rPr>
                <w:rFonts w:hint="default" w:ascii="Times New Roman" w:hAnsi="Times New Roman" w:eastAsia="宋体" w:cs="Times New Roman"/>
                <w:color w:val="auto"/>
                <w:sz w:val="24"/>
                <w:lang w:val="en-US" w:eastAsia="zh-CN"/>
              </w:rPr>
            </w:pPr>
            <w:r>
              <w:rPr>
                <w:rFonts w:ascii="Times New Roman" w:hAnsi="Times New Roman" w:eastAsia="宋体" w:cs="Times New Roman"/>
                <w:color w:val="auto"/>
                <w:sz w:val="24"/>
              </w:rPr>
              <w:fldChar w:fldCharType="begin"/>
            </w:r>
            <w:r>
              <w:rPr>
                <w:rFonts w:ascii="Times New Roman" w:hAnsi="Times New Roman" w:eastAsia="宋体" w:cs="Times New Roman"/>
                <w:color w:val="auto"/>
                <w:sz w:val="24"/>
              </w:rPr>
              <w:instrText xml:space="preserve"> = 1 \* GB3 </w:instrText>
            </w:r>
            <w:r>
              <w:rPr>
                <w:rFonts w:ascii="Times New Roman" w:hAnsi="Times New Roman" w:eastAsia="宋体" w:cs="Times New Roman"/>
                <w:color w:val="auto"/>
                <w:sz w:val="24"/>
              </w:rPr>
              <w:fldChar w:fldCharType="separate"/>
            </w:r>
            <w:r>
              <w:rPr>
                <w:rFonts w:hint="eastAsia" w:ascii="Times New Roman" w:hAnsi="Times New Roman" w:eastAsia="宋体" w:cs="Times New Roman"/>
                <w:color w:val="auto"/>
                <w:sz w:val="24"/>
              </w:rPr>
              <w:t>①</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大气环境</w:t>
            </w:r>
            <w:r>
              <w:rPr>
                <w:rFonts w:hint="eastAsia" w:ascii="Times New Roman" w:hAnsi="Times New Roman" w:eastAsia="宋体" w:cs="Times New Roman"/>
                <w:color w:val="auto"/>
                <w:sz w:val="24"/>
                <w:lang w:val="en-US" w:eastAsia="zh-CN"/>
              </w:rPr>
              <w:t>质量底线及分区管控</w:t>
            </w:r>
          </w:p>
          <w:p w14:paraId="7AFFF245">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重点管控区要求：</w:t>
            </w:r>
            <w:r>
              <w:rPr>
                <w:rFonts w:ascii="Times New Roman" w:hAnsi="Times New Roman" w:eastAsia="宋体" w:cs="Times New Roman"/>
                <w:color w:val="auto"/>
                <w:sz w:val="24"/>
              </w:rPr>
              <w:t>落实《安徽省大气污染防治条例》《“十三五”生态环境保护规划》《安徽省“十三五”环境保护规划》《打赢蓝天保卫战三年行动计划》《安徽省打赢蓝天保卫战三年行动计划实施方案》《淮南市大气污染防治条例》《重点行业挥发性有机物综合治理方案》等要求，严格目标实施计划，加强环境监管，促进生态环境质量好转。上年度PM</w:t>
            </w:r>
            <w:r>
              <w:rPr>
                <w:rFonts w:ascii="Times New Roman" w:hAnsi="Times New Roman" w:eastAsia="宋体" w:cs="Times New Roman"/>
                <w:color w:val="auto"/>
                <w:sz w:val="24"/>
                <w:vertAlign w:val="subscript"/>
              </w:rPr>
              <w:t>2.5</w:t>
            </w:r>
            <w:r>
              <w:rPr>
                <w:rFonts w:ascii="Times New Roman" w:hAnsi="Times New Roman" w:eastAsia="宋体" w:cs="Times New Roman"/>
                <w:color w:val="auto"/>
                <w:sz w:val="24"/>
              </w:rPr>
              <w:t>不达标城市新建、改建和新建项目大气污染物实施“倍量替代”，执行特别排放标准的行业实施提标升级改造。</w:t>
            </w:r>
          </w:p>
          <w:p w14:paraId="7AF834DA">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项目建设符合《淮南市“十四五”生态环境保护规划》（淮环通〔2022〕46号）《淮南市“十四五”大气污染防治规划》（淮环委办[2022]49号）《深入打好污染防治攻坚战行动方案》（淮发〔2022〕17号）等要求</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项目废气</w:t>
            </w:r>
            <w:r>
              <w:rPr>
                <w:rFonts w:hint="eastAsia" w:ascii="Times New Roman" w:hAnsi="Times New Roman" w:eastAsia="宋体" w:cs="Times New Roman"/>
                <w:color w:val="auto"/>
                <w:sz w:val="24"/>
                <w:lang w:val="en-US" w:eastAsia="zh-CN"/>
              </w:rPr>
              <w:t>污染物实施</w:t>
            </w:r>
            <w:r>
              <w:rPr>
                <w:rFonts w:ascii="Times New Roman" w:hAnsi="Times New Roman" w:eastAsia="宋体" w:cs="Times New Roman"/>
                <w:color w:val="auto"/>
                <w:sz w:val="24"/>
              </w:rPr>
              <w:t>“倍量替代”</w:t>
            </w:r>
            <w:r>
              <w:rPr>
                <w:rFonts w:hint="eastAsia" w:ascii="Times New Roman" w:hAnsi="Times New Roman" w:eastAsia="宋体" w:cs="Times New Roman"/>
                <w:color w:val="auto"/>
                <w:sz w:val="24"/>
              </w:rPr>
              <w:t>。</w:t>
            </w:r>
          </w:p>
          <w:p w14:paraId="74F366C3">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fldChar w:fldCharType="begin"/>
            </w:r>
            <w:r>
              <w:rPr>
                <w:rFonts w:ascii="Times New Roman" w:hAnsi="Times New Roman" w:eastAsia="宋体" w:cs="Times New Roman"/>
                <w:color w:val="auto"/>
                <w:sz w:val="24"/>
              </w:rPr>
              <w:instrText xml:space="preserve"> = 2 \* GB3 </w:instrText>
            </w:r>
            <w:r>
              <w:rPr>
                <w:rFonts w:ascii="Times New Roman" w:hAnsi="Times New Roman" w:eastAsia="宋体" w:cs="Times New Roman"/>
                <w:color w:val="auto"/>
                <w:sz w:val="24"/>
              </w:rPr>
              <w:fldChar w:fldCharType="separate"/>
            </w:r>
            <w:r>
              <w:rPr>
                <w:rFonts w:hint="eastAsia" w:ascii="Times New Roman" w:hAnsi="Times New Roman" w:eastAsia="宋体" w:cs="Times New Roman"/>
                <w:color w:val="auto"/>
                <w:sz w:val="24"/>
              </w:rPr>
              <w:t>②</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地表水环境</w:t>
            </w:r>
            <w:r>
              <w:rPr>
                <w:rFonts w:hint="eastAsia" w:ascii="Times New Roman" w:hAnsi="Times New Roman" w:eastAsia="宋体" w:cs="Times New Roman"/>
                <w:color w:val="auto"/>
                <w:sz w:val="24"/>
                <w:lang w:val="en-US" w:eastAsia="zh-CN"/>
              </w:rPr>
              <w:t>质量底线及分区管控</w:t>
            </w:r>
          </w:p>
          <w:p w14:paraId="4E56FF08">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重点管控区要求：</w:t>
            </w:r>
            <w:r>
              <w:rPr>
                <w:rFonts w:ascii="Times New Roman" w:hAnsi="Times New Roman" w:eastAsia="宋体" w:cs="Times New Roman"/>
                <w:color w:val="auto"/>
                <w:sz w:val="24"/>
              </w:rPr>
              <w:t>依据《中华人民共和国水污染防治法》《水污染防治行动计划》《安徽省水污染防治工作方案》及《淮南市水污染防治工作方案》对重点管控区实施管控；依据《安徽省淮河流域水污染防治条例》对淮河流域实施管控；依据开发区规划、规划环评及审查意见相关要求对开发区实施管控；落实《“十三五”生态环境保护规划》《安徽省“十三五”环境保护规划》《安徽省“十三五”节能减排实施方案》等要求，新建、改建和新建项目水污染物实施“等量替代”。</w:t>
            </w:r>
          </w:p>
          <w:p w14:paraId="77934020">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项目废水</w:t>
            </w:r>
            <w:r>
              <w:rPr>
                <w:rFonts w:hint="eastAsia" w:ascii="Times New Roman" w:hAnsi="Times New Roman" w:eastAsia="宋体" w:cs="Times New Roman"/>
                <w:color w:val="auto"/>
                <w:sz w:val="24"/>
                <w:lang w:val="en-US" w:eastAsia="zh-CN"/>
              </w:rPr>
              <w:t>经装备园区污水处理站预处理后，</w:t>
            </w:r>
            <w:r>
              <w:rPr>
                <w:rFonts w:ascii="Times New Roman" w:hAnsi="Times New Roman" w:eastAsia="宋体" w:cs="Times New Roman"/>
                <w:color w:val="auto"/>
                <w:sz w:val="24"/>
              </w:rPr>
              <w:t>纳管至淮南经济技术开发区工业污水处理厂处理，废水污染物排放总量</w:t>
            </w:r>
            <w:r>
              <w:rPr>
                <w:rFonts w:hint="eastAsia" w:ascii="Times New Roman" w:hAnsi="Times New Roman" w:eastAsia="宋体" w:cs="Times New Roman"/>
                <w:color w:val="auto"/>
                <w:sz w:val="24"/>
              </w:rPr>
              <w:t>纳入</w:t>
            </w:r>
            <w:r>
              <w:rPr>
                <w:rFonts w:ascii="Times New Roman" w:hAnsi="Times New Roman" w:eastAsia="宋体" w:cs="Times New Roman"/>
                <w:color w:val="auto"/>
                <w:sz w:val="24"/>
              </w:rPr>
              <w:t>污水处理厂总量指标内。</w:t>
            </w:r>
          </w:p>
          <w:p w14:paraId="528DDBC6">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fldChar w:fldCharType="begin"/>
            </w:r>
            <w:r>
              <w:rPr>
                <w:rFonts w:ascii="Times New Roman" w:hAnsi="Times New Roman" w:eastAsia="宋体" w:cs="Times New Roman"/>
                <w:color w:val="auto"/>
                <w:sz w:val="24"/>
              </w:rPr>
              <w:instrText xml:space="preserve"> = 3 \* GB3 \* MERGEFORMAT </w:instrText>
            </w:r>
            <w:r>
              <w:rPr>
                <w:rFonts w:ascii="Times New Roman" w:hAnsi="Times New Roman" w:eastAsia="宋体" w:cs="Times New Roman"/>
                <w:color w:val="auto"/>
                <w:sz w:val="24"/>
              </w:rPr>
              <w:fldChar w:fldCharType="separate"/>
            </w:r>
            <w:r>
              <w:rPr>
                <w:rFonts w:ascii="Times New Roman" w:hAnsi="Times New Roman" w:eastAsia="宋体" w:cs="Times New Roman"/>
                <w:color w:val="auto"/>
                <w:sz w:val="24"/>
              </w:rPr>
              <w:t>③</w:t>
            </w:r>
            <w:r>
              <w:rPr>
                <w:rFonts w:ascii="Times New Roman" w:hAnsi="Times New Roman" w:eastAsia="宋体" w:cs="Times New Roman"/>
                <w:color w:val="auto"/>
                <w:sz w:val="24"/>
              </w:rPr>
              <w:fldChar w:fldCharType="end"/>
            </w:r>
            <w:r>
              <w:rPr>
                <w:rFonts w:hint="eastAsia" w:ascii="Times New Roman" w:hAnsi="Times New Roman" w:eastAsia="宋体" w:cs="Times New Roman"/>
                <w:color w:val="auto"/>
                <w:sz w:val="24"/>
                <w:lang w:val="en-US" w:eastAsia="zh-CN"/>
              </w:rPr>
              <w:t>环境质量底线及分区管控</w:t>
            </w:r>
          </w:p>
          <w:p w14:paraId="038451F7">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根据20</w:t>
            </w:r>
            <w:r>
              <w:rPr>
                <w:rFonts w:hint="eastAsia" w:ascii="Times New Roman" w:hAnsi="Times New Roman" w:eastAsia="宋体" w:cs="Times New Roman"/>
                <w:color w:val="auto"/>
                <w:sz w:val="24"/>
                <w:lang w:val="en-US" w:eastAsia="zh-CN"/>
              </w:rPr>
              <w:t>23</w:t>
            </w:r>
            <w:r>
              <w:rPr>
                <w:rFonts w:ascii="Times New Roman" w:hAnsi="Times New Roman" w:eastAsia="宋体" w:cs="Times New Roman"/>
                <w:color w:val="auto"/>
                <w:sz w:val="24"/>
              </w:rPr>
              <w:t>年淮南市环境质量状况公报，淮南市属于不达标区，主要超标因子为PM</w:t>
            </w:r>
            <w:r>
              <w:rPr>
                <w:rFonts w:ascii="Times New Roman" w:hAnsi="Times New Roman" w:eastAsia="宋体" w:cs="Times New Roman"/>
                <w:color w:val="auto"/>
                <w:sz w:val="24"/>
                <w:vertAlign w:val="subscript"/>
              </w:rPr>
              <w:t>2.5</w:t>
            </w:r>
            <w:r>
              <w:rPr>
                <w:rFonts w:ascii="Times New Roman" w:hAnsi="Times New Roman" w:eastAsia="宋体" w:cs="Times New Roman"/>
                <w:color w:val="auto"/>
                <w:sz w:val="24"/>
              </w:rPr>
              <w:t>；</w:t>
            </w:r>
            <w:r>
              <w:rPr>
                <w:color w:val="auto"/>
                <w:sz w:val="24"/>
              </w:rPr>
              <w:t>根据补充监测数据，TSP、氟化物可满足《环境空气质量标准》（GB3095-2012）中二级标准，氯化氢可满足《环境影响评价技术导则 大气环境》（HJ2.2-2018）附录D其他污染物空气质量浓度参考限值要求</w:t>
            </w: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项目新增颗粒物排放量经区域削减后，不增加区域废气排放量，不会造成区域大气环境质量恶化</w:t>
            </w:r>
            <w:r>
              <w:rPr>
                <w:rFonts w:ascii="Times New Roman" w:hAnsi="Times New Roman" w:eastAsia="宋体" w:cs="Times New Roman"/>
                <w:color w:val="auto"/>
                <w:sz w:val="24"/>
              </w:rPr>
              <w:t>。</w:t>
            </w:r>
          </w:p>
          <w:p w14:paraId="5CA3ED0F">
            <w:pPr>
              <w:spacing w:line="360" w:lineRule="auto"/>
              <w:ind w:firstLine="480" w:firstLineChars="200"/>
              <w:rPr>
                <w:rFonts w:hint="eastAsia"/>
                <w:color w:val="auto"/>
                <w:sz w:val="24"/>
                <w:lang w:val="en-US" w:eastAsia="zh-CN"/>
              </w:rPr>
            </w:pPr>
            <w:r>
              <w:rPr>
                <w:color w:val="auto"/>
                <w:sz w:val="24"/>
              </w:rPr>
              <w:t>根据引用的地表水监测数据：大涧沟及淮河（淮南段）水质可满足《地表水环境质量标准》（GB3838-2002）中Ⅲ类标准。本项目废水经处理达标后排入淮南经济技术开发区工业污水处理厂，本项目排水量5</w:t>
            </w:r>
            <w:r>
              <w:rPr>
                <w:rFonts w:hint="eastAsia"/>
                <w:color w:val="auto"/>
                <w:sz w:val="24"/>
                <w:lang w:val="en-US" w:eastAsia="zh-CN"/>
              </w:rPr>
              <w:t>4</w:t>
            </w:r>
            <w:r>
              <w:rPr>
                <w:color w:val="auto"/>
                <w:sz w:val="24"/>
              </w:rPr>
              <w:t>t/d，目前污水处理厂实际接管水量为2万t/d，尚有余量1万t/d，完全能接纳本次项目新增废水接入，因此，综合来看，本项目废水排放所占污水处理厂设计处理规模的比例很小，本项目废水排放对水环境影响较小</w:t>
            </w:r>
            <w:r>
              <w:rPr>
                <w:rFonts w:hint="eastAsia"/>
                <w:color w:val="auto"/>
                <w:sz w:val="24"/>
                <w:lang w:val="en-US" w:eastAsia="zh-CN"/>
              </w:rPr>
              <w:t>.</w:t>
            </w:r>
          </w:p>
          <w:p w14:paraId="056CF0EA">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本项目运营对区域环境质量影响较小，环境质量可以保持现有水平。</w:t>
            </w:r>
          </w:p>
          <w:p w14:paraId="2172D1C8">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（3）与资源利用上线相符性</w:t>
            </w:r>
          </w:p>
          <w:p w14:paraId="5E231A01">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项目位于</w:t>
            </w:r>
            <w:r>
              <w:rPr>
                <w:rFonts w:hint="eastAsia" w:ascii="Times New Roman" w:hAnsi="Times New Roman" w:eastAsia="宋体" w:cs="Times New Roman"/>
                <w:color w:val="auto"/>
                <w:sz w:val="24"/>
                <w:lang w:eastAsia="zh-CN"/>
              </w:rPr>
              <w:t>淮南经济技术开发区</w:t>
            </w:r>
            <w:r>
              <w:rPr>
                <w:rFonts w:ascii="Times New Roman" w:hAnsi="Times New Roman" w:eastAsia="宋体" w:cs="Times New Roman"/>
                <w:color w:val="auto"/>
                <w:sz w:val="24"/>
              </w:rPr>
              <w:t>内，项目用地性质为工业用地；项目用水取自园区给水管网，可满足</w:t>
            </w:r>
            <w:r>
              <w:rPr>
                <w:rFonts w:hint="eastAsia" w:ascii="Times New Roman" w:hAnsi="Times New Roman" w:eastAsia="宋体" w:cs="Times New Roman"/>
                <w:color w:val="auto"/>
                <w:sz w:val="24"/>
                <w:lang w:eastAsia="zh-CN"/>
              </w:rPr>
              <w:t>项目</w:t>
            </w:r>
            <w:r>
              <w:rPr>
                <w:rFonts w:ascii="Times New Roman" w:hAnsi="Times New Roman" w:eastAsia="宋体" w:cs="Times New Roman"/>
                <w:color w:val="auto"/>
                <w:sz w:val="24"/>
              </w:rPr>
              <w:t>生产用水需求。项目废水</w:t>
            </w:r>
            <w:r>
              <w:rPr>
                <w:rFonts w:hint="eastAsia" w:ascii="Times New Roman" w:hAnsi="Times New Roman" w:eastAsia="宋体" w:cs="Times New Roman"/>
                <w:color w:val="auto"/>
                <w:sz w:val="24"/>
                <w:lang w:val="en-US" w:eastAsia="zh-CN"/>
              </w:rPr>
              <w:t>委托装备园区污水处理站</w:t>
            </w:r>
            <w:r>
              <w:rPr>
                <w:rFonts w:ascii="Times New Roman" w:hAnsi="Times New Roman" w:eastAsia="宋体" w:cs="Times New Roman"/>
                <w:color w:val="auto"/>
                <w:sz w:val="24"/>
              </w:rPr>
              <w:t>达标后排入</w:t>
            </w:r>
            <w:r>
              <w:rPr>
                <w:rFonts w:hint="eastAsia" w:ascii="Times New Roman" w:hAnsi="Times New Roman" w:eastAsia="宋体" w:cs="Times New Roman"/>
                <w:color w:val="auto"/>
                <w:sz w:val="24"/>
                <w:lang w:eastAsia="zh-CN"/>
              </w:rPr>
              <w:t>淮南经济技术开发区</w:t>
            </w:r>
            <w:r>
              <w:rPr>
                <w:rFonts w:ascii="Times New Roman" w:hAnsi="Times New Roman" w:eastAsia="宋体" w:cs="Times New Roman"/>
                <w:color w:val="auto"/>
                <w:sz w:val="24"/>
              </w:rPr>
              <w:t>污水处理厂进一步处理</w:t>
            </w:r>
            <w:r>
              <w:rPr>
                <w:rFonts w:ascii="Times New Roman" w:hAnsi="Times New Roman" w:eastAsia="宋体" w:cs="Times New Roman"/>
                <w:color w:val="auto"/>
                <w:sz w:val="24"/>
                <w:lang w:val="zh-CN"/>
              </w:rPr>
              <w:t>，经</w:t>
            </w:r>
            <w:r>
              <w:rPr>
                <w:rFonts w:ascii="Times New Roman" w:hAnsi="Times New Roman" w:eastAsia="宋体" w:cs="Times New Roman"/>
                <w:color w:val="auto"/>
                <w:sz w:val="24"/>
              </w:rPr>
              <w:t>处理</w:t>
            </w:r>
            <w:r>
              <w:rPr>
                <w:rFonts w:ascii="Times New Roman" w:hAnsi="Times New Roman" w:eastAsia="宋体" w:cs="Times New Roman"/>
                <w:color w:val="auto"/>
                <w:sz w:val="24"/>
                <w:lang w:val="zh-CN"/>
              </w:rPr>
              <w:t>达标后排入淮河</w:t>
            </w:r>
            <w:r>
              <w:rPr>
                <w:rFonts w:ascii="Times New Roman" w:hAnsi="Times New Roman" w:eastAsia="宋体" w:cs="Times New Roman"/>
                <w:color w:val="auto"/>
                <w:sz w:val="24"/>
              </w:rPr>
              <w:t>；项目供电由当地电力部门解决。</w:t>
            </w:r>
          </w:p>
          <w:p w14:paraId="32666D48">
            <w:pPr>
              <w:spacing w:line="360" w:lineRule="auto"/>
              <w:ind w:firstLine="480" w:firstLineChars="200"/>
              <w:rPr>
                <w:rFonts w:cs="Times New Roman"/>
                <w:color w:val="auto"/>
                <w:szCs w:val="24"/>
                <w:lang w:val="zh-CN"/>
              </w:rPr>
            </w:pPr>
            <w:r>
              <w:rPr>
                <w:rFonts w:ascii="Times New Roman" w:hAnsi="Times New Roman" w:eastAsia="宋体" w:cs="Times New Roman"/>
                <w:color w:val="auto"/>
                <w:sz w:val="24"/>
                <w:lang w:val="zh-CN"/>
              </w:rPr>
              <w:t>因此，项目建设符合资源利用上线要求。</w:t>
            </w:r>
          </w:p>
          <w:p w14:paraId="6CDDDC45">
            <w:pPr>
              <w:spacing w:line="360" w:lineRule="auto"/>
              <w:ind w:firstLine="480" w:firstLineChars="200"/>
              <w:rPr>
                <w:color w:val="auto"/>
                <w:sz w:val="24"/>
              </w:rPr>
            </w:pPr>
            <w:r>
              <w:rPr>
                <w:color w:val="auto"/>
                <w:sz w:val="24"/>
              </w:rPr>
              <w:t>（4）与生态环境准入清单的相符性</w:t>
            </w:r>
          </w:p>
          <w:p w14:paraId="4072BC00">
            <w:pPr>
              <w:spacing w:line="360" w:lineRule="auto"/>
              <w:ind w:firstLine="480" w:firstLineChars="200"/>
              <w:rPr>
                <w:color w:val="auto"/>
                <w:sz w:val="24"/>
              </w:rPr>
            </w:pPr>
            <w:r>
              <w:rPr>
                <w:color w:val="auto"/>
                <w:sz w:val="24"/>
              </w:rPr>
              <w:t>对照安徽省“三线一单”生态环境分区管控公众服务平台</w:t>
            </w:r>
            <w:r>
              <w:rPr>
                <w:rFonts w:hint="eastAsia"/>
                <w:color w:val="auto"/>
                <w:sz w:val="24"/>
              </w:rPr>
              <w:t>(见附图8)</w:t>
            </w:r>
            <w:r>
              <w:rPr>
                <w:color w:val="auto"/>
                <w:sz w:val="24"/>
              </w:rPr>
              <w:t>，项目位于ZH34040220006重点管控单元，对照环境管控单元管控要求情况如下：</w:t>
            </w:r>
          </w:p>
          <w:p w14:paraId="33817792">
            <w:pPr>
              <w:jc w:val="center"/>
              <w:rPr>
                <w:b/>
                <w:color w:val="auto"/>
                <w:szCs w:val="21"/>
                <w:lang w:val="zh-CN"/>
              </w:rPr>
            </w:pPr>
            <w:r>
              <w:rPr>
                <w:b/>
                <w:color w:val="auto"/>
                <w:szCs w:val="21"/>
                <w:lang w:val="zh-CN"/>
              </w:rPr>
              <w:t>表</w:t>
            </w:r>
            <w:r>
              <w:rPr>
                <w:b/>
                <w:color w:val="auto"/>
                <w:szCs w:val="21"/>
              </w:rPr>
              <w:t>1-1</w:t>
            </w:r>
            <w:r>
              <w:rPr>
                <w:rFonts w:hint="eastAsia"/>
                <w:b/>
                <w:color w:val="auto"/>
                <w:szCs w:val="21"/>
                <w:lang w:val="en-US" w:eastAsia="zh-CN"/>
              </w:rPr>
              <w:t>2</w:t>
            </w:r>
            <w:r>
              <w:rPr>
                <w:b/>
                <w:color w:val="auto"/>
                <w:szCs w:val="21"/>
                <w:lang w:val="zh-CN"/>
              </w:rPr>
              <w:t xml:space="preserve">  环境管控</w:t>
            </w:r>
            <w:r>
              <w:rPr>
                <w:b/>
                <w:color w:val="auto"/>
                <w:szCs w:val="21"/>
              </w:rPr>
              <w:t>单元管控要求</w:t>
            </w:r>
            <w:r>
              <w:rPr>
                <w:b/>
                <w:color w:val="auto"/>
                <w:szCs w:val="21"/>
                <w:lang w:val="zh-CN"/>
              </w:rPr>
              <w:t>符合性分析一览表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504"/>
              <w:gridCol w:w="2119"/>
              <w:gridCol w:w="870"/>
            </w:tblGrid>
            <w:tr w14:paraId="7EA49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noWrap w:val="0"/>
                  <w:vAlign w:val="center"/>
                </w:tcPr>
                <w:p w14:paraId="141277DF">
                  <w:pPr>
                    <w:adjustRightInd w:val="0"/>
                    <w:snapToGrid w:val="0"/>
                    <w:jc w:val="center"/>
                    <w:rPr>
                      <w:rFonts w:ascii="Times New Roman" w:hAnsi="Times New Roman" w:eastAsia="宋体" w:cs="Times New Roman"/>
                      <w:b w:val="0"/>
                      <w:bCs w:val="0"/>
                      <w:color w:val="auto"/>
                      <w:kern w:val="21"/>
                      <w:szCs w:val="21"/>
                    </w:rPr>
                  </w:pPr>
                  <w:r>
                    <w:rPr>
                      <w:rFonts w:hint="eastAsia" w:ascii="Times New Roman" w:hAnsi="Times New Roman" w:eastAsia="宋体" w:cs="Times New Roman"/>
                      <w:b w:val="0"/>
                      <w:bCs w:val="0"/>
                      <w:color w:val="auto"/>
                      <w:kern w:val="21"/>
                      <w:szCs w:val="21"/>
                      <w:lang w:val="en-US" w:eastAsia="zh-CN"/>
                    </w:rPr>
                    <w:t>管控类别</w:t>
                  </w:r>
                </w:p>
              </w:tc>
              <w:tc>
                <w:tcPr>
                  <w:tcW w:w="3504" w:type="dxa"/>
                  <w:noWrap w:val="0"/>
                  <w:vAlign w:val="center"/>
                </w:tcPr>
                <w:p w14:paraId="06C6F378">
                  <w:pPr>
                    <w:adjustRightInd w:val="0"/>
                    <w:snapToGrid w:val="0"/>
                    <w:jc w:val="center"/>
                    <w:rPr>
                      <w:rFonts w:ascii="Times New Roman" w:hAnsi="Times New Roman" w:eastAsia="宋体" w:cs="Times New Roman"/>
                      <w:b w:val="0"/>
                      <w:bCs w:val="0"/>
                      <w:color w:val="auto"/>
                      <w:kern w:val="21"/>
                      <w:szCs w:val="21"/>
                    </w:rPr>
                  </w:pPr>
                  <w:r>
                    <w:rPr>
                      <w:rFonts w:hint="eastAsia" w:ascii="Times New Roman" w:hAnsi="Times New Roman" w:eastAsia="宋体" w:cs="Times New Roman"/>
                      <w:b w:val="0"/>
                      <w:bCs w:val="0"/>
                      <w:color w:val="auto"/>
                      <w:kern w:val="21"/>
                      <w:szCs w:val="21"/>
                      <w:lang w:val="en-US" w:eastAsia="zh-CN"/>
                    </w:rPr>
                    <w:t>管控要求</w:t>
                  </w:r>
                </w:p>
              </w:tc>
              <w:tc>
                <w:tcPr>
                  <w:tcW w:w="2119" w:type="dxa"/>
                  <w:noWrap w:val="0"/>
                  <w:vAlign w:val="center"/>
                </w:tcPr>
                <w:p w14:paraId="5A28D619">
                  <w:pPr>
                    <w:adjustRightInd w:val="0"/>
                    <w:snapToGrid w:val="0"/>
                    <w:jc w:val="center"/>
                    <w:rPr>
                      <w:rFonts w:ascii="Times New Roman" w:hAnsi="Times New Roman" w:eastAsia="宋体" w:cs="Times New Roman"/>
                      <w:b w:val="0"/>
                      <w:bCs w:val="0"/>
                      <w:color w:val="auto"/>
                      <w:kern w:val="21"/>
                      <w:szCs w:val="21"/>
                    </w:rPr>
                  </w:pPr>
                  <w:r>
                    <w:rPr>
                      <w:rFonts w:hint="eastAsia" w:ascii="Times New Roman" w:hAnsi="Times New Roman" w:eastAsia="宋体" w:cs="Times New Roman"/>
                      <w:b w:val="0"/>
                      <w:bCs w:val="0"/>
                      <w:color w:val="auto"/>
                      <w:kern w:val="21"/>
                      <w:szCs w:val="21"/>
                      <w:lang w:val="en-US" w:eastAsia="zh-CN"/>
                    </w:rPr>
                    <w:t>协调性分析</w:t>
                  </w:r>
                </w:p>
              </w:tc>
              <w:tc>
                <w:tcPr>
                  <w:tcW w:w="870" w:type="dxa"/>
                  <w:noWrap w:val="0"/>
                  <w:vAlign w:val="center"/>
                </w:tcPr>
                <w:p w14:paraId="0BCC9D5E">
                  <w:pPr>
                    <w:adjustRightInd w:val="0"/>
                    <w:snapToGrid w:val="0"/>
                    <w:jc w:val="center"/>
                    <w:rPr>
                      <w:rFonts w:ascii="Times New Roman" w:hAnsi="Times New Roman" w:eastAsia="宋体" w:cs="Times New Roman"/>
                      <w:b w:val="0"/>
                      <w:bCs w:val="0"/>
                      <w:color w:val="auto"/>
                      <w:kern w:val="21"/>
                      <w:szCs w:val="21"/>
                    </w:rPr>
                  </w:pPr>
                  <w:r>
                    <w:rPr>
                      <w:rFonts w:hint="eastAsia" w:ascii="Times New Roman" w:hAnsi="Times New Roman" w:eastAsia="宋体" w:cs="Times New Roman"/>
                      <w:b w:val="0"/>
                      <w:bCs w:val="0"/>
                      <w:color w:val="auto"/>
                      <w:kern w:val="21"/>
                      <w:szCs w:val="21"/>
                      <w:lang w:val="en-US" w:eastAsia="zh-CN"/>
                    </w:rPr>
                    <w:t>符合性分析</w:t>
                  </w:r>
                </w:p>
              </w:tc>
            </w:tr>
            <w:tr w14:paraId="6C91C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restart"/>
                  <w:noWrap w:val="0"/>
                  <w:vAlign w:val="center"/>
                </w:tcPr>
                <w:p w14:paraId="63CD5F0B">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空间布局约束</w:t>
                  </w:r>
                </w:p>
              </w:tc>
              <w:tc>
                <w:tcPr>
                  <w:tcW w:w="3504" w:type="dxa"/>
                  <w:noWrap w:val="0"/>
                  <w:vAlign w:val="center"/>
                </w:tcPr>
                <w:p w14:paraId="291B3FDB">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ascii="Times New Roman" w:hAnsi="Times New Roman" w:eastAsia="宋体" w:cs="Times New Roman"/>
                      <w:b w:val="0"/>
                      <w:bCs w:val="0"/>
                      <w:color w:val="auto"/>
                      <w:kern w:val="21"/>
                      <w:szCs w:val="21"/>
                    </w:rPr>
                    <w:t>禁止新建燃料类煤气发生炉（园区现有企业统一建设的清洁煤制气中心除外）</w:t>
                  </w:r>
                </w:p>
              </w:tc>
              <w:tc>
                <w:tcPr>
                  <w:tcW w:w="2119" w:type="dxa"/>
                  <w:noWrap w:val="0"/>
                  <w:vAlign w:val="center"/>
                </w:tcPr>
                <w:p w14:paraId="0DC9D39B">
                  <w:pPr>
                    <w:adjustRightInd w:val="0"/>
                    <w:snapToGrid w:val="0"/>
                    <w:jc w:val="center"/>
                    <w:rPr>
                      <w:rFonts w:hint="default"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本项目不建设煤气发生炉。</w:t>
                  </w:r>
                </w:p>
              </w:tc>
              <w:tc>
                <w:tcPr>
                  <w:tcW w:w="870" w:type="dxa"/>
                  <w:noWrap w:val="0"/>
                  <w:vAlign w:val="center"/>
                </w:tcPr>
                <w:p w14:paraId="01F3C770">
                  <w:pPr>
                    <w:adjustRightInd w:val="0"/>
                    <w:snapToGrid w:val="0"/>
                    <w:jc w:val="center"/>
                    <w:rPr>
                      <w:rFonts w:hint="default"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6C3D8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6361A156">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2E43476A">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ascii="Times New Roman" w:hAnsi="Times New Roman" w:eastAsia="宋体" w:cs="Times New Roman"/>
                      <w:b w:val="0"/>
                      <w:bCs w:val="0"/>
                      <w:color w:val="auto"/>
                      <w:kern w:val="21"/>
                      <w:szCs w:val="21"/>
                    </w:rPr>
                    <w:t>严禁新增钢铁、焦化、电解铝、铸造、水泥和平板玻璃等产能；严格执行钢铁、水泥、平板玻璃等行业产能置换实施办法。</w:t>
                  </w:r>
                </w:p>
              </w:tc>
              <w:tc>
                <w:tcPr>
                  <w:tcW w:w="2119" w:type="dxa"/>
                  <w:noWrap w:val="0"/>
                  <w:vAlign w:val="center"/>
                </w:tcPr>
                <w:p w14:paraId="3AEE78DF">
                  <w:pPr>
                    <w:adjustRightInd w:val="0"/>
                    <w:snapToGrid w:val="0"/>
                    <w:jc w:val="center"/>
                    <w:rPr>
                      <w:rFonts w:hint="default"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本项目不属于上述行业。</w:t>
                  </w:r>
                </w:p>
              </w:tc>
              <w:tc>
                <w:tcPr>
                  <w:tcW w:w="870" w:type="dxa"/>
                  <w:noWrap w:val="0"/>
                  <w:vAlign w:val="center"/>
                </w:tcPr>
                <w:p w14:paraId="3879A436">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3B0F3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67B64550">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18E539F6">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ascii="Times New Roman" w:hAnsi="Times New Roman" w:eastAsia="宋体" w:cs="Times New Roman"/>
                      <w:b w:val="0"/>
                      <w:bCs w:val="0"/>
                      <w:color w:val="auto"/>
                      <w:kern w:val="21"/>
                      <w:szCs w:val="21"/>
                    </w:rPr>
                    <w:t>严格执行国家关于“两高”产业准入目录和产能总量控制政策措施。严禁新增钢铁、焦化、电解铝、铸造、水泥和平板玻璃等产能；新、改、扩建涉及大宗物料运输的建设项目，原则上不得采用公路运输。</w:t>
                  </w:r>
                </w:p>
              </w:tc>
              <w:tc>
                <w:tcPr>
                  <w:tcW w:w="2119" w:type="dxa"/>
                  <w:noWrap w:val="0"/>
                  <w:vAlign w:val="center"/>
                </w:tcPr>
                <w:p w14:paraId="1E164268">
                  <w:pPr>
                    <w:adjustRightInd w:val="0"/>
                    <w:snapToGrid w:val="0"/>
                    <w:jc w:val="center"/>
                    <w:rPr>
                      <w:rFonts w:hint="default"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本项目不属于上述行业</w:t>
                  </w:r>
                </w:p>
              </w:tc>
              <w:tc>
                <w:tcPr>
                  <w:tcW w:w="870" w:type="dxa"/>
                  <w:noWrap w:val="0"/>
                  <w:vAlign w:val="center"/>
                </w:tcPr>
                <w:p w14:paraId="19EE52CD">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5F744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7032E4BD">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66F752AF">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ascii="Times New Roman" w:hAnsi="Times New Roman" w:eastAsia="宋体" w:cs="Times New Roman"/>
                      <w:b w:val="0"/>
                      <w:bCs w:val="0"/>
                      <w:color w:val="auto"/>
                      <w:kern w:val="21"/>
                      <w:szCs w:val="21"/>
                    </w:rPr>
                    <w:t>禁止建设生产和使用高挥发性有机物含量涂料、油墨、胶粘剂、清洗剂等项目。</w:t>
                  </w:r>
                </w:p>
              </w:tc>
              <w:tc>
                <w:tcPr>
                  <w:tcW w:w="2119" w:type="dxa"/>
                  <w:noWrap w:val="0"/>
                  <w:vAlign w:val="center"/>
                </w:tcPr>
                <w:p w14:paraId="1D5B5C37">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本项目不生产和使用高挥发性有机物含量的</w:t>
                  </w:r>
                  <w:r>
                    <w:rPr>
                      <w:rFonts w:ascii="Times New Roman" w:hAnsi="Times New Roman" w:eastAsia="宋体" w:cs="Times New Roman"/>
                      <w:b w:val="0"/>
                      <w:bCs w:val="0"/>
                      <w:color w:val="auto"/>
                      <w:kern w:val="21"/>
                      <w:szCs w:val="21"/>
                    </w:rPr>
                    <w:t>涂料、油墨、胶粘剂、清洗剂</w:t>
                  </w:r>
                  <w:r>
                    <w:rPr>
                      <w:rFonts w:hint="eastAsia" w:ascii="Times New Roman" w:hAnsi="Times New Roman" w:eastAsia="宋体" w:cs="Times New Roman"/>
                      <w:b w:val="0"/>
                      <w:bCs w:val="0"/>
                      <w:color w:val="auto"/>
                      <w:kern w:val="21"/>
                      <w:szCs w:val="21"/>
                      <w:lang w:eastAsia="zh-CN"/>
                    </w:rPr>
                    <w:t>。</w:t>
                  </w:r>
                </w:p>
              </w:tc>
              <w:tc>
                <w:tcPr>
                  <w:tcW w:w="870" w:type="dxa"/>
                  <w:noWrap w:val="0"/>
                  <w:vAlign w:val="center"/>
                </w:tcPr>
                <w:p w14:paraId="24D5A8C9">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1C8A1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24E633F1">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6454DF67">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在城市规划区内禁止新建、扩建大气污染严重的建设项目。</w:t>
                  </w:r>
                </w:p>
              </w:tc>
              <w:tc>
                <w:tcPr>
                  <w:tcW w:w="2119" w:type="dxa"/>
                  <w:noWrap w:val="0"/>
                  <w:vAlign w:val="center"/>
                </w:tcPr>
                <w:p w14:paraId="43656F9C">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本项目产生废气经配套相应污染防治措施，可以确保达标排放。</w:t>
                  </w:r>
                </w:p>
              </w:tc>
              <w:tc>
                <w:tcPr>
                  <w:tcW w:w="870" w:type="dxa"/>
                  <w:noWrap w:val="0"/>
                  <w:vAlign w:val="center"/>
                </w:tcPr>
                <w:p w14:paraId="44EBCAA6">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3FFDD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2AAD0D02">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07D5E6F5">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ascii="Times New Roman" w:hAnsi="Times New Roman" w:eastAsia="宋体" w:cs="Times New Roman"/>
                      <w:b w:val="0"/>
                      <w:bCs w:val="0"/>
                      <w:color w:val="auto"/>
                      <w:kern w:val="21"/>
                      <w:szCs w:val="21"/>
                    </w:rPr>
                    <w:t>禁止淘汰落后类的产业进入开发区。</w:t>
                  </w:r>
                </w:p>
              </w:tc>
              <w:tc>
                <w:tcPr>
                  <w:tcW w:w="2119" w:type="dxa"/>
                  <w:noWrap w:val="0"/>
                  <w:vAlign w:val="center"/>
                </w:tcPr>
                <w:p w14:paraId="0BA658D9">
                  <w:pPr>
                    <w:adjustRightInd w:val="0"/>
                    <w:snapToGrid w:val="0"/>
                    <w:jc w:val="center"/>
                    <w:rPr>
                      <w:rFonts w:hint="default"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本项目不属于落后类产业。</w:t>
                  </w:r>
                </w:p>
              </w:tc>
              <w:tc>
                <w:tcPr>
                  <w:tcW w:w="870" w:type="dxa"/>
                  <w:noWrap w:val="0"/>
                  <w:vAlign w:val="center"/>
                </w:tcPr>
                <w:p w14:paraId="1F9EE285">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41C81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3087E4A1">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1FCD527D">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城市建成区排放污水的工业企业应依法持有排污许可证，并严格按证排污。排入城镇水体的工业污水应符合相关行业标准及地方标准要求，严禁任何企业、单位超标和超总量排污，对超标或超总量的排污单位一律限制 生产或停产整顿。</w:t>
                  </w:r>
                </w:p>
              </w:tc>
              <w:tc>
                <w:tcPr>
                  <w:tcW w:w="2119" w:type="dxa"/>
                  <w:noWrap w:val="0"/>
                  <w:vAlign w:val="center"/>
                </w:tcPr>
                <w:p w14:paraId="22356796">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本项目目前积极履行环评手续，在实际排污前申领排污许可证，坚决不无证排污。</w:t>
                  </w:r>
                </w:p>
                <w:p w14:paraId="75E60360">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870" w:type="dxa"/>
                  <w:noWrap w:val="0"/>
                  <w:vAlign w:val="center"/>
                </w:tcPr>
                <w:p w14:paraId="1FAF274E">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20359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4530D0F8">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38FB9A00">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严格环境准入，在水污染防治重点控制单元的区域内，限制新建耗水量大、废水排放量大的项目和单纯扩大产能的项目。严格控制缺水地区、水污染严重地区和敏感区域高耗水、高污染行业发展。</w:t>
                  </w:r>
                </w:p>
              </w:tc>
              <w:tc>
                <w:tcPr>
                  <w:tcW w:w="2119" w:type="dxa"/>
                  <w:noWrap w:val="0"/>
                  <w:vAlign w:val="center"/>
                </w:tcPr>
                <w:p w14:paraId="22076B48">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本项目所产生废水均处理达标后接管，本项目所产生的所有废水均收集。</w:t>
                  </w:r>
                </w:p>
              </w:tc>
              <w:tc>
                <w:tcPr>
                  <w:tcW w:w="870" w:type="dxa"/>
                  <w:noWrap w:val="0"/>
                  <w:vAlign w:val="center"/>
                </w:tcPr>
                <w:p w14:paraId="2E09A949">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27F3C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57493AC6">
                  <w:pPr>
                    <w:adjustRightInd w:val="0"/>
                    <w:snapToGrid w:val="0"/>
                    <w:jc w:val="center"/>
                    <w:rPr>
                      <w:rFonts w:hint="eastAsia" w:ascii="Times New Roman" w:hAnsi="Times New Roman" w:eastAsia="宋体" w:cs="Times New Roman"/>
                      <w:b w:val="0"/>
                      <w:bCs w:val="0"/>
                      <w:color w:val="auto"/>
                      <w:kern w:val="21"/>
                      <w:szCs w:val="21"/>
                      <w:lang w:val="en-US" w:eastAsia="zh-CN"/>
                    </w:rPr>
                  </w:pPr>
                </w:p>
              </w:tc>
              <w:tc>
                <w:tcPr>
                  <w:tcW w:w="3504" w:type="dxa"/>
                  <w:noWrap w:val="0"/>
                  <w:vAlign w:val="center"/>
                </w:tcPr>
                <w:p w14:paraId="2D5F56B6">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实行厂网一体化建设，推行厂网一体化管理。深入开展城镇污水处理提质增效行动，加快推进城市老旧小区和管网空白区污水管网建设，实施城市、县城市政污水管网更新修复。因地制宜，稳步推进城市初期雨水收集处理设施建设。</w:t>
                  </w:r>
                </w:p>
              </w:tc>
              <w:tc>
                <w:tcPr>
                  <w:tcW w:w="2119" w:type="dxa"/>
                  <w:noWrap w:val="0"/>
                  <w:vAlign w:val="center"/>
                </w:tcPr>
                <w:p w14:paraId="33E2D57F">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本项目租赁厂房生产，已建有雨污管网。</w:t>
                  </w:r>
                </w:p>
              </w:tc>
              <w:tc>
                <w:tcPr>
                  <w:tcW w:w="870" w:type="dxa"/>
                  <w:noWrap w:val="0"/>
                  <w:vAlign w:val="center"/>
                </w:tcPr>
                <w:p w14:paraId="79B229CE">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0D7BC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restart"/>
                  <w:noWrap w:val="0"/>
                  <w:vAlign w:val="center"/>
                </w:tcPr>
                <w:p w14:paraId="10046750">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污染物排放管控</w:t>
                  </w:r>
                </w:p>
              </w:tc>
              <w:tc>
                <w:tcPr>
                  <w:tcW w:w="3504" w:type="dxa"/>
                  <w:noWrap w:val="0"/>
                  <w:vAlign w:val="center"/>
                </w:tcPr>
                <w:p w14:paraId="0BD46C25">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新建、改建、扩建排放重点大气污染物的项目不符合总量控制要求的，不得通过环境影响评价。</w:t>
                  </w:r>
                </w:p>
              </w:tc>
              <w:tc>
                <w:tcPr>
                  <w:tcW w:w="2119" w:type="dxa"/>
                  <w:noWrap w:val="0"/>
                  <w:vAlign w:val="center"/>
                </w:tcPr>
                <w:p w14:paraId="23CC62E1">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本项目属于新建项目，所产生废气配套可行技术进行处理，确保达标排放。同时污染物总量由区域削减替代。</w:t>
                  </w:r>
                </w:p>
              </w:tc>
              <w:tc>
                <w:tcPr>
                  <w:tcW w:w="870" w:type="dxa"/>
                  <w:noWrap w:val="0"/>
                  <w:vAlign w:val="center"/>
                </w:tcPr>
                <w:p w14:paraId="44F3B047">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符合</w:t>
                  </w:r>
                </w:p>
              </w:tc>
            </w:tr>
            <w:tr w14:paraId="4B7E7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vMerge w:val="continue"/>
                  <w:noWrap w:val="0"/>
                  <w:vAlign w:val="center"/>
                </w:tcPr>
                <w:p w14:paraId="63C92F42">
                  <w:pPr>
                    <w:adjustRightInd w:val="0"/>
                    <w:snapToGrid w:val="0"/>
                    <w:jc w:val="center"/>
                    <w:rPr>
                      <w:rFonts w:ascii="Times New Roman" w:hAnsi="Times New Roman" w:eastAsia="宋体" w:cs="Times New Roman"/>
                      <w:b w:val="0"/>
                      <w:bCs w:val="0"/>
                      <w:color w:val="auto"/>
                      <w:kern w:val="21"/>
                      <w:szCs w:val="21"/>
                    </w:rPr>
                  </w:pPr>
                </w:p>
              </w:tc>
              <w:tc>
                <w:tcPr>
                  <w:tcW w:w="3504" w:type="dxa"/>
                  <w:noWrap w:val="0"/>
                  <w:vAlign w:val="center"/>
                </w:tcPr>
                <w:p w14:paraId="38F51322">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开展经济技术开发区、高新技术产业开发区、出口加工区等工业集聚区水污染治理设施排查和污染治理，全面推行工业集聚区企业废水量、水污染物纳管总量双控制度。集聚区内工业废水必须经预处理达到集中处理要求，方可进入污水集中处理设施。</w:t>
                  </w:r>
                </w:p>
              </w:tc>
              <w:tc>
                <w:tcPr>
                  <w:tcW w:w="2119" w:type="dxa"/>
                  <w:noWrap w:val="0"/>
                  <w:vAlign w:val="center"/>
                </w:tcPr>
                <w:p w14:paraId="19DEFA54">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本项目废水经污水处理站达标后进入经开区污水处理集中处理。</w:t>
                  </w:r>
                </w:p>
              </w:tc>
              <w:tc>
                <w:tcPr>
                  <w:tcW w:w="870" w:type="dxa"/>
                  <w:noWrap w:val="0"/>
                  <w:vAlign w:val="center"/>
                </w:tcPr>
                <w:p w14:paraId="1571D166">
                  <w:pPr>
                    <w:adjustRightInd w:val="0"/>
                    <w:snapToGrid w:val="0"/>
                    <w:jc w:val="center"/>
                    <w:rPr>
                      <w:rFonts w:ascii="Times New Roman" w:hAnsi="Times New Roman" w:eastAsia="宋体" w:cs="Times New Roman"/>
                      <w:b w:val="0"/>
                      <w:bCs w:val="0"/>
                      <w:color w:val="auto"/>
                      <w:kern w:val="21"/>
                      <w:szCs w:val="21"/>
                    </w:rPr>
                  </w:pPr>
                  <w:r>
                    <w:rPr>
                      <w:rFonts w:hint="eastAsia" w:ascii="Times New Roman" w:hAnsi="Times New Roman" w:eastAsia="宋体" w:cs="Times New Roman"/>
                      <w:b w:val="0"/>
                      <w:bCs w:val="0"/>
                      <w:color w:val="auto"/>
                      <w:kern w:val="21"/>
                      <w:szCs w:val="21"/>
                      <w:lang w:val="en-US" w:eastAsia="zh-CN"/>
                    </w:rPr>
                    <w:t>符合</w:t>
                  </w:r>
                </w:p>
              </w:tc>
            </w:tr>
            <w:tr w14:paraId="5C640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8" w:type="dxa"/>
                  <w:noWrap w:val="0"/>
                  <w:vAlign w:val="center"/>
                </w:tcPr>
                <w:p w14:paraId="3985F86D">
                  <w:pPr>
                    <w:adjustRightInd w:val="0"/>
                    <w:snapToGrid w:val="0"/>
                    <w:jc w:val="center"/>
                    <w:rPr>
                      <w:rFonts w:ascii="Times New Roman" w:hAnsi="Times New Roman" w:eastAsia="宋体" w:cs="Times New Roman"/>
                      <w:b w:val="0"/>
                      <w:bCs w:val="0"/>
                      <w:color w:val="auto"/>
                      <w:kern w:val="21"/>
                      <w:szCs w:val="21"/>
                    </w:rPr>
                  </w:pPr>
                  <w:r>
                    <w:rPr>
                      <w:rFonts w:ascii="Times New Roman" w:hAnsi="Times New Roman" w:eastAsia="宋体" w:cs="Times New Roman"/>
                      <w:b w:val="0"/>
                      <w:bCs w:val="0"/>
                      <w:color w:val="auto"/>
                      <w:kern w:val="21"/>
                      <w:szCs w:val="21"/>
                    </w:rPr>
                    <w:t>资源开发效率 要求</w:t>
                  </w:r>
                </w:p>
              </w:tc>
              <w:tc>
                <w:tcPr>
                  <w:tcW w:w="3504" w:type="dxa"/>
                  <w:noWrap w:val="0"/>
                  <w:vAlign w:val="center"/>
                </w:tcPr>
                <w:p w14:paraId="46BF8198">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在陶瓷、玻璃、铸造等行业积极推进天然气替代煤气化工程，有序实施燃煤设施煤改气。结合区域和行业用能特点，积极推进工业生产、建筑供暖供冷、交通运输、农业生产、居民生活五大领域实施“以电代煤”，着力提高电能占终端能源消费比重。</w:t>
                  </w:r>
                </w:p>
              </w:tc>
              <w:tc>
                <w:tcPr>
                  <w:tcW w:w="2119" w:type="dxa"/>
                  <w:noWrap w:val="0"/>
                  <w:vAlign w:val="center"/>
                </w:tcPr>
                <w:p w14:paraId="5BBF3977">
                  <w:pPr>
                    <w:adjustRightInd w:val="0"/>
                    <w:snapToGrid w:val="0"/>
                    <w:jc w:val="center"/>
                    <w:rPr>
                      <w:rFonts w:hint="eastAsia" w:ascii="Times New Roman" w:hAnsi="Times New Roman" w:eastAsia="宋体" w:cs="Times New Roman"/>
                      <w:b w:val="0"/>
                      <w:bCs w:val="0"/>
                      <w:color w:val="auto"/>
                      <w:kern w:val="21"/>
                      <w:szCs w:val="21"/>
                      <w:lang w:val="en-US" w:eastAsia="zh-CN"/>
                    </w:rPr>
                  </w:pPr>
                  <w:r>
                    <w:rPr>
                      <w:rFonts w:hint="eastAsia" w:ascii="Times New Roman" w:hAnsi="Times New Roman" w:eastAsia="宋体" w:cs="Times New Roman"/>
                      <w:b w:val="0"/>
                      <w:bCs w:val="0"/>
                      <w:color w:val="auto"/>
                      <w:kern w:val="21"/>
                      <w:szCs w:val="21"/>
                      <w:lang w:val="en-US" w:eastAsia="zh-CN"/>
                    </w:rPr>
                    <w:t>本项目不新建锅炉，本项目生产过程涉及的能源主要是电能和水，不产生燃烧废气。用水采用市政供水管网供水，不突破资源利用上限。</w:t>
                  </w:r>
                </w:p>
              </w:tc>
              <w:tc>
                <w:tcPr>
                  <w:tcW w:w="870" w:type="dxa"/>
                  <w:noWrap w:val="0"/>
                  <w:vAlign w:val="center"/>
                </w:tcPr>
                <w:p w14:paraId="675A6F7B">
                  <w:pPr>
                    <w:adjustRightInd w:val="0"/>
                    <w:snapToGrid w:val="0"/>
                    <w:jc w:val="center"/>
                    <w:rPr>
                      <w:rFonts w:ascii="Times New Roman" w:hAnsi="Times New Roman" w:eastAsia="宋体" w:cs="Times New Roman"/>
                      <w:b w:val="0"/>
                      <w:bCs w:val="0"/>
                      <w:color w:val="auto"/>
                      <w:kern w:val="21"/>
                      <w:szCs w:val="21"/>
                    </w:rPr>
                  </w:pPr>
                  <w:r>
                    <w:rPr>
                      <w:rFonts w:hint="eastAsia" w:ascii="Times New Roman" w:hAnsi="Times New Roman" w:eastAsia="宋体" w:cs="Times New Roman"/>
                      <w:b w:val="0"/>
                      <w:bCs w:val="0"/>
                      <w:color w:val="auto"/>
                      <w:kern w:val="21"/>
                      <w:szCs w:val="21"/>
                      <w:lang w:val="en-US" w:eastAsia="zh-CN"/>
                    </w:rPr>
                    <w:t>符合</w:t>
                  </w:r>
                </w:p>
              </w:tc>
            </w:tr>
          </w:tbl>
          <w:p w14:paraId="30E3D6A2">
            <w:pPr>
              <w:spacing w:line="360" w:lineRule="auto"/>
              <w:ind w:firstLine="480" w:firstLineChars="200"/>
              <w:rPr>
                <w:color w:val="auto"/>
                <w:sz w:val="24"/>
              </w:rPr>
            </w:pPr>
            <w:r>
              <w:rPr>
                <w:color w:val="auto"/>
                <w:sz w:val="24"/>
              </w:rPr>
              <w:t>本项目符合所在淮南经济技术开发区的各项生态空间准入清单、环境准入清单及产业准入负面清单，符合《安徽省长江经济带发展负面清单实施细则(试行，2022年版)》、《淮南市国土空间总体规划（2021</w:t>
            </w:r>
            <w:r>
              <w:rPr>
                <w:rFonts w:hint="eastAsia"/>
                <w:color w:val="auto"/>
                <w:sz w:val="24"/>
                <w:lang w:val="en-US" w:eastAsia="zh-CN"/>
              </w:rPr>
              <w:t>-</w:t>
            </w:r>
            <w:r>
              <w:rPr>
                <w:color w:val="auto"/>
                <w:sz w:val="24"/>
              </w:rPr>
              <w:t>2035年）》中的准入要求，且满足安徽省“三线一单”生态环境分区管控要求。</w:t>
            </w:r>
          </w:p>
          <w:p w14:paraId="5FC1D618">
            <w:pPr>
              <w:adjustRightInd w:val="0"/>
              <w:snapToGrid w:val="0"/>
              <w:spacing w:line="360" w:lineRule="auto"/>
              <w:ind w:firstLine="482" w:firstLineChars="200"/>
              <w:rPr>
                <w:b/>
                <w:bCs/>
                <w:color w:val="auto"/>
                <w:sz w:val="24"/>
              </w:rPr>
            </w:pPr>
            <w:r>
              <w:rPr>
                <w:b/>
                <w:bCs/>
                <w:color w:val="auto"/>
                <w:sz w:val="24"/>
              </w:rPr>
              <w:t>综上所述，本项目的建设符合淮南市生态环境分区管控相关要求。</w:t>
            </w:r>
          </w:p>
          <w:p w14:paraId="27879C9A">
            <w:pPr>
              <w:pStyle w:val="8"/>
              <w:rPr>
                <w:b/>
                <w:bCs/>
                <w:color w:val="auto"/>
                <w:sz w:val="24"/>
              </w:rPr>
            </w:pPr>
          </w:p>
          <w:p w14:paraId="4E22A240">
            <w:pPr>
              <w:rPr>
                <w:b/>
                <w:bCs/>
                <w:color w:val="auto"/>
                <w:sz w:val="24"/>
              </w:rPr>
            </w:pPr>
          </w:p>
          <w:p w14:paraId="248216DF">
            <w:pPr>
              <w:rPr>
                <w:b/>
                <w:bCs/>
                <w:color w:val="auto"/>
                <w:sz w:val="24"/>
              </w:rPr>
            </w:pPr>
          </w:p>
          <w:p w14:paraId="69742400">
            <w:pPr>
              <w:pStyle w:val="9"/>
              <w:rPr>
                <w:color w:val="auto"/>
              </w:rPr>
            </w:pPr>
          </w:p>
          <w:p w14:paraId="7FA03C93">
            <w:pPr>
              <w:pStyle w:val="8"/>
              <w:rPr>
                <w:b/>
                <w:bCs/>
                <w:color w:val="auto"/>
                <w:sz w:val="24"/>
              </w:rPr>
            </w:pPr>
          </w:p>
          <w:p w14:paraId="32B6C011">
            <w:pPr>
              <w:pStyle w:val="8"/>
              <w:rPr>
                <w:b/>
                <w:bCs/>
                <w:color w:val="auto"/>
                <w:sz w:val="24"/>
              </w:rPr>
            </w:pPr>
          </w:p>
          <w:p w14:paraId="6BC8F43F">
            <w:pPr>
              <w:rPr>
                <w:b/>
                <w:bCs/>
                <w:color w:val="auto"/>
                <w:sz w:val="24"/>
              </w:rPr>
            </w:pPr>
          </w:p>
          <w:p w14:paraId="33513968">
            <w:pPr>
              <w:rPr>
                <w:b/>
                <w:bCs/>
                <w:color w:val="auto"/>
                <w:sz w:val="24"/>
              </w:rPr>
            </w:pPr>
          </w:p>
          <w:p w14:paraId="3BE6143E">
            <w:pPr>
              <w:pStyle w:val="9"/>
              <w:rPr>
                <w:color w:val="auto"/>
              </w:rPr>
            </w:pPr>
          </w:p>
          <w:p w14:paraId="4480F813">
            <w:pPr>
              <w:rPr>
                <w:b/>
                <w:bCs/>
                <w:color w:val="auto"/>
                <w:sz w:val="24"/>
              </w:rPr>
            </w:pPr>
          </w:p>
          <w:p w14:paraId="426F2814">
            <w:pPr>
              <w:pStyle w:val="8"/>
              <w:rPr>
                <w:b/>
                <w:bCs/>
                <w:color w:val="auto"/>
                <w:sz w:val="24"/>
              </w:rPr>
            </w:pPr>
          </w:p>
          <w:p w14:paraId="48240271">
            <w:pPr>
              <w:rPr>
                <w:color w:val="auto"/>
              </w:rPr>
            </w:pPr>
          </w:p>
        </w:tc>
      </w:tr>
    </w:tbl>
    <w:p w14:paraId="3408C5F0">
      <w:pPr>
        <w:pStyle w:val="29"/>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br w:type="page"/>
      </w:r>
      <w:bookmarkStart w:id="12" w:name="_Toc28003"/>
      <w:r>
        <w:rPr>
          <w:rFonts w:ascii="Times New Roman" w:hAnsi="Times New Roman"/>
          <w:b/>
          <w:bCs/>
          <w:snapToGrid w:val="0"/>
          <w:color w:val="auto"/>
          <w:sz w:val="30"/>
          <w:szCs w:val="30"/>
        </w:rPr>
        <w:t>二、建设项目工程分析</w:t>
      </w:r>
      <w:bookmarkEnd w:id="12"/>
    </w:p>
    <w:tbl>
      <w:tblPr>
        <w:tblStyle w:val="32"/>
        <w:tblW w:w="90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7"/>
        <w:gridCol w:w="8264"/>
      </w:tblGrid>
      <w:tr w14:paraId="2386CE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97" w:type="dxa"/>
            <w:vAlign w:val="center"/>
          </w:tcPr>
          <w:p w14:paraId="4E10C20A">
            <w:pPr>
              <w:pStyle w:val="29"/>
              <w:widowControl w:val="0"/>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建设内容</w:t>
            </w:r>
          </w:p>
        </w:tc>
        <w:tc>
          <w:tcPr>
            <w:tcW w:w="8264" w:type="dxa"/>
          </w:tcPr>
          <w:p w14:paraId="3EBFF73D">
            <w:pPr>
              <w:adjustRightInd w:val="0"/>
              <w:snapToGrid w:val="0"/>
              <w:spacing w:line="360" w:lineRule="auto"/>
              <w:rPr>
                <w:b/>
                <w:bCs/>
                <w:color w:val="auto"/>
                <w:sz w:val="24"/>
              </w:rPr>
            </w:pPr>
            <w:r>
              <w:rPr>
                <w:b/>
                <w:bCs/>
                <w:color w:val="auto"/>
                <w:sz w:val="24"/>
              </w:rPr>
              <w:t xml:space="preserve">2.1  </w:t>
            </w:r>
            <w:r>
              <w:rPr>
                <w:b/>
                <w:color w:val="auto"/>
                <w:kern w:val="0"/>
                <w:sz w:val="24"/>
              </w:rPr>
              <w:t>项目建设内容</w:t>
            </w:r>
          </w:p>
          <w:p w14:paraId="2D875FCF">
            <w:pPr>
              <w:adjustRightInd w:val="0"/>
              <w:snapToGrid w:val="0"/>
              <w:spacing w:line="360" w:lineRule="auto"/>
              <w:rPr>
                <w:b/>
                <w:color w:val="auto"/>
                <w:kern w:val="0"/>
                <w:sz w:val="24"/>
              </w:rPr>
            </w:pPr>
            <w:r>
              <w:rPr>
                <w:b/>
                <w:bCs/>
                <w:color w:val="auto"/>
                <w:sz w:val="24"/>
              </w:rPr>
              <w:t xml:space="preserve">2.1.1 </w:t>
            </w:r>
            <w:r>
              <w:rPr>
                <w:b/>
                <w:color w:val="auto"/>
                <w:kern w:val="0"/>
                <w:sz w:val="24"/>
              </w:rPr>
              <w:t>项目概况</w:t>
            </w:r>
          </w:p>
          <w:p w14:paraId="43D112C6">
            <w:pPr>
              <w:adjustRightInd w:val="0"/>
              <w:snapToGrid w:val="0"/>
              <w:spacing w:line="360" w:lineRule="auto"/>
              <w:ind w:firstLine="480" w:firstLineChars="200"/>
              <w:rPr>
                <w:color w:val="auto"/>
                <w:kern w:val="0"/>
                <w:sz w:val="24"/>
              </w:rPr>
            </w:pPr>
            <w:r>
              <w:rPr>
                <w:color w:val="auto"/>
                <w:kern w:val="0"/>
                <w:sz w:val="24"/>
              </w:rPr>
              <w:t>高纯石英砂的制品是光伏、半导体、光纤等行业必不可少的耗材，一旦高纯石英砂进口受阻，我国的光伏市场、半导体市场、5G建设都将受到严重影响。当今世界贸易冲突频发，为避免关键原料被“卡脖子”，尽快实现高纯石英砂的国产化是非常有必要的。</w:t>
            </w:r>
          </w:p>
          <w:p w14:paraId="5A0DAA9C">
            <w:pPr>
              <w:adjustRightInd w:val="0"/>
              <w:snapToGrid w:val="0"/>
              <w:spacing w:line="360" w:lineRule="auto"/>
              <w:ind w:firstLine="480" w:firstLineChars="200"/>
              <w:rPr>
                <w:color w:val="auto"/>
                <w:kern w:val="0"/>
                <w:sz w:val="24"/>
              </w:rPr>
            </w:pPr>
            <w:r>
              <w:rPr>
                <w:color w:val="auto"/>
                <w:kern w:val="0"/>
                <w:sz w:val="24"/>
              </w:rPr>
              <w:t>1、公司简介及项目由来</w:t>
            </w:r>
          </w:p>
          <w:p w14:paraId="6EC850F1">
            <w:pPr>
              <w:spacing w:line="360" w:lineRule="auto"/>
              <w:ind w:firstLine="464"/>
              <w:rPr>
                <w:color w:val="auto"/>
                <w:kern w:val="0"/>
                <w:sz w:val="24"/>
              </w:rPr>
            </w:pPr>
            <w:r>
              <w:rPr>
                <w:color w:val="auto"/>
                <w:kern w:val="0"/>
                <w:sz w:val="24"/>
              </w:rPr>
              <w:t>安徽腾安新材料有限公司成立于2024年3月，是一家以从事非金属矿物制品业为主的企业。</w:t>
            </w:r>
          </w:p>
          <w:p w14:paraId="43F2C9CC">
            <w:pPr>
              <w:spacing w:line="360" w:lineRule="auto"/>
              <w:ind w:firstLine="480"/>
              <w:rPr>
                <w:color w:val="auto"/>
                <w:kern w:val="0"/>
                <w:sz w:val="24"/>
              </w:rPr>
            </w:pPr>
            <w:r>
              <w:rPr>
                <w:rFonts w:hint="eastAsia"/>
                <w:color w:val="auto"/>
                <w:kern w:val="0"/>
                <w:sz w:val="24"/>
              </w:rPr>
              <w:t>企业</w:t>
            </w:r>
            <w:r>
              <w:rPr>
                <w:color w:val="auto"/>
                <w:kern w:val="0"/>
                <w:sz w:val="24"/>
              </w:rPr>
              <w:t>租用高端装备产业园标准化厂房，</w:t>
            </w:r>
            <w:r>
              <w:rPr>
                <w:rFonts w:hint="eastAsia"/>
                <w:color w:val="auto"/>
                <w:kern w:val="0"/>
                <w:sz w:val="24"/>
                <w:lang w:val="en-US" w:eastAsia="zh-CN"/>
              </w:rPr>
              <w:t>改造面积约6000平方米，</w:t>
            </w:r>
            <w:r>
              <w:rPr>
                <w:color w:val="auto"/>
                <w:kern w:val="0"/>
                <w:sz w:val="24"/>
              </w:rPr>
              <w:t>建设</w:t>
            </w:r>
            <w:r>
              <w:rPr>
                <w:rFonts w:hint="eastAsia"/>
                <w:color w:val="auto"/>
                <w:kern w:val="0"/>
                <w:sz w:val="24"/>
                <w:lang w:val="en-US" w:eastAsia="zh-CN"/>
              </w:rPr>
              <w:t>2000吨</w:t>
            </w:r>
            <w:r>
              <w:rPr>
                <w:color w:val="auto"/>
                <w:kern w:val="0"/>
                <w:sz w:val="24"/>
              </w:rPr>
              <w:t>高纯石英砂生产线，</w:t>
            </w:r>
            <w:r>
              <w:rPr>
                <w:rFonts w:hint="eastAsia"/>
                <w:color w:val="auto"/>
                <w:kern w:val="0"/>
                <w:sz w:val="24"/>
                <w:lang w:val="en-US" w:eastAsia="zh-CN"/>
              </w:rPr>
              <w:t>购置螺旋洗砂机、双槽擦洗机、磁选机、高温焙烧炉等设备</w:t>
            </w:r>
            <w:r>
              <w:rPr>
                <w:rFonts w:hint="eastAsia"/>
                <w:color w:val="auto"/>
                <w:kern w:val="0"/>
                <w:sz w:val="24"/>
              </w:rPr>
              <w:t>，进行</w:t>
            </w:r>
            <w:r>
              <w:rPr>
                <w:color w:val="auto"/>
                <w:kern w:val="0"/>
                <w:sz w:val="24"/>
              </w:rPr>
              <w:t>高纯石英砂</w:t>
            </w:r>
            <w:r>
              <w:rPr>
                <w:rFonts w:hint="eastAsia"/>
                <w:color w:val="auto"/>
                <w:kern w:val="0"/>
                <w:sz w:val="24"/>
              </w:rPr>
              <w:t>制造</w:t>
            </w:r>
            <w:r>
              <w:rPr>
                <w:rFonts w:hint="eastAsia"/>
                <w:color w:val="auto"/>
                <w:kern w:val="0"/>
                <w:sz w:val="24"/>
                <w:lang w:val="en-US" w:eastAsia="zh-CN"/>
              </w:rPr>
              <w:t>。</w:t>
            </w:r>
            <w:r>
              <w:rPr>
                <w:color w:val="auto"/>
                <w:kern w:val="0"/>
                <w:sz w:val="24"/>
              </w:rPr>
              <w:t>厂房内分别设有原矿堆场、原料粗碎、煅烧水淬及人工挑选、制砂磁选、酸洗浮洗、烤砂冷却、提纯</w:t>
            </w:r>
            <w:r>
              <w:rPr>
                <w:rFonts w:hint="eastAsia"/>
                <w:color w:val="auto"/>
                <w:kern w:val="0"/>
                <w:sz w:val="24"/>
                <w:lang w:eastAsia="zh-CN"/>
              </w:rPr>
              <w:t>、</w:t>
            </w:r>
            <w:r>
              <w:rPr>
                <w:color w:val="auto"/>
                <w:kern w:val="0"/>
                <w:sz w:val="24"/>
              </w:rPr>
              <w:t>磁选</w:t>
            </w:r>
            <w:r>
              <w:rPr>
                <w:rFonts w:hint="eastAsia"/>
                <w:color w:val="auto"/>
                <w:kern w:val="0"/>
                <w:sz w:val="24"/>
                <w:lang w:eastAsia="zh-CN"/>
              </w:rPr>
              <w:t>、</w:t>
            </w:r>
            <w:r>
              <w:rPr>
                <w:color w:val="auto"/>
                <w:kern w:val="0"/>
                <w:sz w:val="24"/>
              </w:rPr>
              <w:t>包装、酸雾吸收、纯水制备</w:t>
            </w:r>
            <w:r>
              <w:rPr>
                <w:rFonts w:hint="eastAsia"/>
                <w:color w:val="auto"/>
                <w:kern w:val="0"/>
                <w:sz w:val="24"/>
                <w:lang w:eastAsia="zh-CN"/>
              </w:rPr>
              <w:t>、</w:t>
            </w:r>
            <w:r>
              <w:rPr>
                <w:rFonts w:hint="eastAsia"/>
                <w:color w:val="auto"/>
                <w:kern w:val="0"/>
                <w:sz w:val="24"/>
                <w:lang w:val="en-US" w:eastAsia="zh-CN"/>
              </w:rPr>
              <w:t>污水处理区</w:t>
            </w:r>
            <w:r>
              <w:rPr>
                <w:color w:val="auto"/>
                <w:kern w:val="0"/>
                <w:sz w:val="24"/>
              </w:rPr>
              <w:t>等。</w:t>
            </w:r>
          </w:p>
          <w:p w14:paraId="30225477">
            <w:pPr>
              <w:adjustRightInd w:val="0"/>
              <w:snapToGrid w:val="0"/>
              <w:spacing w:line="360" w:lineRule="auto"/>
              <w:ind w:firstLine="480" w:firstLineChars="200"/>
              <w:rPr>
                <w:color w:val="auto"/>
                <w:kern w:val="0"/>
                <w:sz w:val="24"/>
              </w:rPr>
            </w:pPr>
            <w:r>
              <w:rPr>
                <w:color w:val="auto"/>
                <w:kern w:val="0"/>
                <w:sz w:val="24"/>
              </w:rPr>
              <w:t>2、项目报告类别判定</w:t>
            </w:r>
          </w:p>
          <w:p w14:paraId="00494B48">
            <w:pPr>
              <w:adjustRightInd w:val="0"/>
              <w:snapToGrid w:val="0"/>
              <w:spacing w:line="360" w:lineRule="auto"/>
              <w:ind w:firstLine="480" w:firstLineChars="200"/>
              <w:rPr>
                <w:color w:val="auto"/>
                <w:sz w:val="24"/>
              </w:rPr>
            </w:pPr>
            <w:r>
              <w:rPr>
                <w:color w:val="auto"/>
                <w:kern w:val="0"/>
                <w:sz w:val="24"/>
              </w:rPr>
              <w:t>本项目主要生产高纯石英砂，属于</w:t>
            </w:r>
            <w:r>
              <w:rPr>
                <w:color w:val="auto"/>
                <w:sz w:val="24"/>
              </w:rPr>
              <w:t>其他非金属矿物制品制造</w:t>
            </w:r>
            <w:r>
              <w:rPr>
                <w:color w:val="auto"/>
                <w:kern w:val="0"/>
                <w:sz w:val="24"/>
              </w:rPr>
              <w:t>，按照《中华人民共和国环境影响评价法》、国务院令第682号《建设项目环境保护管理条例》以及生态环境部令第16号《建设项目环境影响评价分类管理名录(2021年版)》的有关规定，本项目产品归入“</w:t>
            </w:r>
            <w:r>
              <w:rPr>
                <w:color w:val="auto"/>
                <w:sz w:val="24"/>
              </w:rPr>
              <w:t>二十七、非金属矿物制品业30</w:t>
            </w:r>
            <w:r>
              <w:rPr>
                <w:color w:val="auto"/>
                <w:kern w:val="0"/>
                <w:sz w:val="24"/>
              </w:rPr>
              <w:t>”下的“60</w:t>
            </w:r>
            <w:r>
              <w:rPr>
                <w:color w:val="auto"/>
                <w:sz w:val="24"/>
              </w:rPr>
              <w:t>、石墨及其他非金属矿物制品制造309</w:t>
            </w:r>
            <w:r>
              <w:rPr>
                <w:color w:val="auto"/>
                <w:kern w:val="0"/>
                <w:sz w:val="24"/>
              </w:rPr>
              <w:t>”小项，且不属于“石棉制品；含焙烧的石墨、碳素制品”，对照其他，环评类别为环境影响报告表。</w:t>
            </w:r>
          </w:p>
          <w:p w14:paraId="3CD0DCD3">
            <w:pPr>
              <w:snapToGrid w:val="0"/>
              <w:spacing w:line="360" w:lineRule="auto"/>
              <w:rPr>
                <w:b/>
                <w:bCs/>
                <w:color w:val="auto"/>
                <w:sz w:val="24"/>
              </w:rPr>
            </w:pPr>
            <w:r>
              <w:rPr>
                <w:b/>
                <w:bCs/>
                <w:color w:val="auto"/>
                <w:sz w:val="24"/>
              </w:rPr>
              <w:t>2.1.2 工程组成</w:t>
            </w:r>
          </w:p>
          <w:p w14:paraId="647A1F10">
            <w:pPr>
              <w:snapToGrid w:val="0"/>
              <w:spacing w:line="360" w:lineRule="auto"/>
              <w:ind w:firstLine="480" w:firstLineChars="200"/>
              <w:rPr>
                <w:color w:val="auto"/>
                <w:sz w:val="24"/>
              </w:rPr>
            </w:pPr>
            <w:r>
              <w:rPr>
                <w:color w:val="auto"/>
                <w:sz w:val="24"/>
              </w:rPr>
              <w:t>项目主要建设内容见表2-1。</w:t>
            </w:r>
          </w:p>
          <w:p w14:paraId="4D15A0DF">
            <w:pPr>
              <w:jc w:val="center"/>
              <w:rPr>
                <w:b/>
                <w:color w:val="auto"/>
                <w:szCs w:val="21"/>
              </w:rPr>
            </w:pPr>
            <w:r>
              <w:rPr>
                <w:b/>
                <w:bCs/>
                <w:color w:val="auto"/>
                <w:szCs w:val="21"/>
              </w:rPr>
              <w:t xml:space="preserve">表2-1 </w:t>
            </w:r>
            <w:r>
              <w:rPr>
                <w:b/>
                <w:color w:val="auto"/>
                <w:szCs w:val="21"/>
              </w:rPr>
              <w:t>项目工程组成一览表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158"/>
              <w:gridCol w:w="1025"/>
              <w:gridCol w:w="5158"/>
            </w:tblGrid>
            <w:tr w14:paraId="615B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3" w:type="pct"/>
                  <w:noWrap w:val="0"/>
                  <w:vAlign w:val="center"/>
                </w:tcPr>
                <w:p w14:paraId="3D0E87C9">
                  <w:pPr>
                    <w:jc w:val="center"/>
                    <w:rPr>
                      <w:b/>
                      <w:bCs/>
                      <w:color w:val="auto"/>
                      <w:szCs w:val="21"/>
                    </w:rPr>
                  </w:pPr>
                  <w:r>
                    <w:rPr>
                      <w:b/>
                      <w:bCs/>
                      <w:color w:val="auto"/>
                      <w:szCs w:val="21"/>
                    </w:rPr>
                    <w:t>工程类别</w:t>
                  </w:r>
                </w:p>
              </w:tc>
              <w:tc>
                <w:tcPr>
                  <w:tcW w:w="4566" w:type="pct"/>
                  <w:gridSpan w:val="3"/>
                  <w:noWrap w:val="0"/>
                  <w:vAlign w:val="center"/>
                </w:tcPr>
                <w:p w14:paraId="10DC0A3A">
                  <w:pPr>
                    <w:jc w:val="center"/>
                    <w:rPr>
                      <w:b/>
                      <w:bCs/>
                      <w:color w:val="auto"/>
                      <w:szCs w:val="21"/>
                    </w:rPr>
                  </w:pPr>
                  <w:r>
                    <w:rPr>
                      <w:b/>
                      <w:bCs/>
                      <w:color w:val="auto"/>
                      <w:szCs w:val="21"/>
                    </w:rPr>
                    <w:t>工程内容</w:t>
                  </w:r>
                </w:p>
              </w:tc>
            </w:tr>
            <w:tr w14:paraId="40BA5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6" w:hRule="atLeast"/>
              </w:trPr>
              <w:tc>
                <w:tcPr>
                  <w:tcW w:w="433" w:type="pct"/>
                  <w:vMerge w:val="restart"/>
                  <w:noWrap w:val="0"/>
                  <w:vAlign w:val="center"/>
                </w:tcPr>
                <w:p w14:paraId="65BE4149">
                  <w:pPr>
                    <w:jc w:val="center"/>
                    <w:rPr>
                      <w:color w:val="auto"/>
                      <w:szCs w:val="21"/>
                    </w:rPr>
                  </w:pPr>
                  <w:r>
                    <w:rPr>
                      <w:color w:val="auto"/>
                      <w:szCs w:val="21"/>
                    </w:rPr>
                    <w:t>主体</w:t>
                  </w:r>
                </w:p>
                <w:p w14:paraId="60AD1DBB">
                  <w:pPr>
                    <w:jc w:val="center"/>
                    <w:rPr>
                      <w:color w:val="auto"/>
                      <w:szCs w:val="21"/>
                    </w:rPr>
                  </w:pPr>
                  <w:r>
                    <w:rPr>
                      <w:color w:val="auto"/>
                      <w:szCs w:val="21"/>
                    </w:rPr>
                    <w:t>工程</w:t>
                  </w:r>
                </w:p>
              </w:tc>
              <w:tc>
                <w:tcPr>
                  <w:tcW w:w="4566" w:type="pct"/>
                  <w:gridSpan w:val="3"/>
                  <w:noWrap w:val="0"/>
                  <w:vAlign w:val="center"/>
                </w:tcPr>
                <w:p w14:paraId="2FDD1156">
                  <w:pPr>
                    <w:jc w:val="left"/>
                    <w:rPr>
                      <w:color w:val="auto"/>
                      <w:szCs w:val="21"/>
                      <w:highlight w:val="yellow"/>
                    </w:rPr>
                  </w:pPr>
                  <w:r>
                    <w:rPr>
                      <w:rFonts w:hint="eastAsia"/>
                      <w:color w:val="auto"/>
                      <w:szCs w:val="21"/>
                    </w:rPr>
                    <w:t>生产车间1座，1</w:t>
                  </w:r>
                  <w:r>
                    <w:rPr>
                      <w:color w:val="auto"/>
                      <w:szCs w:val="21"/>
                    </w:rPr>
                    <w:t>层，占地面积</w:t>
                  </w:r>
                  <w:r>
                    <w:rPr>
                      <w:rFonts w:hint="eastAsia"/>
                      <w:color w:val="auto"/>
                      <w:szCs w:val="21"/>
                      <w:lang w:val="en-US" w:eastAsia="zh-CN"/>
                    </w:rPr>
                    <w:t>6000</w:t>
                  </w:r>
                  <w:r>
                    <w:rPr>
                      <w:color w:val="auto"/>
                      <w:szCs w:val="21"/>
                    </w:rPr>
                    <w:t>m</w:t>
                  </w:r>
                  <w:r>
                    <w:rPr>
                      <w:color w:val="auto"/>
                      <w:szCs w:val="21"/>
                      <w:vertAlign w:val="superscript"/>
                    </w:rPr>
                    <w:t>2</w:t>
                  </w:r>
                  <w:r>
                    <w:rPr>
                      <w:rFonts w:hint="eastAsia"/>
                      <w:color w:val="auto"/>
                      <w:szCs w:val="21"/>
                    </w:rPr>
                    <w:t>，生产车间</w:t>
                  </w:r>
                  <w:r>
                    <w:rPr>
                      <w:rFonts w:hint="eastAsia"/>
                      <w:color w:val="auto"/>
                      <w:szCs w:val="21"/>
                      <w:lang w:val="en-US" w:eastAsia="zh-CN"/>
                    </w:rPr>
                    <w:t>北侧</w:t>
                  </w:r>
                  <w:r>
                    <w:rPr>
                      <w:rFonts w:hint="eastAsia"/>
                      <w:color w:val="auto"/>
                      <w:szCs w:val="21"/>
                    </w:rPr>
                    <w:t>由西往东依次为</w:t>
                  </w:r>
                  <w:r>
                    <w:rPr>
                      <w:rFonts w:hint="eastAsia"/>
                      <w:color w:val="auto"/>
                      <w:szCs w:val="21"/>
                      <w:lang w:val="en-US" w:eastAsia="zh-CN"/>
                    </w:rPr>
                    <w:t>污水站、纯水制备、水洗、磁选、纯化、成品区，南侧由西往东依次为烤砂冷却、罐区、酸洗、浮洗、制砂、焙烧、原料区。</w:t>
                  </w:r>
                </w:p>
              </w:tc>
            </w:tr>
            <w:tr w14:paraId="5F20B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33" w:type="pct"/>
                  <w:vMerge w:val="continue"/>
                  <w:noWrap w:val="0"/>
                  <w:vAlign w:val="center"/>
                </w:tcPr>
                <w:p w14:paraId="5319A6DD">
                  <w:pPr>
                    <w:jc w:val="center"/>
                    <w:rPr>
                      <w:color w:val="auto"/>
                      <w:szCs w:val="21"/>
                    </w:rPr>
                  </w:pPr>
                </w:p>
              </w:tc>
              <w:tc>
                <w:tcPr>
                  <w:tcW w:w="720" w:type="pct"/>
                  <w:shd w:val="clear" w:color="auto" w:fill="auto"/>
                  <w:noWrap w:val="0"/>
                  <w:vAlign w:val="center"/>
                </w:tcPr>
                <w:p w14:paraId="29E2ED84">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煅烧水淬</w:t>
                  </w:r>
                </w:p>
              </w:tc>
              <w:tc>
                <w:tcPr>
                  <w:tcW w:w="637" w:type="pct"/>
                  <w:noWrap w:val="0"/>
                  <w:vAlign w:val="center"/>
                </w:tcPr>
                <w:p w14:paraId="400EC27D">
                  <w:pPr>
                    <w:jc w:val="center"/>
                    <w:rPr>
                      <w:rFonts w:hint="default" w:eastAsia="宋体"/>
                      <w:color w:val="auto"/>
                      <w:szCs w:val="21"/>
                      <w:lang w:val="en-US" w:eastAsia="zh-CN"/>
                    </w:rPr>
                  </w:pPr>
                  <w:r>
                    <w:rPr>
                      <w:rFonts w:hint="eastAsia"/>
                      <w:color w:val="auto"/>
                      <w:szCs w:val="21"/>
                      <w:lang w:val="en-US" w:eastAsia="zh-CN"/>
                    </w:rPr>
                    <w:t>约360</w:t>
                  </w:r>
                  <w:r>
                    <w:rPr>
                      <w:color w:val="auto"/>
                      <w:szCs w:val="21"/>
                    </w:rPr>
                    <w:t>m</w:t>
                  </w:r>
                  <w:r>
                    <w:rPr>
                      <w:color w:val="auto"/>
                      <w:szCs w:val="21"/>
                      <w:vertAlign w:val="superscript"/>
                    </w:rPr>
                    <w:t>2</w:t>
                  </w:r>
                </w:p>
              </w:tc>
              <w:tc>
                <w:tcPr>
                  <w:tcW w:w="3208" w:type="pct"/>
                  <w:noWrap w:val="0"/>
                  <w:vAlign w:val="center"/>
                </w:tcPr>
                <w:p w14:paraId="5009DF4D">
                  <w:pPr>
                    <w:rPr>
                      <w:rFonts w:hint="default" w:eastAsia="宋体"/>
                      <w:color w:val="auto"/>
                      <w:szCs w:val="21"/>
                      <w:lang w:val="en-US" w:eastAsia="zh-CN"/>
                    </w:rPr>
                  </w:pPr>
                  <w:r>
                    <w:rPr>
                      <w:rFonts w:hint="eastAsia"/>
                      <w:color w:val="auto"/>
                      <w:szCs w:val="21"/>
                      <w:lang w:val="en-US" w:eastAsia="zh-CN"/>
                    </w:rPr>
                    <w:t>主要放置高温焙烧炉，用于焙烧工序</w:t>
                  </w:r>
                </w:p>
              </w:tc>
            </w:tr>
            <w:tr w14:paraId="5E0F1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33" w:type="pct"/>
                  <w:vMerge w:val="continue"/>
                  <w:noWrap w:val="0"/>
                  <w:vAlign w:val="center"/>
                </w:tcPr>
                <w:p w14:paraId="123B2084">
                  <w:pPr>
                    <w:jc w:val="center"/>
                    <w:rPr>
                      <w:color w:val="auto"/>
                      <w:szCs w:val="21"/>
                    </w:rPr>
                  </w:pPr>
                </w:p>
              </w:tc>
              <w:tc>
                <w:tcPr>
                  <w:tcW w:w="720" w:type="pct"/>
                  <w:shd w:val="clear" w:color="auto" w:fill="auto"/>
                  <w:noWrap w:val="0"/>
                  <w:vAlign w:val="center"/>
                </w:tcPr>
                <w:p w14:paraId="12C9964F">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制砂区</w:t>
                  </w:r>
                </w:p>
              </w:tc>
              <w:tc>
                <w:tcPr>
                  <w:tcW w:w="637" w:type="pct"/>
                  <w:noWrap w:val="0"/>
                  <w:vAlign w:val="center"/>
                </w:tcPr>
                <w:p w14:paraId="6AEF8E86">
                  <w:pPr>
                    <w:jc w:val="center"/>
                    <w:rPr>
                      <w:rFonts w:hint="default"/>
                      <w:color w:val="auto"/>
                      <w:szCs w:val="21"/>
                      <w:lang w:val="en-US"/>
                    </w:rPr>
                  </w:pPr>
                  <w:r>
                    <w:rPr>
                      <w:rFonts w:hint="eastAsia"/>
                      <w:color w:val="auto"/>
                      <w:szCs w:val="21"/>
                      <w:lang w:val="en-US" w:eastAsia="zh-CN"/>
                    </w:rPr>
                    <w:t>约360</w:t>
                  </w:r>
                  <w:r>
                    <w:rPr>
                      <w:color w:val="auto"/>
                      <w:szCs w:val="21"/>
                    </w:rPr>
                    <w:t>m</w:t>
                  </w:r>
                  <w:r>
                    <w:rPr>
                      <w:color w:val="auto"/>
                      <w:szCs w:val="21"/>
                      <w:vertAlign w:val="superscript"/>
                    </w:rPr>
                    <w:t>2</w:t>
                  </w:r>
                </w:p>
              </w:tc>
              <w:tc>
                <w:tcPr>
                  <w:tcW w:w="3208" w:type="pct"/>
                  <w:noWrap w:val="0"/>
                  <w:vAlign w:val="center"/>
                </w:tcPr>
                <w:p w14:paraId="2F174BD6">
                  <w:pPr>
                    <w:rPr>
                      <w:rFonts w:hint="default" w:eastAsia="宋体"/>
                      <w:color w:val="auto"/>
                      <w:szCs w:val="21"/>
                      <w:lang w:val="en-US" w:eastAsia="zh-CN"/>
                    </w:rPr>
                  </w:pPr>
                  <w:r>
                    <w:rPr>
                      <w:rFonts w:hint="eastAsia"/>
                      <w:color w:val="auto"/>
                      <w:szCs w:val="21"/>
                      <w:lang w:val="en-US" w:eastAsia="zh-CN"/>
                    </w:rPr>
                    <w:t>主要放置立轴制砂机、棒磨机等，用于制砂工序</w:t>
                  </w:r>
                </w:p>
              </w:tc>
            </w:tr>
            <w:tr w14:paraId="137FBD37">
              <w:tblPrEx>
                <w:tblCellMar>
                  <w:top w:w="0" w:type="dxa"/>
                  <w:left w:w="108" w:type="dxa"/>
                  <w:bottom w:w="0" w:type="dxa"/>
                  <w:right w:w="108" w:type="dxa"/>
                </w:tblCellMar>
              </w:tblPrEx>
              <w:trPr>
                <w:cantSplit/>
                <w:trHeight w:val="225" w:hRule="atLeast"/>
              </w:trPr>
              <w:tc>
                <w:tcPr>
                  <w:tcW w:w="433" w:type="pct"/>
                  <w:vMerge w:val="continue"/>
                  <w:noWrap w:val="0"/>
                  <w:vAlign w:val="center"/>
                </w:tcPr>
                <w:p w14:paraId="69DFD0A5">
                  <w:pPr>
                    <w:jc w:val="center"/>
                    <w:rPr>
                      <w:color w:val="auto"/>
                      <w:szCs w:val="21"/>
                    </w:rPr>
                  </w:pPr>
                </w:p>
              </w:tc>
              <w:tc>
                <w:tcPr>
                  <w:tcW w:w="720" w:type="pct"/>
                  <w:shd w:val="clear" w:color="auto" w:fill="auto"/>
                  <w:noWrap w:val="0"/>
                  <w:vAlign w:val="center"/>
                </w:tcPr>
                <w:p w14:paraId="3D52E751">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浮选区</w:t>
                  </w:r>
                </w:p>
              </w:tc>
              <w:tc>
                <w:tcPr>
                  <w:tcW w:w="637" w:type="pct"/>
                  <w:noWrap w:val="0"/>
                  <w:vAlign w:val="center"/>
                </w:tcPr>
                <w:p w14:paraId="210D1A2D">
                  <w:pPr>
                    <w:jc w:val="center"/>
                    <w:rPr>
                      <w:rFonts w:hint="default"/>
                      <w:color w:val="auto"/>
                      <w:szCs w:val="21"/>
                      <w:lang w:val="en-US"/>
                    </w:rPr>
                  </w:pPr>
                  <w:r>
                    <w:rPr>
                      <w:rFonts w:hint="eastAsia"/>
                      <w:color w:val="auto"/>
                      <w:szCs w:val="21"/>
                      <w:lang w:val="en-US" w:eastAsia="zh-CN"/>
                    </w:rPr>
                    <w:t>约360</w:t>
                  </w:r>
                  <w:r>
                    <w:rPr>
                      <w:color w:val="auto"/>
                      <w:szCs w:val="21"/>
                    </w:rPr>
                    <w:t>m</w:t>
                  </w:r>
                  <w:r>
                    <w:rPr>
                      <w:color w:val="auto"/>
                      <w:szCs w:val="21"/>
                      <w:vertAlign w:val="superscript"/>
                    </w:rPr>
                    <w:t>2</w:t>
                  </w:r>
                </w:p>
              </w:tc>
              <w:tc>
                <w:tcPr>
                  <w:tcW w:w="3208" w:type="pct"/>
                  <w:noWrap w:val="0"/>
                  <w:vAlign w:val="center"/>
                </w:tcPr>
                <w:p w14:paraId="35C6089A">
                  <w:pPr>
                    <w:rPr>
                      <w:rFonts w:hint="default"/>
                      <w:color w:val="auto"/>
                      <w:szCs w:val="21"/>
                      <w:lang w:val="en-US"/>
                    </w:rPr>
                  </w:pPr>
                  <w:r>
                    <w:rPr>
                      <w:rFonts w:hint="eastAsia"/>
                      <w:color w:val="auto"/>
                      <w:szCs w:val="21"/>
                      <w:lang w:val="en-US" w:eastAsia="zh-CN"/>
                    </w:rPr>
                    <w:t>主要放置浮选机组，用于浮选工序</w:t>
                  </w:r>
                </w:p>
              </w:tc>
            </w:tr>
            <w:tr w14:paraId="28F73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33" w:type="pct"/>
                  <w:vMerge w:val="continue"/>
                  <w:noWrap w:val="0"/>
                  <w:vAlign w:val="center"/>
                </w:tcPr>
                <w:p w14:paraId="1C4A5CBC">
                  <w:pPr>
                    <w:jc w:val="center"/>
                    <w:rPr>
                      <w:color w:val="auto"/>
                      <w:szCs w:val="21"/>
                    </w:rPr>
                  </w:pPr>
                </w:p>
              </w:tc>
              <w:tc>
                <w:tcPr>
                  <w:tcW w:w="720" w:type="pct"/>
                  <w:shd w:val="clear" w:color="auto" w:fill="auto"/>
                  <w:noWrap w:val="0"/>
                  <w:vAlign w:val="center"/>
                </w:tcPr>
                <w:p w14:paraId="33EADB1F">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酸洗区</w:t>
                  </w:r>
                </w:p>
              </w:tc>
              <w:tc>
                <w:tcPr>
                  <w:tcW w:w="637" w:type="pct"/>
                  <w:noWrap w:val="0"/>
                  <w:vAlign w:val="center"/>
                </w:tcPr>
                <w:p w14:paraId="56E10A9A">
                  <w:pPr>
                    <w:jc w:val="center"/>
                    <w:rPr>
                      <w:rFonts w:hint="default"/>
                      <w:color w:val="auto"/>
                      <w:szCs w:val="21"/>
                      <w:lang w:val="en-US"/>
                    </w:rPr>
                  </w:pPr>
                  <w:r>
                    <w:rPr>
                      <w:rFonts w:hint="eastAsia"/>
                      <w:color w:val="auto"/>
                      <w:szCs w:val="21"/>
                      <w:lang w:val="en-US" w:eastAsia="zh-CN"/>
                    </w:rPr>
                    <w:t>约360</w:t>
                  </w:r>
                  <w:r>
                    <w:rPr>
                      <w:color w:val="auto"/>
                      <w:szCs w:val="21"/>
                    </w:rPr>
                    <w:t>m</w:t>
                  </w:r>
                  <w:r>
                    <w:rPr>
                      <w:color w:val="auto"/>
                      <w:szCs w:val="21"/>
                      <w:vertAlign w:val="superscript"/>
                    </w:rPr>
                    <w:t>2</w:t>
                  </w:r>
                </w:p>
              </w:tc>
              <w:tc>
                <w:tcPr>
                  <w:tcW w:w="3208" w:type="pct"/>
                  <w:noWrap w:val="0"/>
                  <w:vAlign w:val="center"/>
                </w:tcPr>
                <w:p w14:paraId="5F1EC300">
                  <w:pPr>
                    <w:rPr>
                      <w:rFonts w:hint="default"/>
                      <w:color w:val="auto"/>
                      <w:szCs w:val="21"/>
                      <w:lang w:val="en-US"/>
                    </w:rPr>
                  </w:pPr>
                  <w:r>
                    <w:rPr>
                      <w:rFonts w:hint="eastAsia"/>
                      <w:color w:val="auto"/>
                      <w:szCs w:val="21"/>
                      <w:lang w:val="en-US" w:eastAsia="zh-CN"/>
                    </w:rPr>
                    <w:t>主要放置双轴回转反应釜，用于酸洗工序</w:t>
                  </w:r>
                </w:p>
              </w:tc>
            </w:tr>
            <w:tr w14:paraId="45241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33" w:type="pct"/>
                  <w:vMerge w:val="continue"/>
                  <w:noWrap w:val="0"/>
                  <w:vAlign w:val="center"/>
                </w:tcPr>
                <w:p w14:paraId="3EDCD310">
                  <w:pPr>
                    <w:jc w:val="center"/>
                    <w:rPr>
                      <w:color w:val="auto"/>
                      <w:szCs w:val="21"/>
                    </w:rPr>
                  </w:pPr>
                </w:p>
              </w:tc>
              <w:tc>
                <w:tcPr>
                  <w:tcW w:w="720" w:type="pct"/>
                  <w:shd w:val="clear" w:color="auto" w:fill="auto"/>
                  <w:noWrap w:val="0"/>
                  <w:vAlign w:val="center"/>
                </w:tcPr>
                <w:p w14:paraId="715E8C12">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烤砂区</w:t>
                  </w:r>
                </w:p>
              </w:tc>
              <w:tc>
                <w:tcPr>
                  <w:tcW w:w="637" w:type="pct"/>
                  <w:noWrap w:val="0"/>
                  <w:vAlign w:val="center"/>
                </w:tcPr>
                <w:p w14:paraId="37C0C29C">
                  <w:pPr>
                    <w:jc w:val="center"/>
                    <w:rPr>
                      <w:rFonts w:hint="default"/>
                      <w:color w:val="auto"/>
                      <w:szCs w:val="21"/>
                      <w:lang w:val="en-US"/>
                    </w:rPr>
                  </w:pPr>
                  <w:r>
                    <w:rPr>
                      <w:rFonts w:hint="eastAsia"/>
                      <w:color w:val="auto"/>
                      <w:szCs w:val="21"/>
                      <w:lang w:val="en-US" w:eastAsia="zh-CN"/>
                    </w:rPr>
                    <w:t>约500</w:t>
                  </w:r>
                  <w:r>
                    <w:rPr>
                      <w:color w:val="auto"/>
                      <w:szCs w:val="21"/>
                    </w:rPr>
                    <w:t>m</w:t>
                  </w:r>
                  <w:r>
                    <w:rPr>
                      <w:color w:val="auto"/>
                      <w:szCs w:val="21"/>
                      <w:vertAlign w:val="superscript"/>
                    </w:rPr>
                    <w:t>2</w:t>
                  </w:r>
                </w:p>
              </w:tc>
              <w:tc>
                <w:tcPr>
                  <w:tcW w:w="3208" w:type="pct"/>
                  <w:noWrap w:val="0"/>
                  <w:vAlign w:val="center"/>
                </w:tcPr>
                <w:p w14:paraId="1BD546E8">
                  <w:pPr>
                    <w:rPr>
                      <w:rFonts w:hint="default"/>
                      <w:color w:val="auto"/>
                      <w:szCs w:val="21"/>
                      <w:lang w:val="en-US"/>
                    </w:rPr>
                  </w:pPr>
                  <w:r>
                    <w:rPr>
                      <w:rFonts w:hint="eastAsia"/>
                      <w:color w:val="auto"/>
                      <w:szCs w:val="21"/>
                      <w:lang w:val="en-US" w:eastAsia="zh-CN"/>
                    </w:rPr>
                    <w:t>设置为洁净车间，主要放置烤砂炉，用于烤砂工序</w:t>
                  </w:r>
                </w:p>
              </w:tc>
            </w:tr>
            <w:tr w14:paraId="2DACF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33" w:type="pct"/>
                  <w:vMerge w:val="continue"/>
                  <w:noWrap w:val="0"/>
                  <w:vAlign w:val="center"/>
                </w:tcPr>
                <w:p w14:paraId="59E21FA9">
                  <w:pPr>
                    <w:jc w:val="center"/>
                    <w:rPr>
                      <w:color w:val="auto"/>
                      <w:szCs w:val="21"/>
                    </w:rPr>
                  </w:pPr>
                </w:p>
              </w:tc>
              <w:tc>
                <w:tcPr>
                  <w:tcW w:w="720" w:type="pct"/>
                  <w:shd w:val="clear" w:color="auto" w:fill="auto"/>
                  <w:noWrap w:val="0"/>
                  <w:vAlign w:val="center"/>
                </w:tcPr>
                <w:p w14:paraId="488D3E20">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纯化区</w:t>
                  </w:r>
                </w:p>
              </w:tc>
              <w:tc>
                <w:tcPr>
                  <w:tcW w:w="637" w:type="pct"/>
                  <w:noWrap w:val="0"/>
                  <w:vAlign w:val="center"/>
                </w:tcPr>
                <w:p w14:paraId="705B620C">
                  <w:pPr>
                    <w:jc w:val="center"/>
                    <w:rPr>
                      <w:rFonts w:hint="default"/>
                      <w:color w:val="auto"/>
                      <w:szCs w:val="21"/>
                      <w:lang w:val="en-US"/>
                    </w:rPr>
                  </w:pPr>
                  <w:r>
                    <w:rPr>
                      <w:rFonts w:hint="eastAsia"/>
                      <w:color w:val="auto"/>
                      <w:szCs w:val="21"/>
                      <w:lang w:val="en-US" w:eastAsia="zh-CN"/>
                    </w:rPr>
                    <w:t>约480</w:t>
                  </w:r>
                  <w:r>
                    <w:rPr>
                      <w:color w:val="auto"/>
                      <w:szCs w:val="21"/>
                    </w:rPr>
                    <w:t>m</w:t>
                  </w:r>
                  <w:r>
                    <w:rPr>
                      <w:color w:val="auto"/>
                      <w:szCs w:val="21"/>
                      <w:vertAlign w:val="superscript"/>
                    </w:rPr>
                    <w:t>2</w:t>
                  </w:r>
                </w:p>
              </w:tc>
              <w:tc>
                <w:tcPr>
                  <w:tcW w:w="3208" w:type="pct"/>
                  <w:noWrap w:val="0"/>
                  <w:vAlign w:val="center"/>
                </w:tcPr>
                <w:p w14:paraId="482921D5">
                  <w:pPr>
                    <w:rPr>
                      <w:rFonts w:hint="default"/>
                      <w:color w:val="auto"/>
                      <w:szCs w:val="21"/>
                      <w:lang w:val="en-US"/>
                    </w:rPr>
                  </w:pPr>
                  <w:r>
                    <w:rPr>
                      <w:rFonts w:hint="eastAsia"/>
                      <w:color w:val="auto"/>
                      <w:szCs w:val="21"/>
                      <w:lang w:val="en-US" w:eastAsia="zh-CN"/>
                    </w:rPr>
                    <w:t>设置为洁净车间，主要放置高温提纯设备，用于纯化工序</w:t>
                  </w:r>
                </w:p>
              </w:tc>
            </w:tr>
            <w:tr w14:paraId="69904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33" w:type="pct"/>
                  <w:vMerge w:val="continue"/>
                  <w:noWrap w:val="0"/>
                  <w:vAlign w:val="center"/>
                </w:tcPr>
                <w:p w14:paraId="0E2E619E">
                  <w:pPr>
                    <w:jc w:val="center"/>
                    <w:rPr>
                      <w:color w:val="auto"/>
                      <w:szCs w:val="21"/>
                    </w:rPr>
                  </w:pPr>
                </w:p>
              </w:tc>
              <w:tc>
                <w:tcPr>
                  <w:tcW w:w="720" w:type="pct"/>
                  <w:shd w:val="clear" w:color="auto" w:fill="auto"/>
                  <w:noWrap w:val="0"/>
                  <w:vAlign w:val="center"/>
                </w:tcPr>
                <w:p w14:paraId="0F533E00">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磁选区</w:t>
                  </w:r>
                </w:p>
              </w:tc>
              <w:tc>
                <w:tcPr>
                  <w:tcW w:w="637" w:type="pct"/>
                  <w:noWrap w:val="0"/>
                  <w:vAlign w:val="center"/>
                </w:tcPr>
                <w:p w14:paraId="1A5CEB5E">
                  <w:pPr>
                    <w:jc w:val="center"/>
                    <w:rPr>
                      <w:rFonts w:hint="default"/>
                      <w:color w:val="auto"/>
                      <w:szCs w:val="21"/>
                      <w:lang w:val="en-US"/>
                    </w:rPr>
                  </w:pPr>
                  <w:r>
                    <w:rPr>
                      <w:rFonts w:hint="eastAsia"/>
                      <w:color w:val="auto"/>
                      <w:szCs w:val="21"/>
                      <w:lang w:val="en-US" w:eastAsia="zh-CN"/>
                    </w:rPr>
                    <w:t>约160</w:t>
                  </w:r>
                  <w:r>
                    <w:rPr>
                      <w:color w:val="auto"/>
                      <w:szCs w:val="21"/>
                    </w:rPr>
                    <w:t>m</w:t>
                  </w:r>
                  <w:r>
                    <w:rPr>
                      <w:color w:val="auto"/>
                      <w:szCs w:val="21"/>
                      <w:vertAlign w:val="superscript"/>
                    </w:rPr>
                    <w:t>2</w:t>
                  </w:r>
                </w:p>
              </w:tc>
              <w:tc>
                <w:tcPr>
                  <w:tcW w:w="3208" w:type="pct"/>
                  <w:noWrap w:val="0"/>
                  <w:vAlign w:val="center"/>
                </w:tcPr>
                <w:p w14:paraId="3B939655">
                  <w:pPr>
                    <w:rPr>
                      <w:rFonts w:hint="default"/>
                      <w:color w:val="auto"/>
                      <w:szCs w:val="21"/>
                      <w:lang w:val="en-US"/>
                    </w:rPr>
                  </w:pPr>
                  <w:r>
                    <w:rPr>
                      <w:rFonts w:hint="eastAsia"/>
                      <w:color w:val="auto"/>
                      <w:szCs w:val="21"/>
                      <w:lang w:val="en-US" w:eastAsia="zh-CN"/>
                    </w:rPr>
                    <w:t>设置为洁净车间，主要放置高磁选机、磁选机等，用于磁选工序</w:t>
                  </w:r>
                </w:p>
              </w:tc>
            </w:tr>
            <w:tr w14:paraId="313F7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33" w:type="pct"/>
                  <w:vMerge w:val="continue"/>
                  <w:noWrap w:val="0"/>
                  <w:vAlign w:val="center"/>
                </w:tcPr>
                <w:p w14:paraId="4BB9807E">
                  <w:pPr>
                    <w:jc w:val="center"/>
                    <w:rPr>
                      <w:color w:val="auto"/>
                      <w:szCs w:val="21"/>
                    </w:rPr>
                  </w:pPr>
                </w:p>
              </w:tc>
              <w:tc>
                <w:tcPr>
                  <w:tcW w:w="720" w:type="pct"/>
                  <w:shd w:val="clear" w:color="auto" w:fill="auto"/>
                  <w:noWrap w:val="0"/>
                  <w:vAlign w:val="center"/>
                </w:tcPr>
                <w:p w14:paraId="60F12773">
                  <w:pPr>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水洗</w:t>
                  </w:r>
                  <w:r>
                    <w:rPr>
                      <w:rFonts w:hint="eastAsia" w:ascii="Times New Roman" w:hAnsi="Times New Roman" w:eastAsia="宋体" w:cs="Times New Roman"/>
                      <w:color w:val="auto"/>
                      <w:szCs w:val="21"/>
                      <w:lang w:val="en-US" w:eastAsia="zh-CN"/>
                    </w:rPr>
                    <w:t>区</w:t>
                  </w:r>
                </w:p>
              </w:tc>
              <w:tc>
                <w:tcPr>
                  <w:tcW w:w="637" w:type="pct"/>
                  <w:noWrap w:val="0"/>
                  <w:vAlign w:val="center"/>
                </w:tcPr>
                <w:p w14:paraId="6154DA25">
                  <w:pPr>
                    <w:jc w:val="center"/>
                    <w:rPr>
                      <w:rFonts w:hint="default"/>
                      <w:color w:val="auto"/>
                      <w:szCs w:val="21"/>
                      <w:lang w:val="en-US"/>
                    </w:rPr>
                  </w:pPr>
                  <w:r>
                    <w:rPr>
                      <w:rFonts w:hint="eastAsia"/>
                      <w:color w:val="auto"/>
                      <w:szCs w:val="21"/>
                      <w:lang w:val="en-US" w:eastAsia="zh-CN"/>
                    </w:rPr>
                    <w:t>约320</w:t>
                  </w:r>
                  <w:r>
                    <w:rPr>
                      <w:color w:val="auto"/>
                      <w:szCs w:val="21"/>
                    </w:rPr>
                    <w:t>m</w:t>
                  </w:r>
                  <w:r>
                    <w:rPr>
                      <w:color w:val="auto"/>
                      <w:szCs w:val="21"/>
                      <w:vertAlign w:val="superscript"/>
                    </w:rPr>
                    <w:t>2</w:t>
                  </w:r>
                </w:p>
              </w:tc>
              <w:tc>
                <w:tcPr>
                  <w:tcW w:w="3208" w:type="pct"/>
                  <w:noWrap w:val="0"/>
                  <w:vAlign w:val="center"/>
                </w:tcPr>
                <w:p w14:paraId="461BF36E">
                  <w:pPr>
                    <w:rPr>
                      <w:rFonts w:hint="default"/>
                      <w:color w:val="auto"/>
                      <w:szCs w:val="21"/>
                      <w:lang w:val="en-US"/>
                    </w:rPr>
                  </w:pPr>
                  <w:r>
                    <w:rPr>
                      <w:rFonts w:hint="eastAsia"/>
                      <w:color w:val="auto"/>
                      <w:szCs w:val="21"/>
                      <w:lang w:val="en-US" w:eastAsia="zh-CN"/>
                    </w:rPr>
                    <w:t>主要放置洗砂机等设备，用于石英砂水洗</w:t>
                  </w:r>
                </w:p>
              </w:tc>
            </w:tr>
            <w:tr w14:paraId="59DC6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5624315C">
                  <w:pPr>
                    <w:jc w:val="center"/>
                    <w:rPr>
                      <w:color w:val="auto"/>
                      <w:szCs w:val="21"/>
                    </w:rPr>
                  </w:pPr>
                </w:p>
              </w:tc>
              <w:tc>
                <w:tcPr>
                  <w:tcW w:w="4566" w:type="pct"/>
                  <w:gridSpan w:val="3"/>
                  <w:shd w:val="clear" w:color="auto" w:fill="auto"/>
                  <w:noWrap w:val="0"/>
                  <w:vAlign w:val="center"/>
                </w:tcPr>
                <w:p w14:paraId="36557C53">
                  <w:pPr>
                    <w:rPr>
                      <w:rFonts w:hint="default"/>
                      <w:color w:val="auto"/>
                      <w:szCs w:val="21"/>
                      <w:lang w:val="en-US" w:eastAsia="zh-CN"/>
                    </w:rPr>
                  </w:pPr>
                  <w:r>
                    <w:rPr>
                      <w:rFonts w:hint="eastAsia"/>
                      <w:color w:val="auto"/>
                      <w:szCs w:val="21"/>
                      <w:lang w:val="en-US" w:eastAsia="zh-CN"/>
                    </w:rPr>
                    <w:t>注：全厂洁净车间均为10万级（ISO 8级），一同采用一套过滤方式净化空气（分为初、中、高效过滤），过滤采取HEPA材质（玻璃纤维等）过滤材料。</w:t>
                  </w:r>
                </w:p>
              </w:tc>
            </w:tr>
            <w:tr w14:paraId="3DC44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restart"/>
                  <w:noWrap w:val="0"/>
                  <w:vAlign w:val="center"/>
                </w:tcPr>
                <w:p w14:paraId="5C777349">
                  <w:pPr>
                    <w:jc w:val="center"/>
                    <w:rPr>
                      <w:color w:val="auto"/>
                      <w:szCs w:val="21"/>
                    </w:rPr>
                  </w:pPr>
                  <w:r>
                    <w:rPr>
                      <w:color w:val="auto"/>
                      <w:szCs w:val="21"/>
                    </w:rPr>
                    <w:t>储运</w:t>
                  </w:r>
                </w:p>
                <w:p w14:paraId="76A8FBC4">
                  <w:pPr>
                    <w:jc w:val="center"/>
                    <w:rPr>
                      <w:color w:val="auto"/>
                      <w:szCs w:val="21"/>
                    </w:rPr>
                  </w:pPr>
                  <w:r>
                    <w:rPr>
                      <w:color w:val="auto"/>
                      <w:szCs w:val="21"/>
                    </w:rPr>
                    <w:t>工程</w:t>
                  </w:r>
                </w:p>
              </w:tc>
              <w:tc>
                <w:tcPr>
                  <w:tcW w:w="720" w:type="pct"/>
                  <w:noWrap w:val="0"/>
                  <w:vAlign w:val="center"/>
                </w:tcPr>
                <w:p w14:paraId="19683FFA">
                  <w:pPr>
                    <w:jc w:val="center"/>
                    <w:rPr>
                      <w:color w:val="auto"/>
                      <w:szCs w:val="21"/>
                    </w:rPr>
                  </w:pPr>
                  <w:r>
                    <w:rPr>
                      <w:rFonts w:hint="default" w:ascii="Times New Roman" w:hAnsi="Times New Roman" w:eastAsia="宋体" w:cs="Times New Roman"/>
                      <w:color w:val="auto"/>
                      <w:szCs w:val="21"/>
                      <w:lang w:val="en-US" w:eastAsia="zh-CN"/>
                    </w:rPr>
                    <w:t>原矿堆场</w:t>
                  </w:r>
                </w:p>
              </w:tc>
              <w:tc>
                <w:tcPr>
                  <w:tcW w:w="3846" w:type="pct"/>
                  <w:gridSpan w:val="2"/>
                  <w:noWrap w:val="0"/>
                  <w:vAlign w:val="center"/>
                </w:tcPr>
                <w:p w14:paraId="112D4D53">
                  <w:pPr>
                    <w:rPr>
                      <w:rFonts w:hint="default" w:eastAsia="宋体"/>
                      <w:b w:val="0"/>
                      <w:bCs w:val="0"/>
                      <w:color w:val="auto"/>
                      <w:szCs w:val="21"/>
                      <w:u w:val="none"/>
                      <w:lang w:val="en-US" w:eastAsia="zh-CN"/>
                    </w:rPr>
                  </w:pPr>
                  <w:r>
                    <w:rPr>
                      <w:rFonts w:hint="eastAsia"/>
                      <w:b w:val="0"/>
                      <w:bCs w:val="0"/>
                      <w:color w:val="auto"/>
                      <w:szCs w:val="21"/>
                      <w:u w:val="none"/>
                    </w:rPr>
                    <w:t>面积</w:t>
                  </w:r>
                  <w:r>
                    <w:rPr>
                      <w:rFonts w:hint="eastAsia"/>
                      <w:b w:val="0"/>
                      <w:bCs w:val="0"/>
                      <w:color w:val="auto"/>
                      <w:szCs w:val="21"/>
                      <w:u w:val="none"/>
                      <w:lang w:val="en-US" w:eastAsia="zh-CN"/>
                    </w:rPr>
                    <w:t>360</w:t>
                  </w:r>
                  <w:r>
                    <w:rPr>
                      <w:rFonts w:hint="eastAsia"/>
                      <w:b w:val="0"/>
                      <w:bCs w:val="0"/>
                      <w:color w:val="auto"/>
                      <w:szCs w:val="21"/>
                      <w:u w:val="none"/>
                    </w:rPr>
                    <w:t>m</w:t>
                  </w:r>
                  <w:r>
                    <w:rPr>
                      <w:rFonts w:hint="eastAsia"/>
                      <w:b w:val="0"/>
                      <w:bCs w:val="0"/>
                      <w:color w:val="auto"/>
                      <w:szCs w:val="21"/>
                      <w:u w:val="none"/>
                      <w:vertAlign w:val="superscript"/>
                    </w:rPr>
                    <w:t>2</w:t>
                  </w:r>
                  <w:r>
                    <w:rPr>
                      <w:rFonts w:hint="eastAsia"/>
                      <w:b w:val="0"/>
                      <w:bCs w:val="0"/>
                      <w:color w:val="auto"/>
                      <w:szCs w:val="21"/>
                      <w:u w:val="none"/>
                    </w:rPr>
                    <w:t>，</w:t>
                  </w:r>
                  <w:r>
                    <w:rPr>
                      <w:rFonts w:hint="eastAsia"/>
                      <w:b w:val="0"/>
                      <w:bCs w:val="0"/>
                      <w:color w:val="auto"/>
                      <w:szCs w:val="21"/>
                      <w:u w:val="none"/>
                      <w:lang w:val="en-US" w:eastAsia="zh-CN"/>
                    </w:rPr>
                    <w:t>存放石英石，</w:t>
                  </w:r>
                  <w:r>
                    <w:rPr>
                      <w:rFonts w:hint="eastAsia"/>
                      <w:b w:val="0"/>
                      <w:bCs w:val="0"/>
                      <w:color w:val="auto"/>
                      <w:szCs w:val="21"/>
                      <w:u w:val="none"/>
                    </w:rPr>
                    <w:t>上方设置喷雾抑尘设施</w:t>
                  </w:r>
                  <w:r>
                    <w:rPr>
                      <w:rFonts w:hint="eastAsia"/>
                      <w:b w:val="0"/>
                      <w:bCs w:val="0"/>
                      <w:color w:val="auto"/>
                      <w:szCs w:val="21"/>
                      <w:u w:val="none"/>
                      <w:lang w:eastAsia="zh-CN"/>
                    </w:rPr>
                    <w:t>。</w:t>
                  </w:r>
                </w:p>
              </w:tc>
            </w:tr>
            <w:tr w14:paraId="78DF5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5" w:hRule="atLeast"/>
              </w:trPr>
              <w:tc>
                <w:tcPr>
                  <w:tcW w:w="433" w:type="pct"/>
                  <w:vMerge w:val="continue"/>
                  <w:noWrap w:val="0"/>
                  <w:vAlign w:val="center"/>
                </w:tcPr>
                <w:p w14:paraId="215E63D7">
                  <w:pPr>
                    <w:jc w:val="center"/>
                    <w:rPr>
                      <w:color w:val="auto"/>
                      <w:szCs w:val="21"/>
                    </w:rPr>
                  </w:pPr>
                </w:p>
              </w:tc>
              <w:tc>
                <w:tcPr>
                  <w:tcW w:w="720" w:type="pct"/>
                  <w:noWrap w:val="0"/>
                  <w:vAlign w:val="center"/>
                </w:tcPr>
                <w:p w14:paraId="6D8FF7F6">
                  <w:pPr>
                    <w:jc w:val="center"/>
                    <w:rPr>
                      <w:rFonts w:hint="eastAsia"/>
                      <w:color w:val="auto"/>
                      <w:szCs w:val="21"/>
                    </w:rPr>
                  </w:pPr>
                  <w:r>
                    <w:rPr>
                      <w:rFonts w:hint="eastAsia" w:ascii="Times New Roman" w:hAnsi="Times New Roman" w:eastAsia="宋体" w:cs="Times New Roman"/>
                      <w:color w:val="auto"/>
                      <w:szCs w:val="21"/>
                      <w:lang w:val="en-US" w:eastAsia="zh-CN"/>
                    </w:rPr>
                    <w:t>罐区</w:t>
                  </w:r>
                </w:p>
              </w:tc>
              <w:tc>
                <w:tcPr>
                  <w:tcW w:w="3846" w:type="pct"/>
                  <w:gridSpan w:val="2"/>
                  <w:noWrap w:val="0"/>
                  <w:vAlign w:val="center"/>
                </w:tcPr>
                <w:p w14:paraId="4020A2F6">
                  <w:pPr>
                    <w:rPr>
                      <w:rFonts w:hint="eastAsia" w:eastAsia="宋体"/>
                      <w:b w:val="0"/>
                      <w:bCs w:val="0"/>
                      <w:color w:val="auto"/>
                      <w:szCs w:val="21"/>
                      <w:u w:val="none"/>
                      <w:lang w:val="en-US" w:eastAsia="zh-CN"/>
                    </w:rPr>
                  </w:pPr>
                  <w:r>
                    <w:rPr>
                      <w:rFonts w:hint="eastAsia"/>
                      <w:b w:val="0"/>
                      <w:bCs w:val="0"/>
                      <w:color w:val="auto"/>
                      <w:szCs w:val="21"/>
                      <w:u w:val="none"/>
                      <w:lang w:val="en-US" w:eastAsia="zh-CN"/>
                    </w:rPr>
                    <w:t>罐区面积15*24m，</w:t>
                  </w:r>
                  <w:r>
                    <w:rPr>
                      <w:rFonts w:hint="eastAsia"/>
                      <w:b w:val="0"/>
                      <w:bCs w:val="0"/>
                      <w:color w:val="auto"/>
                      <w:szCs w:val="21"/>
                      <w:u w:val="none"/>
                    </w:rPr>
                    <w:t>布置</w:t>
                  </w:r>
                  <w:r>
                    <w:rPr>
                      <w:rFonts w:hint="eastAsia"/>
                      <w:b w:val="0"/>
                      <w:bCs w:val="0"/>
                      <w:color w:val="auto"/>
                      <w:szCs w:val="21"/>
                      <w:u w:val="none"/>
                      <w:lang w:val="en-US" w:eastAsia="zh-CN"/>
                    </w:rPr>
                    <w:t>30</w:t>
                  </w:r>
                  <w:r>
                    <w:rPr>
                      <w:rFonts w:hint="eastAsia"/>
                      <w:b w:val="0"/>
                      <w:bCs w:val="0"/>
                      <w:color w:val="auto"/>
                      <w:szCs w:val="21"/>
                      <w:u w:val="none"/>
                    </w:rPr>
                    <w:t>m</w:t>
                  </w:r>
                  <w:r>
                    <w:rPr>
                      <w:rFonts w:hint="eastAsia"/>
                      <w:b w:val="0"/>
                      <w:bCs w:val="0"/>
                      <w:color w:val="auto"/>
                      <w:szCs w:val="21"/>
                      <w:u w:val="none"/>
                      <w:vertAlign w:val="superscript"/>
                      <w:lang w:val="en-US" w:eastAsia="zh-CN"/>
                    </w:rPr>
                    <w:t>3</w:t>
                  </w:r>
                  <w:r>
                    <w:rPr>
                      <w:rFonts w:hint="eastAsia"/>
                      <w:b w:val="0"/>
                      <w:bCs w:val="0"/>
                      <w:color w:val="auto"/>
                      <w:szCs w:val="21"/>
                      <w:u w:val="none"/>
                    </w:rPr>
                    <w:t>盐酸储罐2</w:t>
                  </w:r>
                  <w:r>
                    <w:rPr>
                      <w:rFonts w:hint="eastAsia"/>
                      <w:b w:val="0"/>
                      <w:bCs w:val="0"/>
                      <w:color w:val="auto"/>
                      <w:szCs w:val="21"/>
                      <w:u w:val="none"/>
                      <w:lang w:eastAsia="zh-CN"/>
                    </w:rPr>
                    <w:t>个、</w:t>
                  </w:r>
                  <w:r>
                    <w:rPr>
                      <w:rFonts w:hint="eastAsia"/>
                      <w:b w:val="0"/>
                      <w:bCs w:val="0"/>
                      <w:color w:val="auto"/>
                      <w:szCs w:val="21"/>
                      <w:u w:val="none"/>
                      <w:lang w:val="en-US" w:eastAsia="zh-CN"/>
                    </w:rPr>
                    <w:t>3</w:t>
                  </w:r>
                  <w:r>
                    <w:rPr>
                      <w:rFonts w:hint="eastAsia"/>
                      <w:b w:val="0"/>
                      <w:bCs w:val="0"/>
                      <w:color w:val="auto"/>
                      <w:szCs w:val="21"/>
                      <w:u w:val="none"/>
                    </w:rPr>
                    <w:t>0m</w:t>
                  </w:r>
                  <w:r>
                    <w:rPr>
                      <w:rFonts w:hint="eastAsia"/>
                      <w:b w:val="0"/>
                      <w:bCs w:val="0"/>
                      <w:color w:val="auto"/>
                      <w:szCs w:val="21"/>
                      <w:u w:val="none"/>
                      <w:vertAlign w:val="superscript"/>
                      <w:lang w:val="en-US" w:eastAsia="zh-CN"/>
                    </w:rPr>
                    <w:t>3</w:t>
                  </w:r>
                  <w:r>
                    <w:rPr>
                      <w:rFonts w:hint="eastAsia"/>
                      <w:b w:val="0"/>
                      <w:bCs w:val="0"/>
                      <w:color w:val="auto"/>
                      <w:szCs w:val="21"/>
                      <w:u w:val="none"/>
                    </w:rPr>
                    <w:t>氢氟酸储罐2</w:t>
                  </w:r>
                  <w:r>
                    <w:rPr>
                      <w:rFonts w:hint="eastAsia"/>
                      <w:b w:val="0"/>
                      <w:bCs w:val="0"/>
                      <w:color w:val="auto"/>
                      <w:szCs w:val="21"/>
                      <w:u w:val="none"/>
                      <w:lang w:eastAsia="zh-CN"/>
                    </w:rPr>
                    <w:t>个、</w:t>
                  </w:r>
                  <w:r>
                    <w:rPr>
                      <w:rFonts w:hint="eastAsia"/>
                      <w:b w:val="0"/>
                      <w:bCs w:val="0"/>
                      <w:color w:val="auto"/>
                      <w:szCs w:val="21"/>
                      <w:u w:val="none"/>
                      <w:lang w:val="en-US" w:eastAsia="zh-CN"/>
                    </w:rPr>
                    <w:t>1</w:t>
                  </w:r>
                  <w:r>
                    <w:rPr>
                      <w:rFonts w:hint="eastAsia"/>
                      <w:b w:val="0"/>
                      <w:bCs w:val="0"/>
                      <w:color w:val="auto"/>
                      <w:szCs w:val="21"/>
                      <w:u w:val="none"/>
                    </w:rPr>
                    <w:t>0m</w:t>
                  </w:r>
                  <w:r>
                    <w:rPr>
                      <w:rFonts w:hint="eastAsia"/>
                      <w:b w:val="0"/>
                      <w:bCs w:val="0"/>
                      <w:color w:val="auto"/>
                      <w:szCs w:val="21"/>
                      <w:u w:val="none"/>
                      <w:vertAlign w:val="superscript"/>
                      <w:lang w:val="en-US" w:eastAsia="zh-CN"/>
                    </w:rPr>
                    <w:t>3</w:t>
                  </w:r>
                  <w:r>
                    <w:rPr>
                      <w:rFonts w:hint="eastAsia"/>
                      <w:b w:val="0"/>
                      <w:bCs w:val="0"/>
                      <w:color w:val="auto"/>
                      <w:szCs w:val="21"/>
                      <w:u w:val="none"/>
                    </w:rPr>
                    <w:t>混合酸储罐1个</w:t>
                  </w:r>
                  <w:r>
                    <w:rPr>
                      <w:rFonts w:hint="eastAsia"/>
                      <w:b w:val="0"/>
                      <w:bCs w:val="0"/>
                      <w:color w:val="auto"/>
                      <w:szCs w:val="21"/>
                      <w:u w:val="none"/>
                      <w:lang w:eastAsia="zh-CN"/>
                    </w:rPr>
                    <w:t>、</w:t>
                  </w:r>
                  <w:r>
                    <w:rPr>
                      <w:rFonts w:hint="eastAsia"/>
                      <w:b w:val="0"/>
                      <w:bCs w:val="0"/>
                      <w:color w:val="auto"/>
                      <w:szCs w:val="21"/>
                      <w:u w:val="none"/>
                      <w:lang w:val="en-US" w:eastAsia="zh-CN"/>
                    </w:rPr>
                    <w:t>3</w:t>
                  </w:r>
                  <w:r>
                    <w:rPr>
                      <w:rFonts w:hint="eastAsia"/>
                      <w:b w:val="0"/>
                      <w:bCs w:val="0"/>
                      <w:color w:val="auto"/>
                      <w:szCs w:val="21"/>
                      <w:u w:val="none"/>
                    </w:rPr>
                    <w:t>0m</w:t>
                  </w:r>
                  <w:r>
                    <w:rPr>
                      <w:rFonts w:hint="eastAsia"/>
                      <w:b w:val="0"/>
                      <w:bCs w:val="0"/>
                      <w:color w:val="auto"/>
                      <w:szCs w:val="21"/>
                      <w:u w:val="none"/>
                      <w:vertAlign w:val="superscript"/>
                      <w:lang w:val="en-US" w:eastAsia="zh-CN"/>
                    </w:rPr>
                    <w:t>3</w:t>
                  </w:r>
                  <w:r>
                    <w:rPr>
                      <w:rFonts w:hint="eastAsia"/>
                      <w:b w:val="0"/>
                      <w:bCs w:val="0"/>
                      <w:color w:val="auto"/>
                      <w:szCs w:val="21"/>
                      <w:u w:val="none"/>
                      <w:vertAlign w:val="baseline"/>
                      <w:lang w:val="en-US" w:eastAsia="zh-CN"/>
                    </w:rPr>
                    <w:t>废</w:t>
                  </w:r>
                  <w:r>
                    <w:rPr>
                      <w:rFonts w:hint="eastAsia"/>
                      <w:b w:val="0"/>
                      <w:bCs w:val="0"/>
                      <w:color w:val="auto"/>
                      <w:szCs w:val="21"/>
                      <w:u w:val="none"/>
                    </w:rPr>
                    <w:t>酸储罐</w:t>
                  </w:r>
                  <w:r>
                    <w:rPr>
                      <w:rFonts w:hint="eastAsia"/>
                      <w:b w:val="0"/>
                      <w:bCs w:val="0"/>
                      <w:color w:val="auto"/>
                      <w:szCs w:val="21"/>
                      <w:u w:val="none"/>
                      <w:lang w:val="en-US" w:eastAsia="zh-CN"/>
                    </w:rPr>
                    <w:t>2</w:t>
                  </w:r>
                  <w:r>
                    <w:rPr>
                      <w:rFonts w:hint="eastAsia"/>
                      <w:b w:val="0"/>
                      <w:bCs w:val="0"/>
                      <w:color w:val="auto"/>
                      <w:szCs w:val="21"/>
                      <w:u w:val="none"/>
                    </w:rPr>
                    <w:t>个</w:t>
                  </w:r>
                  <w:r>
                    <w:rPr>
                      <w:rFonts w:hint="eastAsia"/>
                      <w:b w:val="0"/>
                      <w:bCs w:val="0"/>
                      <w:color w:val="auto"/>
                      <w:szCs w:val="21"/>
                      <w:u w:val="none"/>
                      <w:lang w:eastAsia="zh-CN"/>
                    </w:rPr>
                    <w:t>，</w:t>
                  </w:r>
                  <w:r>
                    <w:rPr>
                      <w:rFonts w:hint="eastAsia"/>
                      <w:b w:val="0"/>
                      <w:bCs w:val="0"/>
                      <w:color w:val="auto"/>
                      <w:szCs w:val="21"/>
                      <w:u w:val="none"/>
                    </w:rPr>
                    <w:t>储罐为高分子PP储罐，采用酸泵</w:t>
                  </w:r>
                  <w:r>
                    <w:rPr>
                      <w:rFonts w:hint="eastAsia"/>
                      <w:b w:val="0"/>
                      <w:bCs w:val="0"/>
                      <w:color w:val="auto"/>
                      <w:szCs w:val="21"/>
                      <w:u w:val="none"/>
                      <w:lang w:eastAsia="zh-CN"/>
                    </w:rPr>
                    <w:t>密闭管道</w:t>
                  </w:r>
                  <w:r>
                    <w:rPr>
                      <w:rFonts w:hint="eastAsia"/>
                      <w:b w:val="0"/>
                      <w:bCs w:val="0"/>
                      <w:color w:val="auto"/>
                      <w:szCs w:val="21"/>
                      <w:u w:val="none"/>
                    </w:rPr>
                    <w:t>输送。</w:t>
                  </w:r>
                  <w:r>
                    <w:rPr>
                      <w:rFonts w:hint="eastAsia"/>
                      <w:b w:val="0"/>
                      <w:bCs w:val="0"/>
                      <w:color w:val="auto"/>
                      <w:szCs w:val="21"/>
                      <w:u w:val="none"/>
                      <w:lang w:val="en-US" w:eastAsia="zh-CN"/>
                    </w:rPr>
                    <w:t>其中盐酸、氢氟酸罐区围堰9*9*</w:t>
                  </w:r>
                  <w:r>
                    <w:rPr>
                      <w:rFonts w:hint="eastAsia"/>
                      <w:b w:val="0"/>
                      <w:bCs w:val="0"/>
                      <w:color w:val="auto"/>
                      <w:szCs w:val="21"/>
                      <w:u w:val="none"/>
                      <w:vertAlign w:val="baseline"/>
                      <w:lang w:val="en-US" w:eastAsia="zh-CN"/>
                    </w:rPr>
                    <w:t>1.5m</w:t>
                  </w:r>
                  <w:r>
                    <w:rPr>
                      <w:rFonts w:hint="eastAsia"/>
                      <w:b w:val="0"/>
                      <w:bCs w:val="0"/>
                      <w:color w:val="auto"/>
                      <w:szCs w:val="21"/>
                      <w:u w:val="none"/>
                    </w:rPr>
                    <w:t>，</w:t>
                  </w:r>
                  <w:r>
                    <w:rPr>
                      <w:rFonts w:hint="eastAsia"/>
                      <w:b w:val="0"/>
                      <w:bCs w:val="0"/>
                      <w:color w:val="auto"/>
                      <w:szCs w:val="21"/>
                      <w:u w:val="none"/>
                      <w:lang w:val="en-US" w:eastAsia="zh-CN"/>
                    </w:rPr>
                    <w:t>废酸、混合酸罐区围堰8*6*</w:t>
                  </w:r>
                  <w:r>
                    <w:rPr>
                      <w:rFonts w:hint="eastAsia"/>
                      <w:b w:val="0"/>
                      <w:bCs w:val="0"/>
                      <w:color w:val="auto"/>
                      <w:szCs w:val="21"/>
                      <w:u w:val="none"/>
                      <w:vertAlign w:val="baseline"/>
                      <w:lang w:val="en-US" w:eastAsia="zh-CN"/>
                    </w:rPr>
                    <w:t>1.5m。</w:t>
                  </w:r>
                </w:p>
              </w:tc>
            </w:tr>
            <w:tr w14:paraId="0EE4D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9" w:hRule="atLeast"/>
              </w:trPr>
              <w:tc>
                <w:tcPr>
                  <w:tcW w:w="433" w:type="pct"/>
                  <w:vMerge w:val="continue"/>
                  <w:noWrap w:val="0"/>
                  <w:vAlign w:val="center"/>
                </w:tcPr>
                <w:p w14:paraId="09E7C77A">
                  <w:pPr>
                    <w:jc w:val="center"/>
                    <w:rPr>
                      <w:color w:val="auto"/>
                      <w:szCs w:val="21"/>
                    </w:rPr>
                  </w:pPr>
                </w:p>
              </w:tc>
              <w:tc>
                <w:tcPr>
                  <w:tcW w:w="720" w:type="pct"/>
                  <w:noWrap w:val="0"/>
                  <w:vAlign w:val="center"/>
                </w:tcPr>
                <w:p w14:paraId="316FDBAD">
                  <w:pPr>
                    <w:jc w:val="center"/>
                    <w:rPr>
                      <w:rFonts w:hint="eastAsia"/>
                      <w:color w:val="auto"/>
                      <w:szCs w:val="21"/>
                    </w:rPr>
                  </w:pPr>
                  <w:r>
                    <w:rPr>
                      <w:rFonts w:hint="eastAsia" w:cs="Times New Roman"/>
                      <w:color w:val="auto"/>
                      <w:szCs w:val="21"/>
                      <w:lang w:val="en-US" w:eastAsia="zh-CN"/>
                    </w:rPr>
                    <w:t>原料区</w:t>
                  </w:r>
                </w:p>
              </w:tc>
              <w:tc>
                <w:tcPr>
                  <w:tcW w:w="3846" w:type="pct"/>
                  <w:gridSpan w:val="2"/>
                  <w:noWrap w:val="0"/>
                  <w:vAlign w:val="center"/>
                </w:tcPr>
                <w:p w14:paraId="7C97A9BE">
                  <w:pPr>
                    <w:rPr>
                      <w:rFonts w:hint="eastAsia"/>
                      <w:b w:val="0"/>
                      <w:bCs w:val="0"/>
                      <w:color w:val="auto"/>
                      <w:szCs w:val="21"/>
                      <w:u w:val="none"/>
                    </w:rPr>
                  </w:pPr>
                  <w:r>
                    <w:rPr>
                      <w:rFonts w:hint="eastAsia"/>
                      <w:b w:val="0"/>
                      <w:bCs w:val="0"/>
                      <w:color w:val="auto"/>
                      <w:szCs w:val="21"/>
                      <w:u w:val="none"/>
                    </w:rPr>
                    <w:t>面积</w:t>
                  </w:r>
                  <w:r>
                    <w:rPr>
                      <w:rFonts w:hint="eastAsia"/>
                      <w:b w:val="0"/>
                      <w:bCs w:val="0"/>
                      <w:color w:val="auto"/>
                      <w:szCs w:val="21"/>
                      <w:u w:val="none"/>
                      <w:lang w:val="en-US" w:eastAsia="zh-CN"/>
                    </w:rPr>
                    <w:t>180</w:t>
                  </w:r>
                  <w:r>
                    <w:rPr>
                      <w:rFonts w:hint="eastAsia"/>
                      <w:b w:val="0"/>
                      <w:bCs w:val="0"/>
                      <w:color w:val="auto"/>
                      <w:szCs w:val="21"/>
                      <w:u w:val="none"/>
                    </w:rPr>
                    <w:t>m</w:t>
                  </w:r>
                  <w:r>
                    <w:rPr>
                      <w:rFonts w:hint="eastAsia"/>
                      <w:b w:val="0"/>
                      <w:bCs w:val="0"/>
                      <w:color w:val="auto"/>
                      <w:szCs w:val="21"/>
                      <w:u w:val="none"/>
                      <w:vertAlign w:val="superscript"/>
                    </w:rPr>
                    <w:t>2</w:t>
                  </w:r>
                  <w:r>
                    <w:rPr>
                      <w:rFonts w:hint="eastAsia"/>
                      <w:b w:val="0"/>
                      <w:bCs w:val="0"/>
                      <w:color w:val="auto"/>
                      <w:szCs w:val="21"/>
                      <w:u w:val="none"/>
                    </w:rPr>
                    <w:t>，存放氯化氢</w:t>
                  </w:r>
                  <w:r>
                    <w:rPr>
                      <w:rFonts w:hint="eastAsia"/>
                      <w:color w:val="auto"/>
                      <w:lang w:val="en-US" w:eastAsia="zh-CN"/>
                    </w:rPr>
                    <w:t>钢瓶</w:t>
                  </w:r>
                  <w:r>
                    <w:rPr>
                      <w:rFonts w:hint="eastAsia"/>
                      <w:b w:val="0"/>
                      <w:bCs w:val="0"/>
                      <w:color w:val="auto"/>
                      <w:szCs w:val="21"/>
                      <w:u w:val="none"/>
                    </w:rPr>
                    <w:t>、浮选剂</w:t>
                  </w:r>
                  <w:r>
                    <w:rPr>
                      <w:rFonts w:hint="eastAsia"/>
                      <w:b w:val="0"/>
                      <w:bCs w:val="0"/>
                      <w:color w:val="auto"/>
                      <w:szCs w:val="21"/>
                      <w:u w:val="none"/>
                      <w:lang w:val="en-US" w:eastAsia="zh-CN"/>
                    </w:rPr>
                    <w:t>等</w:t>
                  </w:r>
                  <w:r>
                    <w:rPr>
                      <w:rFonts w:hint="eastAsia"/>
                      <w:b w:val="0"/>
                      <w:bCs w:val="0"/>
                      <w:color w:val="auto"/>
                      <w:szCs w:val="21"/>
                      <w:u w:val="none"/>
                    </w:rPr>
                    <w:t>。</w:t>
                  </w:r>
                </w:p>
              </w:tc>
            </w:tr>
            <w:tr w14:paraId="11B16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6BF8B7CC">
                  <w:pPr>
                    <w:jc w:val="center"/>
                    <w:rPr>
                      <w:color w:val="auto"/>
                      <w:szCs w:val="21"/>
                    </w:rPr>
                  </w:pPr>
                </w:p>
              </w:tc>
              <w:tc>
                <w:tcPr>
                  <w:tcW w:w="720" w:type="pct"/>
                  <w:noWrap w:val="0"/>
                  <w:vAlign w:val="center"/>
                </w:tcPr>
                <w:p w14:paraId="234DE87A">
                  <w:pPr>
                    <w:jc w:val="center"/>
                    <w:rPr>
                      <w:color w:val="auto"/>
                      <w:szCs w:val="21"/>
                    </w:rPr>
                  </w:pPr>
                  <w:r>
                    <w:rPr>
                      <w:rFonts w:hint="eastAsia" w:ascii="Times New Roman" w:hAnsi="Times New Roman" w:eastAsia="宋体" w:cs="Times New Roman"/>
                      <w:color w:val="auto"/>
                      <w:szCs w:val="21"/>
                      <w:lang w:val="en-US" w:eastAsia="zh-CN"/>
                    </w:rPr>
                    <w:t>成品区</w:t>
                  </w:r>
                </w:p>
              </w:tc>
              <w:tc>
                <w:tcPr>
                  <w:tcW w:w="3846" w:type="pct"/>
                  <w:gridSpan w:val="2"/>
                  <w:noWrap w:val="0"/>
                  <w:vAlign w:val="center"/>
                </w:tcPr>
                <w:p w14:paraId="0CEF5C34">
                  <w:pPr>
                    <w:rPr>
                      <w:rFonts w:hint="eastAsia"/>
                      <w:b w:val="0"/>
                      <w:bCs w:val="0"/>
                      <w:color w:val="auto"/>
                      <w:szCs w:val="21"/>
                      <w:u w:val="none"/>
                    </w:rPr>
                  </w:pPr>
                  <w:r>
                    <w:rPr>
                      <w:rFonts w:hint="eastAsia"/>
                      <w:color w:val="auto"/>
                      <w:szCs w:val="21"/>
                      <w:lang w:val="en-US" w:eastAsia="zh-CN"/>
                    </w:rPr>
                    <w:t>设置为洁净车间，</w:t>
                  </w:r>
                  <w:r>
                    <w:rPr>
                      <w:b w:val="0"/>
                      <w:bCs w:val="0"/>
                      <w:color w:val="auto"/>
                      <w:szCs w:val="21"/>
                      <w:u w:val="none"/>
                    </w:rPr>
                    <w:t>面积</w:t>
                  </w:r>
                  <w:r>
                    <w:rPr>
                      <w:rFonts w:hint="eastAsia"/>
                      <w:b w:val="0"/>
                      <w:bCs w:val="0"/>
                      <w:color w:val="auto"/>
                      <w:szCs w:val="21"/>
                      <w:u w:val="none"/>
                      <w:lang w:val="en-US" w:eastAsia="zh-CN"/>
                    </w:rPr>
                    <w:t>480</w:t>
                  </w:r>
                  <w:r>
                    <w:rPr>
                      <w:b w:val="0"/>
                      <w:bCs w:val="0"/>
                      <w:color w:val="auto"/>
                      <w:szCs w:val="21"/>
                      <w:u w:val="none"/>
                    </w:rPr>
                    <w:t>m</w:t>
                  </w:r>
                  <w:r>
                    <w:rPr>
                      <w:b w:val="0"/>
                      <w:bCs w:val="0"/>
                      <w:color w:val="auto"/>
                      <w:szCs w:val="21"/>
                      <w:u w:val="none"/>
                      <w:vertAlign w:val="superscript"/>
                    </w:rPr>
                    <w:t>2</w:t>
                  </w:r>
                  <w:r>
                    <w:rPr>
                      <w:rFonts w:hint="eastAsia"/>
                      <w:b w:val="0"/>
                      <w:bCs w:val="0"/>
                      <w:color w:val="auto"/>
                      <w:szCs w:val="21"/>
                      <w:u w:val="none"/>
                    </w:rPr>
                    <w:t>，存放成品。</w:t>
                  </w:r>
                </w:p>
              </w:tc>
            </w:tr>
            <w:tr w14:paraId="7820E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8" w:hRule="atLeast"/>
              </w:trPr>
              <w:tc>
                <w:tcPr>
                  <w:tcW w:w="433" w:type="pct"/>
                  <w:vMerge w:val="restart"/>
                  <w:noWrap w:val="0"/>
                  <w:vAlign w:val="center"/>
                </w:tcPr>
                <w:p w14:paraId="24BC8F9F">
                  <w:pPr>
                    <w:jc w:val="center"/>
                    <w:rPr>
                      <w:color w:val="auto"/>
                      <w:szCs w:val="21"/>
                    </w:rPr>
                  </w:pPr>
                  <w:r>
                    <w:rPr>
                      <w:color w:val="auto"/>
                      <w:szCs w:val="21"/>
                    </w:rPr>
                    <w:t>公用工程</w:t>
                  </w:r>
                </w:p>
              </w:tc>
              <w:tc>
                <w:tcPr>
                  <w:tcW w:w="720" w:type="pct"/>
                  <w:noWrap w:val="0"/>
                  <w:vAlign w:val="center"/>
                </w:tcPr>
                <w:p w14:paraId="4A610C91">
                  <w:pPr>
                    <w:jc w:val="center"/>
                    <w:rPr>
                      <w:color w:val="auto"/>
                      <w:szCs w:val="21"/>
                    </w:rPr>
                  </w:pPr>
                  <w:r>
                    <w:rPr>
                      <w:color w:val="auto"/>
                      <w:szCs w:val="21"/>
                    </w:rPr>
                    <w:t>供水</w:t>
                  </w:r>
                </w:p>
              </w:tc>
              <w:tc>
                <w:tcPr>
                  <w:tcW w:w="3846" w:type="pct"/>
                  <w:gridSpan w:val="2"/>
                  <w:shd w:val="clear" w:color="auto" w:fill="auto"/>
                  <w:noWrap w:val="0"/>
                  <w:vAlign w:val="center"/>
                </w:tcPr>
                <w:p w14:paraId="331BEA85">
                  <w:pPr>
                    <w:rPr>
                      <w:rFonts w:ascii="Times New Roman" w:hAnsi="Times New Roman" w:eastAsia="宋体" w:cs="Times New Roman"/>
                      <w:color w:val="auto"/>
                      <w:kern w:val="2"/>
                      <w:sz w:val="21"/>
                      <w:szCs w:val="21"/>
                      <w:lang w:val="en-US" w:eastAsia="zh-CN" w:bidi="ar-SA"/>
                    </w:rPr>
                  </w:pPr>
                  <w:r>
                    <w:rPr>
                      <w:bCs/>
                      <w:color w:val="auto"/>
                      <w:szCs w:val="21"/>
                    </w:rPr>
                    <w:t>项目用水由自来水厂通过市政管网供给</w:t>
                  </w:r>
                  <w:r>
                    <w:rPr>
                      <w:rFonts w:hint="eastAsia"/>
                      <w:bCs/>
                      <w:color w:val="auto"/>
                      <w:szCs w:val="21"/>
                      <w:lang w:eastAsia="zh-CN"/>
                    </w:rPr>
                    <w:t>，</w:t>
                  </w:r>
                  <w:r>
                    <w:rPr>
                      <w:rFonts w:hint="eastAsia"/>
                      <w:bCs/>
                      <w:color w:val="auto"/>
                      <w:szCs w:val="21"/>
                      <w:lang w:val="en-US" w:eastAsia="zh-CN"/>
                    </w:rPr>
                    <w:t>本项目用水约73.34t/d</w:t>
                  </w:r>
                  <w:r>
                    <w:rPr>
                      <w:bCs/>
                      <w:color w:val="auto"/>
                      <w:szCs w:val="21"/>
                    </w:rPr>
                    <w:t>。</w:t>
                  </w:r>
                </w:p>
              </w:tc>
            </w:tr>
            <w:tr w14:paraId="20416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3" w:type="pct"/>
                  <w:vMerge w:val="continue"/>
                  <w:noWrap w:val="0"/>
                  <w:vAlign w:val="center"/>
                </w:tcPr>
                <w:p w14:paraId="17193616">
                  <w:pPr>
                    <w:jc w:val="center"/>
                    <w:rPr>
                      <w:color w:val="auto"/>
                      <w:szCs w:val="21"/>
                    </w:rPr>
                  </w:pPr>
                </w:p>
              </w:tc>
              <w:tc>
                <w:tcPr>
                  <w:tcW w:w="720" w:type="pct"/>
                  <w:noWrap w:val="0"/>
                  <w:vAlign w:val="center"/>
                </w:tcPr>
                <w:p w14:paraId="2397AD77">
                  <w:pPr>
                    <w:jc w:val="center"/>
                    <w:rPr>
                      <w:color w:val="auto"/>
                      <w:szCs w:val="21"/>
                    </w:rPr>
                  </w:pPr>
                  <w:r>
                    <w:rPr>
                      <w:rFonts w:hint="eastAsia" w:ascii="Times New Roman" w:hAnsi="Times New Roman" w:eastAsia="宋体" w:cs="Times New Roman"/>
                      <w:color w:val="auto"/>
                      <w:szCs w:val="21"/>
                      <w:lang w:val="en-US" w:eastAsia="zh-CN"/>
                    </w:rPr>
                    <w:t>纯水制备区</w:t>
                  </w:r>
                </w:p>
              </w:tc>
              <w:tc>
                <w:tcPr>
                  <w:tcW w:w="3846" w:type="pct"/>
                  <w:gridSpan w:val="2"/>
                  <w:noWrap w:val="0"/>
                  <w:vAlign w:val="center"/>
                </w:tcPr>
                <w:p w14:paraId="6B8C648B">
                  <w:pPr>
                    <w:rPr>
                      <w:rFonts w:hint="default" w:eastAsia="宋体"/>
                      <w:color w:val="auto"/>
                      <w:szCs w:val="21"/>
                      <w:lang w:val="en-US" w:eastAsia="zh-CN"/>
                    </w:rPr>
                  </w:pPr>
                  <w:r>
                    <w:rPr>
                      <w:rFonts w:hint="eastAsia"/>
                      <w:color w:val="auto"/>
                      <w:szCs w:val="21"/>
                    </w:rPr>
                    <w:t>面积</w:t>
                  </w:r>
                  <w:r>
                    <w:rPr>
                      <w:rFonts w:hint="eastAsia"/>
                      <w:color w:val="auto"/>
                      <w:szCs w:val="21"/>
                      <w:lang w:val="en-US" w:eastAsia="zh-CN"/>
                    </w:rPr>
                    <w:t>320</w:t>
                  </w:r>
                  <w:r>
                    <w:rPr>
                      <w:rFonts w:hint="eastAsia"/>
                      <w:color w:val="auto"/>
                      <w:szCs w:val="21"/>
                    </w:rPr>
                    <w:t>m</w:t>
                  </w:r>
                  <w:r>
                    <w:rPr>
                      <w:rFonts w:hint="eastAsia"/>
                      <w:color w:val="auto"/>
                      <w:szCs w:val="21"/>
                      <w:vertAlign w:val="superscript"/>
                    </w:rPr>
                    <w:t>2</w:t>
                  </w:r>
                  <w:r>
                    <w:rPr>
                      <w:rFonts w:hint="eastAsia"/>
                      <w:color w:val="auto"/>
                      <w:szCs w:val="21"/>
                    </w:rPr>
                    <w:t>，</w:t>
                  </w:r>
                  <w:r>
                    <w:rPr>
                      <w:rFonts w:hint="eastAsia"/>
                      <w:color w:val="auto"/>
                      <w:szCs w:val="21"/>
                      <w:lang w:val="en-US" w:eastAsia="zh-CN"/>
                    </w:rPr>
                    <w:t>由原水预处理系统、反渗透纯化系统、超纯化后处理系统三部分组成，制备能力10t/h，本项目需制备纯水48.112</w:t>
                  </w:r>
                  <w:r>
                    <w:rPr>
                      <w:rFonts w:hint="eastAsia"/>
                      <w:bCs/>
                      <w:color w:val="auto"/>
                      <w:szCs w:val="21"/>
                      <w:lang w:val="en-US" w:eastAsia="zh-CN"/>
                    </w:rPr>
                    <w:t>t/d</w:t>
                  </w:r>
                </w:p>
              </w:tc>
            </w:tr>
            <w:tr w14:paraId="3F0D3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7ECE4671">
                  <w:pPr>
                    <w:jc w:val="center"/>
                    <w:rPr>
                      <w:color w:val="auto"/>
                      <w:szCs w:val="21"/>
                    </w:rPr>
                  </w:pPr>
                </w:p>
              </w:tc>
              <w:tc>
                <w:tcPr>
                  <w:tcW w:w="720" w:type="pct"/>
                  <w:noWrap w:val="0"/>
                  <w:vAlign w:val="center"/>
                </w:tcPr>
                <w:p w14:paraId="7502D379">
                  <w:pPr>
                    <w:jc w:val="center"/>
                    <w:rPr>
                      <w:color w:val="auto"/>
                      <w:szCs w:val="21"/>
                    </w:rPr>
                  </w:pPr>
                  <w:r>
                    <w:rPr>
                      <w:color w:val="auto"/>
                      <w:szCs w:val="21"/>
                    </w:rPr>
                    <w:t>排水</w:t>
                  </w:r>
                </w:p>
              </w:tc>
              <w:tc>
                <w:tcPr>
                  <w:tcW w:w="3846" w:type="pct"/>
                  <w:gridSpan w:val="2"/>
                  <w:noWrap w:val="0"/>
                  <w:vAlign w:val="center"/>
                </w:tcPr>
                <w:p w14:paraId="3286BEAF">
                  <w:pPr>
                    <w:rPr>
                      <w:rFonts w:hint="eastAsia"/>
                      <w:b/>
                      <w:color w:val="auto"/>
                      <w:szCs w:val="21"/>
                      <w:u w:val="single"/>
                    </w:rPr>
                  </w:pPr>
                  <w:r>
                    <w:rPr>
                      <w:bCs/>
                      <w:color w:val="auto"/>
                      <w:szCs w:val="21"/>
                    </w:rPr>
                    <w:t>采用雨污分流系统。</w:t>
                  </w:r>
                  <w:r>
                    <w:rPr>
                      <w:rFonts w:hint="eastAsia"/>
                      <w:bCs/>
                      <w:color w:val="auto"/>
                      <w:szCs w:val="21"/>
                      <w:lang w:val="en-US" w:eastAsia="zh-CN"/>
                    </w:rPr>
                    <w:t>厂区浮洗废水、清洗</w:t>
                  </w:r>
                  <w:r>
                    <w:rPr>
                      <w:bCs/>
                      <w:color w:val="auto"/>
                      <w:szCs w:val="21"/>
                    </w:rPr>
                    <w:t>废水经收集</w:t>
                  </w:r>
                  <w:r>
                    <w:rPr>
                      <w:rFonts w:hint="eastAsia"/>
                      <w:bCs/>
                      <w:color w:val="auto"/>
                      <w:szCs w:val="21"/>
                      <w:lang w:val="en-US" w:eastAsia="zh-CN"/>
                    </w:rPr>
                    <w:t>后采用调节、中和沉淀、过滤</w:t>
                  </w:r>
                  <w:r>
                    <w:rPr>
                      <w:bCs/>
                      <w:color w:val="auto"/>
                      <w:szCs w:val="21"/>
                    </w:rPr>
                    <w:t>处理后同生活污水一起纳管排入淮南经济技术开发区工业污水处理厂</w:t>
                  </w:r>
                  <w:r>
                    <w:rPr>
                      <w:rFonts w:hint="eastAsia"/>
                      <w:bCs/>
                      <w:color w:val="auto"/>
                      <w:szCs w:val="21"/>
                      <w:lang w:eastAsia="zh-CN"/>
                    </w:rPr>
                    <w:t>，</w:t>
                  </w:r>
                  <w:r>
                    <w:rPr>
                      <w:rFonts w:hint="eastAsia"/>
                      <w:bCs/>
                      <w:color w:val="auto"/>
                      <w:szCs w:val="21"/>
                      <w:lang w:val="en-US" w:eastAsia="zh-CN"/>
                    </w:rPr>
                    <w:t>本项目排放废水20700t/a</w:t>
                  </w:r>
                  <w:r>
                    <w:rPr>
                      <w:bCs/>
                      <w:color w:val="auto"/>
                      <w:szCs w:val="21"/>
                    </w:rPr>
                    <w:t>。</w:t>
                  </w:r>
                </w:p>
              </w:tc>
            </w:tr>
            <w:tr w14:paraId="7AF2B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trPr>
              <w:tc>
                <w:tcPr>
                  <w:tcW w:w="433" w:type="pct"/>
                  <w:vMerge w:val="continue"/>
                  <w:noWrap w:val="0"/>
                  <w:vAlign w:val="center"/>
                </w:tcPr>
                <w:p w14:paraId="60B7B365">
                  <w:pPr>
                    <w:jc w:val="center"/>
                    <w:rPr>
                      <w:color w:val="auto"/>
                      <w:szCs w:val="21"/>
                    </w:rPr>
                  </w:pPr>
                </w:p>
              </w:tc>
              <w:tc>
                <w:tcPr>
                  <w:tcW w:w="720" w:type="pct"/>
                  <w:noWrap w:val="0"/>
                  <w:vAlign w:val="center"/>
                </w:tcPr>
                <w:p w14:paraId="5E4CB392">
                  <w:pPr>
                    <w:jc w:val="center"/>
                    <w:rPr>
                      <w:color w:val="auto"/>
                      <w:szCs w:val="21"/>
                    </w:rPr>
                  </w:pPr>
                  <w:r>
                    <w:rPr>
                      <w:color w:val="auto"/>
                      <w:szCs w:val="21"/>
                    </w:rPr>
                    <w:t>供电</w:t>
                  </w:r>
                </w:p>
              </w:tc>
              <w:tc>
                <w:tcPr>
                  <w:tcW w:w="3846" w:type="pct"/>
                  <w:gridSpan w:val="2"/>
                  <w:noWrap w:val="0"/>
                  <w:vAlign w:val="center"/>
                </w:tcPr>
                <w:p w14:paraId="3918A128">
                  <w:pPr>
                    <w:rPr>
                      <w:rFonts w:hint="eastAsia"/>
                      <w:color w:val="auto"/>
                      <w:szCs w:val="21"/>
                    </w:rPr>
                  </w:pPr>
                  <w:r>
                    <w:rPr>
                      <w:rFonts w:hint="eastAsia"/>
                      <w:color w:val="auto"/>
                      <w:szCs w:val="21"/>
                    </w:rPr>
                    <w:t>经济技术开发区市政供电</w:t>
                  </w:r>
                  <w:r>
                    <w:rPr>
                      <w:rFonts w:hint="eastAsia"/>
                      <w:color w:val="auto"/>
                      <w:szCs w:val="21"/>
                      <w:lang w:eastAsia="zh-CN"/>
                    </w:rPr>
                    <w:t>，</w:t>
                  </w:r>
                  <w:r>
                    <w:rPr>
                      <w:rFonts w:hint="eastAsia"/>
                      <w:color w:val="auto"/>
                      <w:szCs w:val="21"/>
                      <w:lang w:val="en-US" w:eastAsia="zh-CN"/>
                    </w:rPr>
                    <w:t>本项目变压器型号为S11-10KV/0.4节能型</w:t>
                  </w:r>
                  <w:r>
                    <w:rPr>
                      <w:rFonts w:hint="eastAsia"/>
                      <w:color w:val="auto"/>
                      <w:szCs w:val="21"/>
                    </w:rPr>
                    <w:t>。</w:t>
                  </w:r>
                </w:p>
              </w:tc>
            </w:tr>
            <w:tr w14:paraId="2809E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3" w:type="pct"/>
                  <w:noWrap w:val="0"/>
                  <w:vAlign w:val="center"/>
                </w:tcPr>
                <w:p w14:paraId="1499705B">
                  <w:pPr>
                    <w:jc w:val="center"/>
                    <w:rPr>
                      <w:color w:val="auto"/>
                      <w:szCs w:val="21"/>
                    </w:rPr>
                  </w:pPr>
                  <w:r>
                    <w:rPr>
                      <w:color w:val="auto"/>
                      <w:szCs w:val="21"/>
                    </w:rPr>
                    <w:t>辅助工程</w:t>
                  </w:r>
                </w:p>
              </w:tc>
              <w:tc>
                <w:tcPr>
                  <w:tcW w:w="720" w:type="pct"/>
                  <w:noWrap w:val="0"/>
                  <w:vAlign w:val="center"/>
                </w:tcPr>
                <w:p w14:paraId="3F3682F9">
                  <w:pPr>
                    <w:jc w:val="center"/>
                    <w:rPr>
                      <w:color w:val="auto"/>
                      <w:szCs w:val="21"/>
                    </w:rPr>
                  </w:pPr>
                  <w:r>
                    <w:rPr>
                      <w:color w:val="auto"/>
                      <w:szCs w:val="21"/>
                    </w:rPr>
                    <w:t>办公区</w:t>
                  </w:r>
                </w:p>
              </w:tc>
              <w:tc>
                <w:tcPr>
                  <w:tcW w:w="3846" w:type="pct"/>
                  <w:gridSpan w:val="2"/>
                  <w:noWrap w:val="0"/>
                  <w:vAlign w:val="center"/>
                </w:tcPr>
                <w:p w14:paraId="5C4EBF0F">
                  <w:pPr>
                    <w:rPr>
                      <w:color w:val="auto"/>
                      <w:szCs w:val="21"/>
                    </w:rPr>
                  </w:pPr>
                  <w:r>
                    <w:rPr>
                      <w:rFonts w:hint="eastAsia"/>
                      <w:color w:val="auto"/>
                      <w:szCs w:val="21"/>
                    </w:rPr>
                    <w:t>置于车间内，办公面积</w:t>
                  </w:r>
                  <w:r>
                    <w:rPr>
                      <w:rFonts w:hint="eastAsia"/>
                      <w:color w:val="auto"/>
                      <w:szCs w:val="21"/>
                      <w:lang w:val="en-US" w:eastAsia="zh-CN"/>
                    </w:rPr>
                    <w:t>120</w:t>
                  </w:r>
                  <w:r>
                    <w:rPr>
                      <w:rFonts w:hint="eastAsia"/>
                      <w:color w:val="auto"/>
                      <w:szCs w:val="21"/>
                    </w:rPr>
                    <w:t>m</w:t>
                  </w:r>
                  <w:r>
                    <w:rPr>
                      <w:rFonts w:hint="eastAsia"/>
                      <w:color w:val="auto"/>
                      <w:szCs w:val="21"/>
                      <w:vertAlign w:val="superscript"/>
                    </w:rPr>
                    <w:t>2</w:t>
                  </w:r>
                  <w:r>
                    <w:rPr>
                      <w:rFonts w:hint="eastAsia"/>
                      <w:color w:val="auto"/>
                      <w:szCs w:val="21"/>
                    </w:rPr>
                    <w:t>。</w:t>
                  </w:r>
                </w:p>
              </w:tc>
            </w:tr>
            <w:tr w14:paraId="7C363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restart"/>
                  <w:noWrap w:val="0"/>
                  <w:vAlign w:val="center"/>
                </w:tcPr>
                <w:p w14:paraId="1F208195">
                  <w:pPr>
                    <w:jc w:val="center"/>
                    <w:rPr>
                      <w:color w:val="auto"/>
                      <w:szCs w:val="21"/>
                    </w:rPr>
                  </w:pPr>
                  <w:r>
                    <w:rPr>
                      <w:color w:val="auto"/>
                      <w:szCs w:val="21"/>
                    </w:rPr>
                    <w:t>环保工程</w:t>
                  </w:r>
                </w:p>
              </w:tc>
              <w:tc>
                <w:tcPr>
                  <w:tcW w:w="720" w:type="pct"/>
                  <w:vMerge w:val="restart"/>
                  <w:noWrap w:val="0"/>
                  <w:vAlign w:val="center"/>
                </w:tcPr>
                <w:p w14:paraId="2CE3183B">
                  <w:pPr>
                    <w:jc w:val="center"/>
                    <w:rPr>
                      <w:rFonts w:hint="eastAsia"/>
                      <w:color w:val="auto"/>
                      <w:szCs w:val="21"/>
                    </w:rPr>
                  </w:pPr>
                  <w:r>
                    <w:rPr>
                      <w:color w:val="auto"/>
                      <w:szCs w:val="21"/>
                    </w:rPr>
                    <w:t>废气</w:t>
                  </w:r>
                  <w:r>
                    <w:rPr>
                      <w:rFonts w:hint="eastAsia"/>
                      <w:color w:val="auto"/>
                      <w:szCs w:val="21"/>
                    </w:rPr>
                    <w:t>治理措施</w:t>
                  </w:r>
                </w:p>
              </w:tc>
              <w:tc>
                <w:tcPr>
                  <w:tcW w:w="3846" w:type="pct"/>
                  <w:gridSpan w:val="2"/>
                  <w:noWrap w:val="0"/>
                  <w:vAlign w:val="center"/>
                </w:tcPr>
                <w:p w14:paraId="698D0F8D">
                  <w:pPr>
                    <w:jc w:val="left"/>
                    <w:rPr>
                      <w:rFonts w:hint="default" w:eastAsia="宋体"/>
                      <w:color w:val="auto"/>
                      <w:szCs w:val="21"/>
                      <w:lang w:val="en-US" w:eastAsia="zh-CN"/>
                    </w:rPr>
                  </w:pPr>
                  <w:r>
                    <w:rPr>
                      <w:rFonts w:hint="eastAsia"/>
                      <w:color w:val="auto"/>
                      <w:szCs w:val="21"/>
                      <w:lang w:val="en-US" w:eastAsia="zh-CN"/>
                    </w:rPr>
                    <w:t>破碎、制砂、磁选粉尘废气经设备上方集气罩收集后通过布袋除尘装置处理后经过15m高排气筒DA001排放</w:t>
                  </w:r>
                </w:p>
              </w:tc>
            </w:tr>
            <w:tr w14:paraId="3DAED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33021763">
                  <w:pPr>
                    <w:jc w:val="center"/>
                    <w:rPr>
                      <w:color w:val="auto"/>
                      <w:szCs w:val="21"/>
                    </w:rPr>
                  </w:pPr>
                </w:p>
              </w:tc>
              <w:tc>
                <w:tcPr>
                  <w:tcW w:w="720" w:type="pct"/>
                  <w:vMerge w:val="continue"/>
                  <w:noWrap w:val="0"/>
                  <w:vAlign w:val="center"/>
                </w:tcPr>
                <w:p w14:paraId="03F84856">
                  <w:pPr>
                    <w:jc w:val="center"/>
                    <w:rPr>
                      <w:color w:val="auto"/>
                      <w:szCs w:val="21"/>
                    </w:rPr>
                  </w:pPr>
                </w:p>
              </w:tc>
              <w:tc>
                <w:tcPr>
                  <w:tcW w:w="3846" w:type="pct"/>
                  <w:gridSpan w:val="2"/>
                  <w:noWrap w:val="0"/>
                  <w:vAlign w:val="center"/>
                </w:tcPr>
                <w:p w14:paraId="11B302EC">
                  <w:pPr>
                    <w:jc w:val="left"/>
                    <w:rPr>
                      <w:rFonts w:hint="default"/>
                      <w:color w:val="auto"/>
                      <w:szCs w:val="21"/>
                      <w:lang w:val="en-US" w:eastAsia="zh-CN"/>
                    </w:rPr>
                  </w:pPr>
                  <w:r>
                    <w:rPr>
                      <w:rFonts w:hint="eastAsia"/>
                      <w:color w:val="auto"/>
                      <w:szCs w:val="21"/>
                      <w:lang w:val="en-US" w:eastAsia="zh-CN"/>
                    </w:rPr>
                    <w:t>焙烧粉尘废气经设备出料口上方集气罩收集后通过水喷淋装置处理后经过15m高排气筒DA002排放</w:t>
                  </w:r>
                </w:p>
              </w:tc>
            </w:tr>
            <w:tr w14:paraId="5CB18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155ECEEA">
                  <w:pPr>
                    <w:jc w:val="center"/>
                    <w:rPr>
                      <w:color w:val="auto"/>
                      <w:szCs w:val="21"/>
                    </w:rPr>
                  </w:pPr>
                </w:p>
              </w:tc>
              <w:tc>
                <w:tcPr>
                  <w:tcW w:w="720" w:type="pct"/>
                  <w:vMerge w:val="continue"/>
                  <w:noWrap w:val="0"/>
                  <w:vAlign w:val="center"/>
                </w:tcPr>
                <w:p w14:paraId="538AB655">
                  <w:pPr>
                    <w:jc w:val="center"/>
                    <w:rPr>
                      <w:color w:val="auto"/>
                      <w:szCs w:val="21"/>
                    </w:rPr>
                  </w:pPr>
                </w:p>
              </w:tc>
              <w:tc>
                <w:tcPr>
                  <w:tcW w:w="3846" w:type="pct"/>
                  <w:gridSpan w:val="2"/>
                  <w:noWrap w:val="0"/>
                  <w:vAlign w:val="center"/>
                </w:tcPr>
                <w:p w14:paraId="21F41D58">
                  <w:pPr>
                    <w:jc w:val="left"/>
                    <w:rPr>
                      <w:rFonts w:hint="eastAsia"/>
                      <w:color w:val="auto"/>
                      <w:szCs w:val="21"/>
                      <w:lang w:val="en-US" w:eastAsia="zh-CN"/>
                    </w:rPr>
                  </w:pPr>
                  <w:r>
                    <w:rPr>
                      <w:rFonts w:hint="eastAsia"/>
                      <w:color w:val="auto"/>
                      <w:szCs w:val="21"/>
                    </w:rPr>
                    <w:t>储罐上方安装呼吸阀，呼吸阀的排气口连接至酸洗工序废气收集管网，收集的废气和酸洗工序共用</w:t>
                  </w:r>
                  <w:r>
                    <w:rPr>
                      <w:rFonts w:hint="eastAsia"/>
                      <w:color w:val="auto"/>
                      <w:szCs w:val="21"/>
                      <w:lang w:val="en-US" w:eastAsia="zh-CN"/>
                    </w:rPr>
                    <w:t>两级</w:t>
                  </w:r>
                  <w:r>
                    <w:rPr>
                      <w:rFonts w:hint="eastAsia"/>
                      <w:color w:val="auto"/>
                      <w:szCs w:val="21"/>
                    </w:rPr>
                    <w:t>碱液喷淋塔处理，经1根15m高排气筒（DA00</w:t>
                  </w:r>
                  <w:r>
                    <w:rPr>
                      <w:rFonts w:hint="eastAsia"/>
                      <w:color w:val="auto"/>
                      <w:szCs w:val="21"/>
                      <w:lang w:val="en-US" w:eastAsia="zh-CN"/>
                    </w:rPr>
                    <w:t>3</w:t>
                  </w:r>
                  <w:r>
                    <w:rPr>
                      <w:rFonts w:hint="eastAsia"/>
                      <w:color w:val="auto"/>
                      <w:szCs w:val="21"/>
                    </w:rPr>
                    <w:t>）排放。</w:t>
                  </w:r>
                </w:p>
              </w:tc>
            </w:tr>
            <w:tr w14:paraId="38D25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25A414A3">
                  <w:pPr>
                    <w:jc w:val="center"/>
                    <w:rPr>
                      <w:color w:val="auto"/>
                      <w:szCs w:val="21"/>
                    </w:rPr>
                  </w:pPr>
                </w:p>
              </w:tc>
              <w:tc>
                <w:tcPr>
                  <w:tcW w:w="720" w:type="pct"/>
                  <w:vMerge w:val="continue"/>
                  <w:noWrap w:val="0"/>
                  <w:vAlign w:val="center"/>
                </w:tcPr>
                <w:p w14:paraId="46E0A47D">
                  <w:pPr>
                    <w:jc w:val="center"/>
                    <w:rPr>
                      <w:color w:val="auto"/>
                      <w:szCs w:val="21"/>
                    </w:rPr>
                  </w:pPr>
                </w:p>
              </w:tc>
              <w:tc>
                <w:tcPr>
                  <w:tcW w:w="3846" w:type="pct"/>
                  <w:gridSpan w:val="2"/>
                  <w:noWrap w:val="0"/>
                  <w:vAlign w:val="center"/>
                </w:tcPr>
                <w:p w14:paraId="7F9AFB04">
                  <w:pPr>
                    <w:jc w:val="left"/>
                    <w:rPr>
                      <w:rFonts w:hint="default"/>
                      <w:color w:val="auto"/>
                      <w:szCs w:val="21"/>
                      <w:lang w:val="en-US" w:eastAsia="zh-CN"/>
                    </w:rPr>
                  </w:pPr>
                  <w:r>
                    <w:rPr>
                      <w:rFonts w:hint="eastAsia"/>
                      <w:color w:val="auto"/>
                      <w:szCs w:val="21"/>
                      <w:lang w:val="en-US" w:eastAsia="zh-CN"/>
                    </w:rPr>
                    <w:t>烤砂粉尘废气经设备上方集气罩收集后通过水喷淋装置处理后经过15m高排气筒DA004排放</w:t>
                  </w:r>
                </w:p>
              </w:tc>
            </w:tr>
            <w:tr w14:paraId="36CE1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24D17771">
                  <w:pPr>
                    <w:jc w:val="center"/>
                    <w:rPr>
                      <w:color w:val="auto"/>
                      <w:szCs w:val="21"/>
                    </w:rPr>
                  </w:pPr>
                </w:p>
              </w:tc>
              <w:tc>
                <w:tcPr>
                  <w:tcW w:w="720" w:type="pct"/>
                  <w:vMerge w:val="continue"/>
                  <w:noWrap w:val="0"/>
                  <w:vAlign w:val="center"/>
                </w:tcPr>
                <w:p w14:paraId="7E1F83DA">
                  <w:pPr>
                    <w:jc w:val="center"/>
                    <w:rPr>
                      <w:color w:val="auto"/>
                      <w:szCs w:val="21"/>
                    </w:rPr>
                  </w:pPr>
                </w:p>
              </w:tc>
              <w:tc>
                <w:tcPr>
                  <w:tcW w:w="3846" w:type="pct"/>
                  <w:gridSpan w:val="2"/>
                  <w:noWrap w:val="0"/>
                  <w:vAlign w:val="center"/>
                </w:tcPr>
                <w:p w14:paraId="434C76A2">
                  <w:pPr>
                    <w:jc w:val="left"/>
                    <w:rPr>
                      <w:rFonts w:hint="eastAsia"/>
                      <w:color w:val="auto"/>
                      <w:szCs w:val="21"/>
                      <w:lang w:val="en-US" w:eastAsia="zh-CN"/>
                    </w:rPr>
                  </w:pPr>
                  <w:r>
                    <w:rPr>
                      <w:rFonts w:hint="eastAsia"/>
                      <w:color w:val="auto"/>
                      <w:szCs w:val="21"/>
                      <w:lang w:val="en-US" w:eastAsia="zh-CN"/>
                    </w:rPr>
                    <w:t>纯化粉尘、氯化氢废气经管道收集后通过两级碱喷淋装置处理后经过15m高排气筒DA005排放</w:t>
                  </w:r>
                </w:p>
              </w:tc>
            </w:tr>
            <w:tr w14:paraId="78942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6E7728AC">
                  <w:pPr>
                    <w:jc w:val="center"/>
                    <w:rPr>
                      <w:color w:val="auto"/>
                      <w:szCs w:val="21"/>
                    </w:rPr>
                  </w:pPr>
                </w:p>
              </w:tc>
              <w:tc>
                <w:tcPr>
                  <w:tcW w:w="720" w:type="pct"/>
                  <w:noWrap w:val="0"/>
                  <w:vAlign w:val="center"/>
                </w:tcPr>
                <w:p w14:paraId="1ED42290">
                  <w:pPr>
                    <w:jc w:val="center"/>
                    <w:rPr>
                      <w:color w:val="auto"/>
                      <w:szCs w:val="21"/>
                      <w:highlight w:val="yellow"/>
                    </w:rPr>
                  </w:pPr>
                  <w:r>
                    <w:rPr>
                      <w:color w:val="auto"/>
                      <w:szCs w:val="21"/>
                    </w:rPr>
                    <w:t>废水</w:t>
                  </w:r>
                </w:p>
              </w:tc>
              <w:tc>
                <w:tcPr>
                  <w:tcW w:w="3846" w:type="pct"/>
                  <w:gridSpan w:val="2"/>
                  <w:noWrap w:val="0"/>
                  <w:vAlign w:val="center"/>
                </w:tcPr>
                <w:p w14:paraId="1702B841">
                  <w:pPr>
                    <w:widowControl/>
                    <w:rPr>
                      <w:rFonts w:hint="default" w:eastAsia="宋体"/>
                      <w:color w:val="auto"/>
                      <w:szCs w:val="21"/>
                      <w:lang w:val="en-US" w:eastAsia="zh-CN"/>
                    </w:rPr>
                  </w:pPr>
                  <w:r>
                    <w:rPr>
                      <w:rFonts w:hint="eastAsia"/>
                      <w:color w:val="auto"/>
                      <w:szCs w:val="21"/>
                    </w:rPr>
                    <w:t>实行雨污分流；项目废水经调节、中和沉淀、过滤处理后与化粪池处理后的生活污水一起进入外排池纳管排入淮南经济技术开发区工业污水处理厂，污水处理站设计规模为</w:t>
                  </w:r>
                  <w:r>
                    <w:rPr>
                      <w:rFonts w:hint="eastAsia"/>
                      <w:color w:val="auto"/>
                      <w:szCs w:val="21"/>
                      <w:lang w:val="en-US" w:eastAsia="zh-CN"/>
                    </w:rPr>
                    <w:t>15</w:t>
                  </w:r>
                  <w:r>
                    <w:rPr>
                      <w:color w:val="auto"/>
                      <w:szCs w:val="21"/>
                    </w:rPr>
                    <w:t>t/</w:t>
                  </w:r>
                  <w:r>
                    <w:rPr>
                      <w:rFonts w:hint="eastAsia"/>
                      <w:color w:val="auto"/>
                      <w:szCs w:val="21"/>
                      <w:lang w:val="en-US" w:eastAsia="zh-CN"/>
                    </w:rPr>
                    <w:t>h</w:t>
                  </w:r>
                  <w:r>
                    <w:rPr>
                      <w:rFonts w:hint="eastAsia"/>
                      <w:color w:val="auto"/>
                      <w:szCs w:val="21"/>
                      <w:lang w:eastAsia="zh-CN"/>
                    </w:rPr>
                    <w:t>，</w:t>
                  </w:r>
                  <w:r>
                    <w:rPr>
                      <w:rFonts w:hint="eastAsia"/>
                      <w:color w:val="auto"/>
                      <w:szCs w:val="21"/>
                      <w:lang w:val="en-US" w:eastAsia="zh-CN"/>
                    </w:rPr>
                    <w:t>废水排放量20700t</w:t>
                  </w:r>
                  <w:r>
                    <w:rPr>
                      <w:rFonts w:hint="default"/>
                      <w:color w:val="auto"/>
                      <w:szCs w:val="21"/>
                      <w:lang w:val="en-US" w:eastAsia="zh-CN"/>
                    </w:rPr>
                    <w:t>/</w:t>
                  </w:r>
                  <w:r>
                    <w:rPr>
                      <w:rFonts w:hint="eastAsia"/>
                      <w:color w:val="auto"/>
                      <w:szCs w:val="21"/>
                      <w:lang w:val="en-US" w:eastAsia="zh-CN"/>
                    </w:rPr>
                    <w:t>a</w:t>
                  </w:r>
                </w:p>
              </w:tc>
            </w:tr>
            <w:tr w14:paraId="38EF8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3" w:type="pct"/>
                  <w:vMerge w:val="continue"/>
                  <w:noWrap w:val="0"/>
                  <w:vAlign w:val="center"/>
                </w:tcPr>
                <w:p w14:paraId="44FFA62C">
                  <w:pPr>
                    <w:jc w:val="center"/>
                    <w:rPr>
                      <w:color w:val="auto"/>
                      <w:szCs w:val="21"/>
                    </w:rPr>
                  </w:pPr>
                </w:p>
              </w:tc>
              <w:tc>
                <w:tcPr>
                  <w:tcW w:w="720" w:type="pct"/>
                  <w:vMerge w:val="restart"/>
                  <w:noWrap w:val="0"/>
                  <w:vAlign w:val="center"/>
                </w:tcPr>
                <w:p w14:paraId="765D0294">
                  <w:pPr>
                    <w:jc w:val="center"/>
                    <w:rPr>
                      <w:color w:val="auto"/>
                      <w:szCs w:val="21"/>
                    </w:rPr>
                  </w:pPr>
                  <w:r>
                    <w:rPr>
                      <w:rFonts w:hint="eastAsia"/>
                      <w:color w:val="auto"/>
                      <w:szCs w:val="21"/>
                    </w:rPr>
                    <w:t>固废</w:t>
                  </w:r>
                </w:p>
              </w:tc>
              <w:tc>
                <w:tcPr>
                  <w:tcW w:w="3846" w:type="pct"/>
                  <w:gridSpan w:val="2"/>
                  <w:noWrap w:val="0"/>
                  <w:vAlign w:val="center"/>
                </w:tcPr>
                <w:p w14:paraId="10A98AFD">
                  <w:pPr>
                    <w:outlineLvl w:val="3"/>
                    <w:rPr>
                      <w:rFonts w:hint="eastAsia"/>
                      <w:color w:val="auto"/>
                      <w:szCs w:val="21"/>
                    </w:rPr>
                  </w:pPr>
                  <w:r>
                    <w:rPr>
                      <w:rFonts w:hint="eastAsia"/>
                      <w:color w:val="auto"/>
                      <w:szCs w:val="21"/>
                    </w:rPr>
                    <w:t>一般固废：</w:t>
                  </w:r>
                </w:p>
                <w:p w14:paraId="69DF6B43">
                  <w:pPr>
                    <w:outlineLvl w:val="3"/>
                    <w:rPr>
                      <w:color w:val="auto"/>
                      <w:szCs w:val="21"/>
                    </w:rPr>
                  </w:pPr>
                  <w:r>
                    <w:rPr>
                      <w:rFonts w:hint="eastAsia"/>
                      <w:color w:val="auto"/>
                      <w:szCs w:val="21"/>
                      <w:lang w:eastAsia="zh-CN"/>
                    </w:rPr>
                    <w:t>收集的粉尘及布袋、</w:t>
                  </w:r>
                  <w:r>
                    <w:rPr>
                      <w:rFonts w:hint="eastAsia"/>
                      <w:color w:val="auto"/>
                      <w:szCs w:val="21"/>
                    </w:rPr>
                    <w:t>废膜</w:t>
                  </w:r>
                  <w:r>
                    <w:rPr>
                      <w:rFonts w:hint="eastAsia"/>
                      <w:color w:val="auto"/>
                      <w:szCs w:val="21"/>
                      <w:lang w:eastAsia="zh-CN"/>
                    </w:rPr>
                    <w:t>、</w:t>
                  </w:r>
                  <w:r>
                    <w:rPr>
                      <w:rFonts w:hint="eastAsia"/>
                      <w:color w:val="auto"/>
                      <w:szCs w:val="21"/>
                    </w:rPr>
                    <w:t>废石英砂</w:t>
                  </w:r>
                  <w:r>
                    <w:rPr>
                      <w:rFonts w:hint="eastAsia"/>
                      <w:color w:val="auto"/>
                      <w:szCs w:val="21"/>
                      <w:lang w:eastAsia="zh-CN"/>
                    </w:rPr>
                    <w:t>、</w:t>
                  </w:r>
                  <w:r>
                    <w:rPr>
                      <w:rFonts w:hint="eastAsia"/>
                      <w:color w:val="auto"/>
                      <w:szCs w:val="21"/>
                    </w:rPr>
                    <w:t>废活性炭</w:t>
                  </w:r>
                  <w:r>
                    <w:rPr>
                      <w:rFonts w:hint="eastAsia"/>
                      <w:color w:val="auto"/>
                      <w:szCs w:val="21"/>
                      <w:lang w:eastAsia="zh-CN"/>
                    </w:rPr>
                    <w:t>、</w:t>
                  </w:r>
                  <w:r>
                    <w:rPr>
                      <w:rFonts w:hint="eastAsia"/>
                      <w:color w:val="auto"/>
                      <w:szCs w:val="21"/>
                    </w:rPr>
                    <w:t>磁性物料</w:t>
                  </w:r>
                  <w:r>
                    <w:rPr>
                      <w:rFonts w:hint="eastAsia"/>
                      <w:color w:val="auto"/>
                      <w:szCs w:val="21"/>
                      <w:lang w:eastAsia="zh-CN"/>
                    </w:rPr>
                    <w:t>、</w:t>
                  </w:r>
                  <w:r>
                    <w:rPr>
                      <w:rFonts w:hint="eastAsia"/>
                      <w:color w:val="auto"/>
                      <w:szCs w:val="21"/>
                    </w:rPr>
                    <w:t>废矿砂</w:t>
                  </w:r>
                  <w:r>
                    <w:rPr>
                      <w:rFonts w:hint="eastAsia"/>
                      <w:color w:val="auto"/>
                      <w:szCs w:val="21"/>
                      <w:lang w:eastAsia="zh-CN"/>
                    </w:rPr>
                    <w:t>、</w:t>
                  </w:r>
                  <w:r>
                    <w:rPr>
                      <w:rFonts w:hint="eastAsia"/>
                      <w:color w:val="auto"/>
                      <w:szCs w:val="21"/>
                    </w:rPr>
                    <w:t>废渣</w:t>
                  </w:r>
                  <w:r>
                    <w:rPr>
                      <w:rFonts w:hint="eastAsia"/>
                      <w:color w:val="auto"/>
                      <w:szCs w:val="21"/>
                      <w:lang w:eastAsia="zh-CN"/>
                    </w:rPr>
                    <w:t>、</w:t>
                  </w:r>
                  <w:r>
                    <w:rPr>
                      <w:rFonts w:hint="eastAsia"/>
                      <w:color w:val="auto"/>
                      <w:szCs w:val="21"/>
                      <w:lang w:val="en-US" w:eastAsia="zh-CN"/>
                    </w:rPr>
                    <w:t>废滤材</w:t>
                  </w:r>
                  <w:r>
                    <w:rPr>
                      <w:rFonts w:hint="eastAsia"/>
                      <w:color w:val="auto"/>
                      <w:szCs w:val="21"/>
                    </w:rPr>
                    <w:t>收集后暂存于厂区一般固废暂存间（</w:t>
                  </w:r>
                  <w:r>
                    <w:rPr>
                      <w:rFonts w:hint="eastAsia"/>
                      <w:color w:val="auto"/>
                      <w:szCs w:val="21"/>
                      <w:lang w:val="en-US" w:eastAsia="zh-CN"/>
                    </w:rPr>
                    <w:t>位于仓库内</w:t>
                  </w:r>
                  <w:r>
                    <w:rPr>
                      <w:rFonts w:hint="eastAsia"/>
                      <w:color w:val="auto"/>
                      <w:szCs w:val="21"/>
                    </w:rPr>
                    <w:t>1座30m</w:t>
                  </w:r>
                  <w:r>
                    <w:rPr>
                      <w:rFonts w:hint="eastAsia"/>
                      <w:color w:val="auto"/>
                      <w:szCs w:val="21"/>
                      <w:vertAlign w:val="superscript"/>
                    </w:rPr>
                    <w:t>2</w:t>
                  </w:r>
                  <w:r>
                    <w:rPr>
                      <w:rFonts w:hint="eastAsia"/>
                      <w:color w:val="auto"/>
                      <w:szCs w:val="21"/>
                    </w:rPr>
                    <w:t>），定期外售；</w:t>
                  </w:r>
                </w:p>
              </w:tc>
            </w:tr>
            <w:tr w14:paraId="2EB00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33" w:type="pct"/>
                  <w:vMerge w:val="continue"/>
                  <w:noWrap w:val="0"/>
                  <w:vAlign w:val="center"/>
                </w:tcPr>
                <w:p w14:paraId="6AFC3BB3">
                  <w:pPr>
                    <w:jc w:val="center"/>
                    <w:rPr>
                      <w:color w:val="auto"/>
                      <w:szCs w:val="21"/>
                    </w:rPr>
                  </w:pPr>
                </w:p>
              </w:tc>
              <w:tc>
                <w:tcPr>
                  <w:tcW w:w="720" w:type="pct"/>
                  <w:vMerge w:val="continue"/>
                  <w:noWrap w:val="0"/>
                  <w:vAlign w:val="center"/>
                </w:tcPr>
                <w:p w14:paraId="06F3DD42">
                  <w:pPr>
                    <w:jc w:val="center"/>
                    <w:rPr>
                      <w:rFonts w:hint="eastAsia"/>
                      <w:color w:val="auto"/>
                      <w:szCs w:val="21"/>
                    </w:rPr>
                  </w:pPr>
                </w:p>
              </w:tc>
              <w:tc>
                <w:tcPr>
                  <w:tcW w:w="3846" w:type="pct"/>
                  <w:gridSpan w:val="2"/>
                  <w:noWrap w:val="0"/>
                  <w:vAlign w:val="center"/>
                </w:tcPr>
                <w:p w14:paraId="59D971AB">
                  <w:pPr>
                    <w:outlineLvl w:val="3"/>
                    <w:rPr>
                      <w:rFonts w:hint="eastAsia"/>
                      <w:color w:val="auto"/>
                      <w:szCs w:val="21"/>
                      <w:highlight w:val="none"/>
                      <w:u w:val="none"/>
                    </w:rPr>
                  </w:pPr>
                  <w:r>
                    <w:rPr>
                      <w:rFonts w:hint="eastAsia"/>
                      <w:color w:val="auto"/>
                      <w:szCs w:val="21"/>
                      <w:highlight w:val="none"/>
                      <w:u w:val="none"/>
                    </w:rPr>
                    <w:t>危险废物：</w:t>
                  </w:r>
                </w:p>
                <w:p w14:paraId="5CB5EE40">
                  <w:pPr>
                    <w:outlineLvl w:val="3"/>
                    <w:rPr>
                      <w:rFonts w:hint="eastAsia" w:eastAsia="宋体"/>
                      <w:color w:val="auto"/>
                      <w:szCs w:val="21"/>
                      <w:highlight w:val="none"/>
                      <w:u w:val="none"/>
                      <w:lang w:eastAsia="zh-CN"/>
                    </w:rPr>
                  </w:pPr>
                  <w:r>
                    <w:rPr>
                      <w:rFonts w:hint="eastAsia"/>
                      <w:b w:val="0"/>
                      <w:bCs w:val="0"/>
                      <w:color w:val="auto"/>
                      <w:szCs w:val="21"/>
                      <w:highlight w:val="none"/>
                      <w:u w:val="none"/>
                      <w:lang w:val="en-US" w:eastAsia="zh-CN"/>
                    </w:rPr>
                    <w:t>2个30m</w:t>
                  </w:r>
                  <w:r>
                    <w:rPr>
                      <w:rFonts w:hint="eastAsia"/>
                      <w:b w:val="0"/>
                      <w:bCs w:val="0"/>
                      <w:color w:val="auto"/>
                      <w:szCs w:val="21"/>
                      <w:highlight w:val="none"/>
                      <w:u w:val="none"/>
                      <w:vertAlign w:val="superscript"/>
                      <w:lang w:val="en-US" w:eastAsia="zh-CN"/>
                    </w:rPr>
                    <w:t>3</w:t>
                  </w:r>
                  <w:r>
                    <w:rPr>
                      <w:rFonts w:hint="eastAsia"/>
                      <w:b w:val="0"/>
                      <w:bCs w:val="0"/>
                      <w:color w:val="auto"/>
                      <w:szCs w:val="21"/>
                      <w:highlight w:val="none"/>
                      <w:u w:val="none"/>
                      <w:lang w:eastAsia="zh-CN"/>
                    </w:rPr>
                    <w:t>废酸储罐用于废酸的存储，</w:t>
                  </w:r>
                  <w:r>
                    <w:rPr>
                      <w:rFonts w:hint="eastAsia"/>
                      <w:b w:val="0"/>
                      <w:bCs w:val="0"/>
                      <w:color w:val="auto"/>
                      <w:szCs w:val="21"/>
                      <w:highlight w:val="none"/>
                      <w:u w:val="none"/>
                      <w:lang w:val="en-US" w:eastAsia="zh-CN"/>
                    </w:rPr>
                    <w:t>位于罐区</w:t>
                  </w:r>
                  <w:r>
                    <w:rPr>
                      <w:rFonts w:hint="eastAsia"/>
                      <w:b w:val="0"/>
                      <w:bCs w:val="0"/>
                      <w:color w:val="auto"/>
                      <w:szCs w:val="21"/>
                      <w:highlight w:val="none"/>
                      <w:u w:val="none"/>
                      <w:lang w:eastAsia="zh-CN"/>
                    </w:rPr>
                    <w:t>，地面采取防渗措施，四周设置围堰。</w:t>
                  </w:r>
                  <w:r>
                    <w:rPr>
                      <w:rFonts w:hint="eastAsia"/>
                      <w:b w:val="0"/>
                      <w:bCs w:val="0"/>
                      <w:color w:val="auto"/>
                      <w:szCs w:val="21"/>
                      <w:highlight w:val="none"/>
                      <w:u w:val="none"/>
                    </w:rPr>
                    <w:t>废包装材料</w:t>
                  </w:r>
                  <w:r>
                    <w:rPr>
                      <w:rFonts w:hint="eastAsia"/>
                      <w:b w:val="0"/>
                      <w:bCs w:val="0"/>
                      <w:color w:val="auto"/>
                      <w:szCs w:val="21"/>
                      <w:highlight w:val="none"/>
                      <w:u w:val="none"/>
                      <w:lang w:eastAsia="zh-CN"/>
                    </w:rPr>
                    <w:t>、</w:t>
                  </w:r>
                  <w:r>
                    <w:rPr>
                      <w:rFonts w:hint="eastAsia"/>
                      <w:b w:val="0"/>
                      <w:bCs w:val="0"/>
                      <w:color w:val="auto"/>
                      <w:szCs w:val="21"/>
                      <w:highlight w:val="none"/>
                      <w:u w:val="none"/>
                    </w:rPr>
                    <w:t>废油桶</w:t>
                  </w:r>
                  <w:r>
                    <w:rPr>
                      <w:rFonts w:hint="eastAsia"/>
                      <w:b w:val="0"/>
                      <w:bCs w:val="0"/>
                      <w:color w:val="auto"/>
                      <w:szCs w:val="21"/>
                      <w:highlight w:val="none"/>
                      <w:u w:val="none"/>
                      <w:lang w:eastAsia="zh-CN"/>
                    </w:rPr>
                    <w:t>、</w:t>
                  </w:r>
                  <w:r>
                    <w:rPr>
                      <w:rFonts w:hint="eastAsia"/>
                      <w:b w:val="0"/>
                      <w:bCs w:val="0"/>
                      <w:color w:val="auto"/>
                      <w:szCs w:val="21"/>
                      <w:highlight w:val="none"/>
                      <w:u w:val="none"/>
                    </w:rPr>
                    <w:t>过滤材料</w:t>
                  </w:r>
                  <w:r>
                    <w:rPr>
                      <w:rFonts w:hint="eastAsia"/>
                      <w:b w:val="0"/>
                      <w:bCs w:val="0"/>
                      <w:color w:val="auto"/>
                      <w:szCs w:val="21"/>
                      <w:highlight w:val="none"/>
                      <w:u w:val="none"/>
                      <w:lang w:eastAsia="zh-CN"/>
                    </w:rPr>
                    <w:t>、</w:t>
                  </w:r>
                  <w:r>
                    <w:rPr>
                      <w:rFonts w:hint="eastAsia"/>
                      <w:b w:val="0"/>
                      <w:bCs w:val="0"/>
                      <w:color w:val="auto"/>
                      <w:szCs w:val="21"/>
                      <w:highlight w:val="none"/>
                      <w:u w:val="none"/>
                    </w:rPr>
                    <w:t>污泥</w:t>
                  </w:r>
                  <w:r>
                    <w:rPr>
                      <w:rFonts w:hint="eastAsia"/>
                      <w:b w:val="0"/>
                      <w:bCs w:val="0"/>
                      <w:color w:val="auto"/>
                      <w:szCs w:val="21"/>
                      <w:highlight w:val="none"/>
                      <w:u w:val="none"/>
                      <w:lang w:eastAsia="zh-CN"/>
                    </w:rPr>
                    <w:t>、</w:t>
                  </w:r>
                  <w:r>
                    <w:rPr>
                      <w:rFonts w:hint="eastAsia"/>
                      <w:b w:val="0"/>
                      <w:bCs w:val="0"/>
                      <w:color w:val="auto"/>
                      <w:szCs w:val="21"/>
                      <w:highlight w:val="none"/>
                      <w:u w:val="none"/>
                    </w:rPr>
                    <w:t>废润滑油</w:t>
                  </w:r>
                  <w:r>
                    <w:rPr>
                      <w:rFonts w:hint="eastAsia"/>
                      <w:b w:val="0"/>
                      <w:bCs w:val="0"/>
                      <w:color w:val="auto"/>
                      <w:szCs w:val="21"/>
                      <w:highlight w:val="none"/>
                      <w:u w:val="none"/>
                      <w:lang w:eastAsia="zh-CN"/>
                    </w:rPr>
                    <w:t>、</w:t>
                  </w:r>
                  <w:r>
                    <w:rPr>
                      <w:rFonts w:hint="eastAsia"/>
                      <w:b w:val="0"/>
                      <w:bCs w:val="0"/>
                      <w:color w:val="auto"/>
                      <w:szCs w:val="21"/>
                      <w:highlight w:val="none"/>
                      <w:u w:val="none"/>
                    </w:rPr>
                    <w:t>废液压油</w:t>
                  </w:r>
                  <w:r>
                    <w:rPr>
                      <w:rFonts w:hint="eastAsia"/>
                      <w:b w:val="0"/>
                      <w:bCs w:val="0"/>
                      <w:color w:val="auto"/>
                      <w:szCs w:val="21"/>
                      <w:highlight w:val="none"/>
                      <w:u w:val="none"/>
                      <w:lang w:eastAsia="zh-CN"/>
                    </w:rPr>
                    <w:t>、</w:t>
                  </w:r>
                  <w:r>
                    <w:rPr>
                      <w:rFonts w:hint="eastAsia"/>
                      <w:b w:val="0"/>
                      <w:bCs w:val="0"/>
                      <w:color w:val="auto"/>
                      <w:szCs w:val="21"/>
                      <w:highlight w:val="none"/>
                      <w:u w:val="none"/>
                    </w:rPr>
                    <w:t>废酸渣</w:t>
                  </w:r>
                  <w:r>
                    <w:rPr>
                      <w:rFonts w:hint="eastAsia"/>
                      <w:b w:val="0"/>
                      <w:bCs w:val="0"/>
                      <w:color w:val="auto"/>
                      <w:szCs w:val="21"/>
                      <w:highlight w:val="none"/>
                      <w:u w:val="none"/>
                      <w:lang w:eastAsia="zh-CN"/>
                    </w:rPr>
                    <w:t>、</w:t>
                  </w:r>
                  <w:r>
                    <w:rPr>
                      <w:rFonts w:hint="eastAsia"/>
                      <w:b w:val="0"/>
                      <w:bCs w:val="0"/>
                      <w:color w:val="auto"/>
                      <w:szCs w:val="21"/>
                      <w:highlight w:val="none"/>
                      <w:u w:val="none"/>
                    </w:rPr>
                    <w:t>再生废液收集后暂存于厂区危废暂存间（1座</w:t>
                  </w:r>
                  <w:r>
                    <w:rPr>
                      <w:rFonts w:hint="eastAsia"/>
                      <w:b w:val="0"/>
                      <w:bCs w:val="0"/>
                      <w:color w:val="auto"/>
                      <w:szCs w:val="21"/>
                      <w:highlight w:val="none"/>
                      <w:u w:val="none"/>
                      <w:lang w:val="en-US" w:eastAsia="zh-CN"/>
                    </w:rPr>
                    <w:t>25m</w:t>
                  </w:r>
                  <w:r>
                    <w:rPr>
                      <w:rFonts w:hint="eastAsia"/>
                      <w:b w:val="0"/>
                      <w:bCs w:val="0"/>
                      <w:color w:val="auto"/>
                      <w:szCs w:val="21"/>
                      <w:highlight w:val="none"/>
                      <w:u w:val="none"/>
                      <w:vertAlign w:val="superscript"/>
                    </w:rPr>
                    <w:t>2</w:t>
                  </w:r>
                  <w:r>
                    <w:rPr>
                      <w:rFonts w:hint="eastAsia"/>
                      <w:b w:val="0"/>
                      <w:bCs w:val="0"/>
                      <w:color w:val="auto"/>
                      <w:szCs w:val="21"/>
                      <w:highlight w:val="none"/>
                      <w:u w:val="none"/>
                    </w:rPr>
                    <w:t>），定期交由有资质单位处置</w:t>
                  </w:r>
                  <w:r>
                    <w:rPr>
                      <w:rFonts w:hint="eastAsia"/>
                      <w:b w:val="0"/>
                      <w:bCs w:val="0"/>
                      <w:color w:val="auto"/>
                      <w:szCs w:val="21"/>
                      <w:highlight w:val="none"/>
                      <w:u w:val="none"/>
                      <w:lang w:eastAsia="zh-CN"/>
                    </w:rPr>
                    <w:t>。</w:t>
                  </w:r>
                </w:p>
              </w:tc>
            </w:tr>
            <w:tr w14:paraId="06BEE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433" w:type="pct"/>
                  <w:vMerge w:val="continue"/>
                  <w:noWrap w:val="0"/>
                  <w:vAlign w:val="center"/>
                </w:tcPr>
                <w:p w14:paraId="57FCDB0A">
                  <w:pPr>
                    <w:jc w:val="center"/>
                    <w:rPr>
                      <w:color w:val="auto"/>
                      <w:szCs w:val="21"/>
                    </w:rPr>
                  </w:pPr>
                </w:p>
              </w:tc>
              <w:tc>
                <w:tcPr>
                  <w:tcW w:w="720" w:type="pct"/>
                  <w:vMerge w:val="continue"/>
                  <w:noWrap w:val="0"/>
                  <w:vAlign w:val="center"/>
                </w:tcPr>
                <w:p w14:paraId="1BA4F691">
                  <w:pPr>
                    <w:jc w:val="center"/>
                    <w:rPr>
                      <w:rFonts w:hint="eastAsia"/>
                      <w:color w:val="auto"/>
                      <w:szCs w:val="21"/>
                    </w:rPr>
                  </w:pPr>
                </w:p>
              </w:tc>
              <w:tc>
                <w:tcPr>
                  <w:tcW w:w="3846" w:type="pct"/>
                  <w:gridSpan w:val="2"/>
                  <w:noWrap w:val="0"/>
                  <w:vAlign w:val="center"/>
                </w:tcPr>
                <w:p w14:paraId="2EB9CD64">
                  <w:pPr>
                    <w:outlineLvl w:val="3"/>
                    <w:rPr>
                      <w:rFonts w:hint="eastAsia" w:eastAsia="宋体"/>
                      <w:color w:val="auto"/>
                      <w:szCs w:val="21"/>
                      <w:u w:val="none"/>
                      <w:lang w:eastAsia="zh-CN"/>
                    </w:rPr>
                  </w:pPr>
                  <w:r>
                    <w:rPr>
                      <w:rFonts w:hint="eastAsia"/>
                      <w:color w:val="auto"/>
                      <w:szCs w:val="21"/>
                      <w:u w:val="none"/>
                    </w:rPr>
                    <w:t>生活垃圾：经收集后交由当地环卫部门清运</w:t>
                  </w:r>
                  <w:r>
                    <w:rPr>
                      <w:rFonts w:hint="eastAsia"/>
                      <w:color w:val="auto"/>
                      <w:szCs w:val="21"/>
                      <w:u w:val="none"/>
                      <w:lang w:eastAsia="zh-CN"/>
                    </w:rPr>
                    <w:t>。</w:t>
                  </w:r>
                </w:p>
              </w:tc>
            </w:tr>
            <w:tr w14:paraId="1307F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3" w:type="pct"/>
                  <w:vMerge w:val="continue"/>
                  <w:noWrap w:val="0"/>
                  <w:vAlign w:val="center"/>
                </w:tcPr>
                <w:p w14:paraId="36FF02A2">
                  <w:pPr>
                    <w:jc w:val="center"/>
                    <w:rPr>
                      <w:color w:val="auto"/>
                      <w:szCs w:val="21"/>
                    </w:rPr>
                  </w:pPr>
                </w:p>
              </w:tc>
              <w:tc>
                <w:tcPr>
                  <w:tcW w:w="720" w:type="pct"/>
                  <w:noWrap w:val="0"/>
                  <w:vAlign w:val="center"/>
                </w:tcPr>
                <w:p w14:paraId="32936A67">
                  <w:pPr>
                    <w:jc w:val="center"/>
                    <w:rPr>
                      <w:color w:val="auto"/>
                      <w:szCs w:val="21"/>
                    </w:rPr>
                  </w:pPr>
                  <w:r>
                    <w:rPr>
                      <w:rFonts w:hint="eastAsia"/>
                      <w:color w:val="auto"/>
                      <w:szCs w:val="21"/>
                    </w:rPr>
                    <w:t>噪声</w:t>
                  </w:r>
                </w:p>
              </w:tc>
              <w:tc>
                <w:tcPr>
                  <w:tcW w:w="3846" w:type="pct"/>
                  <w:gridSpan w:val="2"/>
                  <w:noWrap w:val="0"/>
                  <w:vAlign w:val="center"/>
                </w:tcPr>
                <w:p w14:paraId="5F251BBD">
                  <w:pPr>
                    <w:widowControl/>
                    <w:jc w:val="left"/>
                    <w:rPr>
                      <w:color w:val="auto"/>
                      <w:szCs w:val="21"/>
                    </w:rPr>
                  </w:pPr>
                  <w:r>
                    <w:rPr>
                      <w:rFonts w:hint="eastAsia"/>
                      <w:color w:val="auto"/>
                    </w:rPr>
                    <w:t>①设备选型时应选取低噪声设备，并合理布局，产噪设备全部布置在车间内；②对高噪声设备如：振动给料机、颚破机、立轴制砂机等安装减振垫（如橡胶制品、钢弹簧、乳胶海绵、空气弹簧、软木等），必要时在上述设备周围挖一定宽度与深度的防振沟，有效地达到减振目的，减少噪声影响；③加强车间密闭性，减少厂房内的整体噪声强度；④建立设备定期维护、保养的管理制度，以防止设备故障形成的非生产噪声，同时确保环保措施发挥最有效的功能；⑤加强职工环保意识教育，提倡文明生产，防止人为噪声</w:t>
                  </w:r>
                </w:p>
              </w:tc>
            </w:tr>
            <w:tr w14:paraId="12BDA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433" w:type="pct"/>
                  <w:vMerge w:val="continue"/>
                  <w:noWrap w:val="0"/>
                  <w:vAlign w:val="center"/>
                </w:tcPr>
                <w:p w14:paraId="171E485D">
                  <w:pPr>
                    <w:jc w:val="center"/>
                    <w:rPr>
                      <w:color w:val="auto"/>
                      <w:szCs w:val="21"/>
                    </w:rPr>
                  </w:pPr>
                </w:p>
              </w:tc>
              <w:tc>
                <w:tcPr>
                  <w:tcW w:w="720" w:type="pct"/>
                  <w:noWrap w:val="0"/>
                  <w:vAlign w:val="center"/>
                </w:tcPr>
                <w:p w14:paraId="1E47E148">
                  <w:pPr>
                    <w:jc w:val="center"/>
                    <w:rPr>
                      <w:rFonts w:hint="eastAsia"/>
                      <w:color w:val="auto"/>
                      <w:szCs w:val="21"/>
                    </w:rPr>
                  </w:pPr>
                  <w:r>
                    <w:rPr>
                      <w:rFonts w:hint="eastAsia"/>
                      <w:color w:val="auto"/>
                      <w:szCs w:val="21"/>
                    </w:rPr>
                    <w:t>环境风险</w:t>
                  </w:r>
                </w:p>
              </w:tc>
              <w:tc>
                <w:tcPr>
                  <w:tcW w:w="3846" w:type="pct"/>
                  <w:gridSpan w:val="2"/>
                  <w:noWrap w:val="0"/>
                  <w:vAlign w:val="center"/>
                </w:tcPr>
                <w:p w14:paraId="11D49FAA">
                  <w:pPr>
                    <w:widowControl/>
                    <w:rPr>
                      <w:rFonts w:ascii="宋体" w:hAnsi="宋体" w:cs="宋体"/>
                      <w:color w:val="auto"/>
                      <w:kern w:val="0"/>
                      <w:szCs w:val="21"/>
                      <w:highlight w:val="none"/>
                      <w:lang w:bidi="ar"/>
                    </w:rPr>
                  </w:pPr>
                  <w:r>
                    <w:rPr>
                      <w:rFonts w:hint="eastAsia"/>
                      <w:color w:val="auto"/>
                      <w:szCs w:val="21"/>
                      <w:highlight w:val="none"/>
                    </w:rPr>
                    <w:t>储罐贮存区设置围堰，危险物质贮存区设置视频监控；雨污分流，设置“单元-厂区-园区”的事故废水环境风险防控体系；按要求进行分区防渗，危废暂存间、</w:t>
                  </w:r>
                  <w:r>
                    <w:rPr>
                      <w:rFonts w:hint="eastAsia"/>
                      <w:color w:val="auto"/>
                      <w:szCs w:val="21"/>
                      <w:highlight w:val="none"/>
                      <w:lang w:val="en-US" w:eastAsia="zh-CN"/>
                    </w:rPr>
                    <w:t>罐区</w:t>
                  </w:r>
                  <w:r>
                    <w:rPr>
                      <w:rFonts w:hint="eastAsia"/>
                      <w:color w:val="auto"/>
                      <w:szCs w:val="21"/>
                      <w:highlight w:val="none"/>
                    </w:rPr>
                    <w:t>、酸洗区、污水处理站、污水收集</w:t>
                  </w:r>
                  <w:r>
                    <w:rPr>
                      <w:rFonts w:hint="eastAsia"/>
                      <w:color w:val="auto"/>
                      <w:szCs w:val="21"/>
                      <w:highlight w:val="none"/>
                      <w:lang w:val="en-US" w:eastAsia="zh-CN"/>
                    </w:rPr>
                    <w:t>地面</w:t>
                  </w:r>
                  <w:r>
                    <w:rPr>
                      <w:rFonts w:hint="eastAsia"/>
                      <w:color w:val="auto"/>
                      <w:szCs w:val="21"/>
                      <w:highlight w:val="none"/>
                    </w:rPr>
                    <w:t>管线等设为重点防渗区。</w:t>
                  </w:r>
                </w:p>
              </w:tc>
            </w:tr>
          </w:tbl>
          <w:p w14:paraId="5F6F2675">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w:t>
            </w:r>
            <w:r>
              <w:rPr>
                <w:rFonts w:hint="eastAsia" w:ascii="Times New Roman" w:hAnsi="Times New Roman" w:eastAsia="宋体" w:cs="Times New Roman"/>
                <w:b/>
                <w:bCs/>
                <w:color w:val="auto"/>
                <w:szCs w:val="21"/>
                <w:lang w:val="en-US" w:eastAsia="zh-CN"/>
              </w:rPr>
              <w:t>2-2</w:t>
            </w:r>
            <w:r>
              <w:rPr>
                <w:rFonts w:hint="default" w:ascii="Times New Roman" w:hAnsi="Times New Roman" w:eastAsia="宋体" w:cs="Times New Roman"/>
                <w:b/>
                <w:bCs/>
                <w:color w:val="auto"/>
                <w:szCs w:val="21"/>
              </w:rPr>
              <w:t xml:space="preserve"> 项目</w:t>
            </w:r>
            <w:r>
              <w:rPr>
                <w:rFonts w:hint="eastAsia" w:ascii="Times New Roman" w:hAnsi="Times New Roman" w:eastAsia="宋体" w:cs="Times New Roman"/>
                <w:b/>
                <w:bCs/>
                <w:color w:val="auto"/>
                <w:szCs w:val="21"/>
                <w:lang w:val="en-US" w:eastAsia="zh-CN"/>
              </w:rPr>
              <w:t>储罐</w:t>
            </w:r>
            <w:r>
              <w:rPr>
                <w:rFonts w:hint="default" w:ascii="Times New Roman" w:hAnsi="Times New Roman" w:eastAsia="宋体" w:cs="Times New Roman"/>
                <w:b/>
                <w:bCs/>
                <w:color w:val="auto"/>
                <w:szCs w:val="21"/>
              </w:rPr>
              <w:t>设施一览表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68"/>
              <w:gridCol w:w="1457"/>
              <w:gridCol w:w="1194"/>
              <w:gridCol w:w="1031"/>
              <w:gridCol w:w="1122"/>
              <w:gridCol w:w="802"/>
              <w:gridCol w:w="700"/>
              <w:gridCol w:w="1264"/>
            </w:tblGrid>
            <w:tr w14:paraId="27E45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 w:hRule="atLeast"/>
                <w:tblHeader/>
                <w:jc w:val="center"/>
              </w:trPr>
              <w:tc>
                <w:tcPr>
                  <w:tcW w:w="291" w:type="pct"/>
                  <w:noWrap w:val="0"/>
                  <w:vAlign w:val="center"/>
                </w:tcPr>
                <w:p w14:paraId="4514DC26">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906" w:type="pct"/>
                  <w:noWrap w:val="0"/>
                  <w:vAlign w:val="center"/>
                </w:tcPr>
                <w:p w14:paraId="36EB4394">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液体物料名称</w:t>
                  </w:r>
                </w:p>
              </w:tc>
              <w:tc>
                <w:tcPr>
                  <w:tcW w:w="742" w:type="pct"/>
                  <w:noWrap w:val="0"/>
                  <w:vAlign w:val="center"/>
                </w:tcPr>
                <w:p w14:paraId="249A65F9">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储存方式</w:t>
                  </w:r>
                </w:p>
              </w:tc>
              <w:tc>
                <w:tcPr>
                  <w:tcW w:w="641" w:type="pct"/>
                  <w:noWrap w:val="0"/>
                  <w:vAlign w:val="center"/>
                </w:tcPr>
                <w:p w14:paraId="294162D5">
                  <w:pPr>
                    <w:adjustRightInd w:val="0"/>
                    <w:snapToGrid w:val="0"/>
                    <w:spacing w:line="240" w:lineRule="auto"/>
                    <w:jc w:val="center"/>
                    <w:rPr>
                      <w:rFonts w:hint="eastAsia"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储罐</w:t>
                  </w:r>
                  <w:r>
                    <w:rPr>
                      <w:rFonts w:hint="eastAsia" w:cs="Times New Roman"/>
                      <w:b/>
                      <w:bCs/>
                      <w:color w:val="auto"/>
                      <w:sz w:val="21"/>
                      <w:szCs w:val="21"/>
                      <w:lang w:val="en-US" w:eastAsia="zh-CN"/>
                    </w:rPr>
                    <w:t>材质</w:t>
                  </w:r>
                </w:p>
              </w:tc>
              <w:tc>
                <w:tcPr>
                  <w:tcW w:w="1196" w:type="pct"/>
                  <w:gridSpan w:val="2"/>
                  <w:noWrap w:val="0"/>
                  <w:vAlign w:val="center"/>
                </w:tcPr>
                <w:p w14:paraId="2E9B4DA4">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单罐容积</w:t>
                  </w:r>
                </w:p>
              </w:tc>
              <w:tc>
                <w:tcPr>
                  <w:tcW w:w="435" w:type="pct"/>
                  <w:noWrap w:val="0"/>
                  <w:vAlign w:val="center"/>
                </w:tcPr>
                <w:p w14:paraId="259AAB56">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数量（个）</w:t>
                  </w:r>
                </w:p>
              </w:tc>
              <w:tc>
                <w:tcPr>
                  <w:tcW w:w="786" w:type="pct"/>
                  <w:noWrap w:val="0"/>
                  <w:vAlign w:val="center"/>
                </w:tcPr>
                <w:p w14:paraId="49BD5BA6">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呼吸废气处理措施</w:t>
                  </w:r>
                </w:p>
              </w:tc>
            </w:tr>
            <w:tr w14:paraId="56E9B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 w:hRule="atLeast"/>
                <w:jc w:val="center"/>
              </w:trPr>
              <w:tc>
                <w:tcPr>
                  <w:tcW w:w="291" w:type="pct"/>
                  <w:noWrap w:val="0"/>
                  <w:vAlign w:val="center"/>
                </w:tcPr>
                <w:p w14:paraId="60EB78E4">
                  <w:pPr>
                    <w:adjustRightInd w:val="0"/>
                    <w:snapToGrid w:val="0"/>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906" w:type="pct"/>
                  <w:shd w:val="clear" w:color="auto" w:fill="auto"/>
                  <w:noWrap w:val="0"/>
                  <w:vAlign w:val="center"/>
                </w:tcPr>
                <w:p w14:paraId="67C46F51">
                  <w:pPr>
                    <w:pStyle w:val="116"/>
                    <w:jc w:val="center"/>
                    <w:rPr>
                      <w:rFonts w:hint="default" w:ascii="Times New Roman" w:hAnsi="Times New Roman" w:eastAsia="宋体" w:cs="Times New Roman"/>
                      <w:color w:val="auto"/>
                      <w:spacing w:val="-4"/>
                      <w:kern w:val="2"/>
                      <w:sz w:val="21"/>
                      <w:szCs w:val="21"/>
                      <w:lang w:val="en-US" w:eastAsia="zh-CN" w:bidi="ar-SA"/>
                    </w:rPr>
                  </w:pPr>
                  <w:r>
                    <w:rPr>
                      <w:rFonts w:hint="eastAsia" w:ascii="Times New Roman" w:hAnsi="Times New Roman" w:cs="Times New Roman"/>
                      <w:color w:val="auto"/>
                      <w:spacing w:val="-4"/>
                      <w:sz w:val="21"/>
                      <w:szCs w:val="21"/>
                      <w:lang w:val="en-US" w:eastAsia="zh-CN"/>
                    </w:rPr>
                    <w:t>36%</w:t>
                  </w:r>
                  <w:r>
                    <w:rPr>
                      <w:rFonts w:ascii="Times New Roman" w:hAnsi="Times New Roman" w:cs="Times New Roman"/>
                      <w:color w:val="auto"/>
                      <w:spacing w:val="-4"/>
                      <w:sz w:val="21"/>
                      <w:szCs w:val="21"/>
                      <w:lang w:eastAsia="zh-CN"/>
                    </w:rPr>
                    <w:t>盐酸</w:t>
                  </w:r>
                </w:p>
              </w:tc>
              <w:tc>
                <w:tcPr>
                  <w:tcW w:w="742" w:type="pct"/>
                  <w:shd w:val="clear" w:color="auto" w:fill="auto"/>
                  <w:noWrap w:val="0"/>
                  <w:vAlign w:val="center"/>
                </w:tcPr>
                <w:p w14:paraId="338CC026">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立式储罐</w:t>
                  </w:r>
                </w:p>
              </w:tc>
              <w:tc>
                <w:tcPr>
                  <w:tcW w:w="641" w:type="pct"/>
                  <w:shd w:val="clear" w:color="auto" w:fill="auto"/>
                  <w:noWrap w:val="0"/>
                  <w:vAlign w:val="center"/>
                </w:tcPr>
                <w:p w14:paraId="5A2B7088">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PP</w:t>
                  </w:r>
                </w:p>
              </w:tc>
              <w:tc>
                <w:tcPr>
                  <w:tcW w:w="697" w:type="pct"/>
                  <w:shd w:val="clear" w:color="auto" w:fill="auto"/>
                  <w:noWrap w:val="0"/>
                  <w:vAlign w:val="center"/>
                </w:tcPr>
                <w:p w14:paraId="03EA7C72">
                  <w:pPr>
                    <w:pStyle w:val="116"/>
                    <w:jc w:val="center"/>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Φ3.1*4.7m</w:t>
                  </w:r>
                </w:p>
              </w:tc>
              <w:tc>
                <w:tcPr>
                  <w:tcW w:w="498" w:type="pct"/>
                  <w:shd w:val="clear" w:color="auto" w:fill="auto"/>
                  <w:noWrap w:val="0"/>
                  <w:vAlign w:val="center"/>
                </w:tcPr>
                <w:p w14:paraId="0760BD5E">
                  <w:pPr>
                    <w:pStyle w:val="116"/>
                    <w:jc w:val="center"/>
                    <w:rPr>
                      <w:rFonts w:hint="default" w:ascii="Times New Roman" w:hAnsi="Times New Roman" w:eastAsia="宋体" w:cs="Times New Roman"/>
                      <w:color w:val="auto"/>
                      <w:spacing w:val="-4"/>
                      <w:kern w:val="2"/>
                      <w:sz w:val="21"/>
                      <w:szCs w:val="21"/>
                      <w:lang w:val="en-US" w:eastAsia="zh-CN" w:bidi="ar-SA"/>
                    </w:rPr>
                  </w:pPr>
                  <w:r>
                    <w:rPr>
                      <w:rFonts w:hint="eastAsia" w:ascii="Times New Roman" w:hAnsi="Times New Roman" w:cs="Times New Roman"/>
                      <w:color w:val="auto"/>
                      <w:spacing w:val="-4"/>
                      <w:sz w:val="21"/>
                      <w:szCs w:val="21"/>
                      <w:lang w:val="en-US" w:eastAsia="zh-CN"/>
                    </w:rPr>
                    <w:t>30</w:t>
                  </w:r>
                  <w:r>
                    <w:rPr>
                      <w:rFonts w:ascii="Times New Roman" w:hAnsi="Times New Roman" w:cs="Times New Roman"/>
                      <w:color w:val="auto"/>
                      <w:spacing w:val="-4"/>
                      <w:sz w:val="21"/>
                      <w:szCs w:val="21"/>
                      <w:lang w:eastAsia="zh-CN"/>
                    </w:rPr>
                    <w:t>m</w:t>
                  </w:r>
                  <w:r>
                    <w:rPr>
                      <w:rFonts w:ascii="Times New Roman" w:hAnsi="Times New Roman" w:cs="Times New Roman"/>
                      <w:color w:val="auto"/>
                      <w:spacing w:val="-4"/>
                      <w:sz w:val="21"/>
                      <w:szCs w:val="21"/>
                      <w:vertAlign w:val="superscript"/>
                      <w:lang w:eastAsia="zh-CN"/>
                    </w:rPr>
                    <w:t>3</w:t>
                  </w:r>
                </w:p>
              </w:tc>
              <w:tc>
                <w:tcPr>
                  <w:tcW w:w="435" w:type="pct"/>
                  <w:shd w:val="clear" w:color="auto" w:fill="auto"/>
                  <w:noWrap w:val="0"/>
                  <w:vAlign w:val="center"/>
                </w:tcPr>
                <w:p w14:paraId="2F2E4704">
                  <w:pPr>
                    <w:pStyle w:val="116"/>
                    <w:jc w:val="center"/>
                    <w:rPr>
                      <w:rFonts w:hint="default" w:ascii="Times New Roman" w:hAnsi="Times New Roman" w:eastAsia="宋体" w:cs="Times New Roman"/>
                      <w:color w:val="auto"/>
                      <w:spacing w:val="-4"/>
                      <w:kern w:val="2"/>
                      <w:sz w:val="21"/>
                      <w:szCs w:val="21"/>
                      <w:lang w:val="en-US" w:eastAsia="zh-CN" w:bidi="ar-SA"/>
                    </w:rPr>
                  </w:pPr>
                  <w:r>
                    <w:rPr>
                      <w:rFonts w:ascii="Times New Roman" w:hAnsi="Times New Roman" w:cs="Times New Roman"/>
                      <w:color w:val="auto"/>
                      <w:spacing w:val="-4"/>
                      <w:sz w:val="21"/>
                      <w:szCs w:val="21"/>
                      <w:lang w:eastAsia="zh-CN"/>
                    </w:rPr>
                    <w:t>2</w:t>
                  </w:r>
                </w:p>
              </w:tc>
              <w:tc>
                <w:tcPr>
                  <w:tcW w:w="786" w:type="pct"/>
                  <w:vMerge w:val="restart"/>
                  <w:noWrap w:val="0"/>
                  <w:vAlign w:val="center"/>
                </w:tcPr>
                <w:p w14:paraId="3EF1D1FE">
                  <w:pPr>
                    <w:spacing w:line="240" w:lineRule="auto"/>
                    <w:ind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sz w:val="21"/>
                      <w:szCs w:val="21"/>
                      <w:lang w:eastAsia="zh-CN"/>
                    </w:rPr>
                    <w:t>两级碱</w:t>
                  </w:r>
                  <w:r>
                    <w:rPr>
                      <w:rFonts w:hint="default" w:ascii="Times New Roman" w:hAnsi="Times New Roman" w:eastAsia="宋体" w:cs="Times New Roman"/>
                      <w:color w:val="auto"/>
                      <w:sz w:val="21"/>
                      <w:szCs w:val="21"/>
                    </w:rPr>
                    <w:t>喷淋</w:t>
                  </w:r>
                  <w:r>
                    <w:rPr>
                      <w:rFonts w:hint="eastAsia" w:cs="Times New Roman"/>
                      <w:color w:val="auto"/>
                      <w:sz w:val="21"/>
                      <w:szCs w:val="21"/>
                      <w:lang w:val="en-US" w:eastAsia="zh-CN"/>
                    </w:rPr>
                    <w:t>+DA003</w:t>
                  </w:r>
                </w:p>
              </w:tc>
            </w:tr>
            <w:tr w14:paraId="6A835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 w:hRule="atLeast"/>
                <w:jc w:val="center"/>
              </w:trPr>
              <w:tc>
                <w:tcPr>
                  <w:tcW w:w="291" w:type="pct"/>
                  <w:noWrap w:val="0"/>
                  <w:vAlign w:val="center"/>
                </w:tcPr>
                <w:p w14:paraId="5CE9BC3A">
                  <w:pPr>
                    <w:adjustRightInd w:val="0"/>
                    <w:snapToGrid w:val="0"/>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906" w:type="pct"/>
                  <w:shd w:val="clear" w:color="auto" w:fill="auto"/>
                  <w:noWrap w:val="0"/>
                  <w:vAlign w:val="center"/>
                </w:tcPr>
                <w:p w14:paraId="7FD4C410">
                  <w:pPr>
                    <w:pStyle w:val="116"/>
                    <w:jc w:val="center"/>
                    <w:rPr>
                      <w:rFonts w:hint="default" w:ascii="Times New Roman" w:hAnsi="Times New Roman" w:eastAsia="宋体" w:cs="Times New Roman"/>
                      <w:color w:val="auto"/>
                      <w:spacing w:val="-4"/>
                      <w:kern w:val="2"/>
                      <w:sz w:val="21"/>
                      <w:szCs w:val="21"/>
                      <w:lang w:val="en-US" w:eastAsia="zh-CN" w:bidi="ar-SA"/>
                    </w:rPr>
                  </w:pPr>
                  <w:r>
                    <w:rPr>
                      <w:rFonts w:hint="eastAsia" w:ascii="Times New Roman" w:hAnsi="Times New Roman" w:cs="Times New Roman"/>
                      <w:color w:val="auto"/>
                      <w:spacing w:val="-4"/>
                      <w:sz w:val="21"/>
                      <w:szCs w:val="21"/>
                      <w:lang w:val="en-US" w:eastAsia="zh-CN"/>
                    </w:rPr>
                    <w:t>40%</w:t>
                  </w:r>
                  <w:r>
                    <w:rPr>
                      <w:rFonts w:ascii="Times New Roman" w:hAnsi="Times New Roman" w:cs="Times New Roman"/>
                      <w:color w:val="auto"/>
                      <w:spacing w:val="-4"/>
                      <w:sz w:val="21"/>
                      <w:szCs w:val="21"/>
                      <w:lang w:eastAsia="zh-CN"/>
                    </w:rPr>
                    <w:t>氢氟酸</w:t>
                  </w:r>
                </w:p>
              </w:tc>
              <w:tc>
                <w:tcPr>
                  <w:tcW w:w="742" w:type="pct"/>
                  <w:noWrap w:val="0"/>
                  <w:vAlign w:val="center"/>
                </w:tcPr>
                <w:p w14:paraId="602A8A45">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立式储罐</w:t>
                  </w:r>
                </w:p>
              </w:tc>
              <w:tc>
                <w:tcPr>
                  <w:tcW w:w="641" w:type="pct"/>
                  <w:noWrap w:val="0"/>
                  <w:vAlign w:val="center"/>
                </w:tcPr>
                <w:p w14:paraId="23E8C3DF">
                  <w:pPr>
                    <w:adjustRightInd w:val="0"/>
                    <w:snapToGrid w:val="0"/>
                    <w:spacing w:line="240" w:lineRule="auto"/>
                    <w:jc w:val="center"/>
                    <w:rPr>
                      <w:rFonts w:hint="default" w:ascii="Times New Roman" w:hAnsi="Times New Roman" w:eastAsia="宋体" w:cs="Times New Roman"/>
                      <w:bCs/>
                      <w:color w:val="auto"/>
                      <w:sz w:val="21"/>
                      <w:szCs w:val="21"/>
                    </w:rPr>
                  </w:pPr>
                  <w:r>
                    <w:rPr>
                      <w:rFonts w:hint="eastAsia" w:cs="Times New Roman"/>
                      <w:color w:val="auto"/>
                      <w:kern w:val="2"/>
                      <w:sz w:val="21"/>
                      <w:szCs w:val="21"/>
                      <w:lang w:val="en-US" w:eastAsia="zh-CN" w:bidi="ar-SA"/>
                    </w:rPr>
                    <w:t>PP</w:t>
                  </w:r>
                </w:p>
              </w:tc>
              <w:tc>
                <w:tcPr>
                  <w:tcW w:w="697" w:type="pct"/>
                  <w:noWrap w:val="0"/>
                  <w:vAlign w:val="center"/>
                </w:tcPr>
                <w:p w14:paraId="4DE9BB52">
                  <w:pPr>
                    <w:pStyle w:val="116"/>
                    <w:jc w:val="center"/>
                    <w:rPr>
                      <w:rFonts w:hint="eastAsia"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Φ3.1*4.7m</w:t>
                  </w:r>
                </w:p>
              </w:tc>
              <w:tc>
                <w:tcPr>
                  <w:tcW w:w="498" w:type="pct"/>
                  <w:shd w:val="clear" w:color="auto" w:fill="auto"/>
                  <w:noWrap w:val="0"/>
                  <w:vAlign w:val="center"/>
                </w:tcPr>
                <w:p w14:paraId="01D50460">
                  <w:pPr>
                    <w:pStyle w:val="116"/>
                    <w:jc w:val="center"/>
                    <w:rPr>
                      <w:rFonts w:hint="default" w:ascii="Times New Roman" w:hAnsi="Times New Roman" w:eastAsia="宋体" w:cs="Times New Roman"/>
                      <w:color w:val="auto"/>
                      <w:spacing w:val="-4"/>
                      <w:kern w:val="2"/>
                      <w:sz w:val="21"/>
                      <w:szCs w:val="21"/>
                      <w:lang w:val="en-US" w:eastAsia="zh-CN" w:bidi="ar-SA"/>
                    </w:rPr>
                  </w:pPr>
                  <w:r>
                    <w:rPr>
                      <w:rFonts w:hint="eastAsia" w:ascii="Times New Roman" w:hAnsi="Times New Roman" w:cs="Times New Roman"/>
                      <w:color w:val="auto"/>
                      <w:spacing w:val="-4"/>
                      <w:sz w:val="21"/>
                      <w:szCs w:val="21"/>
                      <w:lang w:val="en-US" w:eastAsia="zh-CN"/>
                    </w:rPr>
                    <w:t>30</w:t>
                  </w:r>
                  <w:r>
                    <w:rPr>
                      <w:rFonts w:ascii="Times New Roman" w:hAnsi="Times New Roman" w:cs="Times New Roman"/>
                      <w:color w:val="auto"/>
                      <w:spacing w:val="-4"/>
                      <w:sz w:val="21"/>
                      <w:szCs w:val="21"/>
                      <w:lang w:eastAsia="zh-CN"/>
                    </w:rPr>
                    <w:t>m</w:t>
                  </w:r>
                  <w:r>
                    <w:rPr>
                      <w:rFonts w:ascii="Times New Roman" w:hAnsi="Times New Roman" w:cs="Times New Roman"/>
                      <w:color w:val="auto"/>
                      <w:spacing w:val="-4"/>
                      <w:sz w:val="21"/>
                      <w:szCs w:val="21"/>
                      <w:vertAlign w:val="superscript"/>
                      <w:lang w:eastAsia="zh-CN"/>
                    </w:rPr>
                    <w:t>3</w:t>
                  </w:r>
                </w:p>
              </w:tc>
              <w:tc>
                <w:tcPr>
                  <w:tcW w:w="435" w:type="pct"/>
                  <w:shd w:val="clear" w:color="auto" w:fill="auto"/>
                  <w:noWrap w:val="0"/>
                  <w:vAlign w:val="center"/>
                </w:tcPr>
                <w:p w14:paraId="43514140">
                  <w:pPr>
                    <w:pStyle w:val="116"/>
                    <w:jc w:val="center"/>
                    <w:rPr>
                      <w:rFonts w:hint="default" w:ascii="Times New Roman" w:hAnsi="Times New Roman" w:eastAsia="宋体" w:cs="Times New Roman"/>
                      <w:color w:val="auto"/>
                      <w:spacing w:val="-4"/>
                      <w:kern w:val="2"/>
                      <w:sz w:val="21"/>
                      <w:szCs w:val="21"/>
                      <w:lang w:val="en-US" w:eastAsia="zh-CN" w:bidi="ar-SA"/>
                    </w:rPr>
                  </w:pPr>
                  <w:r>
                    <w:rPr>
                      <w:rFonts w:ascii="Times New Roman" w:hAnsi="Times New Roman" w:cs="Times New Roman"/>
                      <w:color w:val="auto"/>
                      <w:spacing w:val="-4"/>
                      <w:sz w:val="21"/>
                      <w:szCs w:val="21"/>
                      <w:lang w:eastAsia="zh-CN"/>
                    </w:rPr>
                    <w:t>2</w:t>
                  </w:r>
                </w:p>
              </w:tc>
              <w:tc>
                <w:tcPr>
                  <w:tcW w:w="786" w:type="pct"/>
                  <w:vMerge w:val="continue"/>
                  <w:noWrap w:val="0"/>
                  <w:vAlign w:val="center"/>
                </w:tcPr>
                <w:p w14:paraId="776682ED">
                  <w:pPr>
                    <w:adjustRightInd w:val="0"/>
                    <w:snapToGrid w:val="0"/>
                    <w:spacing w:line="240" w:lineRule="auto"/>
                    <w:jc w:val="center"/>
                    <w:rPr>
                      <w:rFonts w:hint="default" w:ascii="Times New Roman" w:hAnsi="Times New Roman" w:eastAsia="宋体" w:cs="Times New Roman"/>
                      <w:color w:val="auto"/>
                      <w:sz w:val="21"/>
                      <w:szCs w:val="21"/>
                    </w:rPr>
                  </w:pPr>
                </w:p>
              </w:tc>
            </w:tr>
            <w:tr w14:paraId="3392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7" w:hRule="atLeast"/>
                <w:jc w:val="center"/>
              </w:trPr>
              <w:tc>
                <w:tcPr>
                  <w:tcW w:w="291" w:type="pct"/>
                  <w:noWrap w:val="0"/>
                  <w:vAlign w:val="center"/>
                </w:tcPr>
                <w:p w14:paraId="45D3BDB3">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906" w:type="pct"/>
                  <w:shd w:val="clear" w:color="auto" w:fill="auto"/>
                  <w:noWrap w:val="0"/>
                  <w:vAlign w:val="center"/>
                </w:tcPr>
                <w:p w14:paraId="12930E59">
                  <w:pPr>
                    <w:pStyle w:val="116"/>
                    <w:jc w:val="center"/>
                    <w:rPr>
                      <w:rFonts w:hint="default" w:ascii="Times New Roman" w:hAnsi="Times New Roman" w:eastAsia="宋体" w:cs="Times New Roman"/>
                      <w:color w:val="auto"/>
                      <w:spacing w:val="-4"/>
                      <w:kern w:val="2"/>
                      <w:sz w:val="21"/>
                      <w:szCs w:val="21"/>
                      <w:lang w:val="en-US" w:eastAsia="zh-CN" w:bidi="ar-SA"/>
                    </w:rPr>
                  </w:pPr>
                  <w:r>
                    <w:rPr>
                      <w:rFonts w:ascii="Times New Roman" w:hAnsi="Times New Roman" w:cs="Times New Roman"/>
                      <w:color w:val="auto"/>
                      <w:spacing w:val="-4"/>
                      <w:sz w:val="21"/>
                      <w:szCs w:val="21"/>
                      <w:lang w:eastAsia="zh-CN"/>
                    </w:rPr>
                    <w:t>废酸</w:t>
                  </w:r>
                </w:p>
              </w:tc>
              <w:tc>
                <w:tcPr>
                  <w:tcW w:w="742" w:type="pct"/>
                  <w:noWrap w:val="0"/>
                  <w:vAlign w:val="center"/>
                </w:tcPr>
                <w:p w14:paraId="7E210B74">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立式储罐</w:t>
                  </w:r>
                </w:p>
              </w:tc>
              <w:tc>
                <w:tcPr>
                  <w:tcW w:w="641" w:type="pct"/>
                  <w:noWrap w:val="0"/>
                  <w:vAlign w:val="center"/>
                </w:tcPr>
                <w:p w14:paraId="771B892A">
                  <w:pPr>
                    <w:adjustRightInd w:val="0"/>
                    <w:snapToGrid w:val="0"/>
                    <w:spacing w:line="240" w:lineRule="auto"/>
                    <w:jc w:val="center"/>
                    <w:rPr>
                      <w:rFonts w:hint="default" w:ascii="Times New Roman" w:hAnsi="Times New Roman" w:eastAsia="宋体" w:cs="Times New Roman"/>
                      <w:color w:val="auto"/>
                      <w:sz w:val="21"/>
                      <w:szCs w:val="21"/>
                    </w:rPr>
                  </w:pPr>
                  <w:r>
                    <w:rPr>
                      <w:rFonts w:hint="eastAsia" w:cs="Times New Roman"/>
                      <w:color w:val="auto"/>
                      <w:kern w:val="2"/>
                      <w:sz w:val="21"/>
                      <w:szCs w:val="21"/>
                      <w:lang w:val="en-US" w:eastAsia="zh-CN" w:bidi="ar-SA"/>
                    </w:rPr>
                    <w:t>PP</w:t>
                  </w:r>
                </w:p>
              </w:tc>
              <w:tc>
                <w:tcPr>
                  <w:tcW w:w="697" w:type="pct"/>
                  <w:noWrap w:val="0"/>
                  <w:vAlign w:val="center"/>
                </w:tcPr>
                <w:p w14:paraId="4E6C687A">
                  <w:pPr>
                    <w:pStyle w:val="116"/>
                    <w:jc w:val="center"/>
                    <w:rPr>
                      <w:rFonts w:hint="eastAsia"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Φ3.1*4.7m</w:t>
                  </w:r>
                </w:p>
              </w:tc>
              <w:tc>
                <w:tcPr>
                  <w:tcW w:w="498" w:type="pct"/>
                  <w:shd w:val="clear" w:color="auto" w:fill="auto"/>
                  <w:noWrap w:val="0"/>
                  <w:vAlign w:val="center"/>
                </w:tcPr>
                <w:p w14:paraId="771A6225">
                  <w:pPr>
                    <w:pStyle w:val="116"/>
                    <w:jc w:val="center"/>
                    <w:rPr>
                      <w:rFonts w:hint="default" w:ascii="Times New Roman" w:hAnsi="Times New Roman" w:eastAsia="宋体" w:cs="Times New Roman"/>
                      <w:color w:val="auto"/>
                      <w:spacing w:val="-4"/>
                      <w:kern w:val="2"/>
                      <w:sz w:val="21"/>
                      <w:szCs w:val="21"/>
                      <w:lang w:val="en-US" w:eastAsia="zh-CN" w:bidi="ar-SA"/>
                    </w:rPr>
                  </w:pPr>
                  <w:r>
                    <w:rPr>
                      <w:rFonts w:hint="eastAsia" w:ascii="Times New Roman" w:hAnsi="Times New Roman" w:cs="Times New Roman"/>
                      <w:color w:val="auto"/>
                      <w:spacing w:val="-4"/>
                      <w:sz w:val="21"/>
                      <w:szCs w:val="21"/>
                      <w:lang w:val="en-US" w:eastAsia="zh-CN"/>
                    </w:rPr>
                    <w:t>30</w:t>
                  </w:r>
                  <w:r>
                    <w:rPr>
                      <w:rFonts w:ascii="Times New Roman" w:hAnsi="Times New Roman" w:cs="Times New Roman"/>
                      <w:color w:val="auto"/>
                      <w:spacing w:val="-4"/>
                      <w:sz w:val="21"/>
                      <w:szCs w:val="21"/>
                      <w:lang w:eastAsia="zh-CN"/>
                    </w:rPr>
                    <w:t>m</w:t>
                  </w:r>
                  <w:r>
                    <w:rPr>
                      <w:rFonts w:ascii="Times New Roman" w:hAnsi="Times New Roman" w:cs="Times New Roman"/>
                      <w:color w:val="auto"/>
                      <w:spacing w:val="-4"/>
                      <w:sz w:val="21"/>
                      <w:szCs w:val="21"/>
                      <w:vertAlign w:val="superscript"/>
                      <w:lang w:eastAsia="zh-CN"/>
                    </w:rPr>
                    <w:t>3</w:t>
                  </w:r>
                </w:p>
              </w:tc>
              <w:tc>
                <w:tcPr>
                  <w:tcW w:w="435" w:type="pct"/>
                  <w:shd w:val="clear" w:color="auto" w:fill="auto"/>
                  <w:noWrap w:val="0"/>
                  <w:vAlign w:val="center"/>
                </w:tcPr>
                <w:p w14:paraId="36599784">
                  <w:pPr>
                    <w:pStyle w:val="116"/>
                    <w:jc w:val="center"/>
                    <w:rPr>
                      <w:rFonts w:hint="default" w:ascii="Times New Roman" w:hAnsi="Times New Roman" w:eastAsia="宋体" w:cs="Times New Roman"/>
                      <w:color w:val="auto"/>
                      <w:spacing w:val="-4"/>
                      <w:kern w:val="2"/>
                      <w:sz w:val="21"/>
                      <w:szCs w:val="21"/>
                      <w:lang w:val="en-US" w:eastAsia="zh-CN" w:bidi="ar-SA"/>
                    </w:rPr>
                  </w:pPr>
                  <w:r>
                    <w:rPr>
                      <w:rFonts w:ascii="Times New Roman" w:hAnsi="Times New Roman" w:cs="Times New Roman"/>
                      <w:color w:val="auto"/>
                      <w:spacing w:val="-4"/>
                      <w:sz w:val="21"/>
                      <w:szCs w:val="21"/>
                      <w:lang w:eastAsia="zh-CN"/>
                    </w:rPr>
                    <w:t>2</w:t>
                  </w:r>
                </w:p>
              </w:tc>
              <w:tc>
                <w:tcPr>
                  <w:tcW w:w="786" w:type="pct"/>
                  <w:vMerge w:val="continue"/>
                  <w:noWrap w:val="0"/>
                  <w:vAlign w:val="center"/>
                </w:tcPr>
                <w:p w14:paraId="6729484A">
                  <w:pPr>
                    <w:adjustRightInd w:val="0"/>
                    <w:snapToGrid w:val="0"/>
                    <w:spacing w:line="240" w:lineRule="auto"/>
                    <w:jc w:val="center"/>
                    <w:rPr>
                      <w:rFonts w:hint="default" w:ascii="Times New Roman" w:hAnsi="Times New Roman" w:eastAsia="宋体" w:cs="Times New Roman"/>
                      <w:color w:val="auto"/>
                      <w:sz w:val="21"/>
                      <w:szCs w:val="21"/>
                    </w:rPr>
                  </w:pPr>
                </w:p>
              </w:tc>
            </w:tr>
            <w:tr w14:paraId="06BB3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2" w:hRule="atLeast"/>
                <w:jc w:val="center"/>
              </w:trPr>
              <w:tc>
                <w:tcPr>
                  <w:tcW w:w="291" w:type="pct"/>
                  <w:noWrap w:val="0"/>
                  <w:vAlign w:val="center"/>
                </w:tcPr>
                <w:p w14:paraId="064ED0CF">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906" w:type="pct"/>
                  <w:shd w:val="clear" w:color="auto" w:fill="auto"/>
                  <w:noWrap w:val="0"/>
                  <w:vAlign w:val="center"/>
                </w:tcPr>
                <w:p w14:paraId="42862A8D">
                  <w:pPr>
                    <w:pStyle w:val="116"/>
                    <w:jc w:val="center"/>
                    <w:rPr>
                      <w:rFonts w:hint="default" w:ascii="Times New Roman" w:hAnsi="Times New Roman" w:eastAsia="宋体" w:cs="Times New Roman"/>
                      <w:color w:val="auto"/>
                      <w:spacing w:val="-4"/>
                      <w:kern w:val="2"/>
                      <w:sz w:val="21"/>
                      <w:szCs w:val="21"/>
                      <w:lang w:val="en-US" w:eastAsia="zh-CN" w:bidi="ar-SA"/>
                    </w:rPr>
                  </w:pPr>
                  <w:r>
                    <w:rPr>
                      <w:rFonts w:ascii="Times New Roman" w:hAnsi="Times New Roman" w:cs="Times New Roman"/>
                      <w:color w:val="auto"/>
                      <w:spacing w:val="-4"/>
                      <w:sz w:val="21"/>
                      <w:szCs w:val="21"/>
                      <w:lang w:eastAsia="zh-CN"/>
                    </w:rPr>
                    <w:t>混合酸</w:t>
                  </w:r>
                </w:p>
              </w:tc>
              <w:tc>
                <w:tcPr>
                  <w:tcW w:w="742" w:type="pct"/>
                  <w:noWrap w:val="0"/>
                  <w:vAlign w:val="center"/>
                </w:tcPr>
                <w:p w14:paraId="42AF776F">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立式储罐</w:t>
                  </w:r>
                </w:p>
              </w:tc>
              <w:tc>
                <w:tcPr>
                  <w:tcW w:w="641" w:type="pct"/>
                  <w:noWrap w:val="0"/>
                  <w:vAlign w:val="center"/>
                </w:tcPr>
                <w:p w14:paraId="6FEC6606">
                  <w:pPr>
                    <w:adjustRightInd w:val="0"/>
                    <w:snapToGrid w:val="0"/>
                    <w:spacing w:line="240" w:lineRule="auto"/>
                    <w:jc w:val="center"/>
                    <w:rPr>
                      <w:rFonts w:hint="default" w:ascii="Times New Roman" w:hAnsi="Times New Roman" w:eastAsia="宋体" w:cs="Times New Roman"/>
                      <w:color w:val="auto"/>
                      <w:sz w:val="21"/>
                      <w:szCs w:val="21"/>
                    </w:rPr>
                  </w:pPr>
                  <w:r>
                    <w:rPr>
                      <w:rFonts w:hint="eastAsia" w:cs="Times New Roman"/>
                      <w:color w:val="auto"/>
                      <w:kern w:val="2"/>
                      <w:sz w:val="21"/>
                      <w:szCs w:val="21"/>
                      <w:lang w:val="en-US" w:eastAsia="zh-CN" w:bidi="ar-SA"/>
                    </w:rPr>
                    <w:t>PP</w:t>
                  </w:r>
                </w:p>
              </w:tc>
              <w:tc>
                <w:tcPr>
                  <w:tcW w:w="697" w:type="pct"/>
                  <w:noWrap w:val="0"/>
                  <w:vAlign w:val="center"/>
                </w:tcPr>
                <w:p w14:paraId="4941534B">
                  <w:pPr>
                    <w:pStyle w:val="116"/>
                    <w:jc w:val="center"/>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Φ2.2*3</w:t>
                  </w:r>
                  <w:r>
                    <w:rPr>
                      <w:rFonts w:hint="default" w:ascii="Times New Roman" w:hAnsi="Times New Roman" w:cs="Times New Roman"/>
                      <w:color w:val="auto"/>
                      <w:spacing w:val="-4"/>
                      <w:sz w:val="21"/>
                      <w:szCs w:val="21"/>
                      <w:lang w:val="en-US" w:eastAsia="zh-CN"/>
                    </w:rPr>
                    <w:t>.</w:t>
                  </w:r>
                  <w:r>
                    <w:rPr>
                      <w:rFonts w:hint="eastAsia" w:ascii="Times New Roman" w:hAnsi="Times New Roman" w:cs="Times New Roman"/>
                      <w:color w:val="auto"/>
                      <w:spacing w:val="-4"/>
                      <w:sz w:val="21"/>
                      <w:szCs w:val="21"/>
                      <w:lang w:val="en-US" w:eastAsia="zh-CN"/>
                    </w:rPr>
                    <w:t>0m</w:t>
                  </w:r>
                </w:p>
              </w:tc>
              <w:tc>
                <w:tcPr>
                  <w:tcW w:w="498" w:type="pct"/>
                  <w:shd w:val="clear" w:color="auto" w:fill="auto"/>
                  <w:noWrap w:val="0"/>
                  <w:vAlign w:val="center"/>
                </w:tcPr>
                <w:p w14:paraId="565DADD7">
                  <w:pPr>
                    <w:pStyle w:val="116"/>
                    <w:jc w:val="center"/>
                    <w:rPr>
                      <w:rFonts w:hint="default" w:ascii="Times New Roman" w:hAnsi="Times New Roman" w:eastAsia="宋体" w:cs="Times New Roman"/>
                      <w:color w:val="auto"/>
                      <w:spacing w:val="-4"/>
                      <w:kern w:val="2"/>
                      <w:sz w:val="21"/>
                      <w:szCs w:val="21"/>
                      <w:lang w:val="en-US" w:eastAsia="zh-CN" w:bidi="ar-SA"/>
                    </w:rPr>
                  </w:pPr>
                  <w:r>
                    <w:rPr>
                      <w:rFonts w:ascii="Times New Roman" w:hAnsi="Times New Roman" w:cs="Times New Roman"/>
                      <w:color w:val="auto"/>
                      <w:spacing w:val="-4"/>
                      <w:sz w:val="21"/>
                      <w:szCs w:val="21"/>
                      <w:lang w:eastAsia="zh-CN"/>
                    </w:rPr>
                    <w:t>10m</w:t>
                  </w:r>
                  <w:r>
                    <w:rPr>
                      <w:rFonts w:ascii="Times New Roman" w:hAnsi="Times New Roman" w:cs="Times New Roman"/>
                      <w:color w:val="auto"/>
                      <w:spacing w:val="-4"/>
                      <w:sz w:val="21"/>
                      <w:szCs w:val="21"/>
                      <w:vertAlign w:val="superscript"/>
                      <w:lang w:eastAsia="zh-CN"/>
                    </w:rPr>
                    <w:t>3</w:t>
                  </w:r>
                </w:p>
              </w:tc>
              <w:tc>
                <w:tcPr>
                  <w:tcW w:w="435" w:type="pct"/>
                  <w:shd w:val="clear" w:color="auto" w:fill="auto"/>
                  <w:noWrap w:val="0"/>
                  <w:vAlign w:val="center"/>
                </w:tcPr>
                <w:p w14:paraId="54E6EDAE">
                  <w:pPr>
                    <w:pStyle w:val="116"/>
                    <w:jc w:val="center"/>
                    <w:rPr>
                      <w:rFonts w:hint="default" w:ascii="Times New Roman" w:hAnsi="Times New Roman" w:eastAsia="宋体" w:cs="Times New Roman"/>
                      <w:color w:val="auto"/>
                      <w:spacing w:val="-4"/>
                      <w:kern w:val="2"/>
                      <w:sz w:val="21"/>
                      <w:szCs w:val="21"/>
                      <w:lang w:val="en-US" w:eastAsia="zh-CN" w:bidi="ar-SA"/>
                    </w:rPr>
                  </w:pPr>
                  <w:r>
                    <w:rPr>
                      <w:rFonts w:ascii="Times New Roman" w:hAnsi="Times New Roman" w:cs="Times New Roman"/>
                      <w:color w:val="auto"/>
                      <w:spacing w:val="-4"/>
                      <w:sz w:val="21"/>
                      <w:szCs w:val="21"/>
                      <w:lang w:eastAsia="zh-CN"/>
                    </w:rPr>
                    <w:t>1</w:t>
                  </w:r>
                </w:p>
              </w:tc>
              <w:tc>
                <w:tcPr>
                  <w:tcW w:w="786" w:type="pct"/>
                  <w:vMerge w:val="continue"/>
                  <w:noWrap w:val="0"/>
                  <w:vAlign w:val="center"/>
                </w:tcPr>
                <w:p w14:paraId="2E87C700">
                  <w:pPr>
                    <w:adjustRightInd w:val="0"/>
                    <w:snapToGrid w:val="0"/>
                    <w:spacing w:line="240" w:lineRule="auto"/>
                    <w:jc w:val="center"/>
                    <w:rPr>
                      <w:rFonts w:hint="default" w:ascii="Times New Roman" w:hAnsi="Times New Roman" w:eastAsia="宋体" w:cs="Times New Roman"/>
                      <w:color w:val="auto"/>
                      <w:sz w:val="21"/>
                      <w:szCs w:val="21"/>
                    </w:rPr>
                  </w:pPr>
                </w:p>
              </w:tc>
            </w:tr>
          </w:tbl>
          <w:p w14:paraId="44FDFBB0">
            <w:pPr>
              <w:spacing w:before="120" w:line="360" w:lineRule="auto"/>
              <w:rPr>
                <w:b/>
                <w:bCs/>
                <w:color w:val="auto"/>
                <w:sz w:val="24"/>
              </w:rPr>
            </w:pPr>
            <w:r>
              <w:rPr>
                <w:b/>
                <w:bCs/>
                <w:color w:val="auto"/>
                <w:sz w:val="24"/>
              </w:rPr>
              <w:t>2.1.3 主要产品及产能</w:t>
            </w:r>
          </w:p>
          <w:p w14:paraId="7E7CEE97">
            <w:pPr>
              <w:spacing w:line="360" w:lineRule="auto"/>
              <w:ind w:firstLine="480" w:firstLineChars="200"/>
              <w:rPr>
                <w:color w:val="auto"/>
                <w:sz w:val="24"/>
              </w:rPr>
            </w:pPr>
            <w:bookmarkStart w:id="13" w:name="_Hlk96440577"/>
            <w:r>
              <w:rPr>
                <w:color w:val="auto"/>
                <w:sz w:val="24"/>
              </w:rPr>
              <w:t>本项目产品方案见表2-</w:t>
            </w:r>
            <w:r>
              <w:rPr>
                <w:rFonts w:hint="eastAsia"/>
                <w:color w:val="auto"/>
                <w:sz w:val="24"/>
                <w:lang w:val="en-US" w:eastAsia="zh-CN"/>
              </w:rPr>
              <w:t>3</w:t>
            </w:r>
            <w:r>
              <w:rPr>
                <w:color w:val="auto"/>
                <w:sz w:val="24"/>
              </w:rPr>
              <w:t>。</w:t>
            </w:r>
          </w:p>
          <w:p w14:paraId="026828D4">
            <w:pPr>
              <w:jc w:val="center"/>
              <w:rPr>
                <w:b/>
                <w:color w:val="auto"/>
                <w:szCs w:val="21"/>
              </w:rPr>
            </w:pPr>
            <w:r>
              <w:rPr>
                <w:b/>
                <w:color w:val="auto"/>
                <w:szCs w:val="21"/>
              </w:rPr>
              <w:t>表2-</w:t>
            </w:r>
            <w:r>
              <w:rPr>
                <w:rFonts w:hint="eastAsia"/>
                <w:b/>
                <w:color w:val="auto"/>
                <w:szCs w:val="21"/>
                <w:lang w:val="en-US" w:eastAsia="zh-CN"/>
              </w:rPr>
              <w:t>3</w:t>
            </w:r>
            <w:r>
              <w:rPr>
                <w:b/>
                <w:color w:val="auto"/>
                <w:szCs w:val="21"/>
              </w:rPr>
              <w:t xml:space="preserve">  项目产品方案一览表</w:t>
            </w:r>
          </w:p>
          <w:bookmarkEnd w:id="13"/>
          <w:tbl>
            <w:tblPr>
              <w:tblStyle w:val="32"/>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57" w:type="dxa"/>
                <w:bottom w:w="0" w:type="dxa"/>
                <w:right w:w="57" w:type="dxa"/>
              </w:tblCellMar>
            </w:tblPr>
            <w:tblGrid>
              <w:gridCol w:w="735"/>
              <w:gridCol w:w="1695"/>
              <w:gridCol w:w="1884"/>
              <w:gridCol w:w="3722"/>
            </w:tblGrid>
            <w:tr w14:paraId="2595BD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90" w:hRule="atLeast"/>
                <w:jc w:val="center"/>
              </w:trPr>
              <w:tc>
                <w:tcPr>
                  <w:tcW w:w="457" w:type="pct"/>
                  <w:tcMar>
                    <w:top w:w="0" w:type="dxa"/>
                    <w:left w:w="57" w:type="dxa"/>
                    <w:bottom w:w="0" w:type="dxa"/>
                    <w:right w:w="57" w:type="dxa"/>
                  </w:tcMar>
                  <w:vAlign w:val="center"/>
                </w:tcPr>
                <w:p w14:paraId="57A441BC">
                  <w:pPr>
                    <w:jc w:val="center"/>
                    <w:rPr>
                      <w:color w:val="auto"/>
                      <w:szCs w:val="21"/>
                    </w:rPr>
                  </w:pPr>
                  <w:bookmarkStart w:id="14" w:name="_Hlk96440642"/>
                  <w:r>
                    <w:rPr>
                      <w:color w:val="auto"/>
                      <w:szCs w:val="21"/>
                    </w:rPr>
                    <w:t>序号</w:t>
                  </w:r>
                </w:p>
              </w:tc>
              <w:tc>
                <w:tcPr>
                  <w:tcW w:w="1054" w:type="pct"/>
                  <w:vAlign w:val="center"/>
                </w:tcPr>
                <w:p w14:paraId="262E0358">
                  <w:pPr>
                    <w:jc w:val="center"/>
                    <w:rPr>
                      <w:color w:val="auto"/>
                      <w:szCs w:val="21"/>
                    </w:rPr>
                  </w:pPr>
                  <w:r>
                    <w:rPr>
                      <w:color w:val="auto"/>
                      <w:szCs w:val="21"/>
                    </w:rPr>
                    <w:t>产品名称</w:t>
                  </w:r>
                </w:p>
              </w:tc>
              <w:tc>
                <w:tcPr>
                  <w:tcW w:w="1172" w:type="pct"/>
                  <w:vAlign w:val="center"/>
                </w:tcPr>
                <w:p w14:paraId="47581085">
                  <w:pPr>
                    <w:jc w:val="center"/>
                    <w:rPr>
                      <w:color w:val="auto"/>
                      <w:szCs w:val="21"/>
                    </w:rPr>
                  </w:pPr>
                  <w:r>
                    <w:rPr>
                      <w:color w:val="auto"/>
                      <w:szCs w:val="21"/>
                    </w:rPr>
                    <w:t>数量（t/a）</w:t>
                  </w:r>
                </w:p>
              </w:tc>
              <w:tc>
                <w:tcPr>
                  <w:tcW w:w="2315" w:type="pct"/>
                  <w:vAlign w:val="center"/>
                </w:tcPr>
                <w:p w14:paraId="273BB64B">
                  <w:pPr>
                    <w:jc w:val="center"/>
                    <w:rPr>
                      <w:color w:val="auto"/>
                      <w:szCs w:val="21"/>
                    </w:rPr>
                  </w:pPr>
                  <w:r>
                    <w:rPr>
                      <w:color w:val="auto"/>
                      <w:szCs w:val="21"/>
                    </w:rPr>
                    <w:t>备注</w:t>
                  </w:r>
                </w:p>
              </w:tc>
            </w:tr>
            <w:tr w14:paraId="364E0F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90" w:hRule="atLeast"/>
                <w:jc w:val="center"/>
              </w:trPr>
              <w:tc>
                <w:tcPr>
                  <w:tcW w:w="457" w:type="pct"/>
                  <w:tcMar>
                    <w:top w:w="0" w:type="dxa"/>
                    <w:left w:w="57" w:type="dxa"/>
                    <w:bottom w:w="0" w:type="dxa"/>
                    <w:right w:w="57" w:type="dxa"/>
                  </w:tcMar>
                  <w:vAlign w:val="center"/>
                </w:tcPr>
                <w:p w14:paraId="4C019722">
                  <w:pPr>
                    <w:jc w:val="center"/>
                    <w:rPr>
                      <w:color w:val="auto"/>
                      <w:szCs w:val="21"/>
                    </w:rPr>
                  </w:pPr>
                  <w:r>
                    <w:rPr>
                      <w:color w:val="auto"/>
                      <w:szCs w:val="21"/>
                    </w:rPr>
                    <w:t>1</w:t>
                  </w:r>
                </w:p>
              </w:tc>
              <w:tc>
                <w:tcPr>
                  <w:tcW w:w="1054" w:type="pct"/>
                  <w:vAlign w:val="center"/>
                </w:tcPr>
                <w:p w14:paraId="3F6C1F57">
                  <w:pPr>
                    <w:jc w:val="center"/>
                    <w:rPr>
                      <w:color w:val="auto"/>
                      <w:szCs w:val="21"/>
                    </w:rPr>
                  </w:pPr>
                  <w:r>
                    <w:rPr>
                      <w:color w:val="auto"/>
                      <w:szCs w:val="21"/>
                    </w:rPr>
                    <w:t>高纯石英砂</w:t>
                  </w:r>
                </w:p>
              </w:tc>
              <w:tc>
                <w:tcPr>
                  <w:tcW w:w="1172" w:type="pct"/>
                  <w:vAlign w:val="center"/>
                </w:tcPr>
                <w:p w14:paraId="7B3F9C1B">
                  <w:pPr>
                    <w:jc w:val="center"/>
                    <w:rPr>
                      <w:color w:val="auto"/>
                      <w:szCs w:val="21"/>
                    </w:rPr>
                  </w:pPr>
                  <w:r>
                    <w:rPr>
                      <w:color w:val="auto"/>
                      <w:szCs w:val="21"/>
                    </w:rPr>
                    <w:t>2000</w:t>
                  </w:r>
                </w:p>
              </w:tc>
              <w:tc>
                <w:tcPr>
                  <w:tcW w:w="2315" w:type="pct"/>
                  <w:vAlign w:val="center"/>
                </w:tcPr>
                <w:p w14:paraId="2CA8750C">
                  <w:pPr>
                    <w:jc w:val="center"/>
                    <w:rPr>
                      <w:color w:val="auto"/>
                      <w:szCs w:val="21"/>
                    </w:rPr>
                  </w:pPr>
                  <w:r>
                    <w:rPr>
                      <w:color w:val="auto"/>
                      <w:szCs w:val="21"/>
                    </w:rPr>
                    <w:t>50~200目，二氧化硅含量≥99.998%</w:t>
                  </w:r>
                </w:p>
              </w:tc>
            </w:tr>
          </w:tbl>
          <w:p w14:paraId="358D44E3">
            <w:pPr>
              <w:adjustRightInd w:val="0"/>
              <w:snapToGrid w:val="0"/>
              <w:spacing w:line="360" w:lineRule="auto"/>
              <w:ind w:firstLine="480" w:firstLineChars="200"/>
              <w:rPr>
                <w:color w:val="auto"/>
                <w:kern w:val="0"/>
                <w:sz w:val="24"/>
              </w:rPr>
            </w:pPr>
            <w:r>
              <w:rPr>
                <w:color w:val="auto"/>
                <w:kern w:val="0"/>
                <w:sz w:val="24"/>
              </w:rPr>
              <w:t>产品质量要求：</w:t>
            </w:r>
          </w:p>
          <w:p w14:paraId="49E6F0B2">
            <w:pPr>
              <w:adjustRightInd w:val="0"/>
              <w:snapToGrid w:val="0"/>
              <w:spacing w:line="360" w:lineRule="auto"/>
              <w:ind w:firstLine="480" w:firstLineChars="200"/>
              <w:rPr>
                <w:color w:val="auto"/>
                <w:kern w:val="0"/>
                <w:sz w:val="24"/>
              </w:rPr>
            </w:pPr>
            <w:r>
              <w:rPr>
                <w:color w:val="auto"/>
                <w:kern w:val="0"/>
                <w:sz w:val="24"/>
              </w:rPr>
              <w:t>本项目产品质量标准参考《高纯（SiO</w:t>
            </w:r>
            <w:r>
              <w:rPr>
                <w:color w:val="auto"/>
                <w:kern w:val="0"/>
                <w:sz w:val="24"/>
                <w:vertAlign w:val="subscript"/>
              </w:rPr>
              <w:t>2</w:t>
            </w:r>
            <w:r>
              <w:rPr>
                <w:color w:val="auto"/>
                <w:kern w:val="0"/>
                <w:sz w:val="24"/>
              </w:rPr>
              <w:t>≥99.997%）石英砂》 （DB43/T1167-2016）中二级以上标准。</w:t>
            </w:r>
          </w:p>
          <w:p w14:paraId="26C0EB26">
            <w:pPr>
              <w:jc w:val="center"/>
              <w:rPr>
                <w:b/>
                <w:color w:val="auto"/>
                <w:szCs w:val="21"/>
              </w:rPr>
            </w:pPr>
            <w:r>
              <w:rPr>
                <w:b/>
                <w:color w:val="auto"/>
                <w:szCs w:val="21"/>
              </w:rPr>
              <w:t>表2-</w:t>
            </w:r>
            <w:r>
              <w:rPr>
                <w:rFonts w:hint="eastAsia"/>
                <w:b/>
                <w:color w:val="auto"/>
                <w:szCs w:val="21"/>
                <w:lang w:val="en-US" w:eastAsia="zh-CN"/>
              </w:rPr>
              <w:t>4</w:t>
            </w:r>
            <w:r>
              <w:rPr>
                <w:b/>
                <w:color w:val="auto"/>
                <w:szCs w:val="21"/>
              </w:rPr>
              <w:t xml:space="preserve">  项目产品质量标准</w:t>
            </w:r>
          </w:p>
          <w:tbl>
            <w:tblPr>
              <w:tblStyle w:val="32"/>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57" w:type="dxa"/>
                <w:bottom w:w="0" w:type="dxa"/>
                <w:right w:w="57" w:type="dxa"/>
              </w:tblCellMar>
            </w:tblPr>
            <w:tblGrid>
              <w:gridCol w:w="732"/>
              <w:gridCol w:w="2931"/>
              <w:gridCol w:w="2082"/>
              <w:gridCol w:w="2295"/>
            </w:tblGrid>
            <w:tr w14:paraId="03FB0A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18950B86">
                  <w:pPr>
                    <w:jc w:val="center"/>
                    <w:rPr>
                      <w:color w:val="auto"/>
                      <w:szCs w:val="21"/>
                    </w:rPr>
                  </w:pPr>
                  <w:r>
                    <w:rPr>
                      <w:color w:val="auto"/>
                      <w:szCs w:val="21"/>
                    </w:rPr>
                    <w:t>序号</w:t>
                  </w:r>
                </w:p>
              </w:tc>
              <w:tc>
                <w:tcPr>
                  <w:tcW w:w="1822" w:type="pct"/>
                  <w:vAlign w:val="center"/>
                </w:tcPr>
                <w:p w14:paraId="1153B209">
                  <w:pPr>
                    <w:jc w:val="center"/>
                    <w:rPr>
                      <w:color w:val="auto"/>
                      <w:szCs w:val="21"/>
                    </w:rPr>
                  </w:pPr>
                  <w:r>
                    <w:rPr>
                      <w:color w:val="auto"/>
                      <w:szCs w:val="21"/>
                    </w:rPr>
                    <w:t>技术指标</w:t>
                  </w:r>
                </w:p>
              </w:tc>
              <w:tc>
                <w:tcPr>
                  <w:tcW w:w="1294" w:type="pct"/>
                  <w:vAlign w:val="center"/>
                </w:tcPr>
                <w:p w14:paraId="6B7CF0CE">
                  <w:pPr>
                    <w:jc w:val="center"/>
                    <w:rPr>
                      <w:color w:val="auto"/>
                      <w:szCs w:val="21"/>
                    </w:rPr>
                  </w:pPr>
                  <w:r>
                    <w:rPr>
                      <w:color w:val="auto"/>
                      <w:szCs w:val="21"/>
                    </w:rPr>
                    <w:t>一级</w:t>
                  </w:r>
                </w:p>
              </w:tc>
              <w:tc>
                <w:tcPr>
                  <w:tcW w:w="1426" w:type="pct"/>
                  <w:vAlign w:val="center"/>
                </w:tcPr>
                <w:p w14:paraId="7F6DD895">
                  <w:pPr>
                    <w:jc w:val="center"/>
                    <w:rPr>
                      <w:color w:val="auto"/>
                      <w:szCs w:val="21"/>
                    </w:rPr>
                  </w:pPr>
                  <w:r>
                    <w:rPr>
                      <w:color w:val="auto"/>
                      <w:szCs w:val="21"/>
                    </w:rPr>
                    <w:t>二级</w:t>
                  </w:r>
                </w:p>
              </w:tc>
            </w:tr>
            <w:tr w14:paraId="0A73C1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1" w:hRule="atLeast"/>
                <w:jc w:val="center"/>
              </w:trPr>
              <w:tc>
                <w:tcPr>
                  <w:tcW w:w="456" w:type="pct"/>
                  <w:tcMar>
                    <w:top w:w="0" w:type="dxa"/>
                    <w:left w:w="57" w:type="dxa"/>
                    <w:bottom w:w="0" w:type="dxa"/>
                    <w:right w:w="57" w:type="dxa"/>
                  </w:tcMar>
                  <w:vAlign w:val="center"/>
                </w:tcPr>
                <w:p w14:paraId="139EABF0">
                  <w:pPr>
                    <w:jc w:val="center"/>
                    <w:rPr>
                      <w:color w:val="auto"/>
                      <w:szCs w:val="21"/>
                    </w:rPr>
                  </w:pPr>
                  <w:r>
                    <w:rPr>
                      <w:color w:val="auto"/>
                      <w:szCs w:val="21"/>
                    </w:rPr>
                    <w:t>1</w:t>
                  </w:r>
                </w:p>
              </w:tc>
              <w:tc>
                <w:tcPr>
                  <w:tcW w:w="1822" w:type="pct"/>
                  <w:vAlign w:val="center"/>
                </w:tcPr>
                <w:p w14:paraId="117AB1E0">
                  <w:pPr>
                    <w:jc w:val="center"/>
                    <w:rPr>
                      <w:color w:val="auto"/>
                      <w:szCs w:val="21"/>
                    </w:rPr>
                  </w:pPr>
                  <w:r>
                    <w:rPr>
                      <w:color w:val="auto"/>
                      <w:szCs w:val="21"/>
                    </w:rPr>
                    <w:t xml:space="preserve">二氧化硅% </w:t>
                  </w:r>
                  <w:r>
                    <w:rPr>
                      <w:color w:val="auto"/>
                      <w:kern w:val="0"/>
                      <w:sz w:val="24"/>
                    </w:rPr>
                    <w:t>≥</w:t>
                  </w:r>
                </w:p>
              </w:tc>
              <w:tc>
                <w:tcPr>
                  <w:tcW w:w="1294" w:type="pct"/>
                  <w:vAlign w:val="center"/>
                </w:tcPr>
                <w:p w14:paraId="6CCF63F3">
                  <w:pPr>
                    <w:jc w:val="center"/>
                    <w:rPr>
                      <w:color w:val="auto"/>
                      <w:szCs w:val="21"/>
                    </w:rPr>
                  </w:pPr>
                  <w:r>
                    <w:rPr>
                      <w:color w:val="auto"/>
                      <w:szCs w:val="21"/>
                    </w:rPr>
                    <w:t>99.999</w:t>
                  </w:r>
                </w:p>
              </w:tc>
              <w:tc>
                <w:tcPr>
                  <w:tcW w:w="1426" w:type="pct"/>
                  <w:vAlign w:val="center"/>
                </w:tcPr>
                <w:p w14:paraId="6D5CCF8E">
                  <w:pPr>
                    <w:jc w:val="center"/>
                    <w:rPr>
                      <w:color w:val="auto"/>
                      <w:szCs w:val="21"/>
                    </w:rPr>
                  </w:pPr>
                  <w:r>
                    <w:rPr>
                      <w:color w:val="auto"/>
                      <w:szCs w:val="21"/>
                    </w:rPr>
                    <w:t>99.998</w:t>
                  </w:r>
                </w:p>
              </w:tc>
            </w:tr>
            <w:tr w14:paraId="283CADB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0F8DE862">
                  <w:pPr>
                    <w:jc w:val="center"/>
                    <w:rPr>
                      <w:color w:val="auto"/>
                      <w:szCs w:val="21"/>
                    </w:rPr>
                  </w:pPr>
                  <w:bookmarkStart w:id="15" w:name="_Hlk113264629"/>
                  <w:r>
                    <w:rPr>
                      <w:color w:val="auto"/>
                      <w:szCs w:val="21"/>
                    </w:rPr>
                    <w:t>2</w:t>
                  </w:r>
                </w:p>
              </w:tc>
              <w:tc>
                <w:tcPr>
                  <w:tcW w:w="1822" w:type="pct"/>
                  <w:vAlign w:val="center"/>
                </w:tcPr>
                <w:p w14:paraId="63DCD190">
                  <w:pPr>
                    <w:jc w:val="center"/>
                    <w:rPr>
                      <w:rFonts w:hint="eastAsia"/>
                      <w:color w:val="auto"/>
                      <w:szCs w:val="21"/>
                    </w:rPr>
                  </w:pPr>
                  <w:r>
                    <w:rPr>
                      <w:color w:val="auto"/>
                      <w:szCs w:val="21"/>
                    </w:rPr>
                    <w:t>铝mg/kg</w:t>
                  </w:r>
                  <w:r>
                    <w:rPr>
                      <w:rFonts w:hint="eastAsia"/>
                      <w:color w:val="auto"/>
                    </w:rPr>
                    <w:t>≤</w:t>
                  </w:r>
                </w:p>
              </w:tc>
              <w:tc>
                <w:tcPr>
                  <w:tcW w:w="1294" w:type="pct"/>
                  <w:vAlign w:val="center"/>
                </w:tcPr>
                <w:p w14:paraId="5DCF15E1">
                  <w:pPr>
                    <w:jc w:val="center"/>
                    <w:rPr>
                      <w:color w:val="auto"/>
                      <w:szCs w:val="21"/>
                    </w:rPr>
                  </w:pPr>
                  <w:r>
                    <w:rPr>
                      <w:color w:val="auto"/>
                      <w:szCs w:val="21"/>
                    </w:rPr>
                    <w:t>6.79</w:t>
                  </w:r>
                </w:p>
              </w:tc>
              <w:tc>
                <w:tcPr>
                  <w:tcW w:w="1426" w:type="pct"/>
                  <w:vAlign w:val="center"/>
                </w:tcPr>
                <w:p w14:paraId="14CFB661">
                  <w:pPr>
                    <w:jc w:val="center"/>
                    <w:rPr>
                      <w:color w:val="auto"/>
                      <w:szCs w:val="21"/>
                    </w:rPr>
                  </w:pPr>
                  <w:r>
                    <w:rPr>
                      <w:color w:val="auto"/>
                      <w:szCs w:val="21"/>
                    </w:rPr>
                    <w:t>12.49</w:t>
                  </w:r>
                </w:p>
              </w:tc>
            </w:tr>
            <w:tr w14:paraId="5A6D8A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26287213">
                  <w:pPr>
                    <w:jc w:val="center"/>
                    <w:rPr>
                      <w:color w:val="auto"/>
                      <w:szCs w:val="21"/>
                    </w:rPr>
                  </w:pPr>
                  <w:r>
                    <w:rPr>
                      <w:color w:val="auto"/>
                      <w:szCs w:val="21"/>
                    </w:rPr>
                    <w:t>3</w:t>
                  </w:r>
                </w:p>
              </w:tc>
              <w:tc>
                <w:tcPr>
                  <w:tcW w:w="1822" w:type="pct"/>
                  <w:vAlign w:val="center"/>
                </w:tcPr>
                <w:p w14:paraId="21B2696D">
                  <w:pPr>
                    <w:jc w:val="center"/>
                    <w:rPr>
                      <w:color w:val="auto"/>
                      <w:szCs w:val="21"/>
                    </w:rPr>
                  </w:pPr>
                  <w:r>
                    <w:rPr>
                      <w:color w:val="auto"/>
                      <w:szCs w:val="21"/>
                    </w:rPr>
                    <w:t>钾mg/kg</w:t>
                  </w:r>
                  <w:r>
                    <w:rPr>
                      <w:rFonts w:hint="eastAsia"/>
                      <w:color w:val="auto"/>
                    </w:rPr>
                    <w:t>≤</w:t>
                  </w:r>
                </w:p>
              </w:tc>
              <w:tc>
                <w:tcPr>
                  <w:tcW w:w="1294" w:type="pct"/>
                  <w:vAlign w:val="center"/>
                </w:tcPr>
                <w:p w14:paraId="6B541D19">
                  <w:pPr>
                    <w:jc w:val="center"/>
                    <w:rPr>
                      <w:color w:val="auto"/>
                      <w:szCs w:val="21"/>
                    </w:rPr>
                  </w:pPr>
                  <w:r>
                    <w:rPr>
                      <w:color w:val="auto"/>
                      <w:szCs w:val="21"/>
                    </w:rPr>
                    <w:t>0.5</w:t>
                  </w:r>
                </w:p>
              </w:tc>
              <w:tc>
                <w:tcPr>
                  <w:tcW w:w="1426" w:type="pct"/>
                  <w:vAlign w:val="center"/>
                </w:tcPr>
                <w:p w14:paraId="79A7C592">
                  <w:pPr>
                    <w:jc w:val="center"/>
                    <w:rPr>
                      <w:color w:val="auto"/>
                      <w:szCs w:val="21"/>
                    </w:rPr>
                  </w:pPr>
                  <w:r>
                    <w:rPr>
                      <w:color w:val="auto"/>
                      <w:szCs w:val="21"/>
                    </w:rPr>
                    <w:t>1.2</w:t>
                  </w:r>
                </w:p>
              </w:tc>
            </w:tr>
            <w:tr w14:paraId="568508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51566B65">
                  <w:pPr>
                    <w:jc w:val="center"/>
                    <w:rPr>
                      <w:color w:val="auto"/>
                      <w:szCs w:val="21"/>
                    </w:rPr>
                  </w:pPr>
                  <w:r>
                    <w:rPr>
                      <w:color w:val="auto"/>
                      <w:szCs w:val="21"/>
                    </w:rPr>
                    <w:t>4</w:t>
                  </w:r>
                </w:p>
              </w:tc>
              <w:tc>
                <w:tcPr>
                  <w:tcW w:w="1822" w:type="pct"/>
                  <w:vAlign w:val="center"/>
                </w:tcPr>
                <w:p w14:paraId="5E9F0AB8">
                  <w:pPr>
                    <w:jc w:val="center"/>
                    <w:rPr>
                      <w:color w:val="auto"/>
                      <w:szCs w:val="21"/>
                    </w:rPr>
                  </w:pPr>
                  <w:r>
                    <w:rPr>
                      <w:color w:val="auto"/>
                      <w:szCs w:val="21"/>
                    </w:rPr>
                    <w:t>钠mg/kg</w:t>
                  </w:r>
                  <w:r>
                    <w:rPr>
                      <w:rFonts w:hint="eastAsia"/>
                      <w:color w:val="auto"/>
                    </w:rPr>
                    <w:t>≤</w:t>
                  </w:r>
                  <w:r>
                    <w:rPr>
                      <w:color w:val="auto"/>
                      <w:szCs w:val="21"/>
                    </w:rPr>
                    <w:t xml:space="preserve"> </w:t>
                  </w:r>
                </w:p>
              </w:tc>
              <w:tc>
                <w:tcPr>
                  <w:tcW w:w="1294" w:type="pct"/>
                  <w:vAlign w:val="center"/>
                </w:tcPr>
                <w:p w14:paraId="7D626A73">
                  <w:pPr>
                    <w:jc w:val="center"/>
                    <w:rPr>
                      <w:color w:val="auto"/>
                      <w:szCs w:val="21"/>
                    </w:rPr>
                  </w:pPr>
                  <w:r>
                    <w:rPr>
                      <w:color w:val="auto"/>
                      <w:szCs w:val="21"/>
                    </w:rPr>
                    <w:t>0.5</w:t>
                  </w:r>
                </w:p>
              </w:tc>
              <w:tc>
                <w:tcPr>
                  <w:tcW w:w="1426" w:type="pct"/>
                  <w:vAlign w:val="center"/>
                </w:tcPr>
                <w:p w14:paraId="0D35C7B6">
                  <w:pPr>
                    <w:jc w:val="center"/>
                    <w:rPr>
                      <w:color w:val="auto"/>
                      <w:szCs w:val="21"/>
                    </w:rPr>
                  </w:pPr>
                  <w:r>
                    <w:rPr>
                      <w:color w:val="auto"/>
                      <w:szCs w:val="21"/>
                    </w:rPr>
                    <w:t>1.2</w:t>
                  </w:r>
                </w:p>
              </w:tc>
            </w:tr>
            <w:tr w14:paraId="5C299AD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74BBA62F">
                  <w:pPr>
                    <w:jc w:val="center"/>
                    <w:rPr>
                      <w:color w:val="auto"/>
                      <w:szCs w:val="21"/>
                    </w:rPr>
                  </w:pPr>
                  <w:r>
                    <w:rPr>
                      <w:color w:val="auto"/>
                      <w:szCs w:val="21"/>
                    </w:rPr>
                    <w:t>5</w:t>
                  </w:r>
                </w:p>
              </w:tc>
              <w:tc>
                <w:tcPr>
                  <w:tcW w:w="1822" w:type="pct"/>
                  <w:vAlign w:val="center"/>
                </w:tcPr>
                <w:p w14:paraId="7550FEBF">
                  <w:pPr>
                    <w:jc w:val="center"/>
                    <w:rPr>
                      <w:color w:val="auto"/>
                      <w:szCs w:val="21"/>
                    </w:rPr>
                  </w:pPr>
                  <w:r>
                    <w:rPr>
                      <w:color w:val="auto"/>
                      <w:szCs w:val="21"/>
                    </w:rPr>
                    <w:t>钙mg/kg</w:t>
                  </w:r>
                  <w:r>
                    <w:rPr>
                      <w:rFonts w:hint="eastAsia"/>
                      <w:color w:val="auto"/>
                    </w:rPr>
                    <w:t>≤</w:t>
                  </w:r>
                </w:p>
              </w:tc>
              <w:tc>
                <w:tcPr>
                  <w:tcW w:w="1294" w:type="pct"/>
                  <w:vAlign w:val="center"/>
                </w:tcPr>
                <w:p w14:paraId="2D030A86">
                  <w:pPr>
                    <w:jc w:val="center"/>
                    <w:rPr>
                      <w:color w:val="auto"/>
                      <w:szCs w:val="21"/>
                    </w:rPr>
                  </w:pPr>
                  <w:r>
                    <w:rPr>
                      <w:color w:val="auto"/>
                      <w:szCs w:val="21"/>
                    </w:rPr>
                    <w:t>0.55</w:t>
                  </w:r>
                </w:p>
              </w:tc>
              <w:tc>
                <w:tcPr>
                  <w:tcW w:w="1426" w:type="pct"/>
                  <w:vAlign w:val="center"/>
                </w:tcPr>
                <w:p w14:paraId="2F93EE94">
                  <w:pPr>
                    <w:jc w:val="center"/>
                    <w:rPr>
                      <w:color w:val="auto"/>
                      <w:szCs w:val="21"/>
                    </w:rPr>
                  </w:pPr>
                  <w:r>
                    <w:rPr>
                      <w:color w:val="auto"/>
                      <w:szCs w:val="21"/>
                    </w:rPr>
                    <w:t>1</w:t>
                  </w:r>
                </w:p>
              </w:tc>
            </w:tr>
            <w:tr w14:paraId="17F02B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349F4E01">
                  <w:pPr>
                    <w:jc w:val="center"/>
                    <w:rPr>
                      <w:color w:val="auto"/>
                      <w:szCs w:val="21"/>
                    </w:rPr>
                  </w:pPr>
                  <w:r>
                    <w:rPr>
                      <w:color w:val="auto"/>
                      <w:szCs w:val="21"/>
                    </w:rPr>
                    <w:t>6</w:t>
                  </w:r>
                </w:p>
              </w:tc>
              <w:tc>
                <w:tcPr>
                  <w:tcW w:w="1822" w:type="pct"/>
                  <w:vAlign w:val="center"/>
                </w:tcPr>
                <w:p w14:paraId="55DE1A67">
                  <w:pPr>
                    <w:jc w:val="center"/>
                    <w:rPr>
                      <w:color w:val="auto"/>
                      <w:szCs w:val="21"/>
                    </w:rPr>
                  </w:pPr>
                  <w:r>
                    <w:rPr>
                      <w:color w:val="auto"/>
                      <w:szCs w:val="21"/>
                    </w:rPr>
                    <w:t>镁mg/kg</w:t>
                  </w:r>
                  <w:r>
                    <w:rPr>
                      <w:rFonts w:hint="eastAsia"/>
                      <w:color w:val="auto"/>
                    </w:rPr>
                    <w:t>≤</w:t>
                  </w:r>
                  <w:r>
                    <w:rPr>
                      <w:color w:val="auto"/>
                      <w:szCs w:val="21"/>
                    </w:rPr>
                    <w:t xml:space="preserve"> </w:t>
                  </w:r>
                </w:p>
              </w:tc>
              <w:tc>
                <w:tcPr>
                  <w:tcW w:w="1294" w:type="pct"/>
                  <w:vAlign w:val="center"/>
                </w:tcPr>
                <w:p w14:paraId="69819700">
                  <w:pPr>
                    <w:jc w:val="center"/>
                    <w:rPr>
                      <w:color w:val="auto"/>
                      <w:szCs w:val="21"/>
                    </w:rPr>
                  </w:pPr>
                  <w:r>
                    <w:rPr>
                      <w:color w:val="auto"/>
                      <w:szCs w:val="21"/>
                    </w:rPr>
                    <w:t>0.2</w:t>
                  </w:r>
                </w:p>
              </w:tc>
              <w:tc>
                <w:tcPr>
                  <w:tcW w:w="1426" w:type="pct"/>
                  <w:vAlign w:val="center"/>
                </w:tcPr>
                <w:p w14:paraId="43778D78">
                  <w:pPr>
                    <w:jc w:val="center"/>
                    <w:rPr>
                      <w:color w:val="auto"/>
                      <w:szCs w:val="21"/>
                    </w:rPr>
                  </w:pPr>
                  <w:r>
                    <w:rPr>
                      <w:color w:val="auto"/>
                      <w:szCs w:val="21"/>
                    </w:rPr>
                    <w:t>0.4</w:t>
                  </w:r>
                </w:p>
              </w:tc>
            </w:tr>
            <w:tr w14:paraId="1BF20C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26F60B1F">
                  <w:pPr>
                    <w:jc w:val="center"/>
                    <w:rPr>
                      <w:color w:val="auto"/>
                      <w:szCs w:val="21"/>
                    </w:rPr>
                  </w:pPr>
                  <w:r>
                    <w:rPr>
                      <w:color w:val="auto"/>
                      <w:szCs w:val="21"/>
                    </w:rPr>
                    <w:t>7</w:t>
                  </w:r>
                </w:p>
              </w:tc>
              <w:tc>
                <w:tcPr>
                  <w:tcW w:w="1822" w:type="pct"/>
                  <w:vAlign w:val="center"/>
                </w:tcPr>
                <w:p w14:paraId="18B5BE30">
                  <w:pPr>
                    <w:jc w:val="center"/>
                    <w:rPr>
                      <w:color w:val="auto"/>
                      <w:szCs w:val="21"/>
                    </w:rPr>
                  </w:pPr>
                  <w:r>
                    <w:rPr>
                      <w:color w:val="auto"/>
                      <w:szCs w:val="21"/>
                    </w:rPr>
                    <w:t>铁mg/kg</w:t>
                  </w:r>
                  <w:r>
                    <w:rPr>
                      <w:rFonts w:hint="eastAsia"/>
                      <w:color w:val="auto"/>
                    </w:rPr>
                    <w:t>≤</w:t>
                  </w:r>
                  <w:r>
                    <w:rPr>
                      <w:color w:val="auto"/>
                      <w:szCs w:val="21"/>
                    </w:rPr>
                    <w:t xml:space="preserve"> </w:t>
                  </w:r>
                </w:p>
              </w:tc>
              <w:tc>
                <w:tcPr>
                  <w:tcW w:w="1294" w:type="pct"/>
                  <w:vAlign w:val="center"/>
                </w:tcPr>
                <w:p w14:paraId="7B8FE137">
                  <w:pPr>
                    <w:jc w:val="center"/>
                    <w:rPr>
                      <w:color w:val="auto"/>
                      <w:szCs w:val="21"/>
                    </w:rPr>
                  </w:pPr>
                  <w:r>
                    <w:rPr>
                      <w:color w:val="auto"/>
                      <w:szCs w:val="21"/>
                    </w:rPr>
                    <w:t>0.2</w:t>
                  </w:r>
                </w:p>
              </w:tc>
              <w:tc>
                <w:tcPr>
                  <w:tcW w:w="1426" w:type="pct"/>
                  <w:vAlign w:val="center"/>
                </w:tcPr>
                <w:p w14:paraId="5D18BF69">
                  <w:pPr>
                    <w:jc w:val="center"/>
                    <w:rPr>
                      <w:color w:val="auto"/>
                      <w:szCs w:val="21"/>
                    </w:rPr>
                  </w:pPr>
                  <w:r>
                    <w:rPr>
                      <w:color w:val="auto"/>
                      <w:szCs w:val="21"/>
                    </w:rPr>
                    <w:t>0.3</w:t>
                  </w:r>
                </w:p>
              </w:tc>
            </w:tr>
            <w:tr w14:paraId="77182D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23" w:hRule="atLeast"/>
                <w:jc w:val="center"/>
              </w:trPr>
              <w:tc>
                <w:tcPr>
                  <w:tcW w:w="456" w:type="pct"/>
                  <w:tcMar>
                    <w:top w:w="0" w:type="dxa"/>
                    <w:left w:w="57" w:type="dxa"/>
                    <w:bottom w:w="0" w:type="dxa"/>
                    <w:right w:w="57" w:type="dxa"/>
                  </w:tcMar>
                  <w:vAlign w:val="center"/>
                </w:tcPr>
                <w:p w14:paraId="609CBC49">
                  <w:pPr>
                    <w:jc w:val="center"/>
                    <w:rPr>
                      <w:color w:val="auto"/>
                      <w:szCs w:val="21"/>
                    </w:rPr>
                  </w:pPr>
                  <w:r>
                    <w:rPr>
                      <w:color w:val="auto"/>
                      <w:szCs w:val="21"/>
                    </w:rPr>
                    <w:t>8</w:t>
                  </w:r>
                </w:p>
              </w:tc>
              <w:tc>
                <w:tcPr>
                  <w:tcW w:w="1822" w:type="pct"/>
                  <w:vAlign w:val="center"/>
                </w:tcPr>
                <w:p w14:paraId="1D87B14C">
                  <w:pPr>
                    <w:jc w:val="center"/>
                    <w:rPr>
                      <w:color w:val="auto"/>
                      <w:szCs w:val="21"/>
                    </w:rPr>
                  </w:pPr>
                  <w:r>
                    <w:rPr>
                      <w:color w:val="auto"/>
                      <w:szCs w:val="21"/>
                    </w:rPr>
                    <w:t>锰mg/kg</w:t>
                  </w:r>
                  <w:r>
                    <w:rPr>
                      <w:rFonts w:hint="eastAsia"/>
                      <w:color w:val="auto"/>
                    </w:rPr>
                    <w:t>≤</w:t>
                  </w:r>
                  <w:r>
                    <w:rPr>
                      <w:color w:val="auto"/>
                      <w:szCs w:val="21"/>
                    </w:rPr>
                    <w:t xml:space="preserve"> </w:t>
                  </w:r>
                </w:p>
              </w:tc>
              <w:tc>
                <w:tcPr>
                  <w:tcW w:w="1294" w:type="pct"/>
                  <w:vAlign w:val="center"/>
                </w:tcPr>
                <w:p w14:paraId="0F9DC753">
                  <w:pPr>
                    <w:jc w:val="center"/>
                    <w:rPr>
                      <w:color w:val="auto"/>
                      <w:szCs w:val="21"/>
                    </w:rPr>
                  </w:pPr>
                  <w:r>
                    <w:rPr>
                      <w:color w:val="auto"/>
                      <w:szCs w:val="21"/>
                    </w:rPr>
                    <w:t>0.05</w:t>
                  </w:r>
                </w:p>
              </w:tc>
              <w:tc>
                <w:tcPr>
                  <w:tcW w:w="1426" w:type="pct"/>
                  <w:vAlign w:val="center"/>
                </w:tcPr>
                <w:p w14:paraId="0847BBF3">
                  <w:pPr>
                    <w:jc w:val="center"/>
                    <w:rPr>
                      <w:color w:val="auto"/>
                      <w:szCs w:val="21"/>
                    </w:rPr>
                  </w:pPr>
                  <w:r>
                    <w:rPr>
                      <w:color w:val="auto"/>
                      <w:szCs w:val="21"/>
                    </w:rPr>
                    <w:t>0.1</w:t>
                  </w:r>
                </w:p>
              </w:tc>
            </w:tr>
            <w:bookmarkEnd w:id="14"/>
          </w:tbl>
          <w:p w14:paraId="255A649E">
            <w:pPr>
              <w:spacing w:before="120" w:line="360" w:lineRule="auto"/>
              <w:rPr>
                <w:b/>
                <w:bCs/>
                <w:color w:val="auto"/>
                <w:sz w:val="24"/>
              </w:rPr>
            </w:pPr>
            <w:r>
              <w:rPr>
                <w:b/>
                <w:bCs/>
                <w:color w:val="auto"/>
                <w:sz w:val="24"/>
              </w:rPr>
              <w:t>2.1.4 主要生产设备</w:t>
            </w:r>
          </w:p>
          <w:p w14:paraId="2B6B1438">
            <w:pPr>
              <w:spacing w:line="360" w:lineRule="auto"/>
              <w:ind w:firstLine="480" w:firstLineChars="200"/>
              <w:rPr>
                <w:color w:val="auto"/>
                <w:sz w:val="24"/>
              </w:rPr>
            </w:pPr>
            <w:r>
              <w:rPr>
                <w:color w:val="auto"/>
                <w:sz w:val="24"/>
              </w:rPr>
              <w:t>本项目主要生产</w:t>
            </w:r>
            <w:r>
              <w:rPr>
                <w:bCs/>
                <w:color w:val="auto"/>
                <w:sz w:val="24"/>
              </w:rPr>
              <w:t>设备</w:t>
            </w:r>
            <w:r>
              <w:rPr>
                <w:color w:val="auto"/>
                <w:sz w:val="24"/>
              </w:rPr>
              <w:t>及数量见表2-</w:t>
            </w:r>
            <w:r>
              <w:rPr>
                <w:rFonts w:hint="eastAsia"/>
                <w:color w:val="auto"/>
                <w:sz w:val="24"/>
                <w:lang w:val="en-US" w:eastAsia="zh-CN"/>
              </w:rPr>
              <w:t>5</w:t>
            </w:r>
            <w:r>
              <w:rPr>
                <w:color w:val="auto"/>
                <w:sz w:val="24"/>
              </w:rPr>
              <w:t>。</w:t>
            </w:r>
          </w:p>
          <w:p w14:paraId="045723AB">
            <w:pPr>
              <w:pStyle w:val="59"/>
              <w:ind w:firstLine="422"/>
              <w:jc w:val="center"/>
              <w:rPr>
                <w:rFonts w:eastAsia="宋体"/>
                <w:b/>
                <w:bCs/>
                <w:color w:val="auto"/>
                <w:sz w:val="21"/>
                <w:szCs w:val="21"/>
              </w:rPr>
            </w:pPr>
            <w:r>
              <w:rPr>
                <w:rFonts w:eastAsia="宋体"/>
                <w:b/>
                <w:bCs/>
                <w:color w:val="auto"/>
                <w:sz w:val="21"/>
                <w:szCs w:val="21"/>
              </w:rPr>
              <w:t>表2-</w:t>
            </w:r>
            <w:r>
              <w:rPr>
                <w:rFonts w:hint="eastAsia" w:eastAsia="宋体"/>
                <w:b/>
                <w:bCs/>
                <w:color w:val="auto"/>
                <w:sz w:val="21"/>
                <w:szCs w:val="21"/>
                <w:lang w:val="en-US" w:eastAsia="zh-CN"/>
              </w:rPr>
              <w:t>5</w:t>
            </w:r>
            <w:r>
              <w:rPr>
                <w:rFonts w:eastAsia="宋体"/>
                <w:b/>
                <w:bCs/>
                <w:color w:val="auto"/>
                <w:sz w:val="21"/>
                <w:szCs w:val="21"/>
              </w:rPr>
              <w:t xml:space="preserve">  生产设备及数量</w:t>
            </w:r>
          </w:p>
          <w:bookmarkEnd w:id="15"/>
          <w:tbl>
            <w:tblPr>
              <w:tblStyle w:val="32"/>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924"/>
              <w:gridCol w:w="2299"/>
              <w:gridCol w:w="1436"/>
              <w:gridCol w:w="1712"/>
            </w:tblGrid>
            <w:tr w14:paraId="70746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4C638242">
                  <w:pPr>
                    <w:jc w:val="center"/>
                    <w:textAlignment w:val="center"/>
                    <w:rPr>
                      <w:color w:val="auto"/>
                      <w:szCs w:val="21"/>
                    </w:rPr>
                  </w:pPr>
                  <w:r>
                    <w:rPr>
                      <w:color w:val="auto"/>
                      <w:kern w:val="0"/>
                      <w:szCs w:val="21"/>
                    </w:rPr>
                    <w:t>序号</w:t>
                  </w:r>
                </w:p>
              </w:tc>
              <w:tc>
                <w:tcPr>
                  <w:tcW w:w="1196" w:type="pct"/>
                  <w:vAlign w:val="center"/>
                </w:tcPr>
                <w:p w14:paraId="168C3962">
                  <w:pPr>
                    <w:jc w:val="center"/>
                    <w:textAlignment w:val="center"/>
                    <w:rPr>
                      <w:color w:val="auto"/>
                      <w:szCs w:val="21"/>
                    </w:rPr>
                  </w:pPr>
                  <w:r>
                    <w:rPr>
                      <w:color w:val="auto"/>
                      <w:kern w:val="0"/>
                      <w:szCs w:val="21"/>
                    </w:rPr>
                    <w:t>设备名称</w:t>
                  </w:r>
                </w:p>
              </w:tc>
              <w:tc>
                <w:tcPr>
                  <w:tcW w:w="1429" w:type="pct"/>
                  <w:vAlign w:val="center"/>
                </w:tcPr>
                <w:p w14:paraId="52163720">
                  <w:pPr>
                    <w:jc w:val="center"/>
                    <w:textAlignment w:val="center"/>
                    <w:rPr>
                      <w:color w:val="auto"/>
                      <w:szCs w:val="21"/>
                    </w:rPr>
                  </w:pPr>
                  <w:r>
                    <w:rPr>
                      <w:color w:val="auto"/>
                      <w:kern w:val="0"/>
                      <w:szCs w:val="21"/>
                    </w:rPr>
                    <w:t>规格或型号</w:t>
                  </w:r>
                </w:p>
              </w:tc>
              <w:tc>
                <w:tcPr>
                  <w:tcW w:w="892" w:type="pct"/>
                  <w:noWrap/>
                  <w:vAlign w:val="center"/>
                </w:tcPr>
                <w:p w14:paraId="2ABB6486">
                  <w:pPr>
                    <w:ind w:left="210" w:hanging="210" w:hangingChars="100"/>
                    <w:textAlignment w:val="center"/>
                    <w:rPr>
                      <w:color w:val="auto"/>
                      <w:szCs w:val="21"/>
                    </w:rPr>
                  </w:pPr>
                  <w:r>
                    <w:rPr>
                      <w:color w:val="auto"/>
                      <w:kern w:val="0"/>
                      <w:szCs w:val="21"/>
                    </w:rPr>
                    <w:t>数量 （台/套）</w:t>
                  </w:r>
                </w:p>
              </w:tc>
              <w:tc>
                <w:tcPr>
                  <w:tcW w:w="1064" w:type="pct"/>
                  <w:noWrap/>
                  <w:vAlign w:val="center"/>
                </w:tcPr>
                <w:p w14:paraId="57ACDB98">
                  <w:pPr>
                    <w:jc w:val="center"/>
                    <w:textAlignment w:val="center"/>
                    <w:rPr>
                      <w:color w:val="auto"/>
                      <w:kern w:val="0"/>
                      <w:szCs w:val="21"/>
                    </w:rPr>
                  </w:pPr>
                  <w:r>
                    <w:rPr>
                      <w:color w:val="auto"/>
                      <w:kern w:val="0"/>
                      <w:szCs w:val="21"/>
                    </w:rPr>
                    <w:t>备注</w:t>
                  </w:r>
                </w:p>
              </w:tc>
            </w:tr>
            <w:tr w14:paraId="0C4EF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5"/>
                  <w:vAlign w:val="center"/>
                </w:tcPr>
                <w:p w14:paraId="720551CB">
                  <w:pPr>
                    <w:jc w:val="center"/>
                    <w:textAlignment w:val="center"/>
                    <w:rPr>
                      <w:color w:val="auto"/>
                      <w:kern w:val="0"/>
                      <w:szCs w:val="21"/>
                    </w:rPr>
                  </w:pPr>
                  <w:r>
                    <w:rPr>
                      <w:color w:val="auto"/>
                      <w:kern w:val="0"/>
                      <w:szCs w:val="21"/>
                    </w:rPr>
                    <w:t>高纯石英砂设备</w:t>
                  </w:r>
                </w:p>
              </w:tc>
            </w:tr>
            <w:tr w14:paraId="72895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45B0C716">
                  <w:pPr>
                    <w:jc w:val="center"/>
                    <w:textAlignment w:val="center"/>
                    <w:rPr>
                      <w:color w:val="auto"/>
                      <w:szCs w:val="21"/>
                    </w:rPr>
                  </w:pPr>
                  <w:r>
                    <w:rPr>
                      <w:color w:val="auto"/>
                      <w:kern w:val="0"/>
                      <w:szCs w:val="21"/>
                    </w:rPr>
                    <w:t>1</w:t>
                  </w:r>
                </w:p>
              </w:tc>
              <w:tc>
                <w:tcPr>
                  <w:tcW w:w="1196" w:type="pct"/>
                  <w:vAlign w:val="center"/>
                </w:tcPr>
                <w:p w14:paraId="7C21B597">
                  <w:pPr>
                    <w:pStyle w:val="116"/>
                    <w:jc w:val="center"/>
                    <w:rPr>
                      <w:rFonts w:ascii="Times New Roman" w:hAnsi="Times New Roman" w:cs="Times New Roman"/>
                      <w:color w:val="auto"/>
                      <w:sz w:val="21"/>
                      <w:szCs w:val="21"/>
                    </w:rPr>
                  </w:pPr>
                  <w:r>
                    <w:rPr>
                      <w:rFonts w:ascii="Times New Roman" w:hAnsi="Times New Roman" w:cs="Times New Roman"/>
                      <w:color w:val="auto"/>
                      <w:spacing w:val="-3"/>
                      <w:sz w:val="21"/>
                      <w:szCs w:val="21"/>
                    </w:rPr>
                    <w:t>振动给料机</w:t>
                  </w:r>
                </w:p>
              </w:tc>
              <w:tc>
                <w:tcPr>
                  <w:tcW w:w="1429" w:type="pct"/>
                  <w:vAlign w:val="center"/>
                </w:tcPr>
                <w:p w14:paraId="0B0B84D0">
                  <w:pPr>
                    <w:pStyle w:val="116"/>
                    <w:jc w:val="center"/>
                    <w:rPr>
                      <w:rFonts w:ascii="Times New Roman" w:hAnsi="Times New Roman" w:cs="Times New Roman"/>
                      <w:color w:val="auto"/>
                      <w:sz w:val="21"/>
                      <w:szCs w:val="21"/>
                    </w:rPr>
                  </w:pPr>
                  <w:r>
                    <w:rPr>
                      <w:rFonts w:ascii="Times New Roman" w:hAnsi="Times New Roman" w:cs="Times New Roman"/>
                      <w:color w:val="auto"/>
                      <w:spacing w:val="-2"/>
                      <w:sz w:val="21"/>
                      <w:szCs w:val="21"/>
                    </w:rPr>
                    <w:t>3600×500</w:t>
                  </w:r>
                </w:p>
              </w:tc>
              <w:tc>
                <w:tcPr>
                  <w:tcW w:w="892" w:type="pct"/>
                  <w:noWrap/>
                  <w:vAlign w:val="center"/>
                </w:tcPr>
                <w:p w14:paraId="2A4320F0">
                  <w:pPr>
                    <w:pStyle w:val="116"/>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064" w:type="pct"/>
                  <w:noWrap/>
                  <w:vAlign w:val="center"/>
                </w:tcPr>
                <w:p w14:paraId="4D96B7FE">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上料</w:t>
                  </w:r>
                </w:p>
              </w:tc>
            </w:tr>
            <w:tr w14:paraId="2D4D8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6FD1F3C0">
                  <w:pPr>
                    <w:jc w:val="center"/>
                    <w:textAlignment w:val="center"/>
                    <w:rPr>
                      <w:color w:val="auto"/>
                      <w:szCs w:val="21"/>
                    </w:rPr>
                  </w:pPr>
                  <w:r>
                    <w:rPr>
                      <w:color w:val="auto"/>
                      <w:kern w:val="0"/>
                      <w:szCs w:val="21"/>
                    </w:rPr>
                    <w:t>2</w:t>
                  </w:r>
                </w:p>
              </w:tc>
              <w:tc>
                <w:tcPr>
                  <w:tcW w:w="1196" w:type="pct"/>
                  <w:vAlign w:val="center"/>
                </w:tcPr>
                <w:p w14:paraId="441F5916">
                  <w:pPr>
                    <w:pStyle w:val="116"/>
                    <w:jc w:val="center"/>
                    <w:rPr>
                      <w:rFonts w:ascii="Times New Roman" w:hAnsi="Times New Roman" w:cs="Times New Roman"/>
                      <w:color w:val="auto"/>
                      <w:sz w:val="21"/>
                      <w:szCs w:val="21"/>
                    </w:rPr>
                  </w:pPr>
                  <w:r>
                    <w:rPr>
                      <w:rFonts w:ascii="Times New Roman" w:hAnsi="Times New Roman" w:cs="Times New Roman"/>
                      <w:color w:val="auto"/>
                      <w:spacing w:val="-4"/>
                      <w:sz w:val="21"/>
                      <w:szCs w:val="21"/>
                    </w:rPr>
                    <w:t>颚破机</w:t>
                  </w:r>
                </w:p>
              </w:tc>
              <w:tc>
                <w:tcPr>
                  <w:tcW w:w="1429" w:type="pct"/>
                  <w:vAlign w:val="center"/>
                </w:tcPr>
                <w:p w14:paraId="67F640E0">
                  <w:pPr>
                    <w:pStyle w:val="116"/>
                    <w:jc w:val="center"/>
                    <w:rPr>
                      <w:rFonts w:ascii="Times New Roman" w:hAnsi="Times New Roman" w:cs="Times New Roman"/>
                      <w:color w:val="auto"/>
                      <w:sz w:val="21"/>
                      <w:szCs w:val="21"/>
                    </w:rPr>
                  </w:pPr>
                  <w:r>
                    <w:rPr>
                      <w:rFonts w:ascii="Times New Roman" w:hAnsi="Times New Roman" w:cs="Times New Roman"/>
                      <w:color w:val="auto"/>
                      <w:spacing w:val="-2"/>
                      <w:sz w:val="21"/>
                      <w:szCs w:val="21"/>
                    </w:rPr>
                    <w:t>400×250</w:t>
                  </w:r>
                </w:p>
              </w:tc>
              <w:tc>
                <w:tcPr>
                  <w:tcW w:w="892" w:type="pct"/>
                  <w:noWrap/>
                  <w:vAlign w:val="center"/>
                </w:tcPr>
                <w:p w14:paraId="643647E7">
                  <w:pPr>
                    <w:pStyle w:val="116"/>
                    <w:jc w:val="center"/>
                    <w:rPr>
                      <w:rFonts w:ascii="Times New Roman" w:hAnsi="Times New Roman" w:cs="Times New Roman"/>
                      <w:color w:val="auto"/>
                      <w:sz w:val="21"/>
                      <w:szCs w:val="21"/>
                    </w:rPr>
                  </w:pPr>
                  <w:r>
                    <w:rPr>
                      <w:rFonts w:ascii="Times New Roman" w:hAnsi="Times New Roman" w:cs="Times New Roman"/>
                      <w:color w:val="auto"/>
                      <w:sz w:val="21"/>
                      <w:szCs w:val="21"/>
                      <w:lang w:eastAsia="zh-CN"/>
                    </w:rPr>
                    <w:t>1</w:t>
                  </w:r>
                </w:p>
              </w:tc>
              <w:tc>
                <w:tcPr>
                  <w:tcW w:w="1064" w:type="pct"/>
                  <w:noWrap/>
                  <w:vAlign w:val="center"/>
                </w:tcPr>
                <w:p w14:paraId="36D153BD">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破碎</w:t>
                  </w:r>
                </w:p>
              </w:tc>
            </w:tr>
            <w:tr w14:paraId="62EAA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417" w:type="pct"/>
                  <w:vAlign w:val="center"/>
                </w:tcPr>
                <w:p w14:paraId="315336BE">
                  <w:pPr>
                    <w:jc w:val="center"/>
                    <w:textAlignment w:val="center"/>
                    <w:rPr>
                      <w:color w:val="auto"/>
                      <w:kern w:val="0"/>
                      <w:szCs w:val="21"/>
                    </w:rPr>
                  </w:pPr>
                  <w:r>
                    <w:rPr>
                      <w:color w:val="auto"/>
                      <w:kern w:val="0"/>
                      <w:szCs w:val="21"/>
                    </w:rPr>
                    <w:t>3</w:t>
                  </w:r>
                </w:p>
              </w:tc>
              <w:tc>
                <w:tcPr>
                  <w:tcW w:w="1196" w:type="pct"/>
                  <w:noWrap/>
                  <w:vAlign w:val="center"/>
                </w:tcPr>
                <w:p w14:paraId="42B2FAD4">
                  <w:pPr>
                    <w:pStyle w:val="116"/>
                    <w:jc w:val="center"/>
                    <w:rPr>
                      <w:rFonts w:ascii="Times New Roman" w:hAnsi="Times New Roman" w:cs="Times New Roman"/>
                      <w:color w:val="auto"/>
                      <w:sz w:val="21"/>
                      <w:szCs w:val="21"/>
                    </w:rPr>
                  </w:pPr>
                  <w:r>
                    <w:rPr>
                      <w:rFonts w:ascii="Times New Roman" w:hAnsi="Times New Roman" w:cs="Times New Roman"/>
                      <w:color w:val="auto"/>
                      <w:spacing w:val="-4"/>
                      <w:sz w:val="21"/>
                      <w:szCs w:val="21"/>
                    </w:rPr>
                    <w:t>立轴制砂机</w:t>
                  </w:r>
                </w:p>
              </w:tc>
              <w:tc>
                <w:tcPr>
                  <w:tcW w:w="1429" w:type="pct"/>
                  <w:vAlign w:val="center"/>
                </w:tcPr>
                <w:p w14:paraId="7E208142">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pacing w:val="-2"/>
                      <w:sz w:val="21"/>
                      <w:szCs w:val="21"/>
                    </w:rPr>
                    <w:t>800-6</w:t>
                  </w:r>
                </w:p>
              </w:tc>
              <w:tc>
                <w:tcPr>
                  <w:tcW w:w="892" w:type="pct"/>
                  <w:noWrap/>
                  <w:vAlign w:val="center"/>
                </w:tcPr>
                <w:p w14:paraId="14FB5A09">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rPr>
                    <w:t>1</w:t>
                  </w:r>
                </w:p>
              </w:tc>
              <w:tc>
                <w:tcPr>
                  <w:tcW w:w="1064" w:type="pct"/>
                  <w:noWrap/>
                  <w:vAlign w:val="center"/>
                </w:tcPr>
                <w:p w14:paraId="354EBC89">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制砂（干法）</w:t>
                  </w:r>
                </w:p>
              </w:tc>
            </w:tr>
            <w:tr w14:paraId="19CBE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5FA20F8F">
                  <w:pPr>
                    <w:jc w:val="center"/>
                    <w:textAlignment w:val="center"/>
                    <w:rPr>
                      <w:color w:val="auto"/>
                      <w:szCs w:val="21"/>
                    </w:rPr>
                  </w:pPr>
                  <w:r>
                    <w:rPr>
                      <w:color w:val="auto"/>
                      <w:szCs w:val="21"/>
                    </w:rPr>
                    <w:t>4</w:t>
                  </w:r>
                </w:p>
              </w:tc>
              <w:tc>
                <w:tcPr>
                  <w:tcW w:w="1196" w:type="pct"/>
                  <w:noWrap/>
                  <w:vAlign w:val="center"/>
                </w:tcPr>
                <w:p w14:paraId="4946C517">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pacing w:val="-7"/>
                      <w:sz w:val="21"/>
                      <w:szCs w:val="21"/>
                      <w:lang w:eastAsia="zh-CN"/>
                    </w:rPr>
                    <w:t>筛分机</w:t>
                  </w:r>
                </w:p>
              </w:tc>
              <w:tc>
                <w:tcPr>
                  <w:tcW w:w="1429" w:type="pct"/>
                  <w:vAlign w:val="center"/>
                </w:tcPr>
                <w:p w14:paraId="5B794AED">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z w:val="21"/>
                      <w:szCs w:val="21"/>
                      <w:lang w:eastAsia="zh-CN"/>
                    </w:rPr>
                    <w:t>/</w:t>
                  </w:r>
                </w:p>
              </w:tc>
              <w:tc>
                <w:tcPr>
                  <w:tcW w:w="892" w:type="pct"/>
                  <w:noWrap/>
                  <w:vAlign w:val="center"/>
                </w:tcPr>
                <w:p w14:paraId="5F8CC33D">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z w:val="21"/>
                      <w:szCs w:val="21"/>
                      <w:lang w:eastAsia="zh-CN"/>
                    </w:rPr>
                    <w:t>2</w:t>
                  </w:r>
                </w:p>
              </w:tc>
              <w:tc>
                <w:tcPr>
                  <w:tcW w:w="1064" w:type="pct"/>
                  <w:noWrap/>
                  <w:vAlign w:val="center"/>
                </w:tcPr>
                <w:p w14:paraId="58016DB9">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筛分</w:t>
                  </w:r>
                </w:p>
              </w:tc>
            </w:tr>
            <w:tr w14:paraId="5E011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76A0D7A2">
                  <w:pPr>
                    <w:jc w:val="center"/>
                    <w:textAlignment w:val="center"/>
                    <w:rPr>
                      <w:color w:val="auto"/>
                      <w:szCs w:val="21"/>
                    </w:rPr>
                  </w:pPr>
                  <w:r>
                    <w:rPr>
                      <w:color w:val="auto"/>
                      <w:szCs w:val="21"/>
                    </w:rPr>
                    <w:t>5</w:t>
                  </w:r>
                </w:p>
              </w:tc>
              <w:tc>
                <w:tcPr>
                  <w:tcW w:w="1196" w:type="pct"/>
                  <w:noWrap/>
                  <w:vAlign w:val="center"/>
                </w:tcPr>
                <w:p w14:paraId="4152ECF8">
                  <w:pPr>
                    <w:pStyle w:val="116"/>
                    <w:jc w:val="center"/>
                    <w:rPr>
                      <w:rFonts w:ascii="Times New Roman" w:hAnsi="Times New Roman" w:cs="Times New Roman"/>
                      <w:color w:val="auto"/>
                      <w:spacing w:val="-3"/>
                      <w:sz w:val="21"/>
                      <w:szCs w:val="21"/>
                    </w:rPr>
                  </w:pPr>
                  <w:r>
                    <w:rPr>
                      <w:rFonts w:ascii="Times New Roman" w:hAnsi="Times New Roman" w:cs="Times New Roman"/>
                      <w:color w:val="auto"/>
                      <w:spacing w:val="-4"/>
                      <w:sz w:val="21"/>
                      <w:szCs w:val="21"/>
                      <w:lang w:eastAsia="zh-CN"/>
                    </w:rPr>
                    <w:t>棒</w:t>
                  </w:r>
                  <w:r>
                    <w:rPr>
                      <w:rFonts w:ascii="Times New Roman" w:hAnsi="Times New Roman" w:cs="Times New Roman"/>
                      <w:color w:val="auto"/>
                      <w:spacing w:val="-4"/>
                      <w:sz w:val="21"/>
                      <w:szCs w:val="21"/>
                    </w:rPr>
                    <w:t>磨机</w:t>
                  </w:r>
                </w:p>
              </w:tc>
              <w:tc>
                <w:tcPr>
                  <w:tcW w:w="1429" w:type="pct"/>
                  <w:noWrap/>
                  <w:vAlign w:val="center"/>
                </w:tcPr>
                <w:p w14:paraId="40860C3B">
                  <w:pPr>
                    <w:pStyle w:val="116"/>
                    <w:jc w:val="center"/>
                    <w:rPr>
                      <w:rFonts w:ascii="Times New Roman" w:hAnsi="Times New Roman" w:cs="Times New Roman"/>
                      <w:color w:val="auto"/>
                      <w:spacing w:val="-1"/>
                      <w:sz w:val="21"/>
                      <w:szCs w:val="21"/>
                      <w:lang w:eastAsia="zh-CN"/>
                    </w:rPr>
                  </w:pPr>
                  <w:r>
                    <w:rPr>
                      <w:rFonts w:ascii="Times New Roman" w:hAnsi="Times New Roman" w:cs="Times New Roman"/>
                      <w:color w:val="auto"/>
                      <w:spacing w:val="-1"/>
                      <w:sz w:val="21"/>
                      <w:szCs w:val="21"/>
                    </w:rPr>
                    <w:t>MQG</w:t>
                  </w:r>
                  <w:r>
                    <w:rPr>
                      <w:rFonts w:ascii="Times New Roman" w:hAnsi="Times New Roman" w:cs="Times New Roman"/>
                      <w:color w:val="auto"/>
                      <w:spacing w:val="-1"/>
                      <w:sz w:val="21"/>
                      <w:szCs w:val="21"/>
                      <w:lang w:eastAsia="zh-CN"/>
                    </w:rPr>
                    <w:t>1224</w:t>
                  </w:r>
                </w:p>
              </w:tc>
              <w:tc>
                <w:tcPr>
                  <w:tcW w:w="892" w:type="pct"/>
                  <w:noWrap/>
                  <w:vAlign w:val="center"/>
                </w:tcPr>
                <w:p w14:paraId="686D7330">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z w:val="21"/>
                      <w:szCs w:val="21"/>
                    </w:rPr>
                    <w:t>1</w:t>
                  </w:r>
                </w:p>
              </w:tc>
              <w:tc>
                <w:tcPr>
                  <w:tcW w:w="1064" w:type="pct"/>
                  <w:noWrap/>
                  <w:vAlign w:val="center"/>
                </w:tcPr>
                <w:p w14:paraId="271CF6B6">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制砂（湿法）</w:t>
                  </w:r>
                </w:p>
              </w:tc>
            </w:tr>
            <w:tr w14:paraId="1266B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59663431">
                  <w:pPr>
                    <w:jc w:val="center"/>
                    <w:textAlignment w:val="center"/>
                    <w:rPr>
                      <w:color w:val="auto"/>
                      <w:szCs w:val="21"/>
                    </w:rPr>
                  </w:pPr>
                  <w:r>
                    <w:rPr>
                      <w:color w:val="auto"/>
                      <w:szCs w:val="21"/>
                    </w:rPr>
                    <w:t>6</w:t>
                  </w:r>
                </w:p>
              </w:tc>
              <w:tc>
                <w:tcPr>
                  <w:tcW w:w="1196" w:type="pct"/>
                  <w:noWrap/>
                  <w:vAlign w:val="center"/>
                </w:tcPr>
                <w:p w14:paraId="0472B95E">
                  <w:pPr>
                    <w:pStyle w:val="116"/>
                    <w:jc w:val="center"/>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高频筛</w:t>
                  </w:r>
                </w:p>
              </w:tc>
              <w:tc>
                <w:tcPr>
                  <w:tcW w:w="1429" w:type="pct"/>
                  <w:noWrap/>
                  <w:vAlign w:val="center"/>
                </w:tcPr>
                <w:p w14:paraId="52423C04">
                  <w:pPr>
                    <w:pStyle w:val="116"/>
                    <w:jc w:val="center"/>
                    <w:rPr>
                      <w:rFonts w:ascii="Times New Roman" w:hAnsi="Times New Roman" w:cs="Times New Roman"/>
                      <w:color w:val="auto"/>
                      <w:spacing w:val="-1"/>
                      <w:sz w:val="21"/>
                      <w:szCs w:val="21"/>
                    </w:rPr>
                  </w:pPr>
                  <w:r>
                    <w:rPr>
                      <w:rFonts w:ascii="Times New Roman" w:hAnsi="Times New Roman" w:cs="Times New Roman"/>
                      <w:color w:val="auto"/>
                      <w:spacing w:val="-1"/>
                      <w:sz w:val="21"/>
                      <w:szCs w:val="21"/>
                    </w:rPr>
                    <w:t>D1500</w:t>
                  </w:r>
                </w:p>
              </w:tc>
              <w:tc>
                <w:tcPr>
                  <w:tcW w:w="892" w:type="pct"/>
                  <w:noWrap/>
                  <w:vAlign w:val="center"/>
                </w:tcPr>
                <w:p w14:paraId="4D610F7A">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z w:val="21"/>
                      <w:szCs w:val="21"/>
                    </w:rPr>
                    <w:t>1</w:t>
                  </w:r>
                </w:p>
              </w:tc>
              <w:tc>
                <w:tcPr>
                  <w:tcW w:w="1064" w:type="pct"/>
                  <w:noWrap/>
                  <w:vAlign w:val="center"/>
                </w:tcPr>
                <w:p w14:paraId="22731065">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筛分</w:t>
                  </w:r>
                </w:p>
              </w:tc>
            </w:tr>
            <w:tr w14:paraId="76807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5B74AB5C">
                  <w:pPr>
                    <w:jc w:val="center"/>
                    <w:textAlignment w:val="center"/>
                    <w:rPr>
                      <w:color w:val="auto"/>
                      <w:szCs w:val="21"/>
                    </w:rPr>
                  </w:pPr>
                  <w:r>
                    <w:rPr>
                      <w:color w:val="auto"/>
                      <w:szCs w:val="21"/>
                    </w:rPr>
                    <w:t>7</w:t>
                  </w:r>
                </w:p>
              </w:tc>
              <w:tc>
                <w:tcPr>
                  <w:tcW w:w="1196" w:type="pct"/>
                  <w:noWrap/>
                  <w:vAlign w:val="center"/>
                </w:tcPr>
                <w:p w14:paraId="2609C87D">
                  <w:pPr>
                    <w:pStyle w:val="116"/>
                    <w:jc w:val="center"/>
                    <w:rPr>
                      <w:rFonts w:ascii="Times New Roman" w:hAnsi="Times New Roman" w:cs="Times New Roman"/>
                      <w:color w:val="auto"/>
                      <w:spacing w:val="-3"/>
                      <w:sz w:val="21"/>
                      <w:szCs w:val="21"/>
                      <w:lang w:eastAsia="zh-CN"/>
                    </w:rPr>
                  </w:pPr>
                  <w:r>
                    <w:rPr>
                      <w:rFonts w:ascii="Times New Roman" w:hAnsi="Times New Roman" w:cs="Times New Roman"/>
                      <w:color w:val="auto"/>
                      <w:spacing w:val="-7"/>
                      <w:sz w:val="21"/>
                      <w:szCs w:val="21"/>
                      <w:lang w:eastAsia="zh-CN"/>
                    </w:rPr>
                    <w:t>磁选机</w:t>
                  </w:r>
                </w:p>
              </w:tc>
              <w:tc>
                <w:tcPr>
                  <w:tcW w:w="1429" w:type="pct"/>
                  <w:noWrap/>
                  <w:vAlign w:val="center"/>
                </w:tcPr>
                <w:p w14:paraId="582561BF">
                  <w:pPr>
                    <w:pStyle w:val="116"/>
                    <w:jc w:val="center"/>
                    <w:rPr>
                      <w:rFonts w:ascii="Times New Roman" w:hAnsi="Times New Roman" w:cs="Times New Roman"/>
                      <w:color w:val="auto"/>
                      <w:spacing w:val="-1"/>
                      <w:sz w:val="21"/>
                      <w:szCs w:val="21"/>
                      <w:lang w:eastAsia="zh-CN"/>
                    </w:rPr>
                  </w:pPr>
                </w:p>
              </w:tc>
              <w:tc>
                <w:tcPr>
                  <w:tcW w:w="892" w:type="pct"/>
                  <w:noWrap/>
                  <w:vAlign w:val="center"/>
                </w:tcPr>
                <w:p w14:paraId="7FE0C67F">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z w:val="21"/>
                      <w:szCs w:val="21"/>
                    </w:rPr>
                    <w:t>1</w:t>
                  </w:r>
                </w:p>
              </w:tc>
              <w:tc>
                <w:tcPr>
                  <w:tcW w:w="1064" w:type="pct"/>
                  <w:noWrap/>
                  <w:vAlign w:val="center"/>
                </w:tcPr>
                <w:p w14:paraId="34379CD8">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磁选</w:t>
                  </w:r>
                </w:p>
              </w:tc>
            </w:tr>
            <w:tr w14:paraId="27949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45C5651C">
                  <w:pPr>
                    <w:jc w:val="center"/>
                    <w:textAlignment w:val="center"/>
                    <w:rPr>
                      <w:color w:val="auto"/>
                      <w:kern w:val="0"/>
                      <w:szCs w:val="21"/>
                    </w:rPr>
                  </w:pPr>
                  <w:r>
                    <w:rPr>
                      <w:color w:val="auto"/>
                      <w:kern w:val="0"/>
                      <w:szCs w:val="21"/>
                    </w:rPr>
                    <w:t>8</w:t>
                  </w:r>
                </w:p>
              </w:tc>
              <w:tc>
                <w:tcPr>
                  <w:tcW w:w="1196" w:type="pct"/>
                  <w:noWrap/>
                  <w:vAlign w:val="center"/>
                </w:tcPr>
                <w:p w14:paraId="07916E26">
                  <w:pPr>
                    <w:pStyle w:val="116"/>
                    <w:jc w:val="center"/>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浆泵</w:t>
                  </w:r>
                </w:p>
              </w:tc>
              <w:tc>
                <w:tcPr>
                  <w:tcW w:w="1429" w:type="pct"/>
                  <w:noWrap/>
                  <w:vAlign w:val="center"/>
                </w:tcPr>
                <w:p w14:paraId="58C3E1C2">
                  <w:pPr>
                    <w:pStyle w:val="116"/>
                    <w:jc w:val="center"/>
                    <w:rPr>
                      <w:rFonts w:ascii="Times New Roman" w:hAnsi="Times New Roman" w:cs="Times New Roman"/>
                      <w:color w:val="auto"/>
                      <w:spacing w:val="-1"/>
                      <w:sz w:val="21"/>
                      <w:szCs w:val="21"/>
                      <w:lang w:eastAsia="zh-CN"/>
                    </w:rPr>
                  </w:pPr>
                </w:p>
              </w:tc>
              <w:tc>
                <w:tcPr>
                  <w:tcW w:w="892" w:type="pct"/>
                  <w:noWrap/>
                  <w:vAlign w:val="center"/>
                </w:tcPr>
                <w:p w14:paraId="6C74A949">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pacing w:val="-2"/>
                      <w:sz w:val="21"/>
                      <w:szCs w:val="21"/>
                      <w:lang w:eastAsia="zh-CN"/>
                    </w:rPr>
                    <w:t>2</w:t>
                  </w:r>
                </w:p>
              </w:tc>
              <w:tc>
                <w:tcPr>
                  <w:tcW w:w="1064" w:type="pct"/>
                  <w:noWrap/>
                  <w:vAlign w:val="center"/>
                </w:tcPr>
                <w:p w14:paraId="6EA63DA0">
                  <w:pPr>
                    <w:pStyle w:val="116"/>
                    <w:jc w:val="center"/>
                    <w:rPr>
                      <w:rFonts w:ascii="Times New Roman" w:hAnsi="Times New Roman" w:cs="Times New Roman"/>
                      <w:color w:val="auto"/>
                      <w:spacing w:val="-2"/>
                      <w:sz w:val="21"/>
                      <w:szCs w:val="21"/>
                      <w:lang w:eastAsia="zh-CN"/>
                    </w:rPr>
                  </w:pPr>
                  <w:r>
                    <w:rPr>
                      <w:rFonts w:ascii="Times New Roman" w:hAnsi="Times New Roman" w:cs="Times New Roman"/>
                      <w:color w:val="auto"/>
                      <w:spacing w:val="-2"/>
                      <w:sz w:val="21"/>
                      <w:szCs w:val="21"/>
                      <w:lang w:eastAsia="zh-CN"/>
                    </w:rPr>
                    <w:t>辅助设备</w:t>
                  </w:r>
                </w:p>
              </w:tc>
            </w:tr>
            <w:tr w14:paraId="13D34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61BAA667">
                  <w:pPr>
                    <w:jc w:val="center"/>
                    <w:textAlignment w:val="center"/>
                    <w:rPr>
                      <w:color w:val="auto"/>
                      <w:kern w:val="0"/>
                      <w:szCs w:val="21"/>
                    </w:rPr>
                  </w:pPr>
                  <w:r>
                    <w:rPr>
                      <w:color w:val="auto"/>
                      <w:kern w:val="0"/>
                      <w:szCs w:val="21"/>
                    </w:rPr>
                    <w:t>9</w:t>
                  </w:r>
                </w:p>
              </w:tc>
              <w:tc>
                <w:tcPr>
                  <w:tcW w:w="1196" w:type="pct"/>
                  <w:noWrap/>
                  <w:vAlign w:val="center"/>
                </w:tcPr>
                <w:p w14:paraId="10A78D93">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双锥回转反应釜</w:t>
                  </w:r>
                </w:p>
              </w:tc>
              <w:tc>
                <w:tcPr>
                  <w:tcW w:w="1429" w:type="pct"/>
                  <w:noWrap/>
                  <w:vAlign w:val="center"/>
                </w:tcPr>
                <w:p w14:paraId="2AFA104A">
                  <w:pPr>
                    <w:pStyle w:val="116"/>
                    <w:jc w:val="center"/>
                    <w:rPr>
                      <w:rFonts w:ascii="Times New Roman" w:hAnsi="Times New Roman" w:cs="Times New Roman"/>
                      <w:color w:val="auto"/>
                      <w:spacing w:val="-1"/>
                      <w:sz w:val="21"/>
                      <w:szCs w:val="21"/>
                      <w:lang w:eastAsia="zh-CN"/>
                    </w:rPr>
                  </w:pPr>
                  <w:r>
                    <w:rPr>
                      <w:rFonts w:ascii="Times New Roman" w:hAnsi="Times New Roman" w:cs="Times New Roman"/>
                      <w:color w:val="auto"/>
                      <w:spacing w:val="-1"/>
                      <w:sz w:val="21"/>
                      <w:szCs w:val="21"/>
                      <w:lang w:eastAsia="zh-CN"/>
                    </w:rPr>
                    <w:t>2000L</w:t>
                  </w:r>
                </w:p>
              </w:tc>
              <w:tc>
                <w:tcPr>
                  <w:tcW w:w="892" w:type="pct"/>
                  <w:noWrap/>
                  <w:vAlign w:val="center"/>
                </w:tcPr>
                <w:p w14:paraId="4CBAB765">
                  <w:pPr>
                    <w:jc w:val="center"/>
                    <w:textAlignment w:val="center"/>
                    <w:rPr>
                      <w:color w:val="auto"/>
                      <w:kern w:val="0"/>
                      <w:szCs w:val="21"/>
                    </w:rPr>
                  </w:pPr>
                  <w:r>
                    <w:rPr>
                      <w:color w:val="auto"/>
                      <w:kern w:val="0"/>
                      <w:szCs w:val="21"/>
                    </w:rPr>
                    <w:t>2</w:t>
                  </w:r>
                </w:p>
              </w:tc>
              <w:tc>
                <w:tcPr>
                  <w:tcW w:w="1064" w:type="pct"/>
                  <w:noWrap/>
                  <w:vAlign w:val="center"/>
                </w:tcPr>
                <w:p w14:paraId="4235D02D">
                  <w:pPr>
                    <w:jc w:val="center"/>
                    <w:textAlignment w:val="center"/>
                    <w:rPr>
                      <w:color w:val="auto"/>
                      <w:kern w:val="0"/>
                      <w:szCs w:val="21"/>
                    </w:rPr>
                  </w:pPr>
                  <w:r>
                    <w:rPr>
                      <w:color w:val="auto"/>
                      <w:szCs w:val="21"/>
                    </w:rPr>
                    <w:t>酸洗</w:t>
                  </w:r>
                </w:p>
              </w:tc>
            </w:tr>
            <w:tr w14:paraId="41F5F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417" w:type="pct"/>
                  <w:vAlign w:val="center"/>
                </w:tcPr>
                <w:p w14:paraId="12597C4D">
                  <w:pPr>
                    <w:jc w:val="center"/>
                    <w:textAlignment w:val="center"/>
                    <w:rPr>
                      <w:color w:val="auto"/>
                      <w:kern w:val="0"/>
                      <w:szCs w:val="21"/>
                    </w:rPr>
                  </w:pPr>
                  <w:r>
                    <w:rPr>
                      <w:color w:val="auto"/>
                      <w:kern w:val="0"/>
                      <w:szCs w:val="21"/>
                    </w:rPr>
                    <w:t>10</w:t>
                  </w:r>
                </w:p>
              </w:tc>
              <w:tc>
                <w:tcPr>
                  <w:tcW w:w="1196" w:type="pct"/>
                  <w:noWrap/>
                  <w:vAlign w:val="center"/>
                </w:tcPr>
                <w:p w14:paraId="287D19EA">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pacing w:val="-4"/>
                      <w:sz w:val="21"/>
                      <w:szCs w:val="21"/>
                    </w:rPr>
                    <w:t>输送带</w:t>
                  </w:r>
                </w:p>
              </w:tc>
              <w:tc>
                <w:tcPr>
                  <w:tcW w:w="1429" w:type="pct"/>
                  <w:noWrap/>
                  <w:vAlign w:val="center"/>
                </w:tcPr>
                <w:p w14:paraId="3927D9CB">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spacing w:val="-1"/>
                      <w:sz w:val="21"/>
                      <w:szCs w:val="21"/>
                    </w:rPr>
                    <w:t>GP400</w:t>
                  </w:r>
                </w:p>
              </w:tc>
              <w:tc>
                <w:tcPr>
                  <w:tcW w:w="892" w:type="pct"/>
                  <w:noWrap/>
                  <w:vAlign w:val="center"/>
                </w:tcPr>
                <w:p w14:paraId="3D8193CD">
                  <w:pPr>
                    <w:pStyle w:val="116"/>
                    <w:jc w:val="center"/>
                    <w:rPr>
                      <w:rFonts w:ascii="Times New Roman" w:hAnsi="Times New Roman" w:cs="Times New Roman"/>
                      <w:color w:val="auto"/>
                      <w:kern w:val="0"/>
                      <w:sz w:val="21"/>
                      <w:szCs w:val="21"/>
                      <w:lang w:eastAsia="zh-CN"/>
                    </w:rPr>
                  </w:pPr>
                  <w:r>
                    <w:rPr>
                      <w:rFonts w:ascii="Times New Roman" w:hAnsi="Times New Roman" w:cs="Times New Roman"/>
                      <w:color w:val="auto"/>
                      <w:kern w:val="0"/>
                      <w:sz w:val="21"/>
                      <w:szCs w:val="21"/>
                      <w:lang w:eastAsia="zh-CN"/>
                    </w:rPr>
                    <w:t>2</w:t>
                  </w:r>
                </w:p>
              </w:tc>
              <w:tc>
                <w:tcPr>
                  <w:tcW w:w="1064" w:type="pct"/>
                  <w:noWrap/>
                  <w:vAlign w:val="center"/>
                </w:tcPr>
                <w:p w14:paraId="1D4E432C">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pacing w:val="-2"/>
                      <w:sz w:val="21"/>
                      <w:szCs w:val="21"/>
                      <w:lang w:eastAsia="zh-CN"/>
                    </w:rPr>
                    <w:t>辅助设备</w:t>
                  </w:r>
                </w:p>
              </w:tc>
            </w:tr>
            <w:tr w14:paraId="346F5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3355ACB2">
                  <w:pPr>
                    <w:jc w:val="center"/>
                    <w:textAlignment w:val="center"/>
                    <w:rPr>
                      <w:color w:val="auto"/>
                      <w:kern w:val="0"/>
                      <w:szCs w:val="21"/>
                    </w:rPr>
                  </w:pPr>
                  <w:r>
                    <w:rPr>
                      <w:color w:val="auto"/>
                      <w:kern w:val="0"/>
                      <w:szCs w:val="21"/>
                    </w:rPr>
                    <w:t>11</w:t>
                  </w:r>
                </w:p>
              </w:tc>
              <w:tc>
                <w:tcPr>
                  <w:tcW w:w="1196" w:type="pct"/>
                  <w:noWrap/>
                  <w:vAlign w:val="center"/>
                </w:tcPr>
                <w:p w14:paraId="3B03A5B3">
                  <w:pPr>
                    <w:pStyle w:val="116"/>
                    <w:jc w:val="center"/>
                    <w:rPr>
                      <w:rFonts w:ascii="Times New Roman" w:hAnsi="Times New Roman" w:cs="Times New Roman"/>
                      <w:color w:val="auto"/>
                      <w:sz w:val="21"/>
                      <w:szCs w:val="21"/>
                    </w:rPr>
                  </w:pPr>
                  <w:r>
                    <w:rPr>
                      <w:rFonts w:ascii="Times New Roman" w:hAnsi="Times New Roman" w:cs="Times New Roman"/>
                      <w:color w:val="auto"/>
                      <w:spacing w:val="-4"/>
                      <w:sz w:val="21"/>
                      <w:szCs w:val="21"/>
                    </w:rPr>
                    <w:t>高温焙烧炉</w:t>
                  </w:r>
                </w:p>
              </w:tc>
              <w:tc>
                <w:tcPr>
                  <w:tcW w:w="1429" w:type="pct"/>
                  <w:noWrap/>
                  <w:vAlign w:val="center"/>
                </w:tcPr>
                <w:p w14:paraId="27135FF8">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200</w:t>
                  </w:r>
                  <w:r>
                    <w:rPr>
                      <w:rFonts w:ascii="Times New Roman" w:hAnsi="Times New Roman" w:cs="Times New Roman"/>
                      <w:color w:val="auto"/>
                      <w:spacing w:val="-5"/>
                      <w:sz w:val="21"/>
                      <w:szCs w:val="21"/>
                    </w:rPr>
                    <w:t>kg</w:t>
                  </w:r>
                  <w:r>
                    <w:rPr>
                      <w:rFonts w:ascii="Times New Roman" w:hAnsi="Times New Roman" w:cs="Times New Roman"/>
                      <w:color w:val="auto"/>
                      <w:spacing w:val="-5"/>
                      <w:sz w:val="21"/>
                      <w:szCs w:val="21"/>
                      <w:lang w:eastAsia="zh-CN"/>
                    </w:rPr>
                    <w:t>/n</w:t>
                  </w:r>
                </w:p>
              </w:tc>
              <w:tc>
                <w:tcPr>
                  <w:tcW w:w="892" w:type="pct"/>
                  <w:noWrap/>
                  <w:vAlign w:val="center"/>
                </w:tcPr>
                <w:p w14:paraId="74E06B5A">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2</w:t>
                  </w:r>
                </w:p>
              </w:tc>
              <w:tc>
                <w:tcPr>
                  <w:tcW w:w="1064" w:type="pct"/>
                  <w:noWrap/>
                  <w:vAlign w:val="center"/>
                </w:tcPr>
                <w:p w14:paraId="2C0EEE47">
                  <w:pPr>
                    <w:pStyle w:val="116"/>
                    <w:jc w:val="center"/>
                    <w:rPr>
                      <w:rFonts w:hint="default" w:ascii="Times New Roman" w:hAnsi="Times New Roman" w:cs="Times New Roman"/>
                      <w:color w:val="auto"/>
                      <w:sz w:val="21"/>
                      <w:szCs w:val="21"/>
                      <w:lang w:val="en-US" w:eastAsia="zh-CN"/>
                    </w:rPr>
                  </w:pPr>
                  <w:r>
                    <w:rPr>
                      <w:rFonts w:ascii="Times New Roman" w:hAnsi="Times New Roman" w:cs="Times New Roman"/>
                      <w:color w:val="auto"/>
                      <w:spacing w:val="-4"/>
                      <w:sz w:val="21"/>
                      <w:szCs w:val="21"/>
                    </w:rPr>
                    <w:t>焙烧</w:t>
                  </w:r>
                </w:p>
              </w:tc>
            </w:tr>
            <w:tr w14:paraId="53C1B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pct"/>
                  <w:vAlign w:val="center"/>
                </w:tcPr>
                <w:p w14:paraId="12AE1E31">
                  <w:pPr>
                    <w:jc w:val="center"/>
                    <w:textAlignment w:val="center"/>
                    <w:rPr>
                      <w:color w:val="auto"/>
                      <w:kern w:val="0"/>
                      <w:szCs w:val="21"/>
                    </w:rPr>
                  </w:pPr>
                  <w:r>
                    <w:rPr>
                      <w:color w:val="auto"/>
                      <w:kern w:val="0"/>
                      <w:szCs w:val="21"/>
                    </w:rPr>
                    <w:t>12</w:t>
                  </w:r>
                </w:p>
              </w:tc>
              <w:tc>
                <w:tcPr>
                  <w:tcW w:w="1196" w:type="pct"/>
                  <w:noWrap/>
                  <w:vAlign w:val="center"/>
                </w:tcPr>
                <w:p w14:paraId="5E64DC09">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pacing w:val="-4"/>
                      <w:sz w:val="21"/>
                      <w:szCs w:val="21"/>
                      <w:lang w:eastAsia="zh-CN"/>
                    </w:rPr>
                    <w:t>烤砂炉</w:t>
                  </w:r>
                </w:p>
              </w:tc>
              <w:tc>
                <w:tcPr>
                  <w:tcW w:w="1429" w:type="pct"/>
                  <w:noWrap/>
                  <w:vAlign w:val="center"/>
                </w:tcPr>
                <w:p w14:paraId="5CBE62E4">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160</w:t>
                  </w:r>
                  <w:r>
                    <w:rPr>
                      <w:rFonts w:ascii="Times New Roman" w:hAnsi="Times New Roman" w:cs="Times New Roman"/>
                      <w:color w:val="auto"/>
                      <w:spacing w:val="-5"/>
                      <w:sz w:val="21"/>
                      <w:szCs w:val="21"/>
                    </w:rPr>
                    <w:t>kg</w:t>
                  </w:r>
                  <w:r>
                    <w:rPr>
                      <w:rFonts w:ascii="Times New Roman" w:hAnsi="Times New Roman" w:cs="Times New Roman"/>
                      <w:color w:val="auto"/>
                      <w:spacing w:val="-5"/>
                      <w:sz w:val="21"/>
                      <w:szCs w:val="21"/>
                      <w:lang w:eastAsia="zh-CN"/>
                    </w:rPr>
                    <w:t>/n</w:t>
                  </w:r>
                </w:p>
              </w:tc>
              <w:tc>
                <w:tcPr>
                  <w:tcW w:w="892" w:type="pct"/>
                  <w:noWrap/>
                  <w:vAlign w:val="center"/>
                </w:tcPr>
                <w:p w14:paraId="20B253AC">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2</w:t>
                  </w:r>
                </w:p>
              </w:tc>
              <w:tc>
                <w:tcPr>
                  <w:tcW w:w="1064" w:type="pct"/>
                  <w:noWrap/>
                  <w:vAlign w:val="center"/>
                </w:tcPr>
                <w:p w14:paraId="4E335AE7">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pacing w:val="-4"/>
                      <w:sz w:val="21"/>
                      <w:szCs w:val="21"/>
                      <w:lang w:eastAsia="zh-CN"/>
                    </w:rPr>
                    <w:t>烤砂</w:t>
                  </w:r>
                </w:p>
              </w:tc>
            </w:tr>
            <w:tr w14:paraId="3376A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Align w:val="center"/>
                </w:tcPr>
                <w:p w14:paraId="0CEFD4E4">
                  <w:pPr>
                    <w:jc w:val="center"/>
                    <w:textAlignment w:val="center"/>
                    <w:rPr>
                      <w:color w:val="auto"/>
                      <w:kern w:val="0"/>
                      <w:szCs w:val="21"/>
                    </w:rPr>
                  </w:pPr>
                  <w:r>
                    <w:rPr>
                      <w:color w:val="auto"/>
                      <w:kern w:val="0"/>
                      <w:szCs w:val="21"/>
                    </w:rPr>
                    <w:t>13</w:t>
                  </w:r>
                </w:p>
              </w:tc>
              <w:tc>
                <w:tcPr>
                  <w:tcW w:w="1196" w:type="pct"/>
                  <w:noWrap/>
                  <w:vAlign w:val="center"/>
                </w:tcPr>
                <w:p w14:paraId="210B6872">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高温提纯设备</w:t>
                  </w:r>
                </w:p>
              </w:tc>
              <w:tc>
                <w:tcPr>
                  <w:tcW w:w="1429" w:type="pct"/>
                  <w:noWrap/>
                  <w:vAlign w:val="center"/>
                </w:tcPr>
                <w:p w14:paraId="4F9FB167">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 xml:space="preserve">RWGO、RLGO </w:t>
                  </w:r>
                </w:p>
              </w:tc>
              <w:tc>
                <w:tcPr>
                  <w:tcW w:w="892" w:type="pct"/>
                  <w:noWrap/>
                  <w:vAlign w:val="center"/>
                </w:tcPr>
                <w:p w14:paraId="4DB2FC0B">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2</w:t>
                  </w:r>
                </w:p>
              </w:tc>
              <w:tc>
                <w:tcPr>
                  <w:tcW w:w="1064" w:type="pct"/>
                  <w:noWrap/>
                  <w:vAlign w:val="center"/>
                </w:tcPr>
                <w:p w14:paraId="28DB3C94">
                  <w:pPr>
                    <w:pStyle w:val="116"/>
                    <w:jc w:val="center"/>
                    <w:rPr>
                      <w:rFonts w:ascii="Times New Roman" w:hAnsi="Times New Roman" w:cs="Times New Roman"/>
                      <w:color w:val="auto"/>
                      <w:spacing w:val="-4"/>
                      <w:sz w:val="21"/>
                      <w:szCs w:val="21"/>
                      <w:lang w:eastAsia="zh-CN"/>
                    </w:rPr>
                  </w:pPr>
                  <w:r>
                    <w:rPr>
                      <w:rFonts w:hint="eastAsia" w:ascii="Times New Roman" w:hAnsi="Times New Roman" w:cs="Times New Roman"/>
                      <w:color w:val="auto"/>
                      <w:spacing w:val="-4"/>
                      <w:sz w:val="21"/>
                      <w:szCs w:val="21"/>
                      <w:lang w:val="en-US" w:eastAsia="zh-CN"/>
                    </w:rPr>
                    <w:t>纯化</w:t>
                  </w:r>
                </w:p>
              </w:tc>
            </w:tr>
            <w:tr w14:paraId="1D13E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pct"/>
                  <w:vAlign w:val="center"/>
                </w:tcPr>
                <w:p w14:paraId="4A63DF92">
                  <w:pPr>
                    <w:jc w:val="center"/>
                    <w:textAlignment w:val="center"/>
                    <w:rPr>
                      <w:color w:val="auto"/>
                      <w:kern w:val="0"/>
                      <w:szCs w:val="21"/>
                    </w:rPr>
                  </w:pPr>
                  <w:r>
                    <w:rPr>
                      <w:color w:val="auto"/>
                      <w:kern w:val="0"/>
                      <w:szCs w:val="21"/>
                    </w:rPr>
                    <w:t>14</w:t>
                  </w:r>
                </w:p>
              </w:tc>
              <w:tc>
                <w:tcPr>
                  <w:tcW w:w="1196" w:type="pct"/>
                  <w:noWrap/>
                  <w:vAlign w:val="center"/>
                </w:tcPr>
                <w:p w14:paraId="3A5D933A">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pacing w:val="-4"/>
                      <w:sz w:val="21"/>
                      <w:szCs w:val="21"/>
                      <w:lang w:eastAsia="zh-CN"/>
                    </w:rPr>
                    <w:t>高磁选机</w:t>
                  </w:r>
                </w:p>
              </w:tc>
              <w:tc>
                <w:tcPr>
                  <w:tcW w:w="1429" w:type="pct"/>
                  <w:noWrap/>
                  <w:vAlign w:val="center"/>
                </w:tcPr>
                <w:p w14:paraId="3EAA5D5E">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2.2T</w:t>
                  </w:r>
                </w:p>
              </w:tc>
              <w:tc>
                <w:tcPr>
                  <w:tcW w:w="892" w:type="pct"/>
                  <w:noWrap/>
                  <w:vAlign w:val="center"/>
                </w:tcPr>
                <w:p w14:paraId="576B1056">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4</w:t>
                  </w:r>
                </w:p>
              </w:tc>
              <w:tc>
                <w:tcPr>
                  <w:tcW w:w="1064" w:type="pct"/>
                  <w:noWrap/>
                  <w:vAlign w:val="center"/>
                </w:tcPr>
                <w:p w14:paraId="57D3A4D7">
                  <w:pPr>
                    <w:pStyle w:val="116"/>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磁选</w:t>
                  </w:r>
                </w:p>
              </w:tc>
            </w:tr>
            <w:tr w14:paraId="36F74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ign w:val="center"/>
                </w:tcPr>
                <w:p w14:paraId="4D9DB89E">
                  <w:pPr>
                    <w:jc w:val="center"/>
                    <w:textAlignment w:val="center"/>
                    <w:rPr>
                      <w:color w:val="auto"/>
                      <w:kern w:val="0"/>
                      <w:szCs w:val="21"/>
                    </w:rPr>
                  </w:pPr>
                  <w:r>
                    <w:rPr>
                      <w:color w:val="auto"/>
                      <w:kern w:val="0"/>
                      <w:szCs w:val="21"/>
                    </w:rPr>
                    <w:t>15</w:t>
                  </w:r>
                </w:p>
              </w:tc>
              <w:tc>
                <w:tcPr>
                  <w:tcW w:w="1196" w:type="pct"/>
                  <w:noWrap/>
                  <w:vAlign w:val="center"/>
                </w:tcPr>
                <w:p w14:paraId="7CF1E9DB">
                  <w:pPr>
                    <w:pStyle w:val="116"/>
                    <w:jc w:val="center"/>
                    <w:rPr>
                      <w:rFonts w:ascii="Times New Roman" w:hAnsi="Times New Roman" w:cs="Times New Roman"/>
                      <w:color w:val="auto"/>
                      <w:spacing w:val="-4"/>
                      <w:sz w:val="21"/>
                      <w:szCs w:val="21"/>
                    </w:rPr>
                  </w:pPr>
                  <w:r>
                    <w:rPr>
                      <w:rFonts w:ascii="Times New Roman" w:hAnsi="Times New Roman" w:cs="Times New Roman"/>
                      <w:color w:val="auto"/>
                      <w:spacing w:val="-4"/>
                      <w:sz w:val="21"/>
                      <w:szCs w:val="21"/>
                      <w:lang w:eastAsia="zh-CN"/>
                    </w:rPr>
                    <w:t>浮洗</w:t>
                  </w:r>
                  <w:r>
                    <w:rPr>
                      <w:rFonts w:ascii="Times New Roman" w:hAnsi="Times New Roman" w:cs="Times New Roman"/>
                      <w:color w:val="auto"/>
                      <w:spacing w:val="-4"/>
                      <w:sz w:val="21"/>
                      <w:szCs w:val="21"/>
                    </w:rPr>
                    <w:t>机组</w:t>
                  </w:r>
                </w:p>
              </w:tc>
              <w:tc>
                <w:tcPr>
                  <w:tcW w:w="1429" w:type="pct"/>
                  <w:noWrap/>
                  <w:vAlign w:val="center"/>
                </w:tcPr>
                <w:p w14:paraId="25AD99EF">
                  <w:pPr>
                    <w:jc w:val="center"/>
                    <w:rPr>
                      <w:color w:val="auto"/>
                      <w:szCs w:val="21"/>
                    </w:rPr>
                  </w:pPr>
                </w:p>
              </w:tc>
              <w:tc>
                <w:tcPr>
                  <w:tcW w:w="892" w:type="pct"/>
                  <w:noWrap/>
                  <w:vAlign w:val="center"/>
                </w:tcPr>
                <w:p w14:paraId="60F0E92F">
                  <w:pPr>
                    <w:pStyle w:val="116"/>
                    <w:jc w:val="center"/>
                    <w:rPr>
                      <w:rFonts w:hint="default" w:ascii="Times New Roman" w:hAnsi="Times New Roman" w:eastAsia="宋体" w:cs="Times New Roman"/>
                      <w:color w:val="auto"/>
                      <w:spacing w:val="-4"/>
                      <w:sz w:val="21"/>
                      <w:szCs w:val="21"/>
                      <w:lang w:val="en-US" w:eastAsia="zh-CN"/>
                    </w:rPr>
                  </w:pPr>
                  <w:r>
                    <w:rPr>
                      <w:rFonts w:hint="eastAsia" w:ascii="Times New Roman" w:hAnsi="Times New Roman" w:eastAsia="宋体" w:cs="Times New Roman"/>
                      <w:color w:val="auto"/>
                      <w:spacing w:val="-4"/>
                      <w:sz w:val="21"/>
                      <w:szCs w:val="21"/>
                      <w:lang w:val="en-US" w:eastAsia="zh-CN"/>
                    </w:rPr>
                    <w:t>18</w:t>
                  </w:r>
                </w:p>
              </w:tc>
              <w:tc>
                <w:tcPr>
                  <w:tcW w:w="1064" w:type="pct"/>
                  <w:noWrap/>
                  <w:vAlign w:val="center"/>
                </w:tcPr>
                <w:p w14:paraId="709EBC65">
                  <w:pPr>
                    <w:pStyle w:val="116"/>
                    <w:jc w:val="center"/>
                    <w:rPr>
                      <w:rFonts w:ascii="Times New Roman" w:hAnsi="Times New Roman" w:eastAsia="宋体" w:cs="Times New Roman"/>
                      <w:color w:val="auto"/>
                      <w:spacing w:val="-4"/>
                      <w:sz w:val="21"/>
                      <w:szCs w:val="21"/>
                      <w:lang w:eastAsia="zh-CN"/>
                    </w:rPr>
                  </w:pPr>
                  <w:r>
                    <w:rPr>
                      <w:rFonts w:ascii="Times New Roman" w:hAnsi="Times New Roman" w:eastAsia="宋体" w:cs="Times New Roman"/>
                      <w:color w:val="auto"/>
                      <w:spacing w:val="-4"/>
                      <w:sz w:val="21"/>
                      <w:szCs w:val="21"/>
                      <w:lang w:eastAsia="zh-CN"/>
                    </w:rPr>
                    <w:t>浮洗</w:t>
                  </w:r>
                </w:p>
              </w:tc>
            </w:tr>
            <w:tr w14:paraId="113A7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ign w:val="center"/>
                </w:tcPr>
                <w:p w14:paraId="17E441E0">
                  <w:pPr>
                    <w:jc w:val="center"/>
                    <w:textAlignment w:val="center"/>
                    <w:rPr>
                      <w:color w:val="auto"/>
                      <w:kern w:val="0"/>
                      <w:szCs w:val="21"/>
                    </w:rPr>
                  </w:pPr>
                  <w:r>
                    <w:rPr>
                      <w:color w:val="auto"/>
                      <w:kern w:val="0"/>
                      <w:szCs w:val="21"/>
                    </w:rPr>
                    <w:t>16</w:t>
                  </w:r>
                </w:p>
              </w:tc>
              <w:tc>
                <w:tcPr>
                  <w:tcW w:w="1196" w:type="pct"/>
                  <w:vAlign w:val="center"/>
                </w:tcPr>
                <w:p w14:paraId="4B3F5181">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螺旋洗</w:t>
                  </w:r>
                  <w:r>
                    <w:rPr>
                      <w:rFonts w:hint="eastAsia" w:ascii="Times New Roman" w:hAnsi="Times New Roman" w:cs="Times New Roman"/>
                      <w:color w:val="auto"/>
                      <w:spacing w:val="-4"/>
                      <w:sz w:val="21"/>
                      <w:szCs w:val="21"/>
                      <w:lang w:val="en-US" w:eastAsia="zh-CN"/>
                    </w:rPr>
                    <w:t>砂</w:t>
                  </w:r>
                  <w:r>
                    <w:rPr>
                      <w:rFonts w:ascii="Times New Roman" w:hAnsi="Times New Roman" w:cs="Times New Roman"/>
                      <w:color w:val="auto"/>
                      <w:spacing w:val="-4"/>
                      <w:sz w:val="21"/>
                      <w:szCs w:val="21"/>
                      <w:lang w:eastAsia="zh-CN"/>
                    </w:rPr>
                    <w:t>机</w:t>
                  </w:r>
                </w:p>
              </w:tc>
              <w:tc>
                <w:tcPr>
                  <w:tcW w:w="1429" w:type="pct"/>
                  <w:vAlign w:val="center"/>
                </w:tcPr>
                <w:p w14:paraId="45053D9F">
                  <w:pPr>
                    <w:pStyle w:val="116"/>
                    <w:jc w:val="center"/>
                    <w:rPr>
                      <w:rFonts w:ascii="Times New Roman" w:hAnsi="Times New Roman" w:cs="Times New Roman"/>
                      <w:color w:val="auto"/>
                      <w:spacing w:val="-1"/>
                      <w:sz w:val="21"/>
                      <w:szCs w:val="21"/>
                      <w:lang w:eastAsia="zh-CN"/>
                    </w:rPr>
                  </w:pPr>
                  <w:r>
                    <w:rPr>
                      <w:rFonts w:ascii="Times New Roman" w:hAnsi="Times New Roman" w:cs="Times New Roman"/>
                      <w:color w:val="auto"/>
                      <w:spacing w:val="-1"/>
                      <w:sz w:val="21"/>
                      <w:szCs w:val="21"/>
                      <w:lang w:eastAsia="zh-CN"/>
                    </w:rPr>
                    <w:t>LS0.5</w:t>
                  </w:r>
                </w:p>
              </w:tc>
              <w:tc>
                <w:tcPr>
                  <w:tcW w:w="892" w:type="pct"/>
                  <w:noWrap/>
                  <w:vAlign w:val="center"/>
                </w:tcPr>
                <w:p w14:paraId="0854154C">
                  <w:pPr>
                    <w:jc w:val="center"/>
                    <w:textAlignment w:val="center"/>
                    <w:rPr>
                      <w:rFonts w:hint="eastAsia" w:eastAsia="宋体"/>
                      <w:color w:val="auto"/>
                      <w:kern w:val="0"/>
                      <w:szCs w:val="21"/>
                      <w:lang w:eastAsia="zh-CN"/>
                    </w:rPr>
                  </w:pPr>
                  <w:r>
                    <w:rPr>
                      <w:rFonts w:hint="eastAsia"/>
                      <w:color w:val="auto"/>
                      <w:kern w:val="0"/>
                      <w:szCs w:val="21"/>
                      <w:lang w:val="en-US" w:eastAsia="zh-CN"/>
                    </w:rPr>
                    <w:t>4</w:t>
                  </w:r>
                </w:p>
              </w:tc>
              <w:tc>
                <w:tcPr>
                  <w:tcW w:w="1064" w:type="pct"/>
                  <w:noWrap/>
                  <w:vAlign w:val="center"/>
                </w:tcPr>
                <w:p w14:paraId="22B17DA8">
                  <w:pPr>
                    <w:jc w:val="center"/>
                    <w:textAlignment w:val="center"/>
                    <w:rPr>
                      <w:rFonts w:hint="eastAsia" w:eastAsia="宋体"/>
                      <w:color w:val="auto"/>
                      <w:kern w:val="0"/>
                      <w:szCs w:val="21"/>
                      <w:lang w:val="en-US" w:eastAsia="zh-CN"/>
                    </w:rPr>
                  </w:pPr>
                  <w:r>
                    <w:rPr>
                      <w:rFonts w:hint="eastAsia"/>
                      <w:color w:val="auto"/>
                      <w:kern w:val="0"/>
                      <w:szCs w:val="21"/>
                      <w:lang w:val="en-US" w:eastAsia="zh-CN"/>
                    </w:rPr>
                    <w:t>水洗</w:t>
                  </w:r>
                </w:p>
              </w:tc>
            </w:tr>
            <w:tr w14:paraId="49D4D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ign w:val="center"/>
                </w:tcPr>
                <w:p w14:paraId="71D42F0E">
                  <w:pPr>
                    <w:jc w:val="center"/>
                    <w:textAlignment w:val="center"/>
                    <w:rPr>
                      <w:color w:val="auto"/>
                      <w:kern w:val="0"/>
                      <w:szCs w:val="21"/>
                    </w:rPr>
                  </w:pPr>
                  <w:r>
                    <w:rPr>
                      <w:color w:val="auto"/>
                      <w:kern w:val="0"/>
                      <w:szCs w:val="21"/>
                    </w:rPr>
                    <w:t>17</w:t>
                  </w:r>
                </w:p>
              </w:tc>
              <w:tc>
                <w:tcPr>
                  <w:tcW w:w="1196" w:type="pct"/>
                  <w:vAlign w:val="center"/>
                </w:tcPr>
                <w:p w14:paraId="58C82FC1">
                  <w:pPr>
                    <w:pStyle w:val="116"/>
                    <w:jc w:val="center"/>
                    <w:rPr>
                      <w:rFonts w:ascii="Times New Roman" w:hAnsi="Times New Roman" w:cs="Times New Roman"/>
                      <w:color w:val="auto"/>
                      <w:spacing w:val="-4"/>
                      <w:sz w:val="21"/>
                      <w:szCs w:val="21"/>
                      <w:lang w:eastAsia="zh-CN"/>
                    </w:rPr>
                  </w:pPr>
                  <w:r>
                    <w:rPr>
                      <w:rFonts w:hint="eastAsia" w:ascii="Times New Roman" w:hAnsi="Times New Roman" w:cs="Times New Roman"/>
                      <w:color w:val="auto"/>
                      <w:spacing w:val="-4"/>
                      <w:sz w:val="21"/>
                      <w:szCs w:val="21"/>
                      <w:lang w:val="en-US" w:eastAsia="zh-CN"/>
                    </w:rPr>
                    <w:t>双槽</w:t>
                  </w:r>
                  <w:r>
                    <w:rPr>
                      <w:rFonts w:ascii="Times New Roman" w:hAnsi="Times New Roman" w:cs="Times New Roman"/>
                      <w:color w:val="auto"/>
                      <w:spacing w:val="-4"/>
                      <w:sz w:val="21"/>
                      <w:szCs w:val="21"/>
                      <w:lang w:eastAsia="zh-CN"/>
                    </w:rPr>
                    <w:t>擦洗机</w:t>
                  </w:r>
                </w:p>
              </w:tc>
              <w:tc>
                <w:tcPr>
                  <w:tcW w:w="1429" w:type="pct"/>
                  <w:vAlign w:val="center"/>
                </w:tcPr>
                <w:p w14:paraId="0ED3C1A2">
                  <w:pPr>
                    <w:pStyle w:val="116"/>
                    <w:jc w:val="center"/>
                    <w:rPr>
                      <w:rFonts w:ascii="Times New Roman" w:hAnsi="Times New Roman" w:cs="Times New Roman"/>
                      <w:color w:val="auto"/>
                      <w:spacing w:val="-1"/>
                      <w:sz w:val="21"/>
                      <w:szCs w:val="21"/>
                      <w:lang w:eastAsia="zh-CN"/>
                    </w:rPr>
                  </w:pPr>
                  <w:r>
                    <w:rPr>
                      <w:rFonts w:ascii="Times New Roman" w:hAnsi="Times New Roman" w:cs="Times New Roman"/>
                      <w:color w:val="auto"/>
                      <w:spacing w:val="-1"/>
                      <w:sz w:val="21"/>
                      <w:szCs w:val="21"/>
                      <w:lang w:eastAsia="zh-CN"/>
                    </w:rPr>
                    <w:t>0.5×2</w:t>
                  </w:r>
                </w:p>
              </w:tc>
              <w:tc>
                <w:tcPr>
                  <w:tcW w:w="892" w:type="pct"/>
                  <w:noWrap/>
                  <w:vAlign w:val="center"/>
                </w:tcPr>
                <w:p w14:paraId="52AC9F49">
                  <w:pPr>
                    <w:jc w:val="center"/>
                    <w:textAlignment w:val="center"/>
                    <w:rPr>
                      <w:rFonts w:hint="eastAsia" w:eastAsia="宋体"/>
                      <w:color w:val="auto"/>
                      <w:kern w:val="0"/>
                      <w:szCs w:val="21"/>
                      <w:lang w:eastAsia="zh-CN"/>
                    </w:rPr>
                  </w:pPr>
                  <w:r>
                    <w:rPr>
                      <w:rFonts w:hint="eastAsia"/>
                      <w:color w:val="auto"/>
                      <w:kern w:val="0"/>
                      <w:szCs w:val="21"/>
                      <w:lang w:val="en-US" w:eastAsia="zh-CN"/>
                    </w:rPr>
                    <w:t>2</w:t>
                  </w:r>
                </w:p>
              </w:tc>
              <w:tc>
                <w:tcPr>
                  <w:tcW w:w="1064" w:type="pct"/>
                  <w:noWrap/>
                  <w:vAlign w:val="center"/>
                </w:tcPr>
                <w:p w14:paraId="3876548E">
                  <w:pPr>
                    <w:jc w:val="center"/>
                    <w:textAlignment w:val="center"/>
                    <w:rPr>
                      <w:rFonts w:hint="eastAsia" w:eastAsia="宋体"/>
                      <w:color w:val="auto"/>
                      <w:lang w:val="en-US" w:eastAsia="zh-CN"/>
                    </w:rPr>
                  </w:pPr>
                  <w:r>
                    <w:rPr>
                      <w:rFonts w:hint="eastAsia"/>
                      <w:color w:val="auto"/>
                      <w:lang w:val="en-US" w:eastAsia="zh-CN"/>
                    </w:rPr>
                    <w:t>水洗</w:t>
                  </w:r>
                </w:p>
              </w:tc>
            </w:tr>
            <w:tr w14:paraId="1E74B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ign w:val="center"/>
                </w:tcPr>
                <w:p w14:paraId="7737B481">
                  <w:pPr>
                    <w:jc w:val="center"/>
                    <w:textAlignment w:val="center"/>
                    <w:rPr>
                      <w:color w:val="auto"/>
                      <w:kern w:val="0"/>
                      <w:szCs w:val="21"/>
                    </w:rPr>
                  </w:pPr>
                  <w:r>
                    <w:rPr>
                      <w:color w:val="auto"/>
                      <w:kern w:val="0"/>
                      <w:szCs w:val="21"/>
                    </w:rPr>
                    <w:t>18</w:t>
                  </w:r>
                </w:p>
              </w:tc>
              <w:tc>
                <w:tcPr>
                  <w:tcW w:w="1196" w:type="pct"/>
                  <w:vAlign w:val="center"/>
                </w:tcPr>
                <w:p w14:paraId="6101D1EC">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脱泥斗</w:t>
                  </w:r>
                </w:p>
              </w:tc>
              <w:tc>
                <w:tcPr>
                  <w:tcW w:w="1429" w:type="pct"/>
                  <w:vAlign w:val="center"/>
                </w:tcPr>
                <w:p w14:paraId="62D057A6">
                  <w:pPr>
                    <w:pStyle w:val="116"/>
                    <w:jc w:val="center"/>
                    <w:rPr>
                      <w:rFonts w:ascii="Times New Roman" w:hAnsi="Times New Roman" w:cs="Times New Roman"/>
                      <w:color w:val="auto"/>
                      <w:spacing w:val="-1"/>
                      <w:sz w:val="21"/>
                      <w:szCs w:val="21"/>
                      <w:lang w:eastAsia="zh-CN"/>
                    </w:rPr>
                  </w:pPr>
                  <w:r>
                    <w:rPr>
                      <w:rFonts w:ascii="Times New Roman" w:hAnsi="Times New Roman" w:cs="Times New Roman"/>
                      <w:color w:val="auto"/>
                      <w:spacing w:val="-1"/>
                      <w:sz w:val="21"/>
                      <w:szCs w:val="21"/>
                      <w:lang w:eastAsia="zh-CN"/>
                    </w:rPr>
                    <w:t>Ф1.5</w:t>
                  </w:r>
                </w:p>
              </w:tc>
              <w:tc>
                <w:tcPr>
                  <w:tcW w:w="892" w:type="pct"/>
                  <w:noWrap/>
                  <w:vAlign w:val="center"/>
                </w:tcPr>
                <w:p w14:paraId="173F3CDC">
                  <w:pPr>
                    <w:jc w:val="center"/>
                    <w:textAlignment w:val="center"/>
                    <w:rPr>
                      <w:rFonts w:hint="eastAsia" w:eastAsia="宋体"/>
                      <w:color w:val="auto"/>
                      <w:kern w:val="0"/>
                      <w:szCs w:val="21"/>
                      <w:lang w:eastAsia="zh-CN"/>
                    </w:rPr>
                  </w:pPr>
                  <w:r>
                    <w:rPr>
                      <w:rFonts w:hint="eastAsia"/>
                      <w:color w:val="auto"/>
                      <w:kern w:val="0"/>
                      <w:szCs w:val="21"/>
                      <w:lang w:val="en-US" w:eastAsia="zh-CN"/>
                    </w:rPr>
                    <w:t>1</w:t>
                  </w:r>
                </w:p>
              </w:tc>
              <w:tc>
                <w:tcPr>
                  <w:tcW w:w="1064" w:type="pct"/>
                  <w:noWrap/>
                  <w:vAlign w:val="center"/>
                </w:tcPr>
                <w:p w14:paraId="25CF1AE5">
                  <w:pPr>
                    <w:jc w:val="center"/>
                    <w:textAlignment w:val="center"/>
                    <w:rPr>
                      <w:color w:val="auto"/>
                      <w:kern w:val="0"/>
                      <w:szCs w:val="21"/>
                    </w:rPr>
                  </w:pPr>
                  <w:r>
                    <w:rPr>
                      <w:rFonts w:hint="eastAsia"/>
                      <w:color w:val="auto"/>
                      <w:kern w:val="0"/>
                      <w:szCs w:val="21"/>
                    </w:rPr>
                    <w:t>辅助设备</w:t>
                  </w:r>
                </w:p>
              </w:tc>
            </w:tr>
            <w:tr w14:paraId="68F3A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ign w:val="center"/>
                </w:tcPr>
                <w:p w14:paraId="1C3835AB">
                  <w:pPr>
                    <w:jc w:val="center"/>
                    <w:textAlignment w:val="center"/>
                    <w:rPr>
                      <w:color w:val="auto"/>
                      <w:kern w:val="0"/>
                      <w:szCs w:val="21"/>
                    </w:rPr>
                  </w:pPr>
                  <w:r>
                    <w:rPr>
                      <w:color w:val="auto"/>
                      <w:kern w:val="0"/>
                      <w:szCs w:val="21"/>
                    </w:rPr>
                    <w:t>19</w:t>
                  </w:r>
                </w:p>
              </w:tc>
              <w:tc>
                <w:tcPr>
                  <w:tcW w:w="1196" w:type="pct"/>
                  <w:vAlign w:val="center"/>
                </w:tcPr>
                <w:p w14:paraId="04F67F50">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平板全防离心机</w:t>
                  </w:r>
                </w:p>
              </w:tc>
              <w:tc>
                <w:tcPr>
                  <w:tcW w:w="1429" w:type="pct"/>
                  <w:vAlign w:val="center"/>
                </w:tcPr>
                <w:p w14:paraId="38B29D01">
                  <w:pPr>
                    <w:pStyle w:val="116"/>
                    <w:jc w:val="center"/>
                    <w:rPr>
                      <w:rFonts w:ascii="Times New Roman" w:hAnsi="Times New Roman" w:cs="Times New Roman"/>
                      <w:color w:val="auto"/>
                      <w:spacing w:val="-1"/>
                      <w:sz w:val="21"/>
                      <w:szCs w:val="21"/>
                      <w:lang w:eastAsia="zh-CN"/>
                    </w:rPr>
                  </w:pPr>
                  <w:r>
                    <w:rPr>
                      <w:rFonts w:ascii="Times New Roman" w:hAnsi="Times New Roman" w:cs="Times New Roman"/>
                      <w:color w:val="auto"/>
                      <w:spacing w:val="-1"/>
                      <w:sz w:val="21"/>
                      <w:szCs w:val="21"/>
                      <w:lang w:eastAsia="zh-CN"/>
                    </w:rPr>
                    <w:t>PSD1250S</w:t>
                  </w:r>
                </w:p>
              </w:tc>
              <w:tc>
                <w:tcPr>
                  <w:tcW w:w="892" w:type="pct"/>
                  <w:noWrap/>
                  <w:vAlign w:val="center"/>
                </w:tcPr>
                <w:p w14:paraId="7FCB756F">
                  <w:pPr>
                    <w:jc w:val="center"/>
                    <w:textAlignment w:val="center"/>
                    <w:rPr>
                      <w:color w:val="auto"/>
                      <w:kern w:val="0"/>
                      <w:szCs w:val="21"/>
                    </w:rPr>
                  </w:pPr>
                  <w:r>
                    <w:rPr>
                      <w:color w:val="auto"/>
                      <w:kern w:val="0"/>
                      <w:szCs w:val="21"/>
                    </w:rPr>
                    <w:t>1</w:t>
                  </w:r>
                </w:p>
              </w:tc>
              <w:tc>
                <w:tcPr>
                  <w:tcW w:w="1064" w:type="pct"/>
                  <w:noWrap/>
                  <w:vAlign w:val="center"/>
                </w:tcPr>
                <w:p w14:paraId="4026AFB3">
                  <w:pPr>
                    <w:jc w:val="center"/>
                    <w:textAlignment w:val="center"/>
                    <w:rPr>
                      <w:color w:val="auto"/>
                      <w:kern w:val="0"/>
                      <w:szCs w:val="21"/>
                    </w:rPr>
                  </w:pPr>
                  <w:r>
                    <w:rPr>
                      <w:rFonts w:hint="eastAsia"/>
                      <w:color w:val="auto"/>
                      <w:kern w:val="0"/>
                      <w:szCs w:val="21"/>
                    </w:rPr>
                    <w:t>辅助设备</w:t>
                  </w:r>
                </w:p>
              </w:tc>
            </w:tr>
            <w:tr w14:paraId="65A71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ign w:val="center"/>
                </w:tcPr>
                <w:p w14:paraId="41E8EE9D">
                  <w:pPr>
                    <w:jc w:val="center"/>
                    <w:textAlignment w:val="center"/>
                    <w:rPr>
                      <w:color w:val="auto"/>
                      <w:kern w:val="0"/>
                      <w:szCs w:val="21"/>
                    </w:rPr>
                  </w:pPr>
                  <w:r>
                    <w:rPr>
                      <w:color w:val="auto"/>
                      <w:kern w:val="0"/>
                      <w:szCs w:val="21"/>
                    </w:rPr>
                    <w:t>20</w:t>
                  </w:r>
                </w:p>
              </w:tc>
              <w:tc>
                <w:tcPr>
                  <w:tcW w:w="1196" w:type="pct"/>
                  <w:vAlign w:val="center"/>
                </w:tcPr>
                <w:p w14:paraId="6C5CFA28">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spacing w:val="-4"/>
                      <w:sz w:val="21"/>
                      <w:szCs w:val="21"/>
                      <w:lang w:eastAsia="zh-CN"/>
                    </w:rPr>
                    <w:t>电磁式粉体除铁器</w:t>
                  </w:r>
                </w:p>
              </w:tc>
              <w:tc>
                <w:tcPr>
                  <w:tcW w:w="1429" w:type="pct"/>
                  <w:vAlign w:val="center"/>
                </w:tcPr>
                <w:p w14:paraId="7A88E7C0">
                  <w:pPr>
                    <w:pStyle w:val="116"/>
                    <w:jc w:val="center"/>
                    <w:rPr>
                      <w:rFonts w:ascii="Times New Roman" w:hAnsi="Times New Roman" w:cs="Times New Roman"/>
                      <w:color w:val="auto"/>
                      <w:spacing w:val="-1"/>
                      <w:sz w:val="21"/>
                      <w:szCs w:val="21"/>
                      <w:lang w:eastAsia="zh-CN"/>
                    </w:rPr>
                  </w:pPr>
                  <w:r>
                    <w:rPr>
                      <w:rFonts w:ascii="Times New Roman" w:hAnsi="Times New Roman" w:cs="Times New Roman"/>
                      <w:color w:val="auto"/>
                      <w:spacing w:val="-1"/>
                      <w:sz w:val="21"/>
                      <w:szCs w:val="21"/>
                      <w:lang w:eastAsia="zh-CN"/>
                    </w:rPr>
                    <w:t>ZR0709F-2-C-16G2</w:t>
                  </w:r>
                </w:p>
              </w:tc>
              <w:tc>
                <w:tcPr>
                  <w:tcW w:w="892" w:type="pct"/>
                  <w:noWrap/>
                  <w:vAlign w:val="center"/>
                </w:tcPr>
                <w:p w14:paraId="1C8B3E3B">
                  <w:pPr>
                    <w:jc w:val="center"/>
                    <w:textAlignment w:val="center"/>
                    <w:rPr>
                      <w:color w:val="auto"/>
                      <w:kern w:val="0"/>
                      <w:szCs w:val="21"/>
                    </w:rPr>
                  </w:pPr>
                  <w:r>
                    <w:rPr>
                      <w:color w:val="auto"/>
                      <w:kern w:val="0"/>
                      <w:szCs w:val="21"/>
                    </w:rPr>
                    <w:t>2</w:t>
                  </w:r>
                </w:p>
              </w:tc>
              <w:tc>
                <w:tcPr>
                  <w:tcW w:w="1064" w:type="pct"/>
                  <w:noWrap/>
                  <w:vAlign w:val="center"/>
                </w:tcPr>
                <w:p w14:paraId="187357E7">
                  <w:pPr>
                    <w:jc w:val="center"/>
                    <w:textAlignment w:val="center"/>
                    <w:rPr>
                      <w:color w:val="auto"/>
                      <w:kern w:val="0"/>
                      <w:szCs w:val="21"/>
                    </w:rPr>
                  </w:pPr>
                  <w:r>
                    <w:rPr>
                      <w:color w:val="auto"/>
                      <w:szCs w:val="21"/>
                    </w:rPr>
                    <w:t>磁选</w:t>
                  </w:r>
                </w:p>
              </w:tc>
            </w:tr>
            <w:tr w14:paraId="69593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ign w:val="center"/>
                </w:tcPr>
                <w:p w14:paraId="35C36EC3">
                  <w:pPr>
                    <w:jc w:val="center"/>
                    <w:textAlignment w:val="center"/>
                    <w:rPr>
                      <w:rFonts w:hint="default" w:eastAsia="宋体"/>
                      <w:color w:val="auto"/>
                      <w:kern w:val="0"/>
                      <w:szCs w:val="21"/>
                      <w:lang w:val="en-US" w:eastAsia="zh-CN"/>
                    </w:rPr>
                  </w:pPr>
                  <w:r>
                    <w:rPr>
                      <w:rFonts w:hint="eastAsia"/>
                      <w:color w:val="auto"/>
                      <w:kern w:val="0"/>
                      <w:szCs w:val="21"/>
                      <w:lang w:val="en-US" w:eastAsia="zh-CN"/>
                    </w:rPr>
                    <w:t>21</w:t>
                  </w:r>
                </w:p>
              </w:tc>
              <w:tc>
                <w:tcPr>
                  <w:tcW w:w="1196" w:type="pct"/>
                  <w:vAlign w:val="center"/>
                </w:tcPr>
                <w:p w14:paraId="1C52D529">
                  <w:pPr>
                    <w:pStyle w:val="116"/>
                    <w:jc w:val="center"/>
                    <w:rPr>
                      <w:rFonts w:ascii="Times New Roman" w:hAnsi="Times New Roman" w:cs="Times New Roman"/>
                      <w:color w:val="auto"/>
                      <w:spacing w:val="-4"/>
                      <w:sz w:val="21"/>
                      <w:szCs w:val="21"/>
                      <w:lang w:eastAsia="zh-CN"/>
                    </w:rPr>
                  </w:pPr>
                  <w:r>
                    <w:rPr>
                      <w:rFonts w:hint="eastAsia" w:ascii="Times New Roman" w:hAnsi="Times New Roman" w:cs="Times New Roman"/>
                      <w:color w:val="auto"/>
                      <w:spacing w:val="-4"/>
                      <w:sz w:val="21"/>
                      <w:szCs w:val="21"/>
                      <w:lang w:eastAsia="zh-CN"/>
                    </w:rPr>
                    <w:t>隔膜</w:t>
                  </w:r>
                  <w:r>
                    <w:rPr>
                      <w:rFonts w:ascii="Times New Roman" w:hAnsi="Times New Roman" w:cs="Times New Roman"/>
                      <w:color w:val="auto"/>
                      <w:spacing w:val="-4"/>
                      <w:sz w:val="21"/>
                      <w:szCs w:val="21"/>
                      <w:lang w:eastAsia="zh-CN"/>
                    </w:rPr>
                    <w:t>泵</w:t>
                  </w:r>
                </w:p>
              </w:tc>
              <w:tc>
                <w:tcPr>
                  <w:tcW w:w="1429" w:type="pct"/>
                  <w:vAlign w:val="center"/>
                </w:tcPr>
                <w:p w14:paraId="2D4DD01D">
                  <w:pPr>
                    <w:pStyle w:val="116"/>
                    <w:jc w:val="center"/>
                    <w:rPr>
                      <w:rFonts w:ascii="Times New Roman" w:hAnsi="Times New Roman" w:cs="Times New Roman"/>
                      <w:color w:val="auto"/>
                      <w:spacing w:val="-1"/>
                      <w:sz w:val="21"/>
                      <w:szCs w:val="21"/>
                      <w:lang w:eastAsia="zh-CN"/>
                    </w:rPr>
                  </w:pPr>
                </w:p>
              </w:tc>
              <w:tc>
                <w:tcPr>
                  <w:tcW w:w="892" w:type="pct"/>
                  <w:noWrap/>
                  <w:vAlign w:val="center"/>
                </w:tcPr>
                <w:p w14:paraId="56971AB1">
                  <w:pPr>
                    <w:jc w:val="center"/>
                    <w:textAlignment w:val="center"/>
                    <w:rPr>
                      <w:color w:val="auto"/>
                      <w:kern w:val="0"/>
                      <w:szCs w:val="21"/>
                    </w:rPr>
                  </w:pPr>
                  <w:r>
                    <w:rPr>
                      <w:color w:val="auto"/>
                      <w:kern w:val="0"/>
                      <w:szCs w:val="21"/>
                    </w:rPr>
                    <w:t>20</w:t>
                  </w:r>
                </w:p>
              </w:tc>
              <w:tc>
                <w:tcPr>
                  <w:tcW w:w="1064" w:type="pct"/>
                  <w:noWrap/>
                  <w:vAlign w:val="center"/>
                </w:tcPr>
                <w:p w14:paraId="215DFFDE">
                  <w:pPr>
                    <w:jc w:val="center"/>
                    <w:textAlignment w:val="center"/>
                    <w:rPr>
                      <w:color w:val="auto"/>
                      <w:kern w:val="0"/>
                      <w:szCs w:val="21"/>
                    </w:rPr>
                  </w:pPr>
                  <w:r>
                    <w:rPr>
                      <w:rFonts w:hint="eastAsia"/>
                      <w:color w:val="auto"/>
                      <w:kern w:val="0"/>
                      <w:szCs w:val="21"/>
                    </w:rPr>
                    <w:t>辅助设备</w:t>
                  </w:r>
                </w:p>
              </w:tc>
            </w:tr>
            <w:tr w14:paraId="1F957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5"/>
                  <w:noWrap/>
                  <w:vAlign w:val="center"/>
                </w:tcPr>
                <w:p w14:paraId="65E8D98C">
                  <w:pPr>
                    <w:pStyle w:val="116"/>
                    <w:jc w:val="center"/>
                    <w:rPr>
                      <w:rFonts w:ascii="Times New Roman" w:hAnsi="Times New Roman" w:cs="Times New Roman"/>
                      <w:color w:val="auto"/>
                      <w:spacing w:val="-4"/>
                      <w:sz w:val="21"/>
                      <w:szCs w:val="21"/>
                      <w:lang w:eastAsia="zh-CN"/>
                    </w:rPr>
                  </w:pPr>
                  <w:r>
                    <w:rPr>
                      <w:rFonts w:ascii="Times New Roman" w:hAnsi="Times New Roman" w:cs="Times New Roman"/>
                      <w:color w:val="auto"/>
                      <w:kern w:val="0"/>
                      <w:sz w:val="21"/>
                      <w:szCs w:val="21"/>
                      <w:lang w:eastAsia="zh-CN"/>
                    </w:rPr>
                    <w:t>纯水处理设备</w:t>
                  </w:r>
                </w:p>
              </w:tc>
            </w:tr>
            <w:tr w14:paraId="4C4BFD7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4A1251D2">
                  <w:pPr>
                    <w:jc w:val="center"/>
                    <w:textAlignment w:val="center"/>
                    <w:rPr>
                      <w:color w:val="auto"/>
                      <w:kern w:val="0"/>
                      <w:szCs w:val="21"/>
                    </w:rPr>
                  </w:pPr>
                  <w:r>
                    <w:rPr>
                      <w:color w:val="auto"/>
                      <w:kern w:val="0"/>
                      <w:szCs w:val="21"/>
                    </w:rPr>
                    <w:t>1</w:t>
                  </w:r>
                </w:p>
              </w:tc>
              <w:tc>
                <w:tcPr>
                  <w:tcW w:w="1196" w:type="pct"/>
                  <w:vAlign w:val="center"/>
                </w:tcPr>
                <w:p w14:paraId="20623D25">
                  <w:pPr>
                    <w:jc w:val="center"/>
                    <w:textAlignment w:val="center"/>
                    <w:rPr>
                      <w:color w:val="auto"/>
                      <w:kern w:val="0"/>
                      <w:szCs w:val="21"/>
                    </w:rPr>
                  </w:pPr>
                  <w:r>
                    <w:rPr>
                      <w:color w:val="auto"/>
                      <w:kern w:val="0"/>
                      <w:szCs w:val="21"/>
                    </w:rPr>
                    <w:t>原水箱</w:t>
                  </w:r>
                </w:p>
              </w:tc>
              <w:tc>
                <w:tcPr>
                  <w:tcW w:w="1429" w:type="pct"/>
                  <w:vAlign w:val="center"/>
                </w:tcPr>
                <w:p w14:paraId="25BFA93D">
                  <w:pPr>
                    <w:jc w:val="center"/>
                    <w:textAlignment w:val="center"/>
                    <w:rPr>
                      <w:color w:val="auto"/>
                      <w:kern w:val="0"/>
                      <w:szCs w:val="21"/>
                    </w:rPr>
                  </w:pPr>
                  <w:r>
                    <w:rPr>
                      <w:color w:val="auto"/>
                      <w:spacing w:val="-4"/>
                      <w:szCs w:val="21"/>
                    </w:rPr>
                    <w:t>20m</w:t>
                  </w:r>
                  <w:r>
                    <w:rPr>
                      <w:color w:val="auto"/>
                      <w:spacing w:val="-4"/>
                      <w:szCs w:val="21"/>
                      <w:vertAlign w:val="superscript"/>
                    </w:rPr>
                    <w:t>3</w:t>
                  </w:r>
                </w:p>
              </w:tc>
              <w:tc>
                <w:tcPr>
                  <w:tcW w:w="892" w:type="pct"/>
                  <w:vAlign w:val="center"/>
                </w:tcPr>
                <w:p w14:paraId="16D7D44E">
                  <w:pPr>
                    <w:jc w:val="center"/>
                    <w:textAlignment w:val="center"/>
                    <w:rPr>
                      <w:color w:val="auto"/>
                      <w:kern w:val="0"/>
                      <w:szCs w:val="21"/>
                    </w:rPr>
                  </w:pPr>
                  <w:r>
                    <w:rPr>
                      <w:color w:val="auto"/>
                      <w:kern w:val="0"/>
                      <w:szCs w:val="21"/>
                    </w:rPr>
                    <w:t>1只</w:t>
                  </w:r>
                </w:p>
              </w:tc>
              <w:tc>
                <w:tcPr>
                  <w:tcW w:w="1064" w:type="pct"/>
                  <w:vAlign w:val="center"/>
                </w:tcPr>
                <w:p w14:paraId="1BBBECD4">
                  <w:pPr>
                    <w:jc w:val="center"/>
                    <w:textAlignment w:val="center"/>
                    <w:rPr>
                      <w:color w:val="auto"/>
                      <w:kern w:val="0"/>
                      <w:szCs w:val="21"/>
                    </w:rPr>
                  </w:pPr>
                  <w:r>
                    <w:rPr>
                      <w:color w:val="auto"/>
                      <w:kern w:val="0"/>
                      <w:szCs w:val="21"/>
                    </w:rPr>
                    <w:t>PE，储存</w:t>
                  </w:r>
                </w:p>
              </w:tc>
            </w:tr>
            <w:tr w14:paraId="6E13A9D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5920ED4B">
                  <w:pPr>
                    <w:jc w:val="center"/>
                    <w:textAlignment w:val="center"/>
                    <w:rPr>
                      <w:color w:val="auto"/>
                      <w:kern w:val="0"/>
                      <w:szCs w:val="21"/>
                    </w:rPr>
                  </w:pPr>
                  <w:r>
                    <w:rPr>
                      <w:color w:val="auto"/>
                      <w:kern w:val="0"/>
                      <w:szCs w:val="21"/>
                    </w:rPr>
                    <w:t>2</w:t>
                  </w:r>
                </w:p>
              </w:tc>
              <w:tc>
                <w:tcPr>
                  <w:tcW w:w="1196" w:type="pct"/>
                  <w:vAlign w:val="center"/>
                </w:tcPr>
                <w:p w14:paraId="4B5DF9B4">
                  <w:pPr>
                    <w:jc w:val="center"/>
                    <w:textAlignment w:val="center"/>
                    <w:rPr>
                      <w:color w:val="auto"/>
                      <w:kern w:val="0"/>
                      <w:szCs w:val="21"/>
                    </w:rPr>
                  </w:pPr>
                  <w:r>
                    <w:rPr>
                      <w:color w:val="auto"/>
                      <w:kern w:val="0"/>
                      <w:szCs w:val="21"/>
                    </w:rPr>
                    <w:t>多介质过滤器</w:t>
                  </w:r>
                </w:p>
              </w:tc>
              <w:tc>
                <w:tcPr>
                  <w:tcW w:w="1429" w:type="pct"/>
                  <w:vAlign w:val="center"/>
                </w:tcPr>
                <w:p w14:paraId="27F0DC8D">
                  <w:pPr>
                    <w:jc w:val="center"/>
                    <w:textAlignment w:val="center"/>
                    <w:rPr>
                      <w:color w:val="auto"/>
                      <w:kern w:val="0"/>
                      <w:szCs w:val="21"/>
                    </w:rPr>
                  </w:pPr>
                  <w:r>
                    <w:rPr>
                      <w:color w:val="auto"/>
                      <w:kern w:val="0"/>
                      <w:szCs w:val="21"/>
                    </w:rPr>
                    <w:t>Φ1800×2600</w:t>
                  </w:r>
                </w:p>
              </w:tc>
              <w:tc>
                <w:tcPr>
                  <w:tcW w:w="892" w:type="pct"/>
                  <w:vAlign w:val="center"/>
                </w:tcPr>
                <w:p w14:paraId="1F326F46">
                  <w:pPr>
                    <w:jc w:val="center"/>
                    <w:textAlignment w:val="center"/>
                    <w:rPr>
                      <w:color w:val="auto"/>
                      <w:kern w:val="0"/>
                      <w:szCs w:val="21"/>
                    </w:rPr>
                  </w:pPr>
                  <w:r>
                    <w:rPr>
                      <w:color w:val="auto"/>
                      <w:kern w:val="0"/>
                      <w:szCs w:val="21"/>
                    </w:rPr>
                    <w:t>1套</w:t>
                  </w:r>
                </w:p>
              </w:tc>
              <w:tc>
                <w:tcPr>
                  <w:tcW w:w="1064" w:type="pct"/>
                  <w:vAlign w:val="center"/>
                </w:tcPr>
                <w:p w14:paraId="4C32F863">
                  <w:pPr>
                    <w:jc w:val="center"/>
                    <w:textAlignment w:val="center"/>
                    <w:rPr>
                      <w:color w:val="auto"/>
                      <w:kern w:val="0"/>
                      <w:szCs w:val="21"/>
                    </w:rPr>
                  </w:pPr>
                  <w:r>
                    <w:rPr>
                      <w:color w:val="auto"/>
                      <w:kern w:val="0"/>
                      <w:szCs w:val="21"/>
                    </w:rPr>
                    <w:t>纯水预处理</w:t>
                  </w:r>
                </w:p>
              </w:tc>
            </w:tr>
            <w:tr w14:paraId="7EF1CB6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73F11716">
                  <w:pPr>
                    <w:jc w:val="center"/>
                    <w:textAlignment w:val="center"/>
                    <w:rPr>
                      <w:color w:val="auto"/>
                      <w:kern w:val="0"/>
                      <w:szCs w:val="21"/>
                    </w:rPr>
                  </w:pPr>
                  <w:r>
                    <w:rPr>
                      <w:color w:val="auto"/>
                      <w:kern w:val="0"/>
                      <w:szCs w:val="21"/>
                    </w:rPr>
                    <w:t>3</w:t>
                  </w:r>
                </w:p>
              </w:tc>
              <w:tc>
                <w:tcPr>
                  <w:tcW w:w="1196" w:type="pct"/>
                  <w:vAlign w:val="center"/>
                </w:tcPr>
                <w:p w14:paraId="4FF5C027">
                  <w:pPr>
                    <w:jc w:val="center"/>
                    <w:textAlignment w:val="center"/>
                    <w:rPr>
                      <w:color w:val="auto"/>
                      <w:kern w:val="0"/>
                      <w:szCs w:val="21"/>
                    </w:rPr>
                  </w:pPr>
                  <w:r>
                    <w:rPr>
                      <w:color w:val="auto"/>
                      <w:kern w:val="0"/>
                      <w:szCs w:val="21"/>
                    </w:rPr>
                    <w:t>活性炭过滤器</w:t>
                  </w:r>
                </w:p>
              </w:tc>
              <w:tc>
                <w:tcPr>
                  <w:tcW w:w="1429" w:type="pct"/>
                  <w:vAlign w:val="center"/>
                </w:tcPr>
                <w:p w14:paraId="5D374AF6">
                  <w:pPr>
                    <w:jc w:val="center"/>
                    <w:textAlignment w:val="center"/>
                    <w:rPr>
                      <w:color w:val="auto"/>
                      <w:kern w:val="0"/>
                      <w:szCs w:val="21"/>
                    </w:rPr>
                  </w:pPr>
                  <w:r>
                    <w:rPr>
                      <w:color w:val="auto"/>
                      <w:kern w:val="0"/>
                      <w:szCs w:val="21"/>
                    </w:rPr>
                    <w:t>Φ1800×2600</w:t>
                  </w:r>
                </w:p>
              </w:tc>
              <w:tc>
                <w:tcPr>
                  <w:tcW w:w="892" w:type="pct"/>
                  <w:vAlign w:val="center"/>
                </w:tcPr>
                <w:p w14:paraId="363F638B">
                  <w:pPr>
                    <w:jc w:val="center"/>
                    <w:textAlignment w:val="center"/>
                    <w:rPr>
                      <w:color w:val="auto"/>
                      <w:kern w:val="0"/>
                      <w:szCs w:val="21"/>
                    </w:rPr>
                  </w:pPr>
                  <w:r>
                    <w:rPr>
                      <w:color w:val="auto"/>
                      <w:kern w:val="0"/>
                      <w:szCs w:val="21"/>
                    </w:rPr>
                    <w:t>1套</w:t>
                  </w:r>
                </w:p>
              </w:tc>
              <w:tc>
                <w:tcPr>
                  <w:tcW w:w="1064" w:type="pct"/>
                  <w:vAlign w:val="center"/>
                </w:tcPr>
                <w:p w14:paraId="5C5F2861">
                  <w:pPr>
                    <w:jc w:val="center"/>
                    <w:textAlignment w:val="center"/>
                    <w:rPr>
                      <w:color w:val="auto"/>
                      <w:kern w:val="0"/>
                      <w:szCs w:val="21"/>
                    </w:rPr>
                  </w:pPr>
                  <w:r>
                    <w:rPr>
                      <w:color w:val="auto"/>
                      <w:kern w:val="0"/>
                      <w:szCs w:val="21"/>
                    </w:rPr>
                    <w:t>纯水预处理</w:t>
                  </w:r>
                </w:p>
              </w:tc>
            </w:tr>
            <w:tr w14:paraId="193FDFC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119A977E">
                  <w:pPr>
                    <w:jc w:val="center"/>
                    <w:textAlignment w:val="center"/>
                    <w:rPr>
                      <w:color w:val="auto"/>
                      <w:kern w:val="0"/>
                      <w:szCs w:val="21"/>
                    </w:rPr>
                  </w:pPr>
                  <w:r>
                    <w:rPr>
                      <w:color w:val="auto"/>
                      <w:kern w:val="0"/>
                      <w:szCs w:val="21"/>
                    </w:rPr>
                    <w:t>4</w:t>
                  </w:r>
                </w:p>
              </w:tc>
              <w:tc>
                <w:tcPr>
                  <w:tcW w:w="1196" w:type="pct"/>
                  <w:vAlign w:val="center"/>
                </w:tcPr>
                <w:p w14:paraId="3359CDCF">
                  <w:pPr>
                    <w:jc w:val="center"/>
                    <w:textAlignment w:val="center"/>
                    <w:rPr>
                      <w:color w:val="auto"/>
                      <w:kern w:val="0"/>
                      <w:szCs w:val="21"/>
                    </w:rPr>
                  </w:pPr>
                  <w:r>
                    <w:rPr>
                      <w:color w:val="auto"/>
                      <w:kern w:val="0"/>
                      <w:szCs w:val="21"/>
                    </w:rPr>
                    <w:t>过滤水箱</w:t>
                  </w:r>
                </w:p>
              </w:tc>
              <w:tc>
                <w:tcPr>
                  <w:tcW w:w="1429" w:type="pct"/>
                  <w:vAlign w:val="center"/>
                </w:tcPr>
                <w:p w14:paraId="5BE4DD3B">
                  <w:pPr>
                    <w:jc w:val="center"/>
                    <w:textAlignment w:val="center"/>
                    <w:rPr>
                      <w:color w:val="auto"/>
                      <w:kern w:val="0"/>
                      <w:szCs w:val="21"/>
                    </w:rPr>
                  </w:pPr>
                  <w:r>
                    <w:rPr>
                      <w:color w:val="auto"/>
                      <w:spacing w:val="-4"/>
                      <w:szCs w:val="21"/>
                    </w:rPr>
                    <w:t>20m</w:t>
                  </w:r>
                  <w:r>
                    <w:rPr>
                      <w:color w:val="auto"/>
                      <w:spacing w:val="-4"/>
                      <w:szCs w:val="21"/>
                      <w:vertAlign w:val="superscript"/>
                    </w:rPr>
                    <w:t>3</w:t>
                  </w:r>
                </w:p>
              </w:tc>
              <w:tc>
                <w:tcPr>
                  <w:tcW w:w="892" w:type="pct"/>
                  <w:vAlign w:val="center"/>
                </w:tcPr>
                <w:p w14:paraId="4EFE90D2">
                  <w:pPr>
                    <w:jc w:val="center"/>
                    <w:textAlignment w:val="center"/>
                    <w:rPr>
                      <w:color w:val="auto"/>
                      <w:kern w:val="0"/>
                      <w:szCs w:val="21"/>
                    </w:rPr>
                  </w:pPr>
                  <w:r>
                    <w:rPr>
                      <w:color w:val="auto"/>
                      <w:kern w:val="0"/>
                      <w:szCs w:val="21"/>
                    </w:rPr>
                    <w:t>1只</w:t>
                  </w:r>
                </w:p>
              </w:tc>
              <w:tc>
                <w:tcPr>
                  <w:tcW w:w="1064" w:type="pct"/>
                  <w:vAlign w:val="center"/>
                </w:tcPr>
                <w:p w14:paraId="6B8670DF">
                  <w:pPr>
                    <w:jc w:val="center"/>
                    <w:textAlignment w:val="center"/>
                    <w:rPr>
                      <w:color w:val="auto"/>
                      <w:kern w:val="0"/>
                      <w:szCs w:val="21"/>
                    </w:rPr>
                  </w:pPr>
                  <w:r>
                    <w:rPr>
                      <w:color w:val="auto"/>
                      <w:kern w:val="0"/>
                      <w:szCs w:val="21"/>
                    </w:rPr>
                    <w:t>PE，储存</w:t>
                  </w:r>
                </w:p>
              </w:tc>
            </w:tr>
            <w:tr w14:paraId="602A347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45B32120">
                  <w:pPr>
                    <w:jc w:val="center"/>
                    <w:textAlignment w:val="center"/>
                    <w:rPr>
                      <w:color w:val="auto"/>
                      <w:kern w:val="0"/>
                      <w:szCs w:val="21"/>
                    </w:rPr>
                  </w:pPr>
                  <w:r>
                    <w:rPr>
                      <w:color w:val="auto"/>
                      <w:kern w:val="0"/>
                      <w:szCs w:val="21"/>
                    </w:rPr>
                    <w:t>5</w:t>
                  </w:r>
                </w:p>
              </w:tc>
              <w:tc>
                <w:tcPr>
                  <w:tcW w:w="1196" w:type="pct"/>
                  <w:vAlign w:val="center"/>
                </w:tcPr>
                <w:p w14:paraId="1E7B59D3">
                  <w:pPr>
                    <w:jc w:val="center"/>
                    <w:textAlignment w:val="center"/>
                    <w:rPr>
                      <w:color w:val="auto"/>
                      <w:kern w:val="0"/>
                      <w:szCs w:val="21"/>
                    </w:rPr>
                  </w:pPr>
                  <w:r>
                    <w:rPr>
                      <w:color w:val="auto"/>
                      <w:kern w:val="0"/>
                      <w:szCs w:val="21"/>
                    </w:rPr>
                    <w:t>一级反渗透装置</w:t>
                  </w:r>
                </w:p>
              </w:tc>
              <w:tc>
                <w:tcPr>
                  <w:tcW w:w="1429" w:type="pct"/>
                  <w:vAlign w:val="center"/>
                </w:tcPr>
                <w:p w14:paraId="01DB4340">
                  <w:pPr>
                    <w:jc w:val="center"/>
                    <w:textAlignment w:val="center"/>
                    <w:rPr>
                      <w:color w:val="auto"/>
                      <w:kern w:val="0"/>
                      <w:szCs w:val="21"/>
                    </w:rPr>
                  </w:pPr>
                  <w:r>
                    <w:rPr>
                      <w:color w:val="auto"/>
                      <w:kern w:val="0"/>
                      <w:szCs w:val="21"/>
                    </w:rPr>
                    <w:t>RO-1-15</w:t>
                  </w:r>
                </w:p>
              </w:tc>
              <w:tc>
                <w:tcPr>
                  <w:tcW w:w="892" w:type="pct"/>
                  <w:vAlign w:val="center"/>
                </w:tcPr>
                <w:p w14:paraId="56B65ED0">
                  <w:pPr>
                    <w:jc w:val="center"/>
                    <w:textAlignment w:val="center"/>
                    <w:rPr>
                      <w:color w:val="auto"/>
                      <w:kern w:val="0"/>
                      <w:szCs w:val="21"/>
                    </w:rPr>
                  </w:pPr>
                  <w:r>
                    <w:rPr>
                      <w:color w:val="auto"/>
                      <w:kern w:val="0"/>
                      <w:szCs w:val="21"/>
                    </w:rPr>
                    <w:t>1套</w:t>
                  </w:r>
                </w:p>
              </w:tc>
              <w:tc>
                <w:tcPr>
                  <w:tcW w:w="1064" w:type="pct"/>
                  <w:vAlign w:val="center"/>
                </w:tcPr>
                <w:p w14:paraId="2952A180">
                  <w:pPr>
                    <w:jc w:val="center"/>
                    <w:textAlignment w:val="center"/>
                    <w:rPr>
                      <w:color w:val="auto"/>
                      <w:kern w:val="0"/>
                      <w:szCs w:val="21"/>
                    </w:rPr>
                  </w:pPr>
                  <w:r>
                    <w:rPr>
                      <w:color w:val="auto"/>
                      <w:kern w:val="0"/>
                      <w:szCs w:val="21"/>
                    </w:rPr>
                    <w:t>组合式</w:t>
                  </w:r>
                </w:p>
              </w:tc>
            </w:tr>
            <w:tr w14:paraId="3799544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7D0473A2">
                  <w:pPr>
                    <w:jc w:val="center"/>
                    <w:textAlignment w:val="center"/>
                    <w:rPr>
                      <w:color w:val="auto"/>
                      <w:kern w:val="0"/>
                      <w:szCs w:val="21"/>
                    </w:rPr>
                  </w:pPr>
                  <w:r>
                    <w:rPr>
                      <w:color w:val="auto"/>
                      <w:kern w:val="0"/>
                      <w:szCs w:val="21"/>
                    </w:rPr>
                    <w:t>6</w:t>
                  </w:r>
                </w:p>
              </w:tc>
              <w:tc>
                <w:tcPr>
                  <w:tcW w:w="1196" w:type="pct"/>
                  <w:vAlign w:val="center"/>
                </w:tcPr>
                <w:p w14:paraId="10046905">
                  <w:pPr>
                    <w:jc w:val="center"/>
                    <w:textAlignment w:val="center"/>
                    <w:rPr>
                      <w:color w:val="auto"/>
                      <w:kern w:val="0"/>
                      <w:szCs w:val="21"/>
                    </w:rPr>
                  </w:pPr>
                  <w:r>
                    <w:rPr>
                      <w:color w:val="auto"/>
                      <w:kern w:val="0"/>
                      <w:szCs w:val="21"/>
                    </w:rPr>
                    <w:t>一级RO产水箱</w:t>
                  </w:r>
                </w:p>
              </w:tc>
              <w:tc>
                <w:tcPr>
                  <w:tcW w:w="1429" w:type="pct"/>
                  <w:vAlign w:val="center"/>
                </w:tcPr>
                <w:p w14:paraId="2049D547">
                  <w:pPr>
                    <w:jc w:val="center"/>
                    <w:textAlignment w:val="center"/>
                    <w:rPr>
                      <w:color w:val="auto"/>
                      <w:kern w:val="0"/>
                      <w:szCs w:val="21"/>
                    </w:rPr>
                  </w:pPr>
                  <w:r>
                    <w:rPr>
                      <w:color w:val="auto"/>
                      <w:spacing w:val="-4"/>
                      <w:szCs w:val="21"/>
                    </w:rPr>
                    <w:t>15m</w:t>
                  </w:r>
                  <w:r>
                    <w:rPr>
                      <w:color w:val="auto"/>
                      <w:spacing w:val="-4"/>
                      <w:szCs w:val="21"/>
                      <w:vertAlign w:val="superscript"/>
                    </w:rPr>
                    <w:t>3</w:t>
                  </w:r>
                </w:p>
              </w:tc>
              <w:tc>
                <w:tcPr>
                  <w:tcW w:w="892" w:type="pct"/>
                  <w:vAlign w:val="center"/>
                </w:tcPr>
                <w:p w14:paraId="64EE0B6E">
                  <w:pPr>
                    <w:jc w:val="center"/>
                    <w:textAlignment w:val="center"/>
                    <w:rPr>
                      <w:color w:val="auto"/>
                      <w:kern w:val="0"/>
                      <w:szCs w:val="21"/>
                    </w:rPr>
                  </w:pPr>
                  <w:r>
                    <w:rPr>
                      <w:color w:val="auto"/>
                      <w:kern w:val="0"/>
                      <w:szCs w:val="21"/>
                    </w:rPr>
                    <w:t>1只</w:t>
                  </w:r>
                </w:p>
              </w:tc>
              <w:tc>
                <w:tcPr>
                  <w:tcW w:w="1064" w:type="pct"/>
                  <w:vAlign w:val="center"/>
                </w:tcPr>
                <w:p w14:paraId="4ADDBF20">
                  <w:pPr>
                    <w:jc w:val="center"/>
                    <w:textAlignment w:val="center"/>
                    <w:rPr>
                      <w:color w:val="auto"/>
                      <w:kern w:val="0"/>
                      <w:szCs w:val="21"/>
                    </w:rPr>
                  </w:pPr>
                  <w:r>
                    <w:rPr>
                      <w:color w:val="auto"/>
                      <w:kern w:val="0"/>
                      <w:szCs w:val="21"/>
                    </w:rPr>
                    <w:t>PE，储存</w:t>
                  </w:r>
                </w:p>
              </w:tc>
            </w:tr>
            <w:tr w14:paraId="52493C4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419105F4">
                  <w:pPr>
                    <w:jc w:val="center"/>
                    <w:textAlignment w:val="center"/>
                    <w:rPr>
                      <w:color w:val="auto"/>
                      <w:kern w:val="0"/>
                      <w:szCs w:val="21"/>
                    </w:rPr>
                  </w:pPr>
                  <w:r>
                    <w:rPr>
                      <w:color w:val="auto"/>
                      <w:kern w:val="0"/>
                      <w:szCs w:val="21"/>
                    </w:rPr>
                    <w:t>7</w:t>
                  </w:r>
                </w:p>
              </w:tc>
              <w:tc>
                <w:tcPr>
                  <w:tcW w:w="1196" w:type="pct"/>
                  <w:vAlign w:val="center"/>
                </w:tcPr>
                <w:p w14:paraId="11617DCD">
                  <w:pPr>
                    <w:jc w:val="center"/>
                    <w:textAlignment w:val="center"/>
                    <w:rPr>
                      <w:color w:val="auto"/>
                      <w:kern w:val="0"/>
                      <w:szCs w:val="21"/>
                    </w:rPr>
                  </w:pPr>
                  <w:r>
                    <w:rPr>
                      <w:color w:val="auto"/>
                      <w:kern w:val="0"/>
                      <w:szCs w:val="21"/>
                    </w:rPr>
                    <w:t>二级反渗透装置</w:t>
                  </w:r>
                </w:p>
              </w:tc>
              <w:tc>
                <w:tcPr>
                  <w:tcW w:w="1429" w:type="pct"/>
                  <w:vAlign w:val="center"/>
                </w:tcPr>
                <w:p w14:paraId="7CCAEB42">
                  <w:pPr>
                    <w:jc w:val="center"/>
                    <w:textAlignment w:val="center"/>
                    <w:rPr>
                      <w:color w:val="auto"/>
                      <w:kern w:val="0"/>
                      <w:szCs w:val="21"/>
                    </w:rPr>
                  </w:pPr>
                  <w:r>
                    <w:rPr>
                      <w:color w:val="auto"/>
                      <w:kern w:val="0"/>
                      <w:szCs w:val="21"/>
                    </w:rPr>
                    <w:t>RO-1-10</w:t>
                  </w:r>
                </w:p>
              </w:tc>
              <w:tc>
                <w:tcPr>
                  <w:tcW w:w="892" w:type="pct"/>
                  <w:vAlign w:val="center"/>
                </w:tcPr>
                <w:p w14:paraId="70E5B0E0">
                  <w:pPr>
                    <w:jc w:val="center"/>
                    <w:textAlignment w:val="center"/>
                    <w:rPr>
                      <w:color w:val="auto"/>
                      <w:kern w:val="0"/>
                      <w:szCs w:val="21"/>
                    </w:rPr>
                  </w:pPr>
                  <w:r>
                    <w:rPr>
                      <w:color w:val="auto"/>
                      <w:kern w:val="0"/>
                      <w:szCs w:val="21"/>
                    </w:rPr>
                    <w:t>1套</w:t>
                  </w:r>
                </w:p>
              </w:tc>
              <w:tc>
                <w:tcPr>
                  <w:tcW w:w="1064" w:type="pct"/>
                  <w:vAlign w:val="center"/>
                </w:tcPr>
                <w:p w14:paraId="17631BEE">
                  <w:pPr>
                    <w:jc w:val="center"/>
                    <w:textAlignment w:val="center"/>
                    <w:rPr>
                      <w:color w:val="auto"/>
                      <w:kern w:val="0"/>
                      <w:szCs w:val="21"/>
                    </w:rPr>
                  </w:pPr>
                  <w:r>
                    <w:rPr>
                      <w:color w:val="auto"/>
                      <w:kern w:val="0"/>
                      <w:szCs w:val="21"/>
                    </w:rPr>
                    <w:t>组合件</w:t>
                  </w:r>
                </w:p>
              </w:tc>
            </w:tr>
            <w:tr w14:paraId="14C6EC4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07A658CD">
                  <w:pPr>
                    <w:jc w:val="center"/>
                    <w:textAlignment w:val="center"/>
                    <w:rPr>
                      <w:color w:val="auto"/>
                      <w:kern w:val="0"/>
                      <w:szCs w:val="21"/>
                    </w:rPr>
                  </w:pPr>
                  <w:r>
                    <w:rPr>
                      <w:color w:val="auto"/>
                      <w:kern w:val="0"/>
                      <w:szCs w:val="21"/>
                    </w:rPr>
                    <w:t>8</w:t>
                  </w:r>
                </w:p>
              </w:tc>
              <w:tc>
                <w:tcPr>
                  <w:tcW w:w="1196" w:type="pct"/>
                  <w:vAlign w:val="center"/>
                </w:tcPr>
                <w:p w14:paraId="6F69FDDB">
                  <w:pPr>
                    <w:jc w:val="center"/>
                    <w:textAlignment w:val="center"/>
                    <w:rPr>
                      <w:color w:val="auto"/>
                      <w:kern w:val="0"/>
                      <w:szCs w:val="21"/>
                    </w:rPr>
                  </w:pPr>
                  <w:r>
                    <w:rPr>
                      <w:color w:val="auto"/>
                      <w:kern w:val="0"/>
                      <w:szCs w:val="21"/>
                    </w:rPr>
                    <w:t>二级RO产水箱</w:t>
                  </w:r>
                </w:p>
              </w:tc>
              <w:tc>
                <w:tcPr>
                  <w:tcW w:w="1429" w:type="pct"/>
                  <w:vAlign w:val="center"/>
                </w:tcPr>
                <w:p w14:paraId="158FF29D">
                  <w:pPr>
                    <w:jc w:val="center"/>
                    <w:textAlignment w:val="center"/>
                    <w:rPr>
                      <w:color w:val="auto"/>
                      <w:kern w:val="0"/>
                      <w:szCs w:val="21"/>
                    </w:rPr>
                  </w:pPr>
                  <w:r>
                    <w:rPr>
                      <w:color w:val="auto"/>
                      <w:spacing w:val="-4"/>
                      <w:szCs w:val="21"/>
                    </w:rPr>
                    <w:t>10m</w:t>
                  </w:r>
                  <w:r>
                    <w:rPr>
                      <w:color w:val="auto"/>
                      <w:spacing w:val="-4"/>
                      <w:szCs w:val="21"/>
                      <w:vertAlign w:val="superscript"/>
                    </w:rPr>
                    <w:t>3</w:t>
                  </w:r>
                </w:p>
              </w:tc>
              <w:tc>
                <w:tcPr>
                  <w:tcW w:w="892" w:type="pct"/>
                  <w:vAlign w:val="center"/>
                </w:tcPr>
                <w:p w14:paraId="5362F85B">
                  <w:pPr>
                    <w:jc w:val="center"/>
                    <w:textAlignment w:val="center"/>
                    <w:rPr>
                      <w:color w:val="auto"/>
                      <w:kern w:val="0"/>
                      <w:szCs w:val="21"/>
                    </w:rPr>
                  </w:pPr>
                  <w:r>
                    <w:rPr>
                      <w:color w:val="auto"/>
                      <w:kern w:val="0"/>
                      <w:szCs w:val="21"/>
                    </w:rPr>
                    <w:t>1只</w:t>
                  </w:r>
                </w:p>
              </w:tc>
              <w:tc>
                <w:tcPr>
                  <w:tcW w:w="1064" w:type="pct"/>
                  <w:vAlign w:val="center"/>
                </w:tcPr>
                <w:p w14:paraId="1A08EC25">
                  <w:pPr>
                    <w:jc w:val="center"/>
                    <w:textAlignment w:val="center"/>
                    <w:rPr>
                      <w:color w:val="auto"/>
                      <w:kern w:val="0"/>
                      <w:szCs w:val="21"/>
                    </w:rPr>
                  </w:pPr>
                  <w:r>
                    <w:rPr>
                      <w:color w:val="auto"/>
                      <w:kern w:val="0"/>
                      <w:szCs w:val="21"/>
                    </w:rPr>
                    <w:t>PE，储存</w:t>
                  </w:r>
                </w:p>
              </w:tc>
            </w:tr>
            <w:tr w14:paraId="541CDC3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2535765A">
                  <w:pPr>
                    <w:jc w:val="center"/>
                    <w:textAlignment w:val="center"/>
                    <w:rPr>
                      <w:color w:val="auto"/>
                      <w:kern w:val="0"/>
                      <w:szCs w:val="21"/>
                    </w:rPr>
                  </w:pPr>
                  <w:r>
                    <w:rPr>
                      <w:color w:val="auto"/>
                      <w:kern w:val="0"/>
                      <w:szCs w:val="21"/>
                    </w:rPr>
                    <w:t>9</w:t>
                  </w:r>
                </w:p>
              </w:tc>
              <w:tc>
                <w:tcPr>
                  <w:tcW w:w="1196" w:type="pct"/>
                  <w:vAlign w:val="center"/>
                </w:tcPr>
                <w:p w14:paraId="56462928">
                  <w:pPr>
                    <w:jc w:val="center"/>
                    <w:textAlignment w:val="center"/>
                    <w:rPr>
                      <w:color w:val="auto"/>
                      <w:kern w:val="0"/>
                      <w:szCs w:val="21"/>
                    </w:rPr>
                  </w:pPr>
                  <w:r>
                    <w:rPr>
                      <w:color w:val="auto"/>
                      <w:kern w:val="0"/>
                      <w:szCs w:val="21"/>
                    </w:rPr>
                    <w:t>反渗透清洗装置</w:t>
                  </w:r>
                </w:p>
              </w:tc>
              <w:tc>
                <w:tcPr>
                  <w:tcW w:w="1429" w:type="pct"/>
                  <w:vAlign w:val="center"/>
                </w:tcPr>
                <w:p w14:paraId="5EF06CB7">
                  <w:pPr>
                    <w:jc w:val="center"/>
                    <w:textAlignment w:val="center"/>
                    <w:rPr>
                      <w:color w:val="auto"/>
                      <w:kern w:val="0"/>
                      <w:szCs w:val="21"/>
                    </w:rPr>
                  </w:pPr>
                  <w:r>
                    <w:rPr>
                      <w:color w:val="auto"/>
                      <w:kern w:val="0"/>
                      <w:szCs w:val="21"/>
                    </w:rPr>
                    <w:t>JS-3</w:t>
                  </w:r>
                </w:p>
              </w:tc>
              <w:tc>
                <w:tcPr>
                  <w:tcW w:w="892" w:type="pct"/>
                  <w:vAlign w:val="center"/>
                </w:tcPr>
                <w:p w14:paraId="5726D082">
                  <w:pPr>
                    <w:jc w:val="center"/>
                    <w:textAlignment w:val="center"/>
                    <w:rPr>
                      <w:color w:val="auto"/>
                      <w:kern w:val="0"/>
                      <w:szCs w:val="21"/>
                    </w:rPr>
                  </w:pPr>
                  <w:r>
                    <w:rPr>
                      <w:color w:val="auto"/>
                      <w:kern w:val="0"/>
                      <w:szCs w:val="21"/>
                    </w:rPr>
                    <w:t>1套</w:t>
                  </w:r>
                </w:p>
              </w:tc>
              <w:tc>
                <w:tcPr>
                  <w:tcW w:w="1064" w:type="pct"/>
                  <w:vAlign w:val="center"/>
                </w:tcPr>
                <w:p w14:paraId="4B04576D">
                  <w:pPr>
                    <w:jc w:val="center"/>
                    <w:textAlignment w:val="center"/>
                    <w:rPr>
                      <w:color w:val="auto"/>
                      <w:kern w:val="0"/>
                      <w:szCs w:val="21"/>
                    </w:rPr>
                  </w:pPr>
                  <w:r>
                    <w:rPr>
                      <w:color w:val="auto"/>
                      <w:kern w:val="0"/>
                      <w:szCs w:val="21"/>
                    </w:rPr>
                    <w:t>组合式</w:t>
                  </w:r>
                </w:p>
              </w:tc>
            </w:tr>
            <w:tr w14:paraId="62F7132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002B7137">
                  <w:pPr>
                    <w:jc w:val="center"/>
                    <w:textAlignment w:val="center"/>
                    <w:rPr>
                      <w:color w:val="auto"/>
                      <w:kern w:val="0"/>
                      <w:szCs w:val="21"/>
                    </w:rPr>
                  </w:pPr>
                  <w:r>
                    <w:rPr>
                      <w:color w:val="auto"/>
                      <w:kern w:val="0"/>
                      <w:szCs w:val="21"/>
                    </w:rPr>
                    <w:t>10</w:t>
                  </w:r>
                </w:p>
              </w:tc>
              <w:tc>
                <w:tcPr>
                  <w:tcW w:w="1196" w:type="pct"/>
                  <w:vAlign w:val="center"/>
                </w:tcPr>
                <w:p w14:paraId="006680BB">
                  <w:pPr>
                    <w:jc w:val="center"/>
                    <w:textAlignment w:val="center"/>
                    <w:rPr>
                      <w:color w:val="auto"/>
                      <w:kern w:val="0"/>
                      <w:szCs w:val="21"/>
                    </w:rPr>
                  </w:pPr>
                  <w:r>
                    <w:rPr>
                      <w:color w:val="auto"/>
                      <w:kern w:val="0"/>
                      <w:szCs w:val="21"/>
                    </w:rPr>
                    <w:t>EDI电脱盐装置</w:t>
                  </w:r>
                </w:p>
              </w:tc>
              <w:tc>
                <w:tcPr>
                  <w:tcW w:w="1429" w:type="pct"/>
                  <w:vAlign w:val="center"/>
                </w:tcPr>
                <w:p w14:paraId="5101062B">
                  <w:pPr>
                    <w:jc w:val="center"/>
                    <w:textAlignment w:val="center"/>
                    <w:rPr>
                      <w:color w:val="auto"/>
                      <w:kern w:val="0"/>
                      <w:szCs w:val="21"/>
                    </w:rPr>
                  </w:pPr>
                  <w:r>
                    <w:rPr>
                      <w:color w:val="auto"/>
                      <w:kern w:val="0"/>
                      <w:szCs w:val="21"/>
                    </w:rPr>
                    <w:t>EDI-5</w:t>
                  </w:r>
                </w:p>
              </w:tc>
              <w:tc>
                <w:tcPr>
                  <w:tcW w:w="892" w:type="pct"/>
                  <w:vAlign w:val="center"/>
                </w:tcPr>
                <w:p w14:paraId="45DB7C8E">
                  <w:pPr>
                    <w:jc w:val="center"/>
                    <w:textAlignment w:val="center"/>
                    <w:rPr>
                      <w:color w:val="auto"/>
                      <w:kern w:val="0"/>
                      <w:szCs w:val="21"/>
                    </w:rPr>
                  </w:pPr>
                  <w:r>
                    <w:rPr>
                      <w:color w:val="auto"/>
                      <w:kern w:val="0"/>
                      <w:szCs w:val="21"/>
                    </w:rPr>
                    <w:t>1套</w:t>
                  </w:r>
                </w:p>
              </w:tc>
              <w:tc>
                <w:tcPr>
                  <w:tcW w:w="1064" w:type="pct"/>
                  <w:vAlign w:val="center"/>
                </w:tcPr>
                <w:p w14:paraId="722CC7A5">
                  <w:pPr>
                    <w:jc w:val="center"/>
                    <w:textAlignment w:val="center"/>
                    <w:rPr>
                      <w:color w:val="auto"/>
                      <w:kern w:val="0"/>
                      <w:szCs w:val="21"/>
                    </w:rPr>
                  </w:pPr>
                  <w:r>
                    <w:rPr>
                      <w:color w:val="auto"/>
                      <w:kern w:val="0"/>
                      <w:szCs w:val="21"/>
                    </w:rPr>
                    <w:t>组合式</w:t>
                  </w:r>
                </w:p>
              </w:tc>
            </w:tr>
            <w:tr w14:paraId="2FB87B4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4193A097">
                  <w:pPr>
                    <w:jc w:val="center"/>
                    <w:textAlignment w:val="center"/>
                    <w:rPr>
                      <w:color w:val="auto"/>
                      <w:kern w:val="0"/>
                      <w:szCs w:val="21"/>
                    </w:rPr>
                  </w:pPr>
                  <w:r>
                    <w:rPr>
                      <w:color w:val="auto"/>
                      <w:kern w:val="0"/>
                      <w:szCs w:val="21"/>
                    </w:rPr>
                    <w:t>11</w:t>
                  </w:r>
                </w:p>
              </w:tc>
              <w:tc>
                <w:tcPr>
                  <w:tcW w:w="1196" w:type="pct"/>
                  <w:vAlign w:val="center"/>
                </w:tcPr>
                <w:p w14:paraId="5D269AE3">
                  <w:pPr>
                    <w:jc w:val="center"/>
                    <w:textAlignment w:val="center"/>
                    <w:rPr>
                      <w:color w:val="auto"/>
                      <w:kern w:val="0"/>
                      <w:szCs w:val="21"/>
                    </w:rPr>
                  </w:pPr>
                  <w:r>
                    <w:rPr>
                      <w:color w:val="auto"/>
                      <w:kern w:val="0"/>
                      <w:szCs w:val="21"/>
                    </w:rPr>
                    <w:t>除盐水箱</w:t>
                  </w:r>
                </w:p>
              </w:tc>
              <w:tc>
                <w:tcPr>
                  <w:tcW w:w="1429" w:type="pct"/>
                  <w:vAlign w:val="center"/>
                </w:tcPr>
                <w:p w14:paraId="75A5695D">
                  <w:pPr>
                    <w:jc w:val="center"/>
                    <w:textAlignment w:val="center"/>
                    <w:rPr>
                      <w:color w:val="auto"/>
                      <w:kern w:val="0"/>
                      <w:szCs w:val="21"/>
                    </w:rPr>
                  </w:pPr>
                  <w:r>
                    <w:rPr>
                      <w:color w:val="auto"/>
                      <w:spacing w:val="-4"/>
                      <w:szCs w:val="21"/>
                    </w:rPr>
                    <w:t>15m</w:t>
                  </w:r>
                  <w:r>
                    <w:rPr>
                      <w:color w:val="auto"/>
                      <w:spacing w:val="-4"/>
                      <w:szCs w:val="21"/>
                      <w:vertAlign w:val="superscript"/>
                    </w:rPr>
                    <w:t>3</w:t>
                  </w:r>
                </w:p>
              </w:tc>
              <w:tc>
                <w:tcPr>
                  <w:tcW w:w="892" w:type="pct"/>
                  <w:vAlign w:val="center"/>
                </w:tcPr>
                <w:p w14:paraId="292FD4A9">
                  <w:pPr>
                    <w:jc w:val="center"/>
                    <w:textAlignment w:val="center"/>
                    <w:rPr>
                      <w:color w:val="auto"/>
                      <w:kern w:val="0"/>
                      <w:szCs w:val="21"/>
                    </w:rPr>
                  </w:pPr>
                  <w:r>
                    <w:rPr>
                      <w:color w:val="auto"/>
                      <w:kern w:val="0"/>
                      <w:szCs w:val="21"/>
                    </w:rPr>
                    <w:t>1只</w:t>
                  </w:r>
                </w:p>
              </w:tc>
              <w:tc>
                <w:tcPr>
                  <w:tcW w:w="1064" w:type="pct"/>
                  <w:vAlign w:val="center"/>
                </w:tcPr>
                <w:p w14:paraId="3215E120">
                  <w:pPr>
                    <w:jc w:val="center"/>
                    <w:textAlignment w:val="center"/>
                    <w:rPr>
                      <w:color w:val="auto"/>
                      <w:kern w:val="0"/>
                      <w:szCs w:val="21"/>
                    </w:rPr>
                  </w:pPr>
                  <w:r>
                    <w:rPr>
                      <w:color w:val="auto"/>
                      <w:kern w:val="0"/>
                      <w:szCs w:val="21"/>
                    </w:rPr>
                    <w:t>PE，储存</w:t>
                  </w:r>
                </w:p>
              </w:tc>
            </w:tr>
            <w:tr w14:paraId="59D303A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17" w:type="pct"/>
                  <w:vAlign w:val="center"/>
                </w:tcPr>
                <w:p w14:paraId="1916A7C8">
                  <w:pPr>
                    <w:jc w:val="center"/>
                    <w:textAlignment w:val="center"/>
                    <w:rPr>
                      <w:color w:val="auto"/>
                      <w:kern w:val="0"/>
                      <w:szCs w:val="21"/>
                    </w:rPr>
                  </w:pPr>
                  <w:r>
                    <w:rPr>
                      <w:color w:val="auto"/>
                      <w:kern w:val="0"/>
                      <w:szCs w:val="21"/>
                    </w:rPr>
                    <w:t>12</w:t>
                  </w:r>
                </w:p>
              </w:tc>
              <w:tc>
                <w:tcPr>
                  <w:tcW w:w="1196" w:type="pct"/>
                  <w:vAlign w:val="center"/>
                </w:tcPr>
                <w:p w14:paraId="37894717">
                  <w:pPr>
                    <w:jc w:val="center"/>
                    <w:textAlignment w:val="center"/>
                    <w:rPr>
                      <w:color w:val="auto"/>
                      <w:kern w:val="0"/>
                      <w:szCs w:val="21"/>
                    </w:rPr>
                  </w:pPr>
                  <w:r>
                    <w:rPr>
                      <w:color w:val="auto"/>
                      <w:kern w:val="0"/>
                      <w:szCs w:val="21"/>
                    </w:rPr>
                    <w:t>电气控制系统</w:t>
                  </w:r>
                </w:p>
              </w:tc>
              <w:tc>
                <w:tcPr>
                  <w:tcW w:w="1429" w:type="pct"/>
                  <w:vAlign w:val="center"/>
                </w:tcPr>
                <w:p w14:paraId="28861900">
                  <w:pPr>
                    <w:jc w:val="center"/>
                    <w:textAlignment w:val="center"/>
                    <w:rPr>
                      <w:color w:val="auto"/>
                      <w:kern w:val="0"/>
                      <w:szCs w:val="21"/>
                    </w:rPr>
                  </w:pPr>
                </w:p>
              </w:tc>
              <w:tc>
                <w:tcPr>
                  <w:tcW w:w="892" w:type="pct"/>
                  <w:vAlign w:val="center"/>
                </w:tcPr>
                <w:p w14:paraId="01968614">
                  <w:pPr>
                    <w:jc w:val="center"/>
                    <w:textAlignment w:val="center"/>
                    <w:rPr>
                      <w:color w:val="auto"/>
                      <w:kern w:val="0"/>
                      <w:szCs w:val="21"/>
                    </w:rPr>
                  </w:pPr>
                  <w:r>
                    <w:rPr>
                      <w:color w:val="auto"/>
                      <w:kern w:val="0"/>
                      <w:szCs w:val="21"/>
                    </w:rPr>
                    <w:t>1套</w:t>
                  </w:r>
                </w:p>
              </w:tc>
              <w:tc>
                <w:tcPr>
                  <w:tcW w:w="1064" w:type="pct"/>
                  <w:vAlign w:val="center"/>
                </w:tcPr>
                <w:p w14:paraId="41244DE7">
                  <w:pPr>
                    <w:jc w:val="center"/>
                    <w:textAlignment w:val="center"/>
                    <w:rPr>
                      <w:color w:val="auto"/>
                      <w:kern w:val="0"/>
                      <w:szCs w:val="21"/>
                    </w:rPr>
                  </w:pPr>
                  <w:r>
                    <w:rPr>
                      <w:color w:val="auto"/>
                      <w:kern w:val="0"/>
                      <w:szCs w:val="21"/>
                    </w:rPr>
                    <w:t>配套</w:t>
                  </w:r>
                </w:p>
              </w:tc>
            </w:tr>
          </w:tbl>
          <w:p w14:paraId="7EAF911B">
            <w:pPr>
              <w:pStyle w:val="9"/>
              <w:spacing w:line="360" w:lineRule="auto"/>
              <w:ind w:firstLine="482"/>
              <w:rPr>
                <w:b/>
                <w:bCs/>
                <w:color w:val="auto"/>
                <w:sz w:val="24"/>
                <w:szCs w:val="24"/>
              </w:rPr>
            </w:pPr>
            <w:r>
              <w:rPr>
                <w:b/>
                <w:bCs/>
                <w:color w:val="auto"/>
                <w:sz w:val="24"/>
                <w:szCs w:val="24"/>
              </w:rPr>
              <w:t>产能匹配性分析：</w:t>
            </w:r>
          </w:p>
          <w:p w14:paraId="5AAE17E0">
            <w:pPr>
              <w:pStyle w:val="9"/>
              <w:spacing w:line="360" w:lineRule="auto"/>
              <w:ind w:firstLine="480"/>
              <w:rPr>
                <w:color w:val="auto"/>
                <w:sz w:val="24"/>
                <w:szCs w:val="24"/>
              </w:rPr>
            </w:pPr>
            <w:r>
              <w:rPr>
                <w:b/>
                <w:bCs/>
                <w:color w:val="auto"/>
                <w:sz w:val="24"/>
                <w:szCs w:val="24"/>
              </w:rPr>
              <w:t>棒磨机：</w:t>
            </w:r>
            <w:r>
              <w:rPr>
                <w:color w:val="auto"/>
                <w:sz w:val="24"/>
                <w:szCs w:val="24"/>
              </w:rPr>
              <w:t>项目使用的棒磨机型号为MQG1224，根据资料</w:t>
            </w:r>
            <w:r>
              <w:rPr>
                <w:rFonts w:hint="eastAsia"/>
                <w:color w:val="auto"/>
                <w:sz w:val="24"/>
                <w:szCs w:val="24"/>
              </w:rPr>
              <w:t>最大</w:t>
            </w:r>
            <w:r>
              <w:rPr>
                <w:color w:val="auto"/>
                <w:sz w:val="24"/>
                <w:szCs w:val="24"/>
              </w:rPr>
              <w:t>生产能力为</w:t>
            </w:r>
            <w:r>
              <w:rPr>
                <w:rFonts w:hint="eastAsia"/>
                <w:color w:val="auto"/>
                <w:sz w:val="24"/>
                <w:szCs w:val="24"/>
                <w:lang w:val="en-US" w:eastAsia="zh-CN"/>
              </w:rPr>
              <w:t>1</w:t>
            </w:r>
            <w:r>
              <w:rPr>
                <w:color w:val="auto"/>
                <w:sz w:val="24"/>
                <w:szCs w:val="24"/>
              </w:rPr>
              <w:t>吨/小时，则全年制砂能力为</w:t>
            </w:r>
            <w:r>
              <w:rPr>
                <w:rFonts w:hint="eastAsia"/>
                <w:color w:val="auto"/>
                <w:sz w:val="24"/>
                <w:szCs w:val="24"/>
                <w:lang w:val="en-US" w:eastAsia="zh-CN"/>
              </w:rPr>
              <w:t>24</w:t>
            </w:r>
            <w:r>
              <w:rPr>
                <w:color w:val="auto"/>
                <w:sz w:val="24"/>
                <w:szCs w:val="24"/>
              </w:rPr>
              <w:t>00h/a*1*</w:t>
            </w:r>
            <w:r>
              <w:rPr>
                <w:rFonts w:hint="eastAsia"/>
                <w:color w:val="auto"/>
                <w:sz w:val="24"/>
                <w:szCs w:val="24"/>
              </w:rPr>
              <w:t>1</w:t>
            </w:r>
            <w:r>
              <w:rPr>
                <w:color w:val="auto"/>
                <w:sz w:val="24"/>
                <w:szCs w:val="24"/>
              </w:rPr>
              <w:t>吨/小时=2</w:t>
            </w:r>
            <w:r>
              <w:rPr>
                <w:rFonts w:hint="eastAsia"/>
                <w:color w:val="auto"/>
                <w:sz w:val="24"/>
                <w:szCs w:val="24"/>
                <w:lang w:val="en-US" w:eastAsia="zh-CN"/>
              </w:rPr>
              <w:t>400</w:t>
            </w:r>
            <w:r>
              <w:rPr>
                <w:color w:val="auto"/>
                <w:sz w:val="24"/>
                <w:szCs w:val="24"/>
              </w:rPr>
              <w:t>吨，</w:t>
            </w:r>
            <w:r>
              <w:rPr>
                <w:rFonts w:hint="eastAsia"/>
                <w:color w:val="auto"/>
                <w:sz w:val="24"/>
                <w:szCs w:val="24"/>
                <w:lang w:val="en-US" w:eastAsia="zh-CN"/>
              </w:rPr>
              <w:t>本次</w:t>
            </w:r>
            <w:r>
              <w:rPr>
                <w:color w:val="auto"/>
                <w:sz w:val="24"/>
                <w:szCs w:val="24"/>
              </w:rPr>
              <w:t>设计产能占</w:t>
            </w:r>
            <w:r>
              <w:rPr>
                <w:rFonts w:hint="eastAsia"/>
                <w:color w:val="auto"/>
                <w:sz w:val="24"/>
                <w:szCs w:val="24"/>
                <w:lang w:val="en-US" w:eastAsia="zh-CN"/>
              </w:rPr>
              <w:t>理论</w:t>
            </w:r>
            <w:r>
              <w:rPr>
                <w:color w:val="auto"/>
                <w:sz w:val="24"/>
                <w:szCs w:val="24"/>
              </w:rPr>
              <w:t>最大产能的8</w:t>
            </w:r>
            <w:r>
              <w:rPr>
                <w:rFonts w:hint="eastAsia"/>
                <w:color w:val="auto"/>
                <w:sz w:val="24"/>
                <w:szCs w:val="24"/>
                <w:lang w:val="en-US" w:eastAsia="zh-CN"/>
              </w:rPr>
              <w:t>3.3</w:t>
            </w:r>
            <w:r>
              <w:rPr>
                <w:color w:val="auto"/>
                <w:sz w:val="24"/>
                <w:szCs w:val="24"/>
              </w:rPr>
              <w:t>%</w:t>
            </w:r>
            <w:r>
              <w:rPr>
                <w:rFonts w:hint="eastAsia"/>
                <w:color w:val="auto"/>
                <w:sz w:val="24"/>
                <w:szCs w:val="24"/>
                <w:lang w:eastAsia="zh-CN"/>
              </w:rPr>
              <w:t>，</w:t>
            </w:r>
            <w:r>
              <w:rPr>
                <w:rFonts w:hint="eastAsia"/>
                <w:color w:val="auto"/>
                <w:sz w:val="24"/>
                <w:szCs w:val="24"/>
                <w:lang w:val="en-US" w:eastAsia="zh-CN"/>
              </w:rPr>
              <w:t>能够满足年产2000t产品需求</w:t>
            </w:r>
            <w:r>
              <w:rPr>
                <w:color w:val="auto"/>
                <w:sz w:val="24"/>
                <w:szCs w:val="24"/>
              </w:rPr>
              <w:t>。</w:t>
            </w:r>
          </w:p>
          <w:p w14:paraId="1B28F51D">
            <w:pPr>
              <w:pStyle w:val="9"/>
              <w:spacing w:line="360" w:lineRule="auto"/>
              <w:ind w:firstLine="480"/>
              <w:rPr>
                <w:color w:val="auto"/>
                <w:sz w:val="24"/>
                <w:szCs w:val="24"/>
              </w:rPr>
            </w:pPr>
            <w:r>
              <w:rPr>
                <w:b/>
                <w:bCs/>
                <w:color w:val="auto"/>
                <w:sz w:val="24"/>
                <w:szCs w:val="24"/>
              </w:rPr>
              <w:t>双锥回转反应釜：</w:t>
            </w:r>
            <w:r>
              <w:rPr>
                <w:color w:val="auto"/>
                <w:sz w:val="24"/>
                <w:szCs w:val="24"/>
              </w:rPr>
              <w:t>反应釜2m</w:t>
            </w:r>
            <w:r>
              <w:rPr>
                <w:color w:val="auto"/>
                <w:sz w:val="24"/>
                <w:szCs w:val="24"/>
                <w:vertAlign w:val="superscript"/>
              </w:rPr>
              <w:t>3</w:t>
            </w:r>
            <w:r>
              <w:rPr>
                <w:color w:val="auto"/>
                <w:sz w:val="24"/>
                <w:szCs w:val="24"/>
              </w:rPr>
              <w:t>，石英砂与酸占</w:t>
            </w:r>
            <w:r>
              <w:rPr>
                <w:rFonts w:hint="eastAsia"/>
                <w:color w:val="auto"/>
                <w:sz w:val="24"/>
                <w:szCs w:val="24"/>
              </w:rPr>
              <w:t>总</w:t>
            </w:r>
            <w:r>
              <w:rPr>
                <w:color w:val="auto"/>
                <w:sz w:val="24"/>
                <w:szCs w:val="24"/>
              </w:rPr>
              <w:t>容积约80%，一批</w:t>
            </w:r>
            <w:r>
              <w:rPr>
                <w:rFonts w:hint="eastAsia"/>
                <w:color w:val="auto"/>
                <w:sz w:val="24"/>
                <w:szCs w:val="24"/>
                <w:lang w:val="en-US" w:eastAsia="zh-CN"/>
              </w:rPr>
              <w:t>4</w:t>
            </w:r>
            <w:r>
              <w:rPr>
                <w:color w:val="auto"/>
                <w:sz w:val="24"/>
                <w:szCs w:val="24"/>
              </w:rPr>
              <w:t>h，石英砂约1.4m</w:t>
            </w:r>
            <w:r>
              <w:rPr>
                <w:color w:val="auto"/>
                <w:sz w:val="24"/>
                <w:szCs w:val="24"/>
                <w:vertAlign w:val="superscript"/>
              </w:rPr>
              <w:t>3</w:t>
            </w:r>
            <w:r>
              <w:rPr>
                <w:color w:val="auto"/>
                <w:sz w:val="24"/>
                <w:szCs w:val="24"/>
              </w:rPr>
              <w:t>（</w:t>
            </w:r>
            <w:r>
              <w:rPr>
                <w:rFonts w:hint="eastAsia"/>
                <w:color w:val="auto"/>
                <w:sz w:val="24"/>
                <w:szCs w:val="24"/>
              </w:rPr>
              <w:t>堆积密度约1.5t/m</w:t>
            </w:r>
            <w:r>
              <w:rPr>
                <w:rFonts w:hint="eastAsia"/>
                <w:color w:val="auto"/>
                <w:sz w:val="24"/>
                <w:szCs w:val="24"/>
                <w:vertAlign w:val="superscript"/>
              </w:rPr>
              <w:t>3</w:t>
            </w:r>
            <w:r>
              <w:rPr>
                <w:rFonts w:hint="eastAsia"/>
                <w:color w:val="auto"/>
                <w:sz w:val="24"/>
                <w:szCs w:val="24"/>
              </w:rPr>
              <w:t>、重</w:t>
            </w:r>
            <w:r>
              <w:rPr>
                <w:color w:val="auto"/>
                <w:sz w:val="24"/>
                <w:szCs w:val="24"/>
              </w:rPr>
              <w:t>约</w:t>
            </w:r>
            <w:r>
              <w:rPr>
                <w:rFonts w:hint="eastAsia"/>
                <w:color w:val="auto"/>
                <w:sz w:val="24"/>
                <w:szCs w:val="24"/>
              </w:rPr>
              <w:t>2.1</w:t>
            </w:r>
            <w:r>
              <w:rPr>
                <w:color w:val="auto"/>
                <w:sz w:val="24"/>
                <w:szCs w:val="24"/>
              </w:rPr>
              <w:t>t），故全年酸洗能力为（</w:t>
            </w:r>
            <w:r>
              <w:rPr>
                <w:rFonts w:hint="eastAsia"/>
                <w:color w:val="auto"/>
                <w:sz w:val="24"/>
                <w:szCs w:val="24"/>
                <w:lang w:val="en-US" w:eastAsia="zh-CN"/>
              </w:rPr>
              <w:t>24</w:t>
            </w:r>
            <w:r>
              <w:rPr>
                <w:color w:val="auto"/>
                <w:sz w:val="24"/>
                <w:szCs w:val="24"/>
              </w:rPr>
              <w:t>00h/</w:t>
            </w:r>
            <w:r>
              <w:rPr>
                <w:rFonts w:hint="eastAsia"/>
                <w:color w:val="auto"/>
                <w:sz w:val="24"/>
                <w:szCs w:val="24"/>
                <w:lang w:val="en-US" w:eastAsia="zh-CN"/>
              </w:rPr>
              <w:t>4</w:t>
            </w:r>
            <w:r>
              <w:rPr>
                <w:color w:val="auto"/>
                <w:sz w:val="24"/>
                <w:szCs w:val="24"/>
              </w:rPr>
              <w:t>h）*2*</w:t>
            </w:r>
            <w:r>
              <w:rPr>
                <w:rFonts w:hint="eastAsia"/>
                <w:color w:val="auto"/>
                <w:sz w:val="24"/>
                <w:szCs w:val="24"/>
              </w:rPr>
              <w:t>2.1</w:t>
            </w:r>
            <w:r>
              <w:rPr>
                <w:color w:val="auto"/>
                <w:sz w:val="24"/>
                <w:szCs w:val="24"/>
              </w:rPr>
              <w:t>t=2</w:t>
            </w:r>
            <w:r>
              <w:rPr>
                <w:rFonts w:hint="eastAsia"/>
                <w:color w:val="auto"/>
                <w:sz w:val="24"/>
                <w:szCs w:val="24"/>
              </w:rPr>
              <w:t>52</w:t>
            </w:r>
            <w:r>
              <w:rPr>
                <w:color w:val="auto"/>
                <w:sz w:val="24"/>
                <w:szCs w:val="24"/>
              </w:rPr>
              <w:t>0t，</w:t>
            </w:r>
            <w:r>
              <w:rPr>
                <w:rFonts w:hint="eastAsia"/>
                <w:color w:val="auto"/>
                <w:sz w:val="24"/>
                <w:szCs w:val="24"/>
                <w:lang w:val="en-US" w:eastAsia="zh-CN"/>
              </w:rPr>
              <w:t>本次</w:t>
            </w:r>
            <w:r>
              <w:rPr>
                <w:color w:val="auto"/>
                <w:sz w:val="24"/>
                <w:szCs w:val="24"/>
              </w:rPr>
              <w:t>设计产能占</w:t>
            </w:r>
            <w:r>
              <w:rPr>
                <w:rFonts w:hint="eastAsia"/>
                <w:color w:val="auto"/>
                <w:sz w:val="24"/>
                <w:szCs w:val="24"/>
                <w:lang w:val="en-US" w:eastAsia="zh-CN"/>
              </w:rPr>
              <w:t>理论</w:t>
            </w:r>
            <w:r>
              <w:rPr>
                <w:color w:val="auto"/>
                <w:sz w:val="24"/>
                <w:szCs w:val="24"/>
              </w:rPr>
              <w:t>最大产能的</w:t>
            </w:r>
            <w:r>
              <w:rPr>
                <w:rFonts w:hint="eastAsia"/>
                <w:color w:val="auto"/>
                <w:sz w:val="24"/>
                <w:szCs w:val="24"/>
              </w:rPr>
              <w:t>79.4</w:t>
            </w:r>
            <w:r>
              <w:rPr>
                <w:color w:val="auto"/>
                <w:sz w:val="24"/>
                <w:szCs w:val="24"/>
              </w:rPr>
              <w:t>%</w:t>
            </w:r>
            <w:r>
              <w:rPr>
                <w:rFonts w:hint="eastAsia"/>
                <w:color w:val="auto"/>
                <w:sz w:val="24"/>
                <w:szCs w:val="24"/>
                <w:lang w:eastAsia="zh-CN"/>
              </w:rPr>
              <w:t>，</w:t>
            </w:r>
            <w:r>
              <w:rPr>
                <w:rFonts w:hint="eastAsia"/>
                <w:color w:val="auto"/>
                <w:sz w:val="24"/>
                <w:szCs w:val="24"/>
                <w:lang w:val="en-US" w:eastAsia="zh-CN"/>
              </w:rPr>
              <w:t>能够满足年产2000t产品需求</w:t>
            </w:r>
            <w:r>
              <w:rPr>
                <w:color w:val="auto"/>
                <w:sz w:val="24"/>
                <w:szCs w:val="24"/>
              </w:rPr>
              <w:t>。</w:t>
            </w:r>
          </w:p>
          <w:p w14:paraId="1BBEC4CB">
            <w:pPr>
              <w:pStyle w:val="9"/>
              <w:spacing w:line="360" w:lineRule="auto"/>
              <w:ind w:firstLine="480"/>
              <w:rPr>
                <w:rFonts w:hint="eastAsia" w:eastAsia="宋体"/>
                <w:b/>
                <w:bCs/>
                <w:color w:val="auto"/>
                <w:sz w:val="24"/>
                <w:szCs w:val="24"/>
                <w:lang w:eastAsia="zh-CN"/>
              </w:rPr>
            </w:pPr>
            <w:r>
              <w:rPr>
                <w:rFonts w:hint="eastAsia"/>
                <w:b/>
                <w:bCs/>
                <w:color w:val="auto"/>
                <w:sz w:val="24"/>
                <w:szCs w:val="24"/>
              </w:rPr>
              <w:t>高温提纯设备</w:t>
            </w:r>
            <w:r>
              <w:rPr>
                <w:rFonts w:hint="eastAsia"/>
                <w:b/>
                <w:bCs/>
                <w:color w:val="auto"/>
                <w:sz w:val="24"/>
                <w:szCs w:val="24"/>
                <w:lang w:eastAsia="zh-CN"/>
              </w:rPr>
              <w:t>：</w:t>
            </w:r>
            <w:r>
              <w:rPr>
                <w:rFonts w:hint="eastAsia"/>
                <w:color w:val="auto"/>
                <w:sz w:val="24"/>
                <w:szCs w:val="24"/>
              </w:rPr>
              <w:t>高温提纯设备</w:t>
            </w:r>
            <w:r>
              <w:rPr>
                <w:rFonts w:hint="eastAsia"/>
                <w:color w:val="auto"/>
                <w:sz w:val="24"/>
                <w:szCs w:val="24"/>
                <w:lang w:val="en-US" w:eastAsia="zh-CN"/>
              </w:rPr>
              <w:t>2</w:t>
            </w:r>
            <w:r>
              <w:rPr>
                <w:rFonts w:hint="eastAsia"/>
                <w:color w:val="auto"/>
                <w:sz w:val="24"/>
                <w:szCs w:val="24"/>
              </w:rPr>
              <w:t>台，单台处理能力为0.</w:t>
            </w:r>
            <w:r>
              <w:rPr>
                <w:rFonts w:hint="eastAsia"/>
                <w:color w:val="auto"/>
                <w:sz w:val="24"/>
                <w:szCs w:val="24"/>
                <w:lang w:val="en-US" w:eastAsia="zh-CN"/>
              </w:rPr>
              <w:t>15</w:t>
            </w:r>
            <w:r>
              <w:rPr>
                <w:rFonts w:hint="eastAsia"/>
                <w:color w:val="auto"/>
                <w:sz w:val="24"/>
                <w:szCs w:val="24"/>
              </w:rPr>
              <w:t>t/h，设备年运行时间为7200h，则年</w:t>
            </w:r>
            <w:r>
              <w:rPr>
                <w:rFonts w:hint="eastAsia"/>
                <w:color w:val="auto"/>
                <w:sz w:val="24"/>
                <w:szCs w:val="24"/>
                <w:lang w:val="en-US" w:eastAsia="zh-CN"/>
              </w:rPr>
              <w:t>纯化</w:t>
            </w:r>
            <w:r>
              <w:rPr>
                <w:rFonts w:hint="eastAsia"/>
                <w:color w:val="auto"/>
                <w:sz w:val="24"/>
                <w:szCs w:val="24"/>
              </w:rPr>
              <w:t>能力为</w:t>
            </w:r>
            <w:r>
              <w:rPr>
                <w:rFonts w:hint="eastAsia"/>
                <w:color w:val="auto"/>
                <w:sz w:val="24"/>
                <w:szCs w:val="24"/>
                <w:lang w:val="en-US" w:eastAsia="zh-CN"/>
              </w:rPr>
              <w:t>2160</w:t>
            </w:r>
            <w:r>
              <w:rPr>
                <w:rFonts w:hint="eastAsia"/>
                <w:color w:val="auto"/>
                <w:sz w:val="24"/>
                <w:szCs w:val="24"/>
              </w:rPr>
              <w:t>t，</w:t>
            </w:r>
            <w:r>
              <w:rPr>
                <w:rFonts w:hint="eastAsia"/>
                <w:color w:val="auto"/>
                <w:sz w:val="24"/>
                <w:szCs w:val="24"/>
                <w:lang w:val="en-US" w:eastAsia="zh-CN"/>
              </w:rPr>
              <w:t>本次</w:t>
            </w:r>
            <w:r>
              <w:rPr>
                <w:color w:val="auto"/>
                <w:sz w:val="24"/>
                <w:szCs w:val="24"/>
              </w:rPr>
              <w:t>设计产能占</w:t>
            </w:r>
            <w:r>
              <w:rPr>
                <w:rFonts w:hint="eastAsia"/>
                <w:color w:val="auto"/>
                <w:sz w:val="24"/>
                <w:szCs w:val="24"/>
                <w:lang w:val="en-US" w:eastAsia="zh-CN"/>
              </w:rPr>
              <w:t>理论</w:t>
            </w:r>
            <w:r>
              <w:rPr>
                <w:color w:val="auto"/>
                <w:sz w:val="24"/>
                <w:szCs w:val="24"/>
              </w:rPr>
              <w:t>最大产能的</w:t>
            </w:r>
            <w:r>
              <w:rPr>
                <w:rFonts w:hint="eastAsia"/>
                <w:color w:val="auto"/>
                <w:sz w:val="24"/>
                <w:szCs w:val="24"/>
                <w:lang w:val="en-US" w:eastAsia="zh-CN"/>
              </w:rPr>
              <w:t>92.6</w:t>
            </w:r>
            <w:r>
              <w:rPr>
                <w:color w:val="auto"/>
                <w:sz w:val="24"/>
                <w:szCs w:val="24"/>
              </w:rPr>
              <w:t>%</w:t>
            </w:r>
            <w:r>
              <w:rPr>
                <w:rFonts w:hint="eastAsia"/>
                <w:color w:val="auto"/>
                <w:sz w:val="24"/>
                <w:szCs w:val="24"/>
                <w:lang w:eastAsia="zh-CN"/>
              </w:rPr>
              <w:t>，</w:t>
            </w:r>
            <w:r>
              <w:rPr>
                <w:rFonts w:hint="eastAsia"/>
                <w:color w:val="auto"/>
                <w:sz w:val="24"/>
                <w:szCs w:val="24"/>
                <w:lang w:val="en-US" w:eastAsia="zh-CN"/>
              </w:rPr>
              <w:t>能够满足年产2000t产品需求</w:t>
            </w:r>
            <w:r>
              <w:rPr>
                <w:color w:val="auto"/>
                <w:sz w:val="24"/>
                <w:szCs w:val="24"/>
              </w:rPr>
              <w:t>。</w:t>
            </w:r>
          </w:p>
          <w:p w14:paraId="774E867C">
            <w:pPr>
              <w:pStyle w:val="9"/>
              <w:spacing w:line="360" w:lineRule="auto"/>
              <w:ind w:firstLine="480"/>
              <w:rPr>
                <w:b/>
                <w:bCs/>
                <w:color w:val="auto"/>
                <w:sz w:val="24"/>
                <w:szCs w:val="24"/>
              </w:rPr>
            </w:pPr>
            <w:r>
              <w:rPr>
                <w:b/>
                <w:bCs/>
                <w:color w:val="auto"/>
                <w:sz w:val="24"/>
                <w:szCs w:val="24"/>
              </w:rPr>
              <w:t>其他主要设备颚破机、立轴制砂机等仅为一台，为最低配置，综上，该项目设备与产能基本匹配。</w:t>
            </w:r>
          </w:p>
          <w:p w14:paraId="79A98E04">
            <w:pPr>
              <w:spacing w:line="360" w:lineRule="auto"/>
              <w:rPr>
                <w:b/>
                <w:bCs/>
                <w:color w:val="auto"/>
                <w:sz w:val="24"/>
              </w:rPr>
            </w:pPr>
            <w:r>
              <w:rPr>
                <w:b/>
                <w:bCs/>
                <w:color w:val="auto"/>
                <w:sz w:val="24"/>
              </w:rPr>
              <w:t>2.1.5 主要原辅材料消耗</w:t>
            </w:r>
          </w:p>
          <w:p w14:paraId="379719B9">
            <w:pPr>
              <w:spacing w:line="360" w:lineRule="auto"/>
              <w:ind w:firstLine="480" w:firstLineChars="200"/>
              <w:rPr>
                <w:bCs/>
                <w:color w:val="auto"/>
                <w:sz w:val="24"/>
              </w:rPr>
            </w:pPr>
            <w:r>
              <w:rPr>
                <w:bCs/>
                <w:color w:val="auto"/>
                <w:sz w:val="24"/>
              </w:rPr>
              <w:t>主要原辅材料见表2-</w:t>
            </w:r>
            <w:r>
              <w:rPr>
                <w:rFonts w:hint="eastAsia"/>
                <w:bCs/>
                <w:color w:val="auto"/>
                <w:sz w:val="24"/>
                <w:lang w:val="en-US" w:eastAsia="zh-CN"/>
              </w:rPr>
              <w:t>6</w:t>
            </w:r>
            <w:r>
              <w:rPr>
                <w:bCs/>
                <w:color w:val="auto"/>
                <w:sz w:val="24"/>
              </w:rPr>
              <w:t>。</w:t>
            </w:r>
          </w:p>
          <w:p w14:paraId="48E77BD0">
            <w:pPr>
              <w:jc w:val="center"/>
              <w:rPr>
                <w:b/>
                <w:bCs/>
                <w:color w:val="auto"/>
                <w:szCs w:val="21"/>
              </w:rPr>
            </w:pPr>
            <w:r>
              <w:rPr>
                <w:b/>
                <w:bCs/>
                <w:color w:val="auto"/>
                <w:szCs w:val="21"/>
              </w:rPr>
              <w:t>表2-</w:t>
            </w:r>
            <w:r>
              <w:rPr>
                <w:rFonts w:hint="eastAsia"/>
                <w:b/>
                <w:bCs/>
                <w:color w:val="auto"/>
                <w:szCs w:val="21"/>
                <w:lang w:val="en-US" w:eastAsia="zh-CN"/>
              </w:rPr>
              <w:t>6</w:t>
            </w:r>
            <w:r>
              <w:rPr>
                <w:b/>
                <w:bCs/>
                <w:color w:val="auto"/>
                <w:szCs w:val="21"/>
              </w:rPr>
              <w:t xml:space="preserve">  主要原辅材料用量</w:t>
            </w:r>
          </w:p>
          <w:tbl>
            <w:tblPr>
              <w:tblStyle w:val="32"/>
              <w:tblW w:w="487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63"/>
              <w:gridCol w:w="1038"/>
              <w:gridCol w:w="833"/>
              <w:gridCol w:w="1164"/>
              <w:gridCol w:w="946"/>
              <w:gridCol w:w="804"/>
              <w:gridCol w:w="1031"/>
              <w:gridCol w:w="1350"/>
            </w:tblGrid>
            <w:tr w14:paraId="7279C4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3" w:type="pct"/>
                  <w:tcBorders>
                    <w:top w:val="single" w:color="auto" w:sz="6" w:space="0"/>
                    <w:left w:val="single" w:color="auto" w:sz="6" w:space="0"/>
                    <w:bottom w:val="single" w:color="auto" w:sz="6" w:space="0"/>
                    <w:right w:val="single" w:color="auto" w:sz="4" w:space="0"/>
                  </w:tcBorders>
                  <w:vAlign w:val="center"/>
                </w:tcPr>
                <w:p w14:paraId="469A6290">
                  <w:pPr>
                    <w:jc w:val="center"/>
                    <w:rPr>
                      <w:color w:val="auto"/>
                      <w:szCs w:val="21"/>
                    </w:rPr>
                  </w:pPr>
                  <w:r>
                    <w:rPr>
                      <w:color w:val="auto"/>
                      <w:szCs w:val="21"/>
                    </w:rPr>
                    <w:t>序号</w:t>
                  </w:r>
                </w:p>
              </w:tc>
              <w:tc>
                <w:tcPr>
                  <w:tcW w:w="662" w:type="pct"/>
                  <w:tcBorders>
                    <w:top w:val="single" w:color="auto" w:sz="6" w:space="0"/>
                    <w:left w:val="single" w:color="auto" w:sz="6" w:space="0"/>
                    <w:bottom w:val="single" w:color="auto" w:sz="6" w:space="0"/>
                    <w:right w:val="single" w:color="auto" w:sz="4" w:space="0"/>
                  </w:tcBorders>
                  <w:vAlign w:val="center"/>
                </w:tcPr>
                <w:p w14:paraId="28068152">
                  <w:pPr>
                    <w:jc w:val="center"/>
                    <w:rPr>
                      <w:color w:val="auto"/>
                      <w:szCs w:val="21"/>
                    </w:rPr>
                  </w:pPr>
                  <w:r>
                    <w:rPr>
                      <w:color w:val="auto"/>
                      <w:szCs w:val="21"/>
                    </w:rPr>
                    <w:t>原辅料名称</w:t>
                  </w:r>
                </w:p>
              </w:tc>
              <w:tc>
                <w:tcPr>
                  <w:tcW w:w="532" w:type="pct"/>
                  <w:tcBorders>
                    <w:top w:val="single" w:color="auto" w:sz="6" w:space="0"/>
                    <w:left w:val="single" w:color="auto" w:sz="6" w:space="0"/>
                    <w:bottom w:val="single" w:color="auto" w:sz="6" w:space="0"/>
                    <w:right w:val="single" w:color="auto" w:sz="6" w:space="0"/>
                  </w:tcBorders>
                  <w:vAlign w:val="center"/>
                </w:tcPr>
                <w:p w14:paraId="3575425B">
                  <w:pPr>
                    <w:jc w:val="center"/>
                    <w:rPr>
                      <w:color w:val="auto"/>
                      <w:szCs w:val="21"/>
                    </w:rPr>
                  </w:pPr>
                  <w:r>
                    <w:rPr>
                      <w:color w:val="auto"/>
                      <w:szCs w:val="21"/>
                    </w:rPr>
                    <w:t>性状</w:t>
                  </w:r>
                </w:p>
              </w:tc>
              <w:tc>
                <w:tcPr>
                  <w:tcW w:w="743" w:type="pct"/>
                  <w:tcBorders>
                    <w:top w:val="single" w:color="auto" w:sz="6" w:space="0"/>
                    <w:left w:val="single" w:color="auto" w:sz="6" w:space="0"/>
                    <w:bottom w:val="single" w:color="auto" w:sz="6" w:space="0"/>
                    <w:right w:val="single" w:color="auto" w:sz="4" w:space="0"/>
                  </w:tcBorders>
                  <w:vAlign w:val="center"/>
                </w:tcPr>
                <w:p w14:paraId="2F6FA197">
                  <w:pPr>
                    <w:jc w:val="center"/>
                    <w:rPr>
                      <w:rFonts w:hint="default" w:eastAsia="宋体"/>
                      <w:color w:val="auto"/>
                      <w:szCs w:val="21"/>
                      <w:lang w:val="en-US" w:eastAsia="zh-CN"/>
                    </w:rPr>
                  </w:pPr>
                  <w:r>
                    <w:rPr>
                      <w:rFonts w:hint="eastAsia"/>
                      <w:color w:val="auto"/>
                      <w:szCs w:val="21"/>
                      <w:lang w:val="en-US" w:eastAsia="zh-CN"/>
                    </w:rPr>
                    <w:t>规格</w:t>
                  </w:r>
                </w:p>
              </w:tc>
              <w:tc>
                <w:tcPr>
                  <w:tcW w:w="604" w:type="pct"/>
                  <w:tcBorders>
                    <w:top w:val="single" w:color="auto" w:sz="6" w:space="0"/>
                    <w:left w:val="single" w:color="auto" w:sz="4" w:space="0"/>
                    <w:bottom w:val="single" w:color="auto" w:sz="6" w:space="0"/>
                    <w:right w:val="single" w:color="auto" w:sz="6" w:space="0"/>
                  </w:tcBorders>
                  <w:vAlign w:val="center"/>
                </w:tcPr>
                <w:p w14:paraId="0DBBE1E3">
                  <w:pPr>
                    <w:jc w:val="center"/>
                    <w:rPr>
                      <w:color w:val="auto"/>
                      <w:szCs w:val="21"/>
                    </w:rPr>
                  </w:pPr>
                  <w:r>
                    <w:rPr>
                      <w:color w:val="auto"/>
                      <w:szCs w:val="21"/>
                    </w:rPr>
                    <w:t>包装规格</w:t>
                  </w:r>
                </w:p>
              </w:tc>
              <w:tc>
                <w:tcPr>
                  <w:tcW w:w="513" w:type="pct"/>
                  <w:tcBorders>
                    <w:top w:val="single" w:color="auto" w:sz="6" w:space="0"/>
                    <w:left w:val="single" w:color="auto" w:sz="6" w:space="0"/>
                    <w:bottom w:val="single" w:color="auto" w:sz="6" w:space="0"/>
                    <w:right w:val="single" w:color="auto" w:sz="6" w:space="0"/>
                  </w:tcBorders>
                  <w:vAlign w:val="center"/>
                </w:tcPr>
                <w:p w14:paraId="22631185">
                  <w:pPr>
                    <w:jc w:val="center"/>
                    <w:rPr>
                      <w:color w:val="auto"/>
                      <w:szCs w:val="21"/>
                    </w:rPr>
                  </w:pPr>
                  <w:r>
                    <w:rPr>
                      <w:color w:val="auto"/>
                      <w:szCs w:val="21"/>
                    </w:rPr>
                    <w:t>最大储量t</w:t>
                  </w:r>
                </w:p>
              </w:tc>
              <w:tc>
                <w:tcPr>
                  <w:tcW w:w="658" w:type="pct"/>
                  <w:tcBorders>
                    <w:top w:val="single" w:color="auto" w:sz="6" w:space="0"/>
                    <w:left w:val="single" w:color="auto" w:sz="4" w:space="0"/>
                    <w:bottom w:val="single" w:color="auto" w:sz="6" w:space="0"/>
                    <w:right w:val="single" w:color="auto" w:sz="4" w:space="0"/>
                  </w:tcBorders>
                  <w:vAlign w:val="center"/>
                </w:tcPr>
                <w:p w14:paraId="4C7E512A">
                  <w:pPr>
                    <w:jc w:val="center"/>
                    <w:rPr>
                      <w:color w:val="auto"/>
                      <w:szCs w:val="21"/>
                    </w:rPr>
                  </w:pPr>
                  <w:r>
                    <w:rPr>
                      <w:color w:val="auto"/>
                      <w:szCs w:val="21"/>
                    </w:rPr>
                    <w:t>年用量t/a</w:t>
                  </w:r>
                </w:p>
              </w:tc>
              <w:tc>
                <w:tcPr>
                  <w:tcW w:w="862" w:type="pct"/>
                  <w:tcBorders>
                    <w:top w:val="single" w:color="auto" w:sz="6" w:space="0"/>
                    <w:left w:val="single" w:color="auto" w:sz="4" w:space="0"/>
                    <w:bottom w:val="single" w:color="auto" w:sz="6" w:space="0"/>
                    <w:right w:val="single" w:color="auto" w:sz="4" w:space="0"/>
                  </w:tcBorders>
                  <w:vAlign w:val="center"/>
                </w:tcPr>
                <w:p w14:paraId="72929C3F">
                  <w:pPr>
                    <w:jc w:val="center"/>
                    <w:rPr>
                      <w:color w:val="auto"/>
                      <w:szCs w:val="21"/>
                    </w:rPr>
                  </w:pPr>
                  <w:r>
                    <w:rPr>
                      <w:color w:val="auto"/>
                      <w:szCs w:val="21"/>
                    </w:rPr>
                    <w:t>备注</w:t>
                  </w:r>
                </w:p>
              </w:tc>
            </w:tr>
            <w:tr w14:paraId="4FB192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3" w:type="pct"/>
                  <w:tcBorders>
                    <w:top w:val="single" w:color="auto" w:sz="6" w:space="0"/>
                    <w:left w:val="single" w:color="auto" w:sz="6" w:space="0"/>
                    <w:bottom w:val="single" w:color="auto" w:sz="6" w:space="0"/>
                    <w:right w:val="single" w:color="auto" w:sz="4" w:space="0"/>
                  </w:tcBorders>
                  <w:vAlign w:val="center"/>
                </w:tcPr>
                <w:p w14:paraId="005A0F1C">
                  <w:pPr>
                    <w:jc w:val="center"/>
                    <w:rPr>
                      <w:color w:val="auto"/>
                      <w:szCs w:val="21"/>
                    </w:rPr>
                  </w:pPr>
                  <w:r>
                    <w:rPr>
                      <w:color w:val="auto"/>
                      <w:szCs w:val="21"/>
                    </w:rPr>
                    <w:t>1</w:t>
                  </w:r>
                </w:p>
              </w:tc>
              <w:tc>
                <w:tcPr>
                  <w:tcW w:w="662" w:type="pct"/>
                  <w:tcBorders>
                    <w:top w:val="single" w:color="auto" w:sz="6" w:space="0"/>
                    <w:left w:val="single" w:color="auto" w:sz="6" w:space="0"/>
                    <w:bottom w:val="single" w:color="auto" w:sz="6" w:space="0"/>
                    <w:right w:val="single" w:color="auto" w:sz="4" w:space="0"/>
                  </w:tcBorders>
                  <w:vAlign w:val="center"/>
                </w:tcPr>
                <w:p w14:paraId="3EF958DD">
                  <w:pPr>
                    <w:jc w:val="center"/>
                    <w:rPr>
                      <w:color w:val="auto"/>
                      <w:szCs w:val="21"/>
                    </w:rPr>
                  </w:pPr>
                  <w:r>
                    <w:rPr>
                      <w:color w:val="auto"/>
                      <w:szCs w:val="21"/>
                    </w:rPr>
                    <w:t>石英石</w:t>
                  </w:r>
                </w:p>
              </w:tc>
              <w:tc>
                <w:tcPr>
                  <w:tcW w:w="532" w:type="pct"/>
                  <w:tcBorders>
                    <w:top w:val="single" w:color="auto" w:sz="6" w:space="0"/>
                    <w:left w:val="single" w:color="auto" w:sz="6" w:space="0"/>
                    <w:bottom w:val="single" w:color="auto" w:sz="6" w:space="0"/>
                    <w:right w:val="single" w:color="auto" w:sz="6" w:space="0"/>
                  </w:tcBorders>
                  <w:vAlign w:val="center"/>
                </w:tcPr>
                <w:p w14:paraId="20C1FD70">
                  <w:pPr>
                    <w:jc w:val="center"/>
                    <w:rPr>
                      <w:color w:val="auto"/>
                      <w:szCs w:val="21"/>
                    </w:rPr>
                  </w:pPr>
                  <w:r>
                    <w:rPr>
                      <w:color w:val="auto"/>
                      <w:szCs w:val="21"/>
                    </w:rPr>
                    <w:t>块状</w:t>
                  </w:r>
                </w:p>
              </w:tc>
              <w:tc>
                <w:tcPr>
                  <w:tcW w:w="743" w:type="pct"/>
                  <w:tcBorders>
                    <w:top w:val="single" w:color="auto" w:sz="6" w:space="0"/>
                    <w:left w:val="single" w:color="auto" w:sz="6" w:space="0"/>
                    <w:bottom w:val="single" w:color="auto" w:sz="6" w:space="0"/>
                    <w:right w:val="single" w:color="auto" w:sz="4" w:space="0"/>
                  </w:tcBorders>
                  <w:vAlign w:val="center"/>
                </w:tcPr>
                <w:p w14:paraId="09394224">
                  <w:pPr>
                    <w:jc w:val="center"/>
                    <w:rPr>
                      <w:rFonts w:hint="default" w:eastAsia="宋体"/>
                      <w:color w:val="auto"/>
                      <w:szCs w:val="21"/>
                      <w:lang w:val="en-US" w:eastAsia="zh-CN"/>
                    </w:rPr>
                  </w:pPr>
                  <w:r>
                    <w:rPr>
                      <w:rFonts w:hint="eastAsia"/>
                      <w:color w:val="auto"/>
                      <w:szCs w:val="21"/>
                      <w:lang w:val="en-US" w:eastAsia="zh-CN"/>
                    </w:rPr>
                    <w:t>≥99.98%</w:t>
                  </w:r>
                </w:p>
              </w:tc>
              <w:tc>
                <w:tcPr>
                  <w:tcW w:w="604" w:type="pct"/>
                  <w:tcBorders>
                    <w:top w:val="single" w:color="auto" w:sz="6" w:space="0"/>
                    <w:left w:val="single" w:color="auto" w:sz="4" w:space="0"/>
                    <w:bottom w:val="single" w:color="auto" w:sz="6" w:space="0"/>
                    <w:right w:val="single" w:color="auto" w:sz="6" w:space="0"/>
                  </w:tcBorders>
                  <w:vAlign w:val="center"/>
                </w:tcPr>
                <w:p w14:paraId="63C78A0A">
                  <w:pPr>
                    <w:jc w:val="center"/>
                    <w:rPr>
                      <w:color w:val="auto"/>
                      <w:szCs w:val="21"/>
                    </w:rPr>
                  </w:pPr>
                  <w:r>
                    <w:rPr>
                      <w:color w:val="auto"/>
                      <w:szCs w:val="21"/>
                    </w:rPr>
                    <w:t>/</w:t>
                  </w:r>
                </w:p>
              </w:tc>
              <w:tc>
                <w:tcPr>
                  <w:tcW w:w="513" w:type="pct"/>
                  <w:tcBorders>
                    <w:top w:val="single" w:color="auto" w:sz="6" w:space="0"/>
                    <w:left w:val="single" w:color="auto" w:sz="6" w:space="0"/>
                    <w:bottom w:val="single" w:color="auto" w:sz="6" w:space="0"/>
                    <w:right w:val="single" w:color="auto" w:sz="6" w:space="0"/>
                  </w:tcBorders>
                  <w:vAlign w:val="center"/>
                </w:tcPr>
                <w:p w14:paraId="62D41315">
                  <w:pPr>
                    <w:jc w:val="center"/>
                    <w:rPr>
                      <w:rFonts w:hint="default" w:eastAsia="宋体"/>
                      <w:color w:val="auto"/>
                      <w:szCs w:val="21"/>
                      <w:lang w:val="en-US" w:eastAsia="zh-CN"/>
                    </w:rPr>
                  </w:pPr>
                  <w:r>
                    <w:rPr>
                      <w:rFonts w:hint="eastAsia"/>
                      <w:color w:val="auto"/>
                      <w:szCs w:val="21"/>
                      <w:lang w:val="en-US" w:eastAsia="zh-CN"/>
                    </w:rPr>
                    <w:t>60</w:t>
                  </w:r>
                </w:p>
              </w:tc>
              <w:tc>
                <w:tcPr>
                  <w:tcW w:w="658" w:type="pct"/>
                  <w:tcBorders>
                    <w:top w:val="single" w:color="auto" w:sz="6" w:space="0"/>
                    <w:left w:val="single" w:color="auto" w:sz="4" w:space="0"/>
                    <w:bottom w:val="single" w:color="auto" w:sz="4" w:space="0"/>
                    <w:right w:val="single" w:color="auto" w:sz="4" w:space="0"/>
                  </w:tcBorders>
                  <w:vAlign w:val="center"/>
                </w:tcPr>
                <w:p w14:paraId="712E216A">
                  <w:pPr>
                    <w:jc w:val="center"/>
                    <w:rPr>
                      <w:rFonts w:hint="default" w:eastAsia="宋体"/>
                      <w:color w:val="auto"/>
                      <w:szCs w:val="21"/>
                      <w:lang w:val="en-US" w:eastAsia="zh-CN"/>
                    </w:rPr>
                  </w:pPr>
                  <w:r>
                    <w:rPr>
                      <w:rFonts w:hint="eastAsia"/>
                      <w:color w:val="auto"/>
                      <w:szCs w:val="21"/>
                      <w:lang w:val="en-US" w:eastAsia="zh-CN"/>
                    </w:rPr>
                    <w:t>2041.748</w:t>
                  </w:r>
                </w:p>
              </w:tc>
              <w:tc>
                <w:tcPr>
                  <w:tcW w:w="862" w:type="pct"/>
                  <w:tcBorders>
                    <w:top w:val="single" w:color="auto" w:sz="6" w:space="0"/>
                    <w:left w:val="single" w:color="auto" w:sz="4" w:space="0"/>
                    <w:bottom w:val="single" w:color="auto" w:sz="4" w:space="0"/>
                    <w:right w:val="single" w:color="auto" w:sz="4" w:space="0"/>
                  </w:tcBorders>
                  <w:shd w:val="clear" w:color="auto" w:fill="auto"/>
                  <w:vAlign w:val="center"/>
                </w:tcPr>
                <w:p w14:paraId="65F1F26A">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eastAsia="zh-CN"/>
                    </w:rPr>
                    <w:t>粒径</w:t>
                  </w:r>
                  <w:r>
                    <w:rPr>
                      <w:rFonts w:hint="eastAsia" w:cs="Times New Roman"/>
                      <w:color w:val="auto"/>
                      <w:szCs w:val="21"/>
                      <w:lang w:val="en-US" w:eastAsia="zh-CN"/>
                    </w:rPr>
                    <w:t>约</w:t>
                  </w:r>
                  <w:r>
                    <w:rPr>
                      <w:rFonts w:hint="eastAsia" w:ascii="Times New Roman" w:hAnsi="Times New Roman" w:eastAsia="宋体" w:cs="Times New Roman"/>
                      <w:color w:val="auto"/>
                      <w:szCs w:val="21"/>
                      <w:lang w:eastAsia="zh-CN"/>
                    </w:rPr>
                    <w:t>3cm</w:t>
                  </w:r>
                </w:p>
              </w:tc>
            </w:tr>
            <w:tr w14:paraId="0699AC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3" w:type="pct"/>
                  <w:tcBorders>
                    <w:top w:val="single" w:color="auto" w:sz="6" w:space="0"/>
                    <w:left w:val="single" w:color="auto" w:sz="6" w:space="0"/>
                    <w:bottom w:val="single" w:color="auto" w:sz="6" w:space="0"/>
                    <w:right w:val="single" w:color="auto" w:sz="4" w:space="0"/>
                  </w:tcBorders>
                  <w:vAlign w:val="center"/>
                </w:tcPr>
                <w:p w14:paraId="574E1784">
                  <w:pPr>
                    <w:jc w:val="center"/>
                    <w:rPr>
                      <w:color w:val="auto"/>
                      <w:szCs w:val="21"/>
                    </w:rPr>
                  </w:pPr>
                  <w:r>
                    <w:rPr>
                      <w:color w:val="auto"/>
                      <w:szCs w:val="21"/>
                    </w:rPr>
                    <w:t>2</w:t>
                  </w:r>
                </w:p>
              </w:tc>
              <w:tc>
                <w:tcPr>
                  <w:tcW w:w="662" w:type="pct"/>
                  <w:tcBorders>
                    <w:top w:val="single" w:color="auto" w:sz="6" w:space="0"/>
                    <w:left w:val="single" w:color="auto" w:sz="6" w:space="0"/>
                    <w:bottom w:val="single" w:color="auto" w:sz="6" w:space="0"/>
                    <w:right w:val="single" w:color="auto" w:sz="4" w:space="0"/>
                  </w:tcBorders>
                  <w:vAlign w:val="center"/>
                </w:tcPr>
                <w:p w14:paraId="3B10631D">
                  <w:pPr>
                    <w:jc w:val="center"/>
                    <w:rPr>
                      <w:color w:val="auto"/>
                      <w:szCs w:val="21"/>
                    </w:rPr>
                  </w:pPr>
                  <w:r>
                    <w:rPr>
                      <w:color w:val="auto"/>
                      <w:szCs w:val="21"/>
                    </w:rPr>
                    <w:t>浮洗剂</w:t>
                  </w:r>
                </w:p>
              </w:tc>
              <w:tc>
                <w:tcPr>
                  <w:tcW w:w="532" w:type="pct"/>
                  <w:tcBorders>
                    <w:top w:val="single" w:color="auto" w:sz="6" w:space="0"/>
                    <w:left w:val="single" w:color="auto" w:sz="6" w:space="0"/>
                    <w:bottom w:val="single" w:color="auto" w:sz="6" w:space="0"/>
                    <w:right w:val="single" w:color="auto" w:sz="6" w:space="0"/>
                  </w:tcBorders>
                  <w:vAlign w:val="center"/>
                </w:tcPr>
                <w:p w14:paraId="6C1F1070">
                  <w:pPr>
                    <w:jc w:val="center"/>
                    <w:rPr>
                      <w:color w:val="auto"/>
                      <w:szCs w:val="21"/>
                    </w:rPr>
                  </w:pPr>
                  <w:r>
                    <w:rPr>
                      <w:color w:val="auto"/>
                      <w:szCs w:val="21"/>
                    </w:rPr>
                    <w:t>液体</w:t>
                  </w:r>
                </w:p>
              </w:tc>
              <w:tc>
                <w:tcPr>
                  <w:tcW w:w="743" w:type="pct"/>
                  <w:tcBorders>
                    <w:top w:val="single" w:color="auto" w:sz="6" w:space="0"/>
                    <w:left w:val="single" w:color="auto" w:sz="6" w:space="0"/>
                    <w:bottom w:val="single" w:color="auto" w:sz="6" w:space="0"/>
                    <w:right w:val="single" w:color="auto" w:sz="4" w:space="0"/>
                  </w:tcBorders>
                  <w:vAlign w:val="center"/>
                </w:tcPr>
                <w:p w14:paraId="73D58CE9">
                  <w:pPr>
                    <w:jc w:val="center"/>
                    <w:rPr>
                      <w:rFonts w:hint="eastAsia" w:eastAsia="宋体"/>
                      <w:color w:val="auto"/>
                      <w:szCs w:val="21"/>
                      <w:lang w:val="en-US" w:eastAsia="zh-CN"/>
                    </w:rPr>
                  </w:pPr>
                  <w:r>
                    <w:rPr>
                      <w:rFonts w:hint="eastAsia"/>
                      <w:color w:val="auto"/>
                      <w:szCs w:val="21"/>
                      <w:lang w:val="en-US" w:eastAsia="zh-CN"/>
                    </w:rPr>
                    <w:t>/</w:t>
                  </w:r>
                </w:p>
              </w:tc>
              <w:tc>
                <w:tcPr>
                  <w:tcW w:w="604" w:type="pct"/>
                  <w:tcBorders>
                    <w:top w:val="single" w:color="auto" w:sz="6" w:space="0"/>
                    <w:left w:val="single" w:color="auto" w:sz="4" w:space="0"/>
                    <w:bottom w:val="single" w:color="auto" w:sz="6" w:space="0"/>
                    <w:right w:val="single" w:color="auto" w:sz="6" w:space="0"/>
                  </w:tcBorders>
                  <w:vAlign w:val="center"/>
                </w:tcPr>
                <w:p w14:paraId="5F0DC69C">
                  <w:pPr>
                    <w:jc w:val="center"/>
                    <w:rPr>
                      <w:rFonts w:hint="eastAsia"/>
                      <w:color w:val="auto"/>
                      <w:szCs w:val="21"/>
                      <w:lang w:val="en-US" w:eastAsia="zh-CN"/>
                    </w:rPr>
                  </w:pPr>
                  <w:r>
                    <w:rPr>
                      <w:rFonts w:hint="eastAsia"/>
                      <w:color w:val="auto"/>
                      <w:szCs w:val="21"/>
                      <w:lang w:val="en-US" w:eastAsia="zh-CN"/>
                    </w:rPr>
                    <w:t>25</w:t>
                  </w:r>
                  <w:r>
                    <w:rPr>
                      <w:color w:val="auto"/>
                      <w:szCs w:val="21"/>
                    </w:rPr>
                    <w:t>kg/桶</w:t>
                  </w:r>
                </w:p>
              </w:tc>
              <w:tc>
                <w:tcPr>
                  <w:tcW w:w="513" w:type="pct"/>
                  <w:tcBorders>
                    <w:top w:val="single" w:color="auto" w:sz="6" w:space="0"/>
                    <w:left w:val="single" w:color="auto" w:sz="6" w:space="0"/>
                    <w:bottom w:val="single" w:color="auto" w:sz="6" w:space="0"/>
                    <w:right w:val="single" w:color="auto" w:sz="6" w:space="0"/>
                  </w:tcBorders>
                  <w:vAlign w:val="center"/>
                </w:tcPr>
                <w:p w14:paraId="3167B8C5">
                  <w:pPr>
                    <w:jc w:val="center"/>
                    <w:rPr>
                      <w:rFonts w:hint="default" w:eastAsia="宋体"/>
                      <w:color w:val="auto"/>
                      <w:szCs w:val="21"/>
                      <w:lang w:val="en-US" w:eastAsia="zh-CN"/>
                    </w:rPr>
                  </w:pPr>
                  <w:r>
                    <w:rPr>
                      <w:rFonts w:hint="eastAsia"/>
                      <w:color w:val="auto"/>
                      <w:szCs w:val="21"/>
                      <w:lang w:val="en-US" w:eastAsia="zh-CN"/>
                    </w:rPr>
                    <w:t>0.1</w:t>
                  </w:r>
                </w:p>
              </w:tc>
              <w:tc>
                <w:tcPr>
                  <w:tcW w:w="658" w:type="pct"/>
                  <w:tcBorders>
                    <w:top w:val="single" w:color="auto" w:sz="4" w:space="0"/>
                    <w:left w:val="single" w:color="auto" w:sz="4" w:space="0"/>
                    <w:bottom w:val="single" w:color="auto" w:sz="6" w:space="0"/>
                    <w:right w:val="single" w:color="auto" w:sz="4" w:space="0"/>
                  </w:tcBorders>
                  <w:vAlign w:val="center"/>
                </w:tcPr>
                <w:p w14:paraId="4093DDB2">
                  <w:pPr>
                    <w:jc w:val="center"/>
                    <w:rPr>
                      <w:rFonts w:hint="eastAsia" w:eastAsia="宋体"/>
                      <w:color w:val="auto"/>
                      <w:szCs w:val="21"/>
                      <w:lang w:val="en-US" w:eastAsia="zh-CN"/>
                    </w:rPr>
                  </w:pPr>
                  <w:r>
                    <w:rPr>
                      <w:rFonts w:hint="eastAsia"/>
                      <w:color w:val="auto"/>
                      <w:szCs w:val="21"/>
                      <w:lang w:val="en-US" w:eastAsia="zh-CN"/>
                    </w:rPr>
                    <w:t>1</w:t>
                  </w:r>
                </w:p>
              </w:tc>
              <w:tc>
                <w:tcPr>
                  <w:tcW w:w="862" w:type="pct"/>
                  <w:tcBorders>
                    <w:top w:val="single" w:color="auto" w:sz="4" w:space="0"/>
                    <w:left w:val="single" w:color="auto" w:sz="4" w:space="0"/>
                    <w:bottom w:val="single" w:color="auto" w:sz="6" w:space="0"/>
                    <w:right w:val="single" w:color="auto" w:sz="4" w:space="0"/>
                  </w:tcBorders>
                  <w:vAlign w:val="center"/>
                </w:tcPr>
                <w:p w14:paraId="228CCCA9">
                  <w:pPr>
                    <w:jc w:val="center"/>
                    <w:rPr>
                      <w:rFonts w:hint="default" w:ascii="Times New Roman" w:hAnsi="Times New Roman" w:eastAsia="宋体" w:cs="Times New Roman"/>
                      <w:color w:val="auto"/>
                      <w:szCs w:val="21"/>
                      <w:lang w:val="en-US" w:eastAsia="zh-CN"/>
                    </w:rPr>
                  </w:pPr>
                  <w:r>
                    <w:rPr>
                      <w:rFonts w:ascii="Times New Roman" w:hAnsi="Times New Roman" w:eastAsia="宋体" w:cs="Times New Roman"/>
                      <w:color w:val="auto"/>
                      <w:szCs w:val="21"/>
                    </w:rPr>
                    <w:t>浮洗</w:t>
                  </w:r>
                </w:p>
              </w:tc>
            </w:tr>
            <w:tr w14:paraId="782B5B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3" w:type="pct"/>
                  <w:tcBorders>
                    <w:top w:val="single" w:color="auto" w:sz="6" w:space="0"/>
                    <w:left w:val="single" w:color="auto" w:sz="6" w:space="0"/>
                    <w:bottom w:val="single" w:color="auto" w:sz="6" w:space="0"/>
                    <w:right w:val="single" w:color="auto" w:sz="4" w:space="0"/>
                  </w:tcBorders>
                  <w:vAlign w:val="center"/>
                </w:tcPr>
                <w:p w14:paraId="6CF2A276">
                  <w:pPr>
                    <w:jc w:val="center"/>
                    <w:rPr>
                      <w:rFonts w:hint="eastAsia" w:eastAsia="宋体"/>
                      <w:color w:val="auto"/>
                      <w:szCs w:val="21"/>
                      <w:lang w:val="en-US" w:eastAsia="zh-CN"/>
                    </w:rPr>
                  </w:pPr>
                  <w:r>
                    <w:rPr>
                      <w:rFonts w:hint="eastAsia"/>
                      <w:color w:val="auto"/>
                      <w:szCs w:val="21"/>
                      <w:lang w:val="en-US" w:eastAsia="zh-CN"/>
                    </w:rPr>
                    <w:t>3</w:t>
                  </w:r>
                </w:p>
              </w:tc>
              <w:tc>
                <w:tcPr>
                  <w:tcW w:w="662" w:type="pct"/>
                  <w:tcBorders>
                    <w:top w:val="single" w:color="auto" w:sz="6" w:space="0"/>
                    <w:left w:val="single" w:color="auto" w:sz="6" w:space="0"/>
                    <w:bottom w:val="single" w:color="auto" w:sz="6" w:space="0"/>
                    <w:right w:val="single" w:color="auto" w:sz="4" w:space="0"/>
                  </w:tcBorders>
                  <w:vAlign w:val="center"/>
                </w:tcPr>
                <w:p w14:paraId="20A01BDE">
                  <w:pPr>
                    <w:jc w:val="center"/>
                    <w:rPr>
                      <w:color w:val="auto"/>
                      <w:szCs w:val="21"/>
                    </w:rPr>
                  </w:pPr>
                  <w:r>
                    <w:rPr>
                      <w:color w:val="auto"/>
                      <w:szCs w:val="21"/>
                    </w:rPr>
                    <w:t>氯化氢</w:t>
                  </w:r>
                </w:p>
              </w:tc>
              <w:tc>
                <w:tcPr>
                  <w:tcW w:w="532" w:type="pct"/>
                  <w:tcBorders>
                    <w:top w:val="single" w:color="auto" w:sz="6" w:space="0"/>
                    <w:left w:val="single" w:color="auto" w:sz="6" w:space="0"/>
                    <w:bottom w:val="single" w:color="auto" w:sz="6" w:space="0"/>
                    <w:right w:val="single" w:color="auto" w:sz="6" w:space="0"/>
                  </w:tcBorders>
                  <w:vAlign w:val="center"/>
                </w:tcPr>
                <w:p w14:paraId="2360BB7A">
                  <w:pPr>
                    <w:jc w:val="center"/>
                    <w:rPr>
                      <w:color w:val="auto"/>
                      <w:szCs w:val="21"/>
                    </w:rPr>
                  </w:pPr>
                  <w:r>
                    <w:rPr>
                      <w:color w:val="auto"/>
                      <w:szCs w:val="21"/>
                    </w:rPr>
                    <w:t>气体</w:t>
                  </w:r>
                </w:p>
              </w:tc>
              <w:tc>
                <w:tcPr>
                  <w:tcW w:w="743" w:type="pct"/>
                  <w:tcBorders>
                    <w:top w:val="single" w:color="auto" w:sz="6" w:space="0"/>
                    <w:left w:val="single" w:color="auto" w:sz="6" w:space="0"/>
                    <w:bottom w:val="single" w:color="auto" w:sz="6" w:space="0"/>
                    <w:right w:val="single" w:color="auto" w:sz="4" w:space="0"/>
                  </w:tcBorders>
                  <w:vAlign w:val="center"/>
                </w:tcPr>
                <w:p w14:paraId="37C9F51A">
                  <w:pPr>
                    <w:jc w:val="center"/>
                    <w:rPr>
                      <w:rFonts w:hint="default" w:eastAsia="宋体"/>
                      <w:color w:val="auto"/>
                      <w:szCs w:val="21"/>
                      <w:lang w:val="en-US" w:eastAsia="zh-CN"/>
                    </w:rPr>
                  </w:pPr>
                  <w:r>
                    <w:rPr>
                      <w:rFonts w:hint="eastAsia"/>
                      <w:color w:val="auto"/>
                      <w:szCs w:val="21"/>
                      <w:lang w:val="en-US" w:eastAsia="zh-CN"/>
                    </w:rPr>
                    <w:t>分析纯</w:t>
                  </w:r>
                </w:p>
              </w:tc>
              <w:tc>
                <w:tcPr>
                  <w:tcW w:w="604" w:type="pct"/>
                  <w:tcBorders>
                    <w:top w:val="single" w:color="auto" w:sz="6" w:space="0"/>
                    <w:left w:val="single" w:color="auto" w:sz="4" w:space="0"/>
                    <w:bottom w:val="single" w:color="auto" w:sz="6" w:space="0"/>
                    <w:right w:val="single" w:color="auto" w:sz="6" w:space="0"/>
                  </w:tcBorders>
                  <w:vAlign w:val="center"/>
                </w:tcPr>
                <w:p w14:paraId="143176C4">
                  <w:pPr>
                    <w:jc w:val="center"/>
                    <w:rPr>
                      <w:color w:val="auto"/>
                      <w:szCs w:val="21"/>
                    </w:rPr>
                  </w:pPr>
                  <w:r>
                    <w:rPr>
                      <w:color w:val="auto"/>
                      <w:szCs w:val="21"/>
                    </w:rPr>
                    <w:t>25kg/瓶</w:t>
                  </w:r>
                </w:p>
              </w:tc>
              <w:tc>
                <w:tcPr>
                  <w:tcW w:w="513" w:type="pct"/>
                  <w:tcBorders>
                    <w:top w:val="single" w:color="auto" w:sz="6" w:space="0"/>
                    <w:left w:val="single" w:color="auto" w:sz="6" w:space="0"/>
                    <w:bottom w:val="single" w:color="auto" w:sz="6" w:space="0"/>
                    <w:right w:val="single" w:color="auto" w:sz="6" w:space="0"/>
                  </w:tcBorders>
                  <w:vAlign w:val="center"/>
                </w:tcPr>
                <w:p w14:paraId="62ACECC9">
                  <w:pPr>
                    <w:jc w:val="center"/>
                    <w:rPr>
                      <w:rFonts w:hint="default" w:eastAsia="宋体"/>
                      <w:color w:val="auto"/>
                      <w:szCs w:val="21"/>
                      <w:lang w:val="en-US" w:eastAsia="zh-CN"/>
                    </w:rPr>
                  </w:pPr>
                  <w:r>
                    <w:rPr>
                      <w:rFonts w:hint="eastAsia"/>
                      <w:color w:val="auto"/>
                      <w:szCs w:val="21"/>
                      <w:lang w:val="en-US" w:eastAsia="zh-CN"/>
                    </w:rPr>
                    <w:t>0.8</w:t>
                  </w:r>
                </w:p>
              </w:tc>
              <w:tc>
                <w:tcPr>
                  <w:tcW w:w="658" w:type="pct"/>
                  <w:tcBorders>
                    <w:top w:val="single" w:color="auto" w:sz="6" w:space="0"/>
                    <w:left w:val="single" w:color="auto" w:sz="4" w:space="0"/>
                    <w:bottom w:val="single" w:color="auto" w:sz="6" w:space="0"/>
                    <w:right w:val="single" w:color="auto" w:sz="4" w:space="0"/>
                  </w:tcBorders>
                  <w:vAlign w:val="center"/>
                </w:tcPr>
                <w:p w14:paraId="1CC25178">
                  <w:pPr>
                    <w:jc w:val="center"/>
                    <w:rPr>
                      <w:rFonts w:hint="default" w:eastAsia="宋体"/>
                      <w:color w:val="auto"/>
                      <w:szCs w:val="21"/>
                      <w:lang w:val="en-US" w:eastAsia="zh-CN"/>
                    </w:rPr>
                  </w:pPr>
                  <w:r>
                    <w:rPr>
                      <w:rFonts w:hint="eastAsia"/>
                      <w:color w:val="auto"/>
                      <w:szCs w:val="21"/>
                      <w:lang w:val="en-US" w:eastAsia="zh-CN"/>
                    </w:rPr>
                    <w:t>10.8</w:t>
                  </w:r>
                </w:p>
              </w:tc>
              <w:tc>
                <w:tcPr>
                  <w:tcW w:w="862" w:type="pct"/>
                  <w:tcBorders>
                    <w:top w:val="single" w:color="auto" w:sz="6" w:space="0"/>
                    <w:left w:val="single" w:color="auto" w:sz="4" w:space="0"/>
                    <w:bottom w:val="single" w:color="auto" w:sz="6" w:space="0"/>
                    <w:right w:val="single" w:color="auto" w:sz="4" w:space="0"/>
                  </w:tcBorders>
                  <w:vAlign w:val="center"/>
                </w:tcPr>
                <w:p w14:paraId="58F582E1">
                  <w:pPr>
                    <w:jc w:val="center"/>
                    <w:rPr>
                      <w:rFonts w:hint="eastAsia" w:eastAsia="宋体"/>
                      <w:color w:val="auto"/>
                      <w:szCs w:val="21"/>
                      <w:lang w:eastAsia="zh-CN"/>
                    </w:rPr>
                  </w:pPr>
                  <w:r>
                    <w:rPr>
                      <w:rFonts w:hint="eastAsia"/>
                      <w:color w:val="auto"/>
                      <w:szCs w:val="21"/>
                      <w:lang w:eastAsia="zh-CN"/>
                    </w:rPr>
                    <w:t>纯化</w:t>
                  </w:r>
                </w:p>
              </w:tc>
            </w:tr>
            <w:tr w14:paraId="3846CCD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3" w:type="pct"/>
                  <w:tcBorders>
                    <w:top w:val="single" w:color="auto" w:sz="6" w:space="0"/>
                    <w:left w:val="single" w:color="auto" w:sz="6" w:space="0"/>
                    <w:bottom w:val="single" w:color="auto" w:sz="6" w:space="0"/>
                    <w:right w:val="single" w:color="auto" w:sz="4" w:space="0"/>
                  </w:tcBorders>
                  <w:shd w:val="clear" w:color="auto" w:fill="auto"/>
                  <w:vAlign w:val="center"/>
                </w:tcPr>
                <w:p w14:paraId="061FF8FD">
                  <w:pPr>
                    <w:jc w:val="center"/>
                    <w:rPr>
                      <w:rFonts w:ascii="Times New Roman" w:hAnsi="Times New Roman" w:eastAsia="宋体" w:cs="Times New Roman"/>
                      <w:color w:val="auto"/>
                      <w:kern w:val="2"/>
                      <w:sz w:val="21"/>
                      <w:szCs w:val="21"/>
                      <w:lang w:val="en-US" w:eastAsia="zh-CN" w:bidi="ar-SA"/>
                    </w:rPr>
                  </w:pPr>
                  <w:r>
                    <w:rPr>
                      <w:color w:val="auto"/>
                      <w:szCs w:val="21"/>
                    </w:rPr>
                    <w:t>4</w:t>
                  </w:r>
                </w:p>
              </w:tc>
              <w:tc>
                <w:tcPr>
                  <w:tcW w:w="662" w:type="pct"/>
                  <w:tcBorders>
                    <w:top w:val="single" w:color="auto" w:sz="6" w:space="0"/>
                    <w:left w:val="single" w:color="auto" w:sz="6" w:space="0"/>
                    <w:bottom w:val="single" w:color="auto" w:sz="6" w:space="0"/>
                    <w:right w:val="single" w:color="auto" w:sz="4" w:space="0"/>
                  </w:tcBorders>
                  <w:vAlign w:val="center"/>
                </w:tcPr>
                <w:p w14:paraId="36AA2B83">
                  <w:pPr>
                    <w:jc w:val="center"/>
                    <w:rPr>
                      <w:color w:val="auto"/>
                      <w:szCs w:val="21"/>
                    </w:rPr>
                  </w:pPr>
                  <w:r>
                    <w:rPr>
                      <w:color w:val="auto"/>
                      <w:szCs w:val="21"/>
                    </w:rPr>
                    <w:t>氢氟酸</w:t>
                  </w:r>
                </w:p>
              </w:tc>
              <w:tc>
                <w:tcPr>
                  <w:tcW w:w="532" w:type="pct"/>
                  <w:tcBorders>
                    <w:top w:val="single" w:color="auto" w:sz="6" w:space="0"/>
                    <w:left w:val="single" w:color="auto" w:sz="6" w:space="0"/>
                    <w:bottom w:val="single" w:color="auto" w:sz="6" w:space="0"/>
                    <w:right w:val="single" w:color="auto" w:sz="6" w:space="0"/>
                  </w:tcBorders>
                  <w:vAlign w:val="center"/>
                </w:tcPr>
                <w:p w14:paraId="0DD8BC92">
                  <w:pPr>
                    <w:jc w:val="center"/>
                    <w:rPr>
                      <w:color w:val="auto"/>
                      <w:szCs w:val="21"/>
                    </w:rPr>
                  </w:pPr>
                  <w:r>
                    <w:rPr>
                      <w:color w:val="auto"/>
                      <w:szCs w:val="21"/>
                    </w:rPr>
                    <w:t>液体</w:t>
                  </w:r>
                </w:p>
              </w:tc>
              <w:tc>
                <w:tcPr>
                  <w:tcW w:w="743" w:type="pct"/>
                  <w:tcBorders>
                    <w:top w:val="single" w:color="auto" w:sz="6" w:space="0"/>
                    <w:left w:val="single" w:color="auto" w:sz="6" w:space="0"/>
                    <w:bottom w:val="single" w:color="auto" w:sz="6" w:space="0"/>
                    <w:right w:val="single" w:color="auto" w:sz="4" w:space="0"/>
                  </w:tcBorders>
                  <w:vAlign w:val="center"/>
                </w:tcPr>
                <w:p w14:paraId="416B8EB7">
                  <w:pPr>
                    <w:jc w:val="center"/>
                    <w:rPr>
                      <w:rFonts w:hint="default" w:eastAsia="宋体"/>
                      <w:color w:val="auto"/>
                      <w:szCs w:val="21"/>
                      <w:lang w:val="en-US" w:eastAsia="zh-CN"/>
                    </w:rPr>
                  </w:pPr>
                  <w:r>
                    <w:rPr>
                      <w:rFonts w:hint="eastAsia"/>
                      <w:color w:val="auto"/>
                      <w:szCs w:val="21"/>
                      <w:lang w:val="en-US" w:eastAsia="zh-CN"/>
                    </w:rPr>
                    <w:t>EL级40</w:t>
                  </w:r>
                  <w:r>
                    <w:rPr>
                      <w:color w:val="auto"/>
                      <w:szCs w:val="21"/>
                    </w:rPr>
                    <w:t>%</w:t>
                  </w:r>
                </w:p>
              </w:tc>
              <w:tc>
                <w:tcPr>
                  <w:tcW w:w="604" w:type="pct"/>
                  <w:tcBorders>
                    <w:top w:val="single" w:color="auto" w:sz="6" w:space="0"/>
                    <w:left w:val="single" w:color="auto" w:sz="4" w:space="0"/>
                    <w:bottom w:val="single" w:color="auto" w:sz="6" w:space="0"/>
                    <w:right w:val="single" w:color="auto" w:sz="6" w:space="0"/>
                  </w:tcBorders>
                  <w:vAlign w:val="center"/>
                </w:tcPr>
                <w:p w14:paraId="5AE4AFA1">
                  <w:pPr>
                    <w:jc w:val="center"/>
                    <w:rPr>
                      <w:color w:val="auto"/>
                      <w:szCs w:val="21"/>
                    </w:rPr>
                  </w:pPr>
                  <w:r>
                    <w:rPr>
                      <w:color w:val="auto"/>
                      <w:szCs w:val="21"/>
                    </w:rPr>
                    <w:t>储罐</w:t>
                  </w:r>
                </w:p>
              </w:tc>
              <w:tc>
                <w:tcPr>
                  <w:tcW w:w="513" w:type="pct"/>
                  <w:tcBorders>
                    <w:top w:val="single" w:color="auto" w:sz="6" w:space="0"/>
                    <w:left w:val="single" w:color="auto" w:sz="6" w:space="0"/>
                    <w:bottom w:val="single" w:color="auto" w:sz="6" w:space="0"/>
                    <w:right w:val="single" w:color="auto" w:sz="6" w:space="0"/>
                  </w:tcBorders>
                  <w:vAlign w:val="center"/>
                </w:tcPr>
                <w:p w14:paraId="05527096">
                  <w:pPr>
                    <w:jc w:val="center"/>
                    <w:rPr>
                      <w:rFonts w:hint="default" w:eastAsia="宋体"/>
                      <w:color w:val="auto"/>
                      <w:szCs w:val="21"/>
                      <w:lang w:val="en-US" w:eastAsia="zh-CN"/>
                    </w:rPr>
                  </w:pPr>
                  <w:r>
                    <w:rPr>
                      <w:rFonts w:hint="eastAsia"/>
                      <w:color w:val="auto"/>
                      <w:szCs w:val="21"/>
                      <w:lang w:val="en-US" w:eastAsia="zh-CN"/>
                    </w:rPr>
                    <w:t>48</w:t>
                  </w:r>
                </w:p>
              </w:tc>
              <w:tc>
                <w:tcPr>
                  <w:tcW w:w="658" w:type="pct"/>
                  <w:tcBorders>
                    <w:top w:val="single" w:color="auto" w:sz="6" w:space="0"/>
                    <w:left w:val="single" w:color="auto" w:sz="4" w:space="0"/>
                    <w:bottom w:val="single" w:color="auto" w:sz="6" w:space="0"/>
                    <w:right w:val="single" w:color="auto" w:sz="4" w:space="0"/>
                  </w:tcBorders>
                  <w:vAlign w:val="center"/>
                </w:tcPr>
                <w:p w14:paraId="311C1C4B">
                  <w:pPr>
                    <w:jc w:val="center"/>
                    <w:rPr>
                      <w:rFonts w:hint="default" w:eastAsia="宋体"/>
                      <w:color w:val="auto"/>
                      <w:szCs w:val="21"/>
                      <w:lang w:val="en-US" w:eastAsia="zh-CN"/>
                    </w:rPr>
                  </w:pPr>
                  <w:r>
                    <w:rPr>
                      <w:rFonts w:hint="eastAsia"/>
                      <w:color w:val="auto"/>
                      <w:szCs w:val="21"/>
                      <w:lang w:val="en-US" w:eastAsia="zh-CN"/>
                    </w:rPr>
                    <w:t>200</w:t>
                  </w:r>
                </w:p>
              </w:tc>
              <w:tc>
                <w:tcPr>
                  <w:tcW w:w="862" w:type="pct"/>
                  <w:tcBorders>
                    <w:top w:val="single" w:color="auto" w:sz="6" w:space="0"/>
                    <w:left w:val="single" w:color="auto" w:sz="4" w:space="0"/>
                    <w:bottom w:val="single" w:color="auto" w:sz="6" w:space="0"/>
                    <w:right w:val="single" w:color="auto" w:sz="4" w:space="0"/>
                  </w:tcBorders>
                  <w:vAlign w:val="center"/>
                </w:tcPr>
                <w:p w14:paraId="67366769">
                  <w:pPr>
                    <w:jc w:val="center"/>
                    <w:rPr>
                      <w:color w:val="auto"/>
                      <w:szCs w:val="21"/>
                    </w:rPr>
                  </w:pPr>
                  <w:r>
                    <w:rPr>
                      <w:color w:val="auto"/>
                      <w:szCs w:val="21"/>
                    </w:rPr>
                    <w:t>酸洗</w:t>
                  </w:r>
                </w:p>
              </w:tc>
            </w:tr>
            <w:tr w14:paraId="1CFB55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3" w:type="pct"/>
                  <w:tcBorders>
                    <w:top w:val="single" w:color="auto" w:sz="6" w:space="0"/>
                    <w:left w:val="single" w:color="auto" w:sz="6" w:space="0"/>
                    <w:bottom w:val="single" w:color="auto" w:sz="6" w:space="0"/>
                    <w:right w:val="single" w:color="auto" w:sz="4" w:space="0"/>
                  </w:tcBorders>
                  <w:shd w:val="clear" w:color="auto" w:fill="auto"/>
                  <w:vAlign w:val="center"/>
                </w:tcPr>
                <w:p w14:paraId="16922B27">
                  <w:pPr>
                    <w:jc w:val="center"/>
                    <w:rPr>
                      <w:rFonts w:ascii="Times New Roman" w:hAnsi="Times New Roman" w:eastAsia="宋体" w:cs="Times New Roman"/>
                      <w:color w:val="auto"/>
                      <w:kern w:val="2"/>
                      <w:sz w:val="21"/>
                      <w:szCs w:val="21"/>
                      <w:lang w:val="en-US" w:eastAsia="zh-CN" w:bidi="ar-SA"/>
                    </w:rPr>
                  </w:pPr>
                  <w:r>
                    <w:rPr>
                      <w:color w:val="auto"/>
                      <w:szCs w:val="21"/>
                    </w:rPr>
                    <w:t>5</w:t>
                  </w:r>
                </w:p>
              </w:tc>
              <w:tc>
                <w:tcPr>
                  <w:tcW w:w="662" w:type="pct"/>
                  <w:tcBorders>
                    <w:top w:val="single" w:color="auto" w:sz="6" w:space="0"/>
                    <w:left w:val="single" w:color="auto" w:sz="6" w:space="0"/>
                    <w:bottom w:val="single" w:color="auto" w:sz="6" w:space="0"/>
                    <w:right w:val="single" w:color="auto" w:sz="4" w:space="0"/>
                  </w:tcBorders>
                  <w:vAlign w:val="center"/>
                </w:tcPr>
                <w:p w14:paraId="67F85301">
                  <w:pPr>
                    <w:jc w:val="center"/>
                    <w:rPr>
                      <w:color w:val="auto"/>
                      <w:szCs w:val="21"/>
                    </w:rPr>
                  </w:pPr>
                  <w:r>
                    <w:rPr>
                      <w:color w:val="auto"/>
                      <w:szCs w:val="21"/>
                    </w:rPr>
                    <w:t>盐酸</w:t>
                  </w:r>
                </w:p>
              </w:tc>
              <w:tc>
                <w:tcPr>
                  <w:tcW w:w="532" w:type="pct"/>
                  <w:tcBorders>
                    <w:top w:val="single" w:color="auto" w:sz="6" w:space="0"/>
                    <w:left w:val="single" w:color="auto" w:sz="6" w:space="0"/>
                    <w:bottom w:val="single" w:color="auto" w:sz="6" w:space="0"/>
                    <w:right w:val="single" w:color="auto" w:sz="6" w:space="0"/>
                  </w:tcBorders>
                  <w:vAlign w:val="center"/>
                </w:tcPr>
                <w:p w14:paraId="4C4719F2">
                  <w:pPr>
                    <w:jc w:val="center"/>
                    <w:rPr>
                      <w:color w:val="auto"/>
                      <w:szCs w:val="21"/>
                    </w:rPr>
                  </w:pPr>
                  <w:r>
                    <w:rPr>
                      <w:color w:val="auto"/>
                      <w:szCs w:val="21"/>
                    </w:rPr>
                    <w:t>液体</w:t>
                  </w:r>
                </w:p>
              </w:tc>
              <w:tc>
                <w:tcPr>
                  <w:tcW w:w="743" w:type="pct"/>
                  <w:tcBorders>
                    <w:top w:val="single" w:color="auto" w:sz="6" w:space="0"/>
                    <w:left w:val="single" w:color="auto" w:sz="6" w:space="0"/>
                    <w:bottom w:val="single" w:color="auto" w:sz="6" w:space="0"/>
                    <w:right w:val="single" w:color="auto" w:sz="4" w:space="0"/>
                  </w:tcBorders>
                  <w:vAlign w:val="center"/>
                </w:tcPr>
                <w:p w14:paraId="302B81CD">
                  <w:pPr>
                    <w:jc w:val="center"/>
                    <w:rPr>
                      <w:rFonts w:hint="default" w:eastAsia="宋体"/>
                      <w:color w:val="auto"/>
                      <w:szCs w:val="21"/>
                      <w:lang w:val="en-US" w:eastAsia="zh-CN"/>
                    </w:rPr>
                  </w:pPr>
                  <w:r>
                    <w:rPr>
                      <w:rFonts w:hint="eastAsia"/>
                      <w:color w:val="auto"/>
                      <w:szCs w:val="21"/>
                      <w:lang w:val="en-US" w:eastAsia="zh-CN"/>
                    </w:rPr>
                    <w:t>EL级</w:t>
                  </w:r>
                  <w:r>
                    <w:rPr>
                      <w:color w:val="auto"/>
                      <w:szCs w:val="21"/>
                    </w:rPr>
                    <w:t>3</w:t>
                  </w:r>
                  <w:r>
                    <w:rPr>
                      <w:rFonts w:hint="eastAsia"/>
                      <w:color w:val="auto"/>
                      <w:szCs w:val="21"/>
                      <w:lang w:val="en-US" w:eastAsia="zh-CN"/>
                    </w:rPr>
                    <w:t>6</w:t>
                  </w:r>
                  <w:r>
                    <w:rPr>
                      <w:color w:val="auto"/>
                      <w:szCs w:val="21"/>
                    </w:rPr>
                    <w:t>%</w:t>
                  </w:r>
                </w:p>
              </w:tc>
              <w:tc>
                <w:tcPr>
                  <w:tcW w:w="604" w:type="pct"/>
                  <w:tcBorders>
                    <w:top w:val="single" w:color="auto" w:sz="6" w:space="0"/>
                    <w:left w:val="single" w:color="auto" w:sz="4" w:space="0"/>
                    <w:bottom w:val="single" w:color="auto" w:sz="6" w:space="0"/>
                    <w:right w:val="single" w:color="auto" w:sz="6" w:space="0"/>
                  </w:tcBorders>
                  <w:vAlign w:val="center"/>
                </w:tcPr>
                <w:p w14:paraId="1F4A0FDB">
                  <w:pPr>
                    <w:jc w:val="center"/>
                    <w:rPr>
                      <w:color w:val="auto"/>
                      <w:szCs w:val="21"/>
                    </w:rPr>
                  </w:pPr>
                  <w:r>
                    <w:rPr>
                      <w:color w:val="auto"/>
                      <w:szCs w:val="21"/>
                    </w:rPr>
                    <w:t>储罐</w:t>
                  </w:r>
                </w:p>
              </w:tc>
              <w:tc>
                <w:tcPr>
                  <w:tcW w:w="513" w:type="pct"/>
                  <w:tcBorders>
                    <w:top w:val="single" w:color="auto" w:sz="6" w:space="0"/>
                    <w:left w:val="single" w:color="auto" w:sz="6" w:space="0"/>
                    <w:bottom w:val="single" w:color="auto" w:sz="6" w:space="0"/>
                    <w:right w:val="single" w:color="auto" w:sz="6" w:space="0"/>
                  </w:tcBorders>
                  <w:vAlign w:val="center"/>
                </w:tcPr>
                <w:p w14:paraId="21B6C5DF">
                  <w:pPr>
                    <w:jc w:val="center"/>
                    <w:rPr>
                      <w:rFonts w:hint="default" w:eastAsia="宋体"/>
                      <w:color w:val="auto"/>
                      <w:szCs w:val="21"/>
                      <w:lang w:val="en-US" w:eastAsia="zh-CN"/>
                    </w:rPr>
                  </w:pPr>
                  <w:r>
                    <w:rPr>
                      <w:rFonts w:hint="eastAsia"/>
                      <w:color w:val="auto"/>
                      <w:szCs w:val="21"/>
                      <w:lang w:val="en-US" w:eastAsia="zh-CN"/>
                    </w:rPr>
                    <w:t>48</w:t>
                  </w:r>
                </w:p>
              </w:tc>
              <w:tc>
                <w:tcPr>
                  <w:tcW w:w="658" w:type="pct"/>
                  <w:tcBorders>
                    <w:top w:val="single" w:color="auto" w:sz="6" w:space="0"/>
                    <w:left w:val="single" w:color="auto" w:sz="4" w:space="0"/>
                    <w:bottom w:val="single" w:color="auto" w:sz="6" w:space="0"/>
                    <w:right w:val="single" w:color="auto" w:sz="4" w:space="0"/>
                  </w:tcBorders>
                  <w:vAlign w:val="center"/>
                </w:tcPr>
                <w:p w14:paraId="366857D8">
                  <w:pPr>
                    <w:jc w:val="center"/>
                    <w:rPr>
                      <w:rFonts w:hint="default" w:eastAsia="宋体"/>
                      <w:color w:val="auto"/>
                      <w:szCs w:val="21"/>
                      <w:lang w:val="en-US" w:eastAsia="zh-CN"/>
                    </w:rPr>
                  </w:pPr>
                  <w:r>
                    <w:rPr>
                      <w:rFonts w:hint="eastAsia"/>
                      <w:color w:val="auto"/>
                      <w:szCs w:val="21"/>
                      <w:lang w:val="en-US" w:eastAsia="zh-CN"/>
                    </w:rPr>
                    <w:t>800</w:t>
                  </w:r>
                </w:p>
              </w:tc>
              <w:tc>
                <w:tcPr>
                  <w:tcW w:w="862" w:type="pct"/>
                  <w:tcBorders>
                    <w:top w:val="single" w:color="auto" w:sz="6" w:space="0"/>
                    <w:left w:val="single" w:color="auto" w:sz="4" w:space="0"/>
                    <w:bottom w:val="single" w:color="auto" w:sz="6" w:space="0"/>
                    <w:right w:val="single" w:color="auto" w:sz="4" w:space="0"/>
                  </w:tcBorders>
                  <w:vAlign w:val="center"/>
                </w:tcPr>
                <w:p w14:paraId="01AEB2AE">
                  <w:pPr>
                    <w:jc w:val="center"/>
                    <w:rPr>
                      <w:color w:val="auto"/>
                      <w:szCs w:val="21"/>
                    </w:rPr>
                  </w:pPr>
                  <w:r>
                    <w:rPr>
                      <w:color w:val="auto"/>
                      <w:szCs w:val="21"/>
                    </w:rPr>
                    <w:t>酸洗</w:t>
                  </w:r>
                </w:p>
              </w:tc>
            </w:tr>
            <w:tr w14:paraId="1B8C2D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3" w:type="pct"/>
                  <w:tcBorders>
                    <w:top w:val="single" w:color="auto" w:sz="6" w:space="0"/>
                    <w:left w:val="single" w:color="auto" w:sz="6" w:space="0"/>
                    <w:bottom w:val="single" w:color="auto" w:sz="6" w:space="0"/>
                    <w:right w:val="single" w:color="auto" w:sz="4" w:space="0"/>
                  </w:tcBorders>
                  <w:shd w:val="clear" w:color="auto" w:fill="auto"/>
                  <w:vAlign w:val="center"/>
                </w:tcPr>
                <w:p w14:paraId="50CBFA5D">
                  <w:pPr>
                    <w:jc w:val="center"/>
                    <w:rPr>
                      <w:rFonts w:ascii="Times New Roman" w:hAnsi="Times New Roman" w:eastAsia="宋体" w:cs="Times New Roman"/>
                      <w:color w:val="auto"/>
                      <w:kern w:val="2"/>
                      <w:sz w:val="21"/>
                      <w:szCs w:val="21"/>
                      <w:lang w:val="en-US" w:eastAsia="zh-CN" w:bidi="ar-SA"/>
                    </w:rPr>
                  </w:pPr>
                  <w:r>
                    <w:rPr>
                      <w:color w:val="auto"/>
                      <w:szCs w:val="21"/>
                    </w:rPr>
                    <w:t>6</w:t>
                  </w:r>
                </w:p>
              </w:tc>
              <w:tc>
                <w:tcPr>
                  <w:tcW w:w="662" w:type="pct"/>
                  <w:tcBorders>
                    <w:top w:val="single" w:color="auto" w:sz="6" w:space="0"/>
                    <w:left w:val="single" w:color="auto" w:sz="6" w:space="0"/>
                    <w:bottom w:val="single" w:color="auto" w:sz="6" w:space="0"/>
                    <w:right w:val="single" w:color="auto" w:sz="4" w:space="0"/>
                  </w:tcBorders>
                  <w:vAlign w:val="center"/>
                </w:tcPr>
                <w:p w14:paraId="3E9E0126">
                  <w:pPr>
                    <w:jc w:val="center"/>
                    <w:rPr>
                      <w:color w:val="auto"/>
                      <w:szCs w:val="21"/>
                    </w:rPr>
                  </w:pPr>
                  <w:r>
                    <w:rPr>
                      <w:color w:val="auto"/>
                      <w:szCs w:val="21"/>
                    </w:rPr>
                    <w:t>润滑油</w:t>
                  </w:r>
                </w:p>
              </w:tc>
              <w:tc>
                <w:tcPr>
                  <w:tcW w:w="532" w:type="pct"/>
                  <w:tcBorders>
                    <w:top w:val="single" w:color="auto" w:sz="6" w:space="0"/>
                    <w:left w:val="single" w:color="auto" w:sz="6" w:space="0"/>
                    <w:bottom w:val="single" w:color="auto" w:sz="6" w:space="0"/>
                    <w:right w:val="single" w:color="auto" w:sz="6" w:space="0"/>
                  </w:tcBorders>
                  <w:vAlign w:val="center"/>
                </w:tcPr>
                <w:p w14:paraId="6DE44F49">
                  <w:pPr>
                    <w:jc w:val="center"/>
                    <w:rPr>
                      <w:color w:val="auto"/>
                      <w:szCs w:val="21"/>
                    </w:rPr>
                  </w:pPr>
                  <w:r>
                    <w:rPr>
                      <w:color w:val="auto"/>
                      <w:szCs w:val="21"/>
                    </w:rPr>
                    <w:t>液体</w:t>
                  </w:r>
                </w:p>
              </w:tc>
              <w:tc>
                <w:tcPr>
                  <w:tcW w:w="743" w:type="pct"/>
                  <w:tcBorders>
                    <w:top w:val="single" w:color="auto" w:sz="6" w:space="0"/>
                    <w:left w:val="single" w:color="auto" w:sz="6" w:space="0"/>
                    <w:bottom w:val="single" w:color="auto" w:sz="6" w:space="0"/>
                    <w:right w:val="single" w:color="auto" w:sz="4" w:space="0"/>
                  </w:tcBorders>
                  <w:vAlign w:val="center"/>
                </w:tcPr>
                <w:p w14:paraId="4034388B">
                  <w:pPr>
                    <w:jc w:val="center"/>
                    <w:rPr>
                      <w:rFonts w:hint="eastAsia" w:eastAsia="宋体"/>
                      <w:color w:val="auto"/>
                      <w:szCs w:val="21"/>
                      <w:lang w:val="en-US" w:eastAsia="zh-CN"/>
                    </w:rPr>
                  </w:pPr>
                  <w:r>
                    <w:rPr>
                      <w:rFonts w:hint="eastAsia"/>
                      <w:color w:val="auto"/>
                      <w:szCs w:val="21"/>
                      <w:lang w:val="en-US" w:eastAsia="zh-CN"/>
                    </w:rPr>
                    <w:t>/</w:t>
                  </w:r>
                </w:p>
              </w:tc>
              <w:tc>
                <w:tcPr>
                  <w:tcW w:w="604" w:type="pct"/>
                  <w:tcBorders>
                    <w:top w:val="single" w:color="auto" w:sz="6" w:space="0"/>
                    <w:left w:val="single" w:color="auto" w:sz="4" w:space="0"/>
                    <w:bottom w:val="single" w:color="auto" w:sz="6" w:space="0"/>
                    <w:right w:val="single" w:color="auto" w:sz="6" w:space="0"/>
                  </w:tcBorders>
                  <w:vAlign w:val="center"/>
                </w:tcPr>
                <w:p w14:paraId="7A4577C3">
                  <w:pPr>
                    <w:jc w:val="center"/>
                    <w:rPr>
                      <w:color w:val="auto"/>
                      <w:szCs w:val="21"/>
                    </w:rPr>
                  </w:pPr>
                  <w:r>
                    <w:rPr>
                      <w:color w:val="auto"/>
                      <w:szCs w:val="21"/>
                    </w:rPr>
                    <w:t>20kg/桶</w:t>
                  </w:r>
                </w:p>
              </w:tc>
              <w:tc>
                <w:tcPr>
                  <w:tcW w:w="513" w:type="pct"/>
                  <w:tcBorders>
                    <w:top w:val="single" w:color="auto" w:sz="6" w:space="0"/>
                    <w:left w:val="single" w:color="auto" w:sz="6" w:space="0"/>
                    <w:bottom w:val="single" w:color="auto" w:sz="6" w:space="0"/>
                    <w:right w:val="single" w:color="auto" w:sz="6" w:space="0"/>
                  </w:tcBorders>
                  <w:vAlign w:val="center"/>
                </w:tcPr>
                <w:p w14:paraId="0413ACBE">
                  <w:pPr>
                    <w:jc w:val="center"/>
                    <w:rPr>
                      <w:color w:val="auto"/>
                      <w:szCs w:val="21"/>
                    </w:rPr>
                  </w:pPr>
                  <w:r>
                    <w:rPr>
                      <w:color w:val="auto"/>
                      <w:szCs w:val="21"/>
                    </w:rPr>
                    <w:t>0.08</w:t>
                  </w:r>
                </w:p>
              </w:tc>
              <w:tc>
                <w:tcPr>
                  <w:tcW w:w="658" w:type="pct"/>
                  <w:tcBorders>
                    <w:top w:val="single" w:color="auto" w:sz="6" w:space="0"/>
                    <w:left w:val="single" w:color="auto" w:sz="4" w:space="0"/>
                    <w:bottom w:val="single" w:color="auto" w:sz="6" w:space="0"/>
                    <w:right w:val="single" w:color="auto" w:sz="4" w:space="0"/>
                  </w:tcBorders>
                  <w:vAlign w:val="center"/>
                </w:tcPr>
                <w:p w14:paraId="1D63D56E">
                  <w:pPr>
                    <w:jc w:val="center"/>
                    <w:rPr>
                      <w:color w:val="auto"/>
                      <w:szCs w:val="21"/>
                    </w:rPr>
                  </w:pPr>
                  <w:r>
                    <w:rPr>
                      <w:color w:val="auto"/>
                      <w:szCs w:val="21"/>
                    </w:rPr>
                    <w:t>0.5</w:t>
                  </w:r>
                </w:p>
              </w:tc>
              <w:tc>
                <w:tcPr>
                  <w:tcW w:w="862" w:type="pct"/>
                  <w:tcBorders>
                    <w:top w:val="single" w:color="auto" w:sz="6" w:space="0"/>
                    <w:left w:val="single" w:color="auto" w:sz="4" w:space="0"/>
                    <w:bottom w:val="single" w:color="auto" w:sz="6" w:space="0"/>
                    <w:right w:val="single" w:color="auto" w:sz="4" w:space="0"/>
                  </w:tcBorders>
                  <w:vAlign w:val="center"/>
                </w:tcPr>
                <w:p w14:paraId="2C3A7DF8">
                  <w:pPr>
                    <w:jc w:val="center"/>
                    <w:rPr>
                      <w:color w:val="auto"/>
                      <w:szCs w:val="21"/>
                    </w:rPr>
                  </w:pPr>
                  <w:r>
                    <w:rPr>
                      <w:color w:val="auto"/>
                      <w:szCs w:val="21"/>
                    </w:rPr>
                    <w:t>维修保养</w:t>
                  </w:r>
                </w:p>
              </w:tc>
            </w:tr>
            <w:tr w14:paraId="5755BA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23" w:type="pct"/>
                  <w:tcBorders>
                    <w:top w:val="single" w:color="auto" w:sz="6" w:space="0"/>
                    <w:left w:val="single" w:color="auto" w:sz="6" w:space="0"/>
                    <w:bottom w:val="single" w:color="auto" w:sz="6" w:space="0"/>
                    <w:right w:val="single" w:color="auto" w:sz="4" w:space="0"/>
                  </w:tcBorders>
                  <w:shd w:val="clear" w:color="auto" w:fill="auto"/>
                  <w:vAlign w:val="center"/>
                </w:tcPr>
                <w:p w14:paraId="19151E48">
                  <w:pPr>
                    <w:jc w:val="center"/>
                    <w:rPr>
                      <w:rFonts w:ascii="Times New Roman" w:hAnsi="Times New Roman" w:eastAsia="宋体" w:cs="Times New Roman"/>
                      <w:color w:val="auto"/>
                      <w:kern w:val="2"/>
                      <w:sz w:val="21"/>
                      <w:szCs w:val="21"/>
                      <w:lang w:val="en-US" w:eastAsia="zh-CN" w:bidi="ar-SA"/>
                    </w:rPr>
                  </w:pPr>
                  <w:r>
                    <w:rPr>
                      <w:color w:val="auto"/>
                      <w:szCs w:val="21"/>
                    </w:rPr>
                    <w:t>7</w:t>
                  </w:r>
                </w:p>
              </w:tc>
              <w:tc>
                <w:tcPr>
                  <w:tcW w:w="662" w:type="pct"/>
                  <w:tcBorders>
                    <w:top w:val="single" w:color="auto" w:sz="6" w:space="0"/>
                    <w:left w:val="single" w:color="auto" w:sz="6" w:space="0"/>
                    <w:bottom w:val="single" w:color="auto" w:sz="6" w:space="0"/>
                    <w:right w:val="single" w:color="auto" w:sz="4" w:space="0"/>
                  </w:tcBorders>
                  <w:vAlign w:val="center"/>
                </w:tcPr>
                <w:p w14:paraId="0E288EE3">
                  <w:pPr>
                    <w:jc w:val="center"/>
                    <w:rPr>
                      <w:color w:val="auto"/>
                      <w:szCs w:val="21"/>
                    </w:rPr>
                  </w:pPr>
                  <w:r>
                    <w:rPr>
                      <w:color w:val="auto"/>
                      <w:szCs w:val="21"/>
                    </w:rPr>
                    <w:t>液压油</w:t>
                  </w:r>
                </w:p>
              </w:tc>
              <w:tc>
                <w:tcPr>
                  <w:tcW w:w="532" w:type="pct"/>
                  <w:tcBorders>
                    <w:top w:val="single" w:color="auto" w:sz="6" w:space="0"/>
                    <w:left w:val="single" w:color="auto" w:sz="6" w:space="0"/>
                    <w:bottom w:val="single" w:color="auto" w:sz="6" w:space="0"/>
                    <w:right w:val="single" w:color="auto" w:sz="6" w:space="0"/>
                  </w:tcBorders>
                  <w:vAlign w:val="center"/>
                </w:tcPr>
                <w:p w14:paraId="4E5DD51B">
                  <w:pPr>
                    <w:jc w:val="center"/>
                    <w:rPr>
                      <w:color w:val="auto"/>
                      <w:szCs w:val="21"/>
                    </w:rPr>
                  </w:pPr>
                  <w:r>
                    <w:rPr>
                      <w:color w:val="auto"/>
                      <w:szCs w:val="21"/>
                    </w:rPr>
                    <w:t>液体</w:t>
                  </w:r>
                </w:p>
              </w:tc>
              <w:tc>
                <w:tcPr>
                  <w:tcW w:w="743" w:type="pct"/>
                  <w:tcBorders>
                    <w:top w:val="single" w:color="auto" w:sz="6" w:space="0"/>
                    <w:left w:val="single" w:color="auto" w:sz="6" w:space="0"/>
                    <w:bottom w:val="single" w:color="auto" w:sz="6" w:space="0"/>
                    <w:right w:val="single" w:color="auto" w:sz="4" w:space="0"/>
                  </w:tcBorders>
                  <w:vAlign w:val="center"/>
                </w:tcPr>
                <w:p w14:paraId="6D9944EE">
                  <w:pPr>
                    <w:jc w:val="center"/>
                    <w:rPr>
                      <w:rFonts w:hint="eastAsia" w:eastAsia="宋体"/>
                      <w:color w:val="auto"/>
                      <w:szCs w:val="21"/>
                      <w:lang w:val="en-US" w:eastAsia="zh-CN"/>
                    </w:rPr>
                  </w:pPr>
                  <w:r>
                    <w:rPr>
                      <w:rFonts w:hint="eastAsia"/>
                      <w:color w:val="auto"/>
                      <w:szCs w:val="21"/>
                      <w:lang w:val="en-US" w:eastAsia="zh-CN"/>
                    </w:rPr>
                    <w:t>/</w:t>
                  </w:r>
                </w:p>
              </w:tc>
              <w:tc>
                <w:tcPr>
                  <w:tcW w:w="604" w:type="pct"/>
                  <w:tcBorders>
                    <w:top w:val="single" w:color="auto" w:sz="6" w:space="0"/>
                    <w:left w:val="single" w:color="auto" w:sz="4" w:space="0"/>
                    <w:bottom w:val="single" w:color="auto" w:sz="6" w:space="0"/>
                    <w:right w:val="single" w:color="auto" w:sz="6" w:space="0"/>
                  </w:tcBorders>
                  <w:vAlign w:val="center"/>
                </w:tcPr>
                <w:p w14:paraId="0F3BE587">
                  <w:pPr>
                    <w:jc w:val="center"/>
                    <w:rPr>
                      <w:color w:val="auto"/>
                      <w:szCs w:val="21"/>
                    </w:rPr>
                  </w:pPr>
                  <w:r>
                    <w:rPr>
                      <w:color w:val="auto"/>
                      <w:szCs w:val="21"/>
                    </w:rPr>
                    <w:t>20kg/桶</w:t>
                  </w:r>
                </w:p>
              </w:tc>
              <w:tc>
                <w:tcPr>
                  <w:tcW w:w="513" w:type="pct"/>
                  <w:tcBorders>
                    <w:top w:val="single" w:color="auto" w:sz="6" w:space="0"/>
                    <w:left w:val="single" w:color="auto" w:sz="6" w:space="0"/>
                    <w:bottom w:val="single" w:color="auto" w:sz="6" w:space="0"/>
                    <w:right w:val="single" w:color="auto" w:sz="6" w:space="0"/>
                  </w:tcBorders>
                  <w:vAlign w:val="center"/>
                </w:tcPr>
                <w:p w14:paraId="1B33B03D">
                  <w:pPr>
                    <w:jc w:val="center"/>
                    <w:rPr>
                      <w:color w:val="auto"/>
                      <w:szCs w:val="21"/>
                    </w:rPr>
                  </w:pPr>
                  <w:r>
                    <w:rPr>
                      <w:color w:val="auto"/>
                      <w:szCs w:val="21"/>
                    </w:rPr>
                    <w:t>0.08</w:t>
                  </w:r>
                </w:p>
              </w:tc>
              <w:tc>
                <w:tcPr>
                  <w:tcW w:w="658" w:type="pct"/>
                  <w:tcBorders>
                    <w:top w:val="single" w:color="auto" w:sz="6" w:space="0"/>
                    <w:left w:val="single" w:color="auto" w:sz="4" w:space="0"/>
                    <w:bottom w:val="single" w:color="auto" w:sz="6" w:space="0"/>
                    <w:right w:val="single" w:color="auto" w:sz="4" w:space="0"/>
                  </w:tcBorders>
                  <w:vAlign w:val="center"/>
                </w:tcPr>
                <w:p w14:paraId="7BCB5267">
                  <w:pPr>
                    <w:jc w:val="center"/>
                    <w:rPr>
                      <w:color w:val="auto"/>
                      <w:szCs w:val="21"/>
                    </w:rPr>
                  </w:pPr>
                  <w:r>
                    <w:rPr>
                      <w:color w:val="auto"/>
                      <w:szCs w:val="21"/>
                    </w:rPr>
                    <w:t>0.5</w:t>
                  </w:r>
                </w:p>
              </w:tc>
              <w:tc>
                <w:tcPr>
                  <w:tcW w:w="862" w:type="pct"/>
                  <w:tcBorders>
                    <w:top w:val="single" w:color="auto" w:sz="6" w:space="0"/>
                    <w:left w:val="single" w:color="auto" w:sz="4" w:space="0"/>
                    <w:bottom w:val="single" w:color="auto" w:sz="6" w:space="0"/>
                    <w:right w:val="single" w:color="auto" w:sz="4" w:space="0"/>
                  </w:tcBorders>
                  <w:vAlign w:val="center"/>
                </w:tcPr>
                <w:p w14:paraId="335A3141">
                  <w:pPr>
                    <w:jc w:val="center"/>
                    <w:rPr>
                      <w:color w:val="auto"/>
                      <w:szCs w:val="21"/>
                    </w:rPr>
                  </w:pPr>
                  <w:r>
                    <w:rPr>
                      <w:color w:val="auto"/>
                      <w:szCs w:val="21"/>
                    </w:rPr>
                    <w:t>维修保养</w:t>
                  </w:r>
                </w:p>
              </w:tc>
            </w:tr>
          </w:tbl>
          <w:p w14:paraId="7742C91E">
            <w:pPr>
              <w:adjustRightInd w:val="0"/>
              <w:snapToGrid w:val="0"/>
              <w:spacing w:beforeLines="50" w:line="360" w:lineRule="auto"/>
              <w:rPr>
                <w:b/>
                <w:bCs/>
                <w:color w:val="auto"/>
                <w:sz w:val="24"/>
              </w:rPr>
            </w:pPr>
            <w:r>
              <w:rPr>
                <w:b/>
                <w:bCs/>
                <w:color w:val="auto"/>
                <w:sz w:val="24"/>
              </w:rPr>
              <w:t xml:space="preserve">2.1.6 主要原料理化性 </w:t>
            </w:r>
          </w:p>
          <w:p w14:paraId="3DC1142E">
            <w:pPr>
              <w:pStyle w:val="9"/>
              <w:spacing w:line="360" w:lineRule="auto"/>
              <w:ind w:firstLine="480"/>
              <w:rPr>
                <w:rFonts w:hint="default" w:eastAsia="宋体"/>
                <w:color w:val="auto"/>
                <w:sz w:val="24"/>
                <w:szCs w:val="24"/>
                <w:lang w:val="en-US" w:eastAsia="zh-CN"/>
              </w:rPr>
            </w:pPr>
            <w:r>
              <w:rPr>
                <w:rFonts w:hint="eastAsia" w:eastAsia="宋体"/>
                <w:color w:val="auto"/>
                <w:sz w:val="24"/>
                <w:szCs w:val="24"/>
                <w:lang w:val="en-US" w:eastAsia="zh-CN"/>
              </w:rPr>
              <w:t>项目使用的石英石主要为常规石英石、B7002石英石、A4001石英石</w:t>
            </w:r>
            <w:r>
              <w:rPr>
                <w:rFonts w:hint="eastAsia"/>
                <w:color w:val="auto"/>
                <w:sz w:val="24"/>
                <w:szCs w:val="24"/>
                <w:lang w:val="en-US" w:eastAsia="zh-CN"/>
              </w:rPr>
              <w:t>等</w:t>
            </w:r>
            <w:r>
              <w:rPr>
                <w:rFonts w:hint="eastAsia" w:eastAsia="宋体"/>
                <w:color w:val="auto"/>
                <w:sz w:val="24"/>
                <w:szCs w:val="24"/>
                <w:lang w:val="en-US" w:eastAsia="zh-CN"/>
              </w:rPr>
              <w:t>，SiO</w:t>
            </w:r>
            <w:r>
              <w:rPr>
                <w:rFonts w:hint="eastAsia" w:eastAsia="宋体"/>
                <w:color w:val="auto"/>
                <w:sz w:val="24"/>
                <w:szCs w:val="24"/>
                <w:vertAlign w:val="subscript"/>
                <w:lang w:val="en-US" w:eastAsia="zh-CN"/>
              </w:rPr>
              <w:t>2</w:t>
            </w:r>
            <w:r>
              <w:rPr>
                <w:rFonts w:hint="eastAsia"/>
                <w:color w:val="auto"/>
                <w:sz w:val="24"/>
                <w:szCs w:val="24"/>
                <w:lang w:val="en-US" w:eastAsia="zh-CN"/>
              </w:rPr>
              <w:t>纯度均≥99.98%，</w:t>
            </w:r>
            <w:r>
              <w:rPr>
                <w:rFonts w:hint="eastAsia" w:eastAsia="宋体"/>
                <w:color w:val="auto"/>
                <w:sz w:val="24"/>
                <w:szCs w:val="24"/>
                <w:lang w:val="en-US" w:eastAsia="zh-CN"/>
              </w:rPr>
              <w:t>具体成分见下表，同一品种原料各成分含量也有所不同，但差距不大，不会影响产品质量，</w:t>
            </w:r>
            <w:r>
              <w:rPr>
                <w:rFonts w:hint="eastAsia"/>
                <w:color w:val="auto"/>
                <w:sz w:val="24"/>
                <w:szCs w:val="24"/>
                <w:lang w:val="en-US" w:eastAsia="zh-CN"/>
              </w:rPr>
              <w:t>要求企业进厂原料控制</w:t>
            </w:r>
            <w:r>
              <w:rPr>
                <w:rFonts w:hint="eastAsia" w:eastAsia="宋体"/>
                <w:color w:val="auto"/>
                <w:sz w:val="24"/>
                <w:szCs w:val="24"/>
                <w:lang w:val="en-US" w:eastAsia="zh-CN"/>
              </w:rPr>
              <w:t>杂质含量</w:t>
            </w:r>
            <w:r>
              <w:rPr>
                <w:rFonts w:hint="eastAsia"/>
                <w:color w:val="auto"/>
                <w:sz w:val="24"/>
                <w:szCs w:val="24"/>
                <w:lang w:val="en-US" w:eastAsia="zh-CN"/>
              </w:rPr>
              <w:t>≤</w:t>
            </w:r>
            <w:r>
              <w:rPr>
                <w:rFonts w:hint="eastAsia" w:eastAsia="宋体"/>
                <w:color w:val="auto"/>
                <w:sz w:val="24"/>
                <w:szCs w:val="24"/>
                <w:lang w:val="en-US" w:eastAsia="zh-CN"/>
              </w:rPr>
              <w:t>0.02%</w:t>
            </w:r>
            <w:r>
              <w:rPr>
                <w:rFonts w:hint="eastAsia"/>
                <w:color w:val="auto"/>
                <w:sz w:val="24"/>
                <w:szCs w:val="24"/>
                <w:lang w:val="en-US" w:eastAsia="zh-CN"/>
              </w:rPr>
              <w:t>，</w:t>
            </w:r>
            <w:r>
              <w:rPr>
                <w:rFonts w:hint="eastAsia" w:eastAsia="宋体"/>
                <w:color w:val="auto"/>
                <w:sz w:val="24"/>
                <w:szCs w:val="24"/>
                <w:lang w:val="en-US" w:eastAsia="zh-CN"/>
              </w:rPr>
              <w:t>SiO</w:t>
            </w:r>
            <w:r>
              <w:rPr>
                <w:rFonts w:hint="eastAsia" w:eastAsia="宋体"/>
                <w:color w:val="auto"/>
                <w:sz w:val="24"/>
                <w:szCs w:val="24"/>
                <w:vertAlign w:val="subscript"/>
                <w:lang w:val="en-US" w:eastAsia="zh-CN"/>
              </w:rPr>
              <w:t>2</w:t>
            </w:r>
            <w:r>
              <w:rPr>
                <w:rFonts w:hint="eastAsia"/>
                <w:color w:val="auto"/>
                <w:sz w:val="24"/>
                <w:szCs w:val="24"/>
                <w:lang w:val="en-US" w:eastAsia="zh-CN"/>
              </w:rPr>
              <w:t>纯度</w:t>
            </w:r>
            <w:r>
              <w:rPr>
                <w:rFonts w:hint="eastAsia" w:eastAsia="宋体"/>
                <w:color w:val="auto"/>
                <w:sz w:val="24"/>
                <w:szCs w:val="24"/>
                <w:lang w:val="en-US" w:eastAsia="zh-CN"/>
              </w:rPr>
              <w:t>含量</w:t>
            </w:r>
            <w:r>
              <w:rPr>
                <w:rFonts w:hint="eastAsia"/>
                <w:color w:val="auto"/>
                <w:sz w:val="24"/>
                <w:szCs w:val="24"/>
                <w:lang w:val="en-US" w:eastAsia="zh-CN"/>
              </w:rPr>
              <w:t>≥99.98%</w:t>
            </w:r>
            <w:r>
              <w:rPr>
                <w:rFonts w:hint="eastAsia" w:eastAsia="宋体"/>
                <w:color w:val="auto"/>
                <w:sz w:val="24"/>
                <w:szCs w:val="24"/>
                <w:lang w:val="en-US" w:eastAsia="zh-CN"/>
              </w:rPr>
              <w:t>。</w:t>
            </w:r>
          </w:p>
          <w:p w14:paraId="1A009581">
            <w:pPr>
              <w:jc w:val="center"/>
              <w:rPr>
                <w:b/>
                <w:bCs/>
                <w:color w:val="auto"/>
                <w:szCs w:val="21"/>
              </w:rPr>
            </w:pPr>
            <w:r>
              <w:rPr>
                <w:b/>
                <w:bCs/>
                <w:color w:val="auto"/>
                <w:szCs w:val="21"/>
              </w:rPr>
              <w:t>表2-</w:t>
            </w:r>
            <w:r>
              <w:rPr>
                <w:rFonts w:hint="eastAsia"/>
                <w:b/>
                <w:bCs/>
                <w:color w:val="auto"/>
                <w:szCs w:val="21"/>
                <w:lang w:val="en-US" w:eastAsia="zh-CN"/>
              </w:rPr>
              <w:t>7</w:t>
            </w:r>
            <w:r>
              <w:rPr>
                <w:b/>
                <w:bCs/>
                <w:color w:val="auto"/>
                <w:szCs w:val="21"/>
              </w:rPr>
              <w:t xml:space="preserve">  高纯石英砂提纯原料主要成分分析结果一览表  单位</w:t>
            </w:r>
            <w:r>
              <w:rPr>
                <w:rFonts w:hint="eastAsia"/>
                <w:b/>
                <w:bCs/>
                <w:color w:val="auto"/>
                <w:szCs w:val="21"/>
                <w:lang w:eastAsia="zh-CN"/>
              </w:rPr>
              <w:t>：</w:t>
            </w:r>
            <w:r>
              <w:rPr>
                <w:rFonts w:hint="eastAsia"/>
                <w:b/>
                <w:bCs/>
                <w:color w:val="auto"/>
                <w:szCs w:val="21"/>
                <w:lang w:val="en-US" w:eastAsia="zh-CN"/>
              </w:rPr>
              <w:t>除标注外</w:t>
            </w:r>
            <w:r>
              <w:rPr>
                <w:b/>
                <w:bCs/>
                <w:color w:val="auto"/>
                <w:szCs w:val="21"/>
              </w:rPr>
              <w:t>mg/kg</w:t>
            </w:r>
          </w:p>
          <w:tbl>
            <w:tblPr>
              <w:tblStyle w:val="32"/>
              <w:tblW w:w="8048" w:type="dxa"/>
              <w:jc w:val="center"/>
              <w:tblLayout w:type="fixed"/>
              <w:tblCellMar>
                <w:top w:w="0" w:type="dxa"/>
                <w:left w:w="108" w:type="dxa"/>
                <w:bottom w:w="0" w:type="dxa"/>
                <w:right w:w="108" w:type="dxa"/>
              </w:tblCellMar>
            </w:tblPr>
            <w:tblGrid>
              <w:gridCol w:w="854"/>
              <w:gridCol w:w="603"/>
              <w:gridCol w:w="554"/>
              <w:gridCol w:w="555"/>
              <w:gridCol w:w="522"/>
              <w:gridCol w:w="570"/>
              <w:gridCol w:w="538"/>
              <w:gridCol w:w="489"/>
              <w:gridCol w:w="522"/>
              <w:gridCol w:w="538"/>
              <w:gridCol w:w="489"/>
              <w:gridCol w:w="555"/>
              <w:gridCol w:w="538"/>
              <w:gridCol w:w="721"/>
            </w:tblGrid>
            <w:tr w14:paraId="4E54CE54">
              <w:tblPrEx>
                <w:tblCellMar>
                  <w:top w:w="0" w:type="dxa"/>
                  <w:left w:w="108" w:type="dxa"/>
                  <w:bottom w:w="0" w:type="dxa"/>
                  <w:right w:w="108" w:type="dxa"/>
                </w:tblCellMar>
              </w:tblPrEx>
              <w:trPr>
                <w:trHeight w:val="90" w:hRule="atLeast"/>
                <w:jc w:val="center"/>
              </w:trPr>
              <w:tc>
                <w:tcPr>
                  <w:tcW w:w="530" w:type="pct"/>
                  <w:tcBorders>
                    <w:top w:val="single" w:color="000000" w:sz="4" w:space="0"/>
                    <w:left w:val="single" w:color="000000" w:sz="4" w:space="0"/>
                    <w:bottom w:val="single" w:color="000000" w:sz="4" w:space="0"/>
                    <w:right w:val="single" w:color="000000" w:sz="4" w:space="0"/>
                    <w:tl2br w:val="single" w:color="000000" w:sz="4" w:space="0"/>
                  </w:tcBorders>
                  <w:vAlign w:val="center"/>
                </w:tcPr>
                <w:p w14:paraId="2660058E">
                  <w:pPr>
                    <w:jc w:val="left"/>
                    <w:textAlignment w:val="center"/>
                    <w:rPr>
                      <w:color w:val="auto"/>
                      <w:szCs w:val="21"/>
                    </w:rPr>
                  </w:pPr>
                </w:p>
              </w:tc>
              <w:tc>
                <w:tcPr>
                  <w:tcW w:w="374" w:type="pct"/>
                  <w:tcBorders>
                    <w:top w:val="single" w:color="000000" w:sz="4" w:space="0"/>
                    <w:left w:val="single" w:color="000000" w:sz="4" w:space="0"/>
                    <w:bottom w:val="single" w:color="000000" w:sz="4" w:space="0"/>
                    <w:right w:val="single" w:color="000000" w:sz="4" w:space="0"/>
                  </w:tcBorders>
                  <w:noWrap/>
                  <w:vAlign w:val="center"/>
                </w:tcPr>
                <w:p w14:paraId="7257B6E8">
                  <w:pPr>
                    <w:jc w:val="center"/>
                    <w:textAlignment w:val="center"/>
                    <w:rPr>
                      <w:color w:val="auto"/>
                      <w:szCs w:val="21"/>
                    </w:rPr>
                  </w:pPr>
                  <w:r>
                    <w:rPr>
                      <w:color w:val="auto"/>
                      <w:kern w:val="0"/>
                      <w:szCs w:val="21"/>
                    </w:rPr>
                    <w:t>铝</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06C794A1">
                  <w:pPr>
                    <w:jc w:val="center"/>
                    <w:textAlignment w:val="center"/>
                    <w:rPr>
                      <w:color w:val="auto"/>
                      <w:szCs w:val="21"/>
                    </w:rPr>
                  </w:pPr>
                  <w:r>
                    <w:rPr>
                      <w:color w:val="auto"/>
                      <w:kern w:val="0"/>
                      <w:szCs w:val="21"/>
                    </w:rPr>
                    <w:t>钙</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3BA2D2DE">
                  <w:pPr>
                    <w:jc w:val="center"/>
                    <w:textAlignment w:val="center"/>
                    <w:rPr>
                      <w:color w:val="auto"/>
                      <w:szCs w:val="21"/>
                    </w:rPr>
                  </w:pPr>
                  <w:r>
                    <w:rPr>
                      <w:color w:val="auto"/>
                      <w:kern w:val="0"/>
                      <w:szCs w:val="21"/>
                    </w:rPr>
                    <w:t>铁</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4EB4B811">
                  <w:pPr>
                    <w:jc w:val="center"/>
                    <w:textAlignment w:val="center"/>
                    <w:rPr>
                      <w:color w:val="auto"/>
                      <w:szCs w:val="21"/>
                    </w:rPr>
                  </w:pPr>
                  <w:r>
                    <w:rPr>
                      <w:color w:val="auto"/>
                      <w:kern w:val="0"/>
                      <w:szCs w:val="21"/>
                    </w:rPr>
                    <w:t>钾</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057D0D7E">
                  <w:pPr>
                    <w:jc w:val="center"/>
                    <w:textAlignment w:val="center"/>
                    <w:rPr>
                      <w:color w:val="auto"/>
                      <w:szCs w:val="21"/>
                    </w:rPr>
                  </w:pPr>
                  <w:r>
                    <w:rPr>
                      <w:color w:val="auto"/>
                      <w:kern w:val="0"/>
                      <w:szCs w:val="21"/>
                    </w:rPr>
                    <w:t>锂</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56415C68">
                  <w:pPr>
                    <w:jc w:val="center"/>
                    <w:textAlignment w:val="center"/>
                    <w:rPr>
                      <w:color w:val="auto"/>
                      <w:szCs w:val="21"/>
                    </w:rPr>
                  </w:pPr>
                  <w:r>
                    <w:rPr>
                      <w:color w:val="auto"/>
                      <w:kern w:val="0"/>
                      <w:szCs w:val="21"/>
                    </w:rPr>
                    <w:t>镁</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706D1365">
                  <w:pPr>
                    <w:jc w:val="center"/>
                    <w:textAlignment w:val="center"/>
                    <w:rPr>
                      <w:color w:val="auto"/>
                      <w:szCs w:val="21"/>
                    </w:rPr>
                  </w:pPr>
                  <w:r>
                    <w:rPr>
                      <w:color w:val="auto"/>
                      <w:kern w:val="0"/>
                      <w:szCs w:val="21"/>
                    </w:rPr>
                    <w:t>钠</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4ADCB6B4">
                  <w:pPr>
                    <w:jc w:val="center"/>
                    <w:textAlignment w:val="center"/>
                    <w:rPr>
                      <w:color w:val="auto"/>
                      <w:szCs w:val="21"/>
                    </w:rPr>
                  </w:pPr>
                  <w:r>
                    <w:rPr>
                      <w:color w:val="auto"/>
                      <w:kern w:val="0"/>
                      <w:szCs w:val="21"/>
                    </w:rPr>
                    <w:t>锰</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44680212">
                  <w:pPr>
                    <w:jc w:val="center"/>
                    <w:textAlignment w:val="center"/>
                    <w:rPr>
                      <w:color w:val="auto"/>
                      <w:szCs w:val="21"/>
                    </w:rPr>
                  </w:pPr>
                  <w:r>
                    <w:rPr>
                      <w:color w:val="auto"/>
                      <w:kern w:val="0"/>
                      <w:szCs w:val="21"/>
                    </w:rPr>
                    <w:t>钛</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5C92598D">
                  <w:pPr>
                    <w:jc w:val="center"/>
                    <w:textAlignment w:val="center"/>
                    <w:rPr>
                      <w:color w:val="auto"/>
                      <w:kern w:val="0"/>
                      <w:szCs w:val="21"/>
                    </w:rPr>
                  </w:pPr>
                  <w:r>
                    <w:rPr>
                      <w:color w:val="auto"/>
                      <w:kern w:val="0"/>
                      <w:szCs w:val="21"/>
                    </w:rPr>
                    <w:t>铬</w:t>
                  </w:r>
                </w:p>
              </w:tc>
              <w:tc>
                <w:tcPr>
                  <w:tcW w:w="344" w:type="pct"/>
                  <w:tcBorders>
                    <w:top w:val="single" w:color="000000" w:sz="4" w:space="0"/>
                    <w:left w:val="single" w:color="000000" w:sz="4" w:space="0"/>
                    <w:bottom w:val="single" w:color="000000" w:sz="4" w:space="0"/>
                    <w:right w:val="single" w:color="auto" w:sz="4" w:space="0"/>
                  </w:tcBorders>
                  <w:noWrap/>
                  <w:vAlign w:val="center"/>
                </w:tcPr>
                <w:p w14:paraId="3A0855F9">
                  <w:pPr>
                    <w:jc w:val="center"/>
                    <w:textAlignment w:val="center"/>
                    <w:rPr>
                      <w:color w:val="auto"/>
                      <w:kern w:val="0"/>
                      <w:szCs w:val="21"/>
                    </w:rPr>
                  </w:pPr>
                  <w:r>
                    <w:rPr>
                      <w:color w:val="auto"/>
                      <w:kern w:val="0"/>
                      <w:szCs w:val="21"/>
                    </w:rPr>
                    <w:t>铜</w:t>
                  </w:r>
                </w:p>
              </w:tc>
              <w:tc>
                <w:tcPr>
                  <w:tcW w:w="334" w:type="pct"/>
                  <w:tcBorders>
                    <w:top w:val="single" w:color="000000" w:sz="4" w:space="0"/>
                    <w:left w:val="single" w:color="auto" w:sz="4" w:space="0"/>
                    <w:bottom w:val="single" w:color="000000" w:sz="4" w:space="0"/>
                    <w:right w:val="single" w:color="000000" w:sz="4" w:space="0"/>
                  </w:tcBorders>
                  <w:noWrap/>
                  <w:vAlign w:val="center"/>
                </w:tcPr>
                <w:p w14:paraId="7A618183">
                  <w:pPr>
                    <w:jc w:val="center"/>
                    <w:textAlignment w:val="center"/>
                    <w:rPr>
                      <w:rFonts w:hint="default" w:eastAsia="宋体"/>
                      <w:color w:val="auto"/>
                      <w:kern w:val="0"/>
                      <w:szCs w:val="21"/>
                      <w:lang w:val="en-US" w:eastAsia="zh-CN"/>
                    </w:rPr>
                  </w:pPr>
                  <w:r>
                    <w:rPr>
                      <w:rFonts w:hint="eastAsia"/>
                      <w:color w:val="auto"/>
                      <w:kern w:val="0"/>
                      <w:szCs w:val="21"/>
                      <w:lang w:val="en-US" w:eastAsia="zh-CN"/>
                    </w:rPr>
                    <w:t>镍</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48540E69">
                  <w:pPr>
                    <w:jc w:val="center"/>
                    <w:textAlignment w:val="center"/>
                    <w:rPr>
                      <w:color w:val="auto"/>
                      <w:kern w:val="0"/>
                      <w:szCs w:val="21"/>
                    </w:rPr>
                  </w:pPr>
                  <w:r>
                    <w:rPr>
                      <w:color w:val="auto"/>
                      <w:szCs w:val="21"/>
                    </w:rPr>
                    <w:t>SiO</w:t>
                  </w:r>
                  <w:r>
                    <w:rPr>
                      <w:color w:val="auto"/>
                      <w:spacing w:val="5"/>
                      <w:position w:val="-1"/>
                      <w:szCs w:val="21"/>
                      <w:vertAlign w:val="subscript"/>
                    </w:rPr>
                    <w:t>2</w:t>
                  </w:r>
                  <w:r>
                    <w:rPr>
                      <w:color w:val="auto"/>
                      <w:kern w:val="0"/>
                      <w:szCs w:val="21"/>
                    </w:rPr>
                    <w:t>（%）</w:t>
                  </w:r>
                </w:p>
              </w:tc>
            </w:tr>
            <w:tr w14:paraId="67D39408">
              <w:tblPrEx>
                <w:tblCellMar>
                  <w:top w:w="0" w:type="dxa"/>
                  <w:left w:w="108" w:type="dxa"/>
                  <w:bottom w:w="0" w:type="dxa"/>
                  <w:right w:w="108" w:type="dxa"/>
                </w:tblCellMar>
              </w:tblPrEx>
              <w:trPr>
                <w:trHeight w:val="340" w:hRule="atLeast"/>
                <w:jc w:val="center"/>
              </w:trPr>
              <w:tc>
                <w:tcPr>
                  <w:tcW w:w="530" w:type="pct"/>
                  <w:tcBorders>
                    <w:top w:val="single" w:color="000000" w:sz="4" w:space="0"/>
                    <w:left w:val="single" w:color="000000" w:sz="4" w:space="0"/>
                    <w:bottom w:val="single" w:color="000000" w:sz="4" w:space="0"/>
                    <w:right w:val="single" w:color="000000" w:sz="4" w:space="0"/>
                  </w:tcBorders>
                  <w:noWrap/>
                  <w:vAlign w:val="center"/>
                </w:tcPr>
                <w:p w14:paraId="5AE7A940">
                  <w:pPr>
                    <w:jc w:val="center"/>
                    <w:textAlignment w:val="center"/>
                    <w:rPr>
                      <w:color w:val="auto"/>
                      <w:szCs w:val="21"/>
                    </w:rPr>
                  </w:pPr>
                  <w:r>
                    <w:rPr>
                      <w:rFonts w:hint="eastAsia"/>
                      <w:color w:val="auto"/>
                      <w:kern w:val="0"/>
                      <w:szCs w:val="21"/>
                      <w:lang w:val="en-US" w:eastAsia="zh-CN"/>
                    </w:rPr>
                    <w:t>常规</w:t>
                  </w:r>
                  <w:r>
                    <w:rPr>
                      <w:color w:val="auto"/>
                      <w:kern w:val="0"/>
                      <w:szCs w:val="21"/>
                    </w:rPr>
                    <w:t>石英石</w:t>
                  </w:r>
                </w:p>
              </w:tc>
              <w:tc>
                <w:tcPr>
                  <w:tcW w:w="374" w:type="pct"/>
                  <w:tcBorders>
                    <w:top w:val="single" w:color="000000" w:sz="4" w:space="0"/>
                    <w:left w:val="single" w:color="000000" w:sz="4" w:space="0"/>
                    <w:bottom w:val="single" w:color="000000" w:sz="4" w:space="0"/>
                    <w:right w:val="single" w:color="000000" w:sz="4" w:space="0"/>
                  </w:tcBorders>
                  <w:noWrap/>
                  <w:vAlign w:val="center"/>
                </w:tcPr>
                <w:p w14:paraId="405748AD">
                  <w:pPr>
                    <w:jc w:val="center"/>
                    <w:textAlignment w:val="center"/>
                    <w:rPr>
                      <w:color w:val="auto"/>
                      <w:szCs w:val="21"/>
                    </w:rPr>
                  </w:pPr>
                  <w:r>
                    <w:rPr>
                      <w:color w:val="auto"/>
                      <w:szCs w:val="21"/>
                    </w:rPr>
                    <w:t>31.61</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27F72D92">
                  <w:pPr>
                    <w:jc w:val="center"/>
                    <w:textAlignment w:val="center"/>
                    <w:rPr>
                      <w:color w:val="auto"/>
                      <w:szCs w:val="21"/>
                    </w:rPr>
                  </w:pPr>
                  <w:r>
                    <w:rPr>
                      <w:color w:val="auto"/>
                      <w:szCs w:val="21"/>
                    </w:rPr>
                    <w:t>1.10</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52F14BC8">
                  <w:pPr>
                    <w:jc w:val="center"/>
                    <w:textAlignment w:val="center"/>
                    <w:rPr>
                      <w:color w:val="auto"/>
                      <w:szCs w:val="21"/>
                    </w:rPr>
                  </w:pPr>
                  <w:r>
                    <w:rPr>
                      <w:color w:val="auto"/>
                      <w:szCs w:val="21"/>
                    </w:rPr>
                    <w:t>1.13</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240ED524">
                  <w:pPr>
                    <w:jc w:val="center"/>
                    <w:textAlignment w:val="center"/>
                    <w:rPr>
                      <w:color w:val="auto"/>
                      <w:szCs w:val="21"/>
                    </w:rPr>
                  </w:pPr>
                  <w:r>
                    <w:rPr>
                      <w:color w:val="auto"/>
                      <w:szCs w:val="21"/>
                    </w:rPr>
                    <w:t>7.73</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69A0E96A">
                  <w:pPr>
                    <w:jc w:val="center"/>
                    <w:textAlignment w:val="center"/>
                    <w:rPr>
                      <w:color w:val="auto"/>
                      <w:szCs w:val="21"/>
                    </w:rPr>
                  </w:pPr>
                  <w:r>
                    <w:rPr>
                      <w:color w:val="auto"/>
                      <w:szCs w:val="21"/>
                    </w:rPr>
                    <w:t>4.21</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3FCB18FA">
                  <w:pPr>
                    <w:jc w:val="center"/>
                    <w:textAlignment w:val="center"/>
                    <w:rPr>
                      <w:color w:val="auto"/>
                      <w:szCs w:val="21"/>
                    </w:rPr>
                  </w:pPr>
                  <w:r>
                    <w:rPr>
                      <w:color w:val="auto"/>
                      <w:szCs w:val="21"/>
                    </w:rPr>
                    <w:t>0.37</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41C67AC8">
                  <w:pPr>
                    <w:jc w:val="center"/>
                    <w:textAlignment w:val="center"/>
                    <w:rPr>
                      <w:color w:val="auto"/>
                      <w:szCs w:val="21"/>
                    </w:rPr>
                  </w:pPr>
                  <w:r>
                    <w:rPr>
                      <w:color w:val="auto"/>
                      <w:szCs w:val="21"/>
                    </w:rPr>
                    <w:t>5.91</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563A0601">
                  <w:pPr>
                    <w:jc w:val="center"/>
                    <w:textAlignment w:val="center"/>
                    <w:rPr>
                      <w:color w:val="auto"/>
                      <w:szCs w:val="21"/>
                    </w:rPr>
                  </w:pPr>
                  <w:r>
                    <w:rPr>
                      <w:color w:val="auto"/>
                      <w:szCs w:val="21"/>
                    </w:rPr>
                    <w:t>0.02</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55F356CE">
                  <w:pPr>
                    <w:jc w:val="center"/>
                    <w:textAlignment w:val="center"/>
                    <w:rPr>
                      <w:color w:val="auto"/>
                      <w:szCs w:val="21"/>
                    </w:rPr>
                  </w:pPr>
                  <w:r>
                    <w:rPr>
                      <w:color w:val="auto"/>
                      <w:szCs w:val="21"/>
                    </w:rPr>
                    <w:t>4.24</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27E8E493">
                  <w:pPr>
                    <w:jc w:val="center"/>
                    <w:textAlignment w:val="center"/>
                    <w:rPr>
                      <w:color w:val="auto"/>
                      <w:szCs w:val="21"/>
                    </w:rPr>
                  </w:pPr>
                  <w:r>
                    <w:rPr>
                      <w:color w:val="auto"/>
                      <w:szCs w:val="21"/>
                    </w:rPr>
                    <w:t>0.01</w:t>
                  </w:r>
                </w:p>
              </w:tc>
              <w:tc>
                <w:tcPr>
                  <w:tcW w:w="344" w:type="pct"/>
                  <w:tcBorders>
                    <w:top w:val="single" w:color="000000" w:sz="4" w:space="0"/>
                    <w:left w:val="single" w:color="000000" w:sz="4" w:space="0"/>
                    <w:bottom w:val="single" w:color="000000" w:sz="4" w:space="0"/>
                    <w:right w:val="single" w:color="auto" w:sz="4" w:space="0"/>
                  </w:tcBorders>
                  <w:noWrap/>
                  <w:vAlign w:val="center"/>
                </w:tcPr>
                <w:p w14:paraId="2A86AFD4">
                  <w:pPr>
                    <w:jc w:val="center"/>
                    <w:textAlignment w:val="center"/>
                    <w:rPr>
                      <w:color w:val="auto"/>
                      <w:szCs w:val="21"/>
                    </w:rPr>
                  </w:pPr>
                  <w:r>
                    <w:rPr>
                      <w:color w:val="auto"/>
                      <w:szCs w:val="21"/>
                    </w:rPr>
                    <w:t>0.01</w:t>
                  </w:r>
                </w:p>
              </w:tc>
              <w:tc>
                <w:tcPr>
                  <w:tcW w:w="334" w:type="pct"/>
                  <w:tcBorders>
                    <w:top w:val="single" w:color="000000" w:sz="4" w:space="0"/>
                    <w:left w:val="single" w:color="auto" w:sz="4" w:space="0"/>
                    <w:bottom w:val="single" w:color="000000" w:sz="4" w:space="0"/>
                    <w:right w:val="single" w:color="000000" w:sz="4" w:space="0"/>
                  </w:tcBorders>
                  <w:noWrap/>
                  <w:vAlign w:val="center"/>
                </w:tcPr>
                <w:p w14:paraId="25B4B502">
                  <w:pPr>
                    <w:jc w:val="center"/>
                    <w:textAlignment w:val="center"/>
                    <w:rPr>
                      <w:rFonts w:hint="eastAsia" w:eastAsia="宋体"/>
                      <w:color w:val="auto"/>
                      <w:szCs w:val="21"/>
                      <w:lang w:val="en-US" w:eastAsia="zh-CN"/>
                    </w:rPr>
                  </w:pPr>
                  <w:r>
                    <w:rPr>
                      <w:rFonts w:hint="eastAsia"/>
                      <w:color w:val="auto"/>
                      <w:szCs w:val="21"/>
                      <w:lang w:val="en-US" w:eastAsia="zh-CN"/>
                    </w:rPr>
                    <w:t>-</w:t>
                  </w:r>
                </w:p>
              </w:tc>
              <w:tc>
                <w:tcPr>
                  <w:tcW w:w="447" w:type="pct"/>
                  <w:tcBorders>
                    <w:top w:val="single" w:color="000000" w:sz="4" w:space="0"/>
                    <w:left w:val="single" w:color="000000" w:sz="4" w:space="0"/>
                    <w:bottom w:val="single" w:color="000000" w:sz="4" w:space="0"/>
                    <w:right w:val="single" w:color="000000" w:sz="4" w:space="0"/>
                  </w:tcBorders>
                  <w:noWrap/>
                  <w:vAlign w:val="center"/>
                </w:tcPr>
                <w:p w14:paraId="74EF530F">
                  <w:pPr>
                    <w:jc w:val="center"/>
                    <w:textAlignment w:val="center"/>
                    <w:rPr>
                      <w:rFonts w:hint="default" w:eastAsia="宋体"/>
                      <w:color w:val="auto"/>
                      <w:szCs w:val="21"/>
                      <w:lang w:val="en-US" w:eastAsia="zh-CN"/>
                    </w:rPr>
                  </w:pPr>
                  <w:r>
                    <w:rPr>
                      <w:rFonts w:hint="eastAsia"/>
                      <w:color w:val="auto"/>
                      <w:szCs w:val="21"/>
                      <w:lang w:val="en-US" w:eastAsia="zh-CN"/>
                    </w:rPr>
                    <w:t>99.98</w:t>
                  </w:r>
                </w:p>
              </w:tc>
            </w:tr>
            <w:tr w14:paraId="6AD96F5D">
              <w:tblPrEx>
                <w:tblCellMar>
                  <w:top w:w="0" w:type="dxa"/>
                  <w:left w:w="108" w:type="dxa"/>
                  <w:bottom w:w="0" w:type="dxa"/>
                  <w:right w:w="108" w:type="dxa"/>
                </w:tblCellMar>
              </w:tblPrEx>
              <w:trPr>
                <w:trHeight w:val="340" w:hRule="atLeast"/>
                <w:jc w:val="center"/>
              </w:trPr>
              <w:tc>
                <w:tcPr>
                  <w:tcW w:w="530" w:type="pct"/>
                  <w:tcBorders>
                    <w:top w:val="single" w:color="000000" w:sz="4" w:space="0"/>
                    <w:left w:val="single" w:color="000000" w:sz="4" w:space="0"/>
                    <w:bottom w:val="single" w:color="000000" w:sz="4" w:space="0"/>
                    <w:right w:val="single" w:color="000000" w:sz="4" w:space="0"/>
                  </w:tcBorders>
                  <w:noWrap/>
                  <w:vAlign w:val="center"/>
                </w:tcPr>
                <w:p w14:paraId="60F37953">
                  <w:pPr>
                    <w:jc w:val="center"/>
                    <w:textAlignment w:val="center"/>
                    <w:rPr>
                      <w:rFonts w:hint="default" w:eastAsia="宋体"/>
                      <w:color w:val="auto"/>
                      <w:kern w:val="0"/>
                      <w:szCs w:val="21"/>
                      <w:lang w:val="en-US" w:eastAsia="zh-CN"/>
                    </w:rPr>
                  </w:pPr>
                  <w:r>
                    <w:rPr>
                      <w:rFonts w:hint="default"/>
                      <w:color w:val="auto"/>
                      <w:kern w:val="0"/>
                      <w:szCs w:val="21"/>
                      <w:lang w:val="en-US" w:eastAsia="zh-CN"/>
                    </w:rPr>
                    <w:t>B7002</w:t>
                  </w:r>
                  <w:r>
                    <w:rPr>
                      <w:rFonts w:hint="eastAsia"/>
                      <w:color w:val="auto"/>
                      <w:kern w:val="0"/>
                      <w:szCs w:val="21"/>
                      <w:lang w:val="en-US" w:eastAsia="zh-CN"/>
                    </w:rPr>
                    <w:t>石英石</w:t>
                  </w:r>
                </w:p>
              </w:tc>
              <w:tc>
                <w:tcPr>
                  <w:tcW w:w="374" w:type="pct"/>
                  <w:tcBorders>
                    <w:top w:val="single" w:color="000000" w:sz="4" w:space="0"/>
                    <w:left w:val="single" w:color="000000" w:sz="4" w:space="0"/>
                    <w:bottom w:val="single" w:color="000000" w:sz="4" w:space="0"/>
                    <w:right w:val="single" w:color="000000" w:sz="4" w:space="0"/>
                  </w:tcBorders>
                  <w:noWrap/>
                  <w:vAlign w:val="center"/>
                </w:tcPr>
                <w:p w14:paraId="0D103C62">
                  <w:pPr>
                    <w:jc w:val="center"/>
                    <w:textAlignment w:val="center"/>
                    <w:rPr>
                      <w:rFonts w:hint="default" w:eastAsia="宋体"/>
                      <w:color w:val="auto"/>
                      <w:szCs w:val="21"/>
                      <w:lang w:val="en-US" w:eastAsia="zh-CN"/>
                    </w:rPr>
                  </w:pPr>
                  <w:r>
                    <w:rPr>
                      <w:rFonts w:hint="eastAsia"/>
                      <w:color w:val="auto"/>
                      <w:szCs w:val="21"/>
                      <w:lang w:val="en-US" w:eastAsia="zh-CN"/>
                    </w:rPr>
                    <w:t>71.707</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490C4D60">
                  <w:pPr>
                    <w:jc w:val="center"/>
                    <w:textAlignment w:val="center"/>
                    <w:rPr>
                      <w:rFonts w:hint="default" w:eastAsia="宋体"/>
                      <w:color w:val="auto"/>
                      <w:szCs w:val="21"/>
                      <w:lang w:val="en-US" w:eastAsia="zh-CN"/>
                    </w:rPr>
                  </w:pPr>
                  <w:r>
                    <w:rPr>
                      <w:rFonts w:hint="eastAsia"/>
                      <w:color w:val="auto"/>
                      <w:szCs w:val="21"/>
                      <w:lang w:val="en-US" w:eastAsia="zh-CN"/>
                    </w:rPr>
                    <w:t>2.772</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76C87A94">
                  <w:pPr>
                    <w:jc w:val="center"/>
                    <w:textAlignment w:val="center"/>
                    <w:rPr>
                      <w:rFonts w:hint="default" w:eastAsia="宋体"/>
                      <w:color w:val="auto"/>
                      <w:szCs w:val="21"/>
                      <w:lang w:val="en-US" w:eastAsia="zh-CN"/>
                    </w:rPr>
                  </w:pPr>
                  <w:r>
                    <w:rPr>
                      <w:rFonts w:hint="eastAsia"/>
                      <w:color w:val="auto"/>
                      <w:szCs w:val="21"/>
                      <w:lang w:val="en-US" w:eastAsia="zh-CN"/>
                    </w:rPr>
                    <w:t>0.905</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46599C3A">
                  <w:pPr>
                    <w:jc w:val="center"/>
                    <w:textAlignment w:val="center"/>
                    <w:rPr>
                      <w:rFonts w:hint="default" w:eastAsia="宋体"/>
                      <w:color w:val="auto"/>
                      <w:szCs w:val="21"/>
                      <w:lang w:val="en-US" w:eastAsia="zh-CN"/>
                    </w:rPr>
                  </w:pPr>
                  <w:r>
                    <w:rPr>
                      <w:rFonts w:hint="eastAsia"/>
                      <w:color w:val="auto"/>
                      <w:szCs w:val="21"/>
                      <w:lang w:val="en-US" w:eastAsia="zh-CN"/>
                    </w:rPr>
                    <w:t>3.248</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7DC80A34">
                  <w:pPr>
                    <w:jc w:val="center"/>
                    <w:textAlignment w:val="center"/>
                    <w:rPr>
                      <w:rFonts w:hint="default" w:eastAsia="宋体"/>
                      <w:color w:val="auto"/>
                      <w:szCs w:val="21"/>
                      <w:lang w:val="en-US" w:eastAsia="zh-CN"/>
                    </w:rPr>
                  </w:pPr>
                  <w:r>
                    <w:rPr>
                      <w:rFonts w:hint="eastAsia"/>
                      <w:color w:val="auto"/>
                      <w:szCs w:val="21"/>
                      <w:lang w:val="en-US" w:eastAsia="zh-CN"/>
                    </w:rPr>
                    <w:t>12.806</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280B4E8A">
                  <w:pPr>
                    <w:jc w:val="center"/>
                    <w:textAlignment w:val="center"/>
                    <w:rPr>
                      <w:rFonts w:hint="default" w:eastAsia="宋体"/>
                      <w:color w:val="auto"/>
                      <w:szCs w:val="21"/>
                      <w:lang w:val="en-US" w:eastAsia="zh-CN"/>
                    </w:rPr>
                  </w:pPr>
                  <w:r>
                    <w:rPr>
                      <w:rFonts w:hint="eastAsia"/>
                      <w:color w:val="auto"/>
                      <w:szCs w:val="21"/>
                      <w:lang w:val="en-US" w:eastAsia="zh-CN"/>
                    </w:rPr>
                    <w:t>0.185</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6E09C80F">
                  <w:pPr>
                    <w:jc w:val="center"/>
                    <w:textAlignment w:val="center"/>
                    <w:rPr>
                      <w:rFonts w:hint="default" w:eastAsia="宋体"/>
                      <w:color w:val="auto"/>
                      <w:szCs w:val="21"/>
                      <w:lang w:val="en-US" w:eastAsia="zh-CN"/>
                    </w:rPr>
                  </w:pPr>
                  <w:r>
                    <w:rPr>
                      <w:rFonts w:hint="eastAsia"/>
                      <w:color w:val="auto"/>
                      <w:szCs w:val="21"/>
                      <w:lang w:val="en-US" w:eastAsia="zh-CN"/>
                    </w:rPr>
                    <w:t>5.813</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46922CFA">
                  <w:pPr>
                    <w:jc w:val="center"/>
                    <w:textAlignment w:val="center"/>
                    <w:rPr>
                      <w:rFonts w:hint="default" w:eastAsia="宋体"/>
                      <w:color w:val="auto"/>
                      <w:szCs w:val="21"/>
                      <w:lang w:val="en-US" w:eastAsia="zh-CN"/>
                    </w:rPr>
                  </w:pPr>
                  <w:r>
                    <w:rPr>
                      <w:rFonts w:hint="eastAsia"/>
                      <w:color w:val="auto"/>
                      <w:szCs w:val="21"/>
                      <w:lang w:val="en-US" w:eastAsia="zh-CN"/>
                    </w:rPr>
                    <w:t>0.196</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1AEED4E5">
                  <w:pPr>
                    <w:jc w:val="center"/>
                    <w:textAlignment w:val="center"/>
                    <w:rPr>
                      <w:rFonts w:hint="default" w:eastAsia="宋体"/>
                      <w:color w:val="auto"/>
                      <w:szCs w:val="21"/>
                      <w:lang w:val="en-US" w:eastAsia="zh-CN"/>
                    </w:rPr>
                  </w:pPr>
                  <w:r>
                    <w:rPr>
                      <w:rFonts w:hint="eastAsia"/>
                      <w:color w:val="auto"/>
                      <w:szCs w:val="21"/>
                      <w:lang w:val="en-US" w:eastAsia="zh-CN"/>
                    </w:rPr>
                    <w:t>44.892</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4E7390FC">
                  <w:pPr>
                    <w:jc w:val="center"/>
                    <w:textAlignment w:val="center"/>
                    <w:rPr>
                      <w:rFonts w:hint="default" w:eastAsia="宋体"/>
                      <w:color w:val="auto"/>
                      <w:szCs w:val="21"/>
                      <w:lang w:val="en-US" w:eastAsia="zh-CN"/>
                    </w:rPr>
                  </w:pPr>
                  <w:r>
                    <w:rPr>
                      <w:rFonts w:hint="eastAsia"/>
                      <w:color w:val="auto"/>
                      <w:szCs w:val="21"/>
                      <w:lang w:val="en-US" w:eastAsia="zh-CN"/>
                    </w:rPr>
                    <w:t>0.099</w:t>
                  </w:r>
                </w:p>
              </w:tc>
              <w:tc>
                <w:tcPr>
                  <w:tcW w:w="344" w:type="pct"/>
                  <w:tcBorders>
                    <w:top w:val="single" w:color="000000" w:sz="4" w:space="0"/>
                    <w:left w:val="single" w:color="000000" w:sz="4" w:space="0"/>
                    <w:bottom w:val="single" w:color="000000" w:sz="4" w:space="0"/>
                    <w:right w:val="single" w:color="auto" w:sz="4" w:space="0"/>
                  </w:tcBorders>
                  <w:noWrap/>
                  <w:vAlign w:val="center"/>
                </w:tcPr>
                <w:p w14:paraId="5AD5516A">
                  <w:pPr>
                    <w:jc w:val="center"/>
                    <w:textAlignment w:val="center"/>
                    <w:rPr>
                      <w:rFonts w:hint="default" w:eastAsia="宋体"/>
                      <w:color w:val="auto"/>
                      <w:szCs w:val="21"/>
                      <w:lang w:val="en-US" w:eastAsia="zh-CN"/>
                    </w:rPr>
                  </w:pPr>
                  <w:r>
                    <w:rPr>
                      <w:rFonts w:hint="eastAsia"/>
                      <w:color w:val="auto"/>
                      <w:szCs w:val="21"/>
                      <w:lang w:val="en-US" w:eastAsia="zh-CN"/>
                    </w:rPr>
                    <w:t>0.052</w:t>
                  </w:r>
                </w:p>
              </w:tc>
              <w:tc>
                <w:tcPr>
                  <w:tcW w:w="334" w:type="pct"/>
                  <w:tcBorders>
                    <w:top w:val="single" w:color="000000" w:sz="4" w:space="0"/>
                    <w:left w:val="single" w:color="auto" w:sz="4" w:space="0"/>
                    <w:bottom w:val="single" w:color="000000" w:sz="4" w:space="0"/>
                    <w:right w:val="single" w:color="000000" w:sz="4" w:space="0"/>
                  </w:tcBorders>
                  <w:noWrap/>
                  <w:vAlign w:val="center"/>
                </w:tcPr>
                <w:p w14:paraId="3C607A5F">
                  <w:pPr>
                    <w:jc w:val="center"/>
                    <w:textAlignment w:val="center"/>
                    <w:rPr>
                      <w:rFonts w:hint="default"/>
                      <w:color w:val="auto"/>
                      <w:szCs w:val="21"/>
                      <w:lang w:val="en-US" w:eastAsia="zh-CN"/>
                    </w:rPr>
                  </w:pPr>
                  <w:r>
                    <w:rPr>
                      <w:rFonts w:hint="eastAsia"/>
                      <w:color w:val="auto"/>
                      <w:szCs w:val="21"/>
                      <w:lang w:val="en-US" w:eastAsia="zh-CN"/>
                    </w:rPr>
                    <w:t>-</w:t>
                  </w:r>
                </w:p>
              </w:tc>
              <w:tc>
                <w:tcPr>
                  <w:tcW w:w="4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785CE">
                  <w:pPr>
                    <w:jc w:val="center"/>
                    <w:textAlignment w:val="center"/>
                    <w:rPr>
                      <w:rFonts w:hint="default" w:ascii="Times New Roman" w:hAnsi="Times New Roman" w:eastAsia="宋体" w:cs="Times New Roman"/>
                      <w:color w:val="auto"/>
                      <w:kern w:val="2"/>
                      <w:sz w:val="21"/>
                      <w:szCs w:val="21"/>
                      <w:lang w:val="en-US" w:eastAsia="zh-CN" w:bidi="ar-SA"/>
                    </w:rPr>
                  </w:pPr>
                  <w:r>
                    <w:rPr>
                      <w:color w:val="auto"/>
                      <w:szCs w:val="21"/>
                    </w:rPr>
                    <w:t>99.98</w:t>
                  </w:r>
                  <w:r>
                    <w:rPr>
                      <w:rFonts w:hint="eastAsia"/>
                      <w:color w:val="auto"/>
                      <w:szCs w:val="21"/>
                      <w:lang w:val="en-US" w:eastAsia="zh-CN"/>
                    </w:rPr>
                    <w:t>57</w:t>
                  </w:r>
                </w:p>
              </w:tc>
            </w:tr>
            <w:tr w14:paraId="781A97DF">
              <w:tblPrEx>
                <w:tblCellMar>
                  <w:top w:w="0" w:type="dxa"/>
                  <w:left w:w="108" w:type="dxa"/>
                  <w:bottom w:w="0" w:type="dxa"/>
                  <w:right w:w="108" w:type="dxa"/>
                </w:tblCellMar>
              </w:tblPrEx>
              <w:trPr>
                <w:trHeight w:val="340" w:hRule="atLeast"/>
                <w:jc w:val="center"/>
              </w:trPr>
              <w:tc>
                <w:tcPr>
                  <w:tcW w:w="530" w:type="pct"/>
                  <w:tcBorders>
                    <w:top w:val="single" w:color="000000" w:sz="4" w:space="0"/>
                    <w:left w:val="single" w:color="000000" w:sz="4" w:space="0"/>
                    <w:bottom w:val="single" w:color="000000" w:sz="4" w:space="0"/>
                    <w:right w:val="single" w:color="000000" w:sz="4" w:space="0"/>
                  </w:tcBorders>
                  <w:noWrap/>
                  <w:vAlign w:val="center"/>
                </w:tcPr>
                <w:p w14:paraId="6FB5A8F1">
                  <w:pPr>
                    <w:jc w:val="center"/>
                    <w:textAlignment w:val="center"/>
                    <w:rPr>
                      <w:rFonts w:hint="eastAsia" w:eastAsia="宋体"/>
                      <w:color w:val="auto"/>
                      <w:kern w:val="0"/>
                      <w:szCs w:val="21"/>
                      <w:lang w:val="en-US" w:eastAsia="zh-CN"/>
                    </w:rPr>
                  </w:pPr>
                  <w:r>
                    <w:rPr>
                      <w:rFonts w:hint="default"/>
                      <w:color w:val="auto"/>
                      <w:kern w:val="0"/>
                      <w:szCs w:val="21"/>
                      <w:lang w:val="en-US"/>
                    </w:rPr>
                    <w:t>A4001</w:t>
                  </w:r>
                  <w:r>
                    <w:rPr>
                      <w:rFonts w:hint="eastAsia"/>
                      <w:color w:val="auto"/>
                      <w:kern w:val="0"/>
                      <w:szCs w:val="21"/>
                      <w:lang w:val="en-US" w:eastAsia="zh-CN"/>
                    </w:rPr>
                    <w:t>石英石</w:t>
                  </w:r>
                </w:p>
              </w:tc>
              <w:tc>
                <w:tcPr>
                  <w:tcW w:w="374" w:type="pct"/>
                  <w:tcBorders>
                    <w:top w:val="single" w:color="000000" w:sz="4" w:space="0"/>
                    <w:left w:val="single" w:color="000000" w:sz="4" w:space="0"/>
                    <w:bottom w:val="single" w:color="000000" w:sz="4" w:space="0"/>
                    <w:right w:val="single" w:color="000000" w:sz="4" w:space="0"/>
                  </w:tcBorders>
                  <w:noWrap/>
                  <w:vAlign w:val="center"/>
                </w:tcPr>
                <w:p w14:paraId="4F24EC92">
                  <w:pPr>
                    <w:jc w:val="center"/>
                    <w:textAlignment w:val="center"/>
                    <w:rPr>
                      <w:rFonts w:hint="default"/>
                      <w:color w:val="auto"/>
                      <w:szCs w:val="21"/>
                      <w:lang w:val="en-US" w:eastAsia="zh-CN"/>
                    </w:rPr>
                  </w:pPr>
                  <w:r>
                    <w:rPr>
                      <w:rFonts w:hint="eastAsia"/>
                      <w:color w:val="auto"/>
                      <w:szCs w:val="21"/>
                      <w:lang w:val="en-US" w:eastAsia="zh-CN"/>
                    </w:rPr>
                    <w:t>71.294</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107291E9">
                  <w:pPr>
                    <w:jc w:val="center"/>
                    <w:textAlignment w:val="center"/>
                    <w:rPr>
                      <w:rFonts w:hint="default"/>
                      <w:color w:val="auto"/>
                      <w:szCs w:val="21"/>
                      <w:lang w:val="en-US" w:eastAsia="zh-CN"/>
                    </w:rPr>
                  </w:pPr>
                  <w:r>
                    <w:rPr>
                      <w:rFonts w:hint="eastAsia"/>
                      <w:color w:val="auto"/>
                      <w:szCs w:val="21"/>
                      <w:lang w:val="en-US" w:eastAsia="zh-CN"/>
                    </w:rPr>
                    <w:t>3.39</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48F7F136">
                  <w:pPr>
                    <w:jc w:val="center"/>
                    <w:textAlignment w:val="center"/>
                    <w:rPr>
                      <w:rFonts w:hint="default"/>
                      <w:color w:val="auto"/>
                      <w:szCs w:val="21"/>
                      <w:lang w:val="en-US" w:eastAsia="zh-CN"/>
                    </w:rPr>
                  </w:pPr>
                  <w:r>
                    <w:rPr>
                      <w:rFonts w:hint="eastAsia"/>
                      <w:color w:val="auto"/>
                      <w:szCs w:val="21"/>
                      <w:lang w:val="en-US" w:eastAsia="zh-CN"/>
                    </w:rPr>
                    <w:t>1.273</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2416349E">
                  <w:pPr>
                    <w:jc w:val="center"/>
                    <w:textAlignment w:val="center"/>
                    <w:rPr>
                      <w:rFonts w:hint="default"/>
                      <w:color w:val="auto"/>
                      <w:szCs w:val="21"/>
                      <w:lang w:val="en-US" w:eastAsia="zh-CN"/>
                    </w:rPr>
                  </w:pPr>
                  <w:r>
                    <w:rPr>
                      <w:rFonts w:hint="eastAsia"/>
                      <w:color w:val="auto"/>
                      <w:szCs w:val="21"/>
                      <w:lang w:val="en-US" w:eastAsia="zh-CN"/>
                    </w:rPr>
                    <w:t>3.853</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5A3E7960">
                  <w:pPr>
                    <w:jc w:val="center"/>
                    <w:textAlignment w:val="center"/>
                    <w:rPr>
                      <w:rFonts w:hint="default"/>
                      <w:color w:val="auto"/>
                      <w:szCs w:val="21"/>
                      <w:lang w:val="en-US" w:eastAsia="zh-CN"/>
                    </w:rPr>
                  </w:pPr>
                  <w:r>
                    <w:rPr>
                      <w:rFonts w:hint="eastAsia"/>
                      <w:color w:val="auto"/>
                      <w:szCs w:val="21"/>
                      <w:lang w:val="en-US" w:eastAsia="zh-CN"/>
                    </w:rPr>
                    <w:t>12.676</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65C92019">
                  <w:pPr>
                    <w:jc w:val="center"/>
                    <w:textAlignment w:val="center"/>
                    <w:rPr>
                      <w:rFonts w:hint="default"/>
                      <w:color w:val="auto"/>
                      <w:szCs w:val="21"/>
                      <w:lang w:val="en-US" w:eastAsia="zh-CN"/>
                    </w:rPr>
                  </w:pPr>
                  <w:r>
                    <w:rPr>
                      <w:rFonts w:hint="eastAsia"/>
                      <w:color w:val="auto"/>
                      <w:szCs w:val="21"/>
                      <w:lang w:val="en-US" w:eastAsia="zh-CN"/>
                    </w:rPr>
                    <w:t>0.12</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4D051489">
                  <w:pPr>
                    <w:jc w:val="center"/>
                    <w:textAlignment w:val="center"/>
                    <w:rPr>
                      <w:rFonts w:hint="default"/>
                      <w:color w:val="auto"/>
                      <w:szCs w:val="21"/>
                      <w:lang w:val="en-US" w:eastAsia="zh-CN"/>
                    </w:rPr>
                  </w:pPr>
                  <w:r>
                    <w:rPr>
                      <w:rFonts w:hint="eastAsia"/>
                      <w:color w:val="auto"/>
                      <w:szCs w:val="21"/>
                      <w:lang w:val="en-US" w:eastAsia="zh-CN"/>
                    </w:rPr>
                    <w:t>6.282</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4C8C0826">
                  <w:pPr>
                    <w:jc w:val="center"/>
                    <w:textAlignment w:val="center"/>
                    <w:rPr>
                      <w:rFonts w:hint="default"/>
                      <w:color w:val="auto"/>
                      <w:szCs w:val="21"/>
                      <w:lang w:val="en-US" w:eastAsia="zh-CN"/>
                    </w:rPr>
                  </w:pPr>
                  <w:r>
                    <w:rPr>
                      <w:rFonts w:hint="eastAsia"/>
                      <w:color w:val="auto"/>
                      <w:szCs w:val="21"/>
                      <w:lang w:val="en-US" w:eastAsia="zh-CN"/>
                    </w:rPr>
                    <w:t>0.224</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026C2CBC">
                  <w:pPr>
                    <w:jc w:val="center"/>
                    <w:textAlignment w:val="center"/>
                    <w:rPr>
                      <w:rFonts w:hint="default"/>
                      <w:color w:val="auto"/>
                      <w:szCs w:val="21"/>
                      <w:lang w:val="en-US" w:eastAsia="zh-CN"/>
                    </w:rPr>
                  </w:pPr>
                  <w:r>
                    <w:rPr>
                      <w:rFonts w:hint="eastAsia"/>
                      <w:color w:val="auto"/>
                      <w:szCs w:val="21"/>
                      <w:lang w:val="en-US" w:eastAsia="zh-CN"/>
                    </w:rPr>
                    <w:t>45.791</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0131EAB7">
                  <w:pPr>
                    <w:jc w:val="center"/>
                    <w:textAlignment w:val="center"/>
                    <w:rPr>
                      <w:rFonts w:hint="default"/>
                      <w:color w:val="auto"/>
                      <w:szCs w:val="21"/>
                      <w:lang w:val="en-US" w:eastAsia="zh-CN"/>
                    </w:rPr>
                  </w:pPr>
                  <w:r>
                    <w:rPr>
                      <w:rFonts w:hint="eastAsia"/>
                      <w:color w:val="auto"/>
                      <w:szCs w:val="21"/>
                      <w:lang w:val="en-US" w:eastAsia="zh-CN"/>
                    </w:rPr>
                    <w:t>0.061</w:t>
                  </w:r>
                </w:p>
              </w:tc>
              <w:tc>
                <w:tcPr>
                  <w:tcW w:w="344" w:type="pct"/>
                  <w:tcBorders>
                    <w:top w:val="single" w:color="000000" w:sz="4" w:space="0"/>
                    <w:left w:val="single" w:color="000000" w:sz="4" w:space="0"/>
                    <w:bottom w:val="single" w:color="000000" w:sz="4" w:space="0"/>
                    <w:right w:val="single" w:color="auto" w:sz="4" w:space="0"/>
                  </w:tcBorders>
                  <w:noWrap/>
                  <w:vAlign w:val="center"/>
                </w:tcPr>
                <w:p w14:paraId="0EFA8073">
                  <w:pPr>
                    <w:jc w:val="center"/>
                    <w:textAlignment w:val="center"/>
                    <w:rPr>
                      <w:rFonts w:hint="default"/>
                      <w:color w:val="auto"/>
                      <w:szCs w:val="21"/>
                      <w:lang w:val="en-US" w:eastAsia="zh-CN"/>
                    </w:rPr>
                  </w:pPr>
                  <w:r>
                    <w:rPr>
                      <w:rFonts w:hint="eastAsia"/>
                      <w:color w:val="auto"/>
                      <w:szCs w:val="21"/>
                      <w:lang w:val="en-US" w:eastAsia="zh-CN"/>
                    </w:rPr>
                    <w:t>-</w:t>
                  </w:r>
                </w:p>
              </w:tc>
              <w:tc>
                <w:tcPr>
                  <w:tcW w:w="334" w:type="pct"/>
                  <w:tcBorders>
                    <w:top w:val="single" w:color="000000" w:sz="4" w:space="0"/>
                    <w:left w:val="single" w:color="auto" w:sz="4" w:space="0"/>
                    <w:bottom w:val="single" w:color="000000" w:sz="4" w:space="0"/>
                    <w:right w:val="single" w:color="000000" w:sz="4" w:space="0"/>
                  </w:tcBorders>
                  <w:noWrap/>
                  <w:vAlign w:val="center"/>
                </w:tcPr>
                <w:p w14:paraId="27E5721D">
                  <w:pPr>
                    <w:jc w:val="center"/>
                    <w:textAlignment w:val="center"/>
                    <w:rPr>
                      <w:rFonts w:hint="eastAsia"/>
                      <w:color w:val="auto"/>
                      <w:szCs w:val="21"/>
                      <w:lang w:val="en-US" w:eastAsia="zh-CN"/>
                    </w:rPr>
                  </w:pPr>
                  <w:r>
                    <w:rPr>
                      <w:rFonts w:hint="eastAsia"/>
                      <w:color w:val="auto"/>
                      <w:szCs w:val="21"/>
                      <w:lang w:val="en-US" w:eastAsia="zh-CN"/>
                    </w:rPr>
                    <w:t>-</w:t>
                  </w:r>
                </w:p>
              </w:tc>
              <w:tc>
                <w:tcPr>
                  <w:tcW w:w="4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86B01">
                  <w:pPr>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99.9855</w:t>
                  </w:r>
                </w:p>
              </w:tc>
            </w:tr>
            <w:tr w14:paraId="5C6C97FA">
              <w:tblPrEx>
                <w:tblCellMar>
                  <w:top w:w="0" w:type="dxa"/>
                  <w:left w:w="108" w:type="dxa"/>
                  <w:bottom w:w="0" w:type="dxa"/>
                  <w:right w:w="108" w:type="dxa"/>
                </w:tblCellMar>
              </w:tblPrEx>
              <w:trPr>
                <w:trHeight w:val="340" w:hRule="atLeast"/>
                <w:jc w:val="center"/>
              </w:trPr>
              <w:tc>
                <w:tcPr>
                  <w:tcW w:w="530" w:type="pct"/>
                  <w:tcBorders>
                    <w:top w:val="single" w:color="000000" w:sz="4" w:space="0"/>
                    <w:left w:val="single" w:color="000000" w:sz="4" w:space="0"/>
                    <w:bottom w:val="single" w:color="000000" w:sz="4" w:space="0"/>
                    <w:right w:val="single" w:color="000000" w:sz="4" w:space="0"/>
                  </w:tcBorders>
                  <w:noWrap/>
                  <w:vAlign w:val="center"/>
                </w:tcPr>
                <w:p w14:paraId="21023A2D">
                  <w:pPr>
                    <w:jc w:val="center"/>
                    <w:textAlignment w:val="center"/>
                    <w:rPr>
                      <w:rFonts w:hint="default" w:eastAsia="宋体"/>
                      <w:color w:val="auto"/>
                      <w:kern w:val="0"/>
                      <w:szCs w:val="21"/>
                      <w:lang w:val="en-US" w:eastAsia="zh-CN"/>
                    </w:rPr>
                  </w:pPr>
                  <w:r>
                    <w:rPr>
                      <w:rFonts w:hint="eastAsia"/>
                      <w:color w:val="auto"/>
                      <w:kern w:val="0"/>
                      <w:szCs w:val="21"/>
                      <w:lang w:val="en-US" w:eastAsia="zh-CN"/>
                    </w:rPr>
                    <w:t>H213石英石</w:t>
                  </w:r>
                </w:p>
              </w:tc>
              <w:tc>
                <w:tcPr>
                  <w:tcW w:w="374" w:type="pct"/>
                  <w:tcBorders>
                    <w:top w:val="single" w:color="000000" w:sz="4" w:space="0"/>
                    <w:left w:val="single" w:color="000000" w:sz="4" w:space="0"/>
                    <w:bottom w:val="single" w:color="000000" w:sz="4" w:space="0"/>
                    <w:right w:val="single" w:color="000000" w:sz="4" w:space="0"/>
                  </w:tcBorders>
                  <w:noWrap/>
                  <w:vAlign w:val="center"/>
                </w:tcPr>
                <w:p w14:paraId="064531DF">
                  <w:pPr>
                    <w:jc w:val="center"/>
                    <w:textAlignment w:val="center"/>
                    <w:rPr>
                      <w:rFonts w:hint="default"/>
                      <w:color w:val="auto"/>
                      <w:szCs w:val="21"/>
                      <w:lang w:val="en-US" w:eastAsia="zh-CN"/>
                    </w:rPr>
                  </w:pPr>
                  <w:r>
                    <w:rPr>
                      <w:rFonts w:hint="eastAsia"/>
                      <w:color w:val="auto"/>
                      <w:szCs w:val="21"/>
                      <w:lang w:val="en-US" w:eastAsia="zh-CN"/>
                    </w:rPr>
                    <w:t>18.309</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04A8CE74">
                  <w:pPr>
                    <w:jc w:val="center"/>
                    <w:textAlignment w:val="center"/>
                    <w:rPr>
                      <w:rFonts w:hint="default"/>
                      <w:color w:val="auto"/>
                      <w:szCs w:val="21"/>
                      <w:lang w:val="en-US" w:eastAsia="zh-CN"/>
                    </w:rPr>
                  </w:pPr>
                  <w:r>
                    <w:rPr>
                      <w:rFonts w:hint="eastAsia"/>
                      <w:color w:val="auto"/>
                      <w:szCs w:val="21"/>
                      <w:lang w:val="en-US" w:eastAsia="zh-CN"/>
                    </w:rPr>
                    <w:t>1.081</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7B1AC3E6">
                  <w:pPr>
                    <w:jc w:val="center"/>
                    <w:textAlignment w:val="center"/>
                    <w:rPr>
                      <w:rFonts w:hint="default"/>
                      <w:color w:val="auto"/>
                      <w:szCs w:val="21"/>
                      <w:lang w:val="en-US" w:eastAsia="zh-CN"/>
                    </w:rPr>
                  </w:pPr>
                  <w:r>
                    <w:rPr>
                      <w:rFonts w:hint="eastAsia"/>
                      <w:color w:val="auto"/>
                      <w:szCs w:val="21"/>
                      <w:lang w:val="en-US" w:eastAsia="zh-CN"/>
                    </w:rPr>
                    <w:t>0.551</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3846B631">
                  <w:pPr>
                    <w:jc w:val="center"/>
                    <w:textAlignment w:val="center"/>
                    <w:rPr>
                      <w:rFonts w:hint="default"/>
                      <w:color w:val="auto"/>
                      <w:szCs w:val="21"/>
                      <w:lang w:val="en-US" w:eastAsia="zh-CN"/>
                    </w:rPr>
                  </w:pPr>
                  <w:r>
                    <w:rPr>
                      <w:rFonts w:hint="eastAsia"/>
                      <w:color w:val="auto"/>
                      <w:szCs w:val="21"/>
                      <w:lang w:val="en-US" w:eastAsia="zh-CN"/>
                    </w:rPr>
                    <w:t>2.797</w:t>
                  </w:r>
                </w:p>
              </w:tc>
              <w:tc>
                <w:tcPr>
                  <w:tcW w:w="354" w:type="pct"/>
                  <w:tcBorders>
                    <w:top w:val="single" w:color="000000" w:sz="4" w:space="0"/>
                    <w:left w:val="single" w:color="000000" w:sz="4" w:space="0"/>
                    <w:bottom w:val="single" w:color="000000" w:sz="4" w:space="0"/>
                    <w:right w:val="single" w:color="000000" w:sz="4" w:space="0"/>
                  </w:tcBorders>
                  <w:noWrap/>
                  <w:vAlign w:val="center"/>
                </w:tcPr>
                <w:p w14:paraId="32595535">
                  <w:pPr>
                    <w:jc w:val="center"/>
                    <w:textAlignment w:val="center"/>
                    <w:rPr>
                      <w:rFonts w:hint="default"/>
                      <w:color w:val="auto"/>
                      <w:szCs w:val="21"/>
                      <w:lang w:val="en-US" w:eastAsia="zh-CN"/>
                    </w:rPr>
                  </w:pPr>
                  <w:r>
                    <w:rPr>
                      <w:rFonts w:hint="eastAsia"/>
                      <w:color w:val="auto"/>
                      <w:szCs w:val="21"/>
                      <w:lang w:val="en-US" w:eastAsia="zh-CN"/>
                    </w:rPr>
                    <w:t>0.415</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1301E6DD">
                  <w:pPr>
                    <w:jc w:val="center"/>
                    <w:textAlignment w:val="center"/>
                    <w:rPr>
                      <w:rFonts w:hint="default"/>
                      <w:color w:val="auto"/>
                      <w:szCs w:val="21"/>
                      <w:lang w:val="en-US" w:eastAsia="zh-CN"/>
                    </w:rPr>
                  </w:pPr>
                  <w:r>
                    <w:rPr>
                      <w:rFonts w:hint="eastAsia"/>
                      <w:color w:val="auto"/>
                      <w:szCs w:val="21"/>
                      <w:lang w:val="en-US" w:eastAsia="zh-CN"/>
                    </w:rPr>
                    <w:t>0.143</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45A16F53">
                  <w:pPr>
                    <w:jc w:val="center"/>
                    <w:textAlignment w:val="center"/>
                    <w:rPr>
                      <w:rFonts w:hint="default"/>
                      <w:color w:val="auto"/>
                      <w:szCs w:val="21"/>
                      <w:lang w:val="en-US" w:eastAsia="zh-CN"/>
                    </w:rPr>
                  </w:pPr>
                  <w:r>
                    <w:rPr>
                      <w:rFonts w:hint="eastAsia"/>
                      <w:color w:val="auto"/>
                      <w:szCs w:val="21"/>
                      <w:lang w:val="en-US" w:eastAsia="zh-CN"/>
                    </w:rPr>
                    <w:t>5.869</w:t>
                  </w:r>
                </w:p>
              </w:tc>
              <w:tc>
                <w:tcPr>
                  <w:tcW w:w="324" w:type="pct"/>
                  <w:tcBorders>
                    <w:top w:val="single" w:color="000000" w:sz="4" w:space="0"/>
                    <w:left w:val="single" w:color="000000" w:sz="4" w:space="0"/>
                    <w:bottom w:val="single" w:color="000000" w:sz="4" w:space="0"/>
                    <w:right w:val="single" w:color="000000" w:sz="4" w:space="0"/>
                  </w:tcBorders>
                  <w:noWrap/>
                  <w:vAlign w:val="center"/>
                </w:tcPr>
                <w:p w14:paraId="38C42DEF">
                  <w:pPr>
                    <w:jc w:val="center"/>
                    <w:textAlignment w:val="center"/>
                    <w:rPr>
                      <w:rFonts w:hint="eastAsia"/>
                      <w:color w:val="auto"/>
                      <w:szCs w:val="21"/>
                      <w:lang w:val="en-US" w:eastAsia="zh-CN"/>
                    </w:rPr>
                  </w:pPr>
                  <w:r>
                    <w:rPr>
                      <w:rFonts w:hint="eastAsia"/>
                      <w:color w:val="auto"/>
                      <w:szCs w:val="21"/>
                      <w:lang w:val="en-US" w:eastAsia="zh-CN"/>
                    </w:rPr>
                    <w:t>-</w:t>
                  </w:r>
                </w:p>
              </w:tc>
              <w:tc>
                <w:tcPr>
                  <w:tcW w:w="334" w:type="pct"/>
                  <w:tcBorders>
                    <w:top w:val="single" w:color="000000" w:sz="4" w:space="0"/>
                    <w:left w:val="single" w:color="000000" w:sz="4" w:space="0"/>
                    <w:bottom w:val="single" w:color="000000" w:sz="4" w:space="0"/>
                    <w:right w:val="single" w:color="000000" w:sz="4" w:space="0"/>
                  </w:tcBorders>
                  <w:noWrap/>
                  <w:vAlign w:val="center"/>
                </w:tcPr>
                <w:p w14:paraId="0ACE7721">
                  <w:pPr>
                    <w:jc w:val="center"/>
                    <w:textAlignment w:val="center"/>
                    <w:rPr>
                      <w:rFonts w:hint="default"/>
                      <w:color w:val="auto"/>
                      <w:szCs w:val="21"/>
                      <w:lang w:val="en-US" w:eastAsia="zh-CN"/>
                    </w:rPr>
                  </w:pPr>
                  <w:r>
                    <w:rPr>
                      <w:rFonts w:hint="eastAsia"/>
                      <w:color w:val="auto"/>
                      <w:szCs w:val="21"/>
                      <w:lang w:val="en-US" w:eastAsia="zh-CN"/>
                    </w:rPr>
                    <w:t>2.994</w:t>
                  </w:r>
                </w:p>
              </w:tc>
              <w:tc>
                <w:tcPr>
                  <w:tcW w:w="303" w:type="pct"/>
                  <w:tcBorders>
                    <w:top w:val="single" w:color="000000" w:sz="4" w:space="0"/>
                    <w:left w:val="single" w:color="000000" w:sz="4" w:space="0"/>
                    <w:bottom w:val="single" w:color="000000" w:sz="4" w:space="0"/>
                    <w:right w:val="single" w:color="000000" w:sz="4" w:space="0"/>
                  </w:tcBorders>
                  <w:noWrap/>
                  <w:vAlign w:val="center"/>
                </w:tcPr>
                <w:p w14:paraId="1FEC4785">
                  <w:pPr>
                    <w:jc w:val="center"/>
                    <w:textAlignment w:val="center"/>
                    <w:rPr>
                      <w:rFonts w:hint="eastAsia"/>
                      <w:color w:val="auto"/>
                      <w:szCs w:val="21"/>
                      <w:lang w:val="en-US" w:eastAsia="zh-CN"/>
                    </w:rPr>
                  </w:pPr>
                  <w:r>
                    <w:rPr>
                      <w:rFonts w:hint="eastAsia"/>
                      <w:color w:val="auto"/>
                      <w:szCs w:val="21"/>
                      <w:lang w:val="en-US" w:eastAsia="zh-CN"/>
                    </w:rPr>
                    <w:t>-</w:t>
                  </w:r>
                </w:p>
              </w:tc>
              <w:tc>
                <w:tcPr>
                  <w:tcW w:w="344" w:type="pct"/>
                  <w:tcBorders>
                    <w:top w:val="single" w:color="000000" w:sz="4" w:space="0"/>
                    <w:left w:val="single" w:color="000000" w:sz="4" w:space="0"/>
                    <w:bottom w:val="single" w:color="000000" w:sz="4" w:space="0"/>
                    <w:right w:val="single" w:color="auto" w:sz="4" w:space="0"/>
                  </w:tcBorders>
                  <w:noWrap/>
                  <w:vAlign w:val="center"/>
                </w:tcPr>
                <w:p w14:paraId="6DF62E8A">
                  <w:pPr>
                    <w:jc w:val="center"/>
                    <w:textAlignment w:val="center"/>
                    <w:rPr>
                      <w:rFonts w:hint="default"/>
                      <w:color w:val="auto"/>
                      <w:szCs w:val="21"/>
                      <w:lang w:val="en-US" w:eastAsia="zh-CN"/>
                    </w:rPr>
                  </w:pPr>
                  <w:r>
                    <w:rPr>
                      <w:rFonts w:hint="eastAsia"/>
                      <w:color w:val="auto"/>
                      <w:szCs w:val="21"/>
                      <w:lang w:val="en-US" w:eastAsia="zh-CN"/>
                    </w:rPr>
                    <w:t>0.017</w:t>
                  </w:r>
                </w:p>
              </w:tc>
              <w:tc>
                <w:tcPr>
                  <w:tcW w:w="334" w:type="pct"/>
                  <w:tcBorders>
                    <w:top w:val="single" w:color="000000" w:sz="4" w:space="0"/>
                    <w:left w:val="single" w:color="auto" w:sz="4" w:space="0"/>
                    <w:bottom w:val="single" w:color="000000" w:sz="4" w:space="0"/>
                    <w:right w:val="single" w:color="000000" w:sz="4" w:space="0"/>
                  </w:tcBorders>
                  <w:noWrap/>
                  <w:vAlign w:val="center"/>
                </w:tcPr>
                <w:p w14:paraId="56C87981">
                  <w:pPr>
                    <w:jc w:val="center"/>
                    <w:textAlignment w:val="center"/>
                    <w:rPr>
                      <w:rFonts w:hint="default"/>
                      <w:color w:val="auto"/>
                      <w:szCs w:val="21"/>
                      <w:lang w:val="en-US" w:eastAsia="zh-CN"/>
                    </w:rPr>
                  </w:pPr>
                  <w:r>
                    <w:rPr>
                      <w:rFonts w:hint="eastAsia"/>
                      <w:color w:val="auto"/>
                      <w:szCs w:val="21"/>
                      <w:lang w:val="en-US" w:eastAsia="zh-CN"/>
                    </w:rPr>
                    <w:t>0.022</w:t>
                  </w:r>
                </w:p>
              </w:tc>
              <w:tc>
                <w:tcPr>
                  <w:tcW w:w="4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10F80">
                  <w:pPr>
                    <w:jc w:val="center"/>
                    <w:textAlignment w:val="center"/>
                    <w:rPr>
                      <w:rFonts w:hint="eastAsia"/>
                      <w:color w:val="auto"/>
                      <w:szCs w:val="21"/>
                      <w:lang w:val="en-US" w:eastAsia="zh-CN"/>
                    </w:rPr>
                  </w:pPr>
                  <w:r>
                    <w:rPr>
                      <w:rFonts w:hint="eastAsia"/>
                      <w:color w:val="auto"/>
                      <w:szCs w:val="21"/>
                      <w:lang w:val="en-US" w:eastAsia="zh-CN"/>
                    </w:rPr>
                    <w:t>99.98</w:t>
                  </w:r>
                </w:p>
              </w:tc>
            </w:tr>
          </w:tbl>
          <w:p w14:paraId="2687FC82">
            <w:pPr>
              <w:pStyle w:val="9"/>
              <w:spacing w:line="360" w:lineRule="auto"/>
              <w:ind w:firstLine="480"/>
              <w:rPr>
                <w:color w:val="auto"/>
                <w:sz w:val="24"/>
                <w:szCs w:val="24"/>
              </w:rPr>
            </w:pPr>
            <w:r>
              <w:rPr>
                <w:color w:val="auto"/>
                <w:sz w:val="24"/>
                <w:szCs w:val="24"/>
              </w:rPr>
              <w:t>因项目石英石原料中重金属含量很低，与石英砂形成共熔的存在状态，在稀酸洗过程中，不容易溶出。根据张帅等人对河源某同类石英砂企业的研究成果（石英砂酸洗废水处理工艺设计应用，《广州化工》2018年第1期），酸洗废水中污染物有pH、SS、CODcr、F</w:t>
            </w:r>
            <w:r>
              <w:rPr>
                <w:color w:val="auto"/>
                <w:sz w:val="24"/>
                <w:szCs w:val="24"/>
                <w:vertAlign w:val="superscript"/>
              </w:rPr>
              <w:t>-</w:t>
            </w:r>
            <w:r>
              <w:rPr>
                <w:color w:val="auto"/>
                <w:sz w:val="24"/>
                <w:szCs w:val="24"/>
              </w:rPr>
              <w:t>和Fe，没有其它的重金属，</w:t>
            </w:r>
            <w:r>
              <w:rPr>
                <w:rFonts w:hint="eastAsia"/>
                <w:color w:val="auto"/>
                <w:sz w:val="24"/>
                <w:szCs w:val="24"/>
                <w:lang w:val="en-US" w:eastAsia="zh-CN"/>
              </w:rPr>
              <w:t>结合近期同类型报告《合肥赛默科思半导体材料有限公司高纯精密石英新材料一期生产制造和研发项目环境影响报告》、《安徽光鑫新材料科技有限公司芯片级高纯石英砂（5万吨/年）、普通石英砂（10万吨/年）及石英坩埚项目环境影响报告》等同类型报告酸洗过程均无重金属产生，</w:t>
            </w:r>
            <w:r>
              <w:rPr>
                <w:color w:val="auto"/>
                <w:sz w:val="24"/>
                <w:szCs w:val="24"/>
              </w:rPr>
              <w:t>可见在酸洗过程中，砷、汞、镉、铬、铅</w:t>
            </w:r>
            <w:r>
              <w:rPr>
                <w:rFonts w:hint="eastAsia"/>
                <w:color w:val="auto"/>
                <w:sz w:val="24"/>
                <w:szCs w:val="24"/>
                <w:lang w:eastAsia="zh-CN"/>
              </w:rPr>
              <w:t>、</w:t>
            </w:r>
            <w:r>
              <w:rPr>
                <w:rFonts w:hint="eastAsia"/>
                <w:color w:val="auto"/>
                <w:sz w:val="24"/>
                <w:szCs w:val="24"/>
                <w:lang w:val="en-US" w:eastAsia="zh-CN"/>
              </w:rPr>
              <w:t>镍</w:t>
            </w:r>
            <w:r>
              <w:rPr>
                <w:color w:val="auto"/>
                <w:sz w:val="24"/>
                <w:szCs w:val="24"/>
              </w:rPr>
              <w:t>等重金属不会溶出。本项目酸洗后废酸作为固废处置，酸洗后清洗废水中重金属溶出可能性更低，故本次视为清洗废水中无砷、汞、镉、铬、铅</w:t>
            </w:r>
            <w:r>
              <w:rPr>
                <w:rFonts w:hint="eastAsia"/>
                <w:color w:val="auto"/>
                <w:sz w:val="24"/>
                <w:szCs w:val="24"/>
                <w:lang w:eastAsia="zh-CN"/>
              </w:rPr>
              <w:t>、</w:t>
            </w:r>
            <w:r>
              <w:rPr>
                <w:rFonts w:hint="eastAsia"/>
                <w:color w:val="auto"/>
                <w:sz w:val="24"/>
                <w:szCs w:val="24"/>
                <w:lang w:val="en-US" w:eastAsia="zh-CN"/>
              </w:rPr>
              <w:t>镍</w:t>
            </w:r>
            <w:r>
              <w:rPr>
                <w:color w:val="auto"/>
                <w:sz w:val="24"/>
                <w:szCs w:val="24"/>
              </w:rPr>
              <w:t>等重金属。</w:t>
            </w:r>
          </w:p>
          <w:p w14:paraId="5D739EEB">
            <w:pPr>
              <w:pStyle w:val="9"/>
              <w:spacing w:line="360" w:lineRule="auto"/>
              <w:ind w:firstLine="480"/>
              <w:rPr>
                <w:color w:val="auto"/>
                <w:sz w:val="24"/>
                <w:szCs w:val="24"/>
              </w:rPr>
            </w:pPr>
            <w:r>
              <w:rPr>
                <w:rFonts w:hint="eastAsia"/>
                <w:color w:val="auto"/>
                <w:sz w:val="24"/>
                <w:szCs w:val="24"/>
                <w:lang w:val="en-US" w:eastAsia="zh-CN"/>
              </w:rPr>
              <w:t>其他</w:t>
            </w:r>
            <w:r>
              <w:rPr>
                <w:color w:val="auto"/>
                <w:sz w:val="24"/>
                <w:szCs w:val="24"/>
              </w:rPr>
              <w:t>原辅材料性质：</w:t>
            </w:r>
          </w:p>
          <w:p w14:paraId="6990911F">
            <w:pPr>
              <w:jc w:val="center"/>
              <w:rPr>
                <w:b/>
                <w:bCs/>
                <w:color w:val="auto"/>
                <w:szCs w:val="21"/>
              </w:rPr>
            </w:pPr>
            <w:r>
              <w:rPr>
                <w:b/>
                <w:bCs/>
                <w:color w:val="auto"/>
                <w:szCs w:val="21"/>
              </w:rPr>
              <w:t>表2-</w:t>
            </w:r>
            <w:r>
              <w:rPr>
                <w:rFonts w:hint="eastAsia"/>
                <w:b/>
                <w:bCs/>
                <w:color w:val="auto"/>
                <w:szCs w:val="21"/>
                <w:lang w:val="en-US" w:eastAsia="zh-CN"/>
              </w:rPr>
              <w:t>8</w:t>
            </w:r>
            <w:r>
              <w:rPr>
                <w:b/>
                <w:bCs/>
                <w:color w:val="auto"/>
                <w:szCs w:val="21"/>
              </w:rPr>
              <w:t xml:space="preserve">  原辅材料理化性质一览表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1226"/>
              <w:gridCol w:w="1258"/>
              <w:gridCol w:w="921"/>
              <w:gridCol w:w="1260"/>
              <w:gridCol w:w="1230"/>
              <w:gridCol w:w="1175"/>
            </w:tblGrid>
            <w:tr w14:paraId="649CF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vAlign w:val="center"/>
                </w:tcPr>
                <w:p w14:paraId="38098CB4">
                  <w:pPr>
                    <w:snapToGrid w:val="0"/>
                    <w:spacing w:line="280" w:lineRule="exact"/>
                    <w:jc w:val="center"/>
                    <w:rPr>
                      <w:color w:val="auto"/>
                      <w:kern w:val="0"/>
                      <w:szCs w:val="21"/>
                    </w:rPr>
                  </w:pPr>
                  <w:r>
                    <w:rPr>
                      <w:color w:val="auto"/>
                      <w:kern w:val="0"/>
                      <w:szCs w:val="21"/>
                    </w:rPr>
                    <w:t>理化性质</w:t>
                  </w:r>
                </w:p>
              </w:tc>
            </w:tr>
            <w:tr w14:paraId="38A08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422FE150">
                  <w:pPr>
                    <w:snapToGrid w:val="0"/>
                    <w:spacing w:line="280" w:lineRule="exact"/>
                    <w:jc w:val="center"/>
                    <w:rPr>
                      <w:color w:val="auto"/>
                      <w:kern w:val="0"/>
                      <w:szCs w:val="21"/>
                    </w:rPr>
                  </w:pPr>
                  <w:r>
                    <w:rPr>
                      <w:color w:val="auto"/>
                      <w:kern w:val="0"/>
                      <w:szCs w:val="21"/>
                    </w:rPr>
                    <w:t>石英石</w:t>
                  </w:r>
                </w:p>
              </w:tc>
              <w:tc>
                <w:tcPr>
                  <w:tcW w:w="4399" w:type="pct"/>
                  <w:gridSpan w:val="6"/>
                  <w:vAlign w:val="center"/>
                </w:tcPr>
                <w:p w14:paraId="701D3ABB">
                  <w:pPr>
                    <w:snapToGrid w:val="0"/>
                    <w:spacing w:line="280" w:lineRule="exact"/>
                    <w:jc w:val="left"/>
                    <w:rPr>
                      <w:color w:val="auto"/>
                      <w:kern w:val="0"/>
                      <w:szCs w:val="21"/>
                    </w:rPr>
                  </w:pPr>
                  <w:r>
                    <w:rPr>
                      <w:rStyle w:val="117"/>
                      <w:rFonts w:ascii="Times New Roman" w:hAnsi="Times New Roman" w:cs="Times New Roman"/>
                      <w:color w:val="auto"/>
                      <w:sz w:val="21"/>
                      <w:szCs w:val="21"/>
                    </w:rPr>
                    <w:t>石英是</w:t>
                  </w:r>
                  <w:r>
                    <w:rPr>
                      <w:color w:val="auto"/>
                      <w:szCs w:val="21"/>
                    </w:rPr>
                    <w:t>一种物理性质和化学性质均十分稳定的矿产资源。硅的氧化物矿物成分为SiO</w:t>
                  </w:r>
                  <w:r>
                    <w:rPr>
                      <w:color w:val="auto"/>
                      <w:szCs w:val="21"/>
                      <w:vertAlign w:val="subscript"/>
                    </w:rPr>
                    <w:t>2</w:t>
                  </w:r>
                  <w:r>
                    <w:rPr>
                      <w:color w:val="auto"/>
                      <w:szCs w:val="21"/>
                    </w:rPr>
                    <w:t>。主要指分布广泛的三方晶系的低温石英（α-石英），当温度在573℃以上时，则成为六方晶系的高温石英（β-石英）。石英砂是一种坚硬、耐磨、化学性能稳定的硅酸盐矿物，其主要矿物成分是SiO</w:t>
                  </w:r>
                  <w:r>
                    <w:rPr>
                      <w:color w:val="auto"/>
                      <w:szCs w:val="21"/>
                      <w:vertAlign w:val="subscript"/>
                    </w:rPr>
                    <w:t>2</w:t>
                  </w:r>
                  <w:r>
                    <w:rPr>
                      <w:color w:val="auto"/>
                      <w:szCs w:val="21"/>
                    </w:rPr>
                    <w:t>，石英砂的颜色为乳白色或无色半透明状，硬度7，相对密度为2.65，其化学、热学和机械性能具有明显的异向性，不溶于酸，微溶于KOH溶液，熔点1750℃，具有良好的具脆性、热电性、压电性能。</w:t>
                  </w:r>
                </w:p>
              </w:tc>
            </w:tr>
            <w:tr w14:paraId="3AA11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33E85509">
                  <w:pPr>
                    <w:widowControl/>
                    <w:jc w:val="center"/>
                    <w:rPr>
                      <w:rFonts w:hint="default" w:ascii="Times New Roman" w:hAnsi="Times New Roman" w:eastAsia="宋体" w:cs="Times New Roman"/>
                      <w:b w:val="0"/>
                      <w:bCs w:val="0"/>
                      <w:color w:val="auto"/>
                      <w:kern w:val="0"/>
                      <w:szCs w:val="21"/>
                      <w:u w:val="none"/>
                    </w:rPr>
                  </w:pPr>
                  <w:r>
                    <w:rPr>
                      <w:rFonts w:hint="default" w:ascii="Times New Roman" w:hAnsi="Times New Roman" w:eastAsia="宋体" w:cs="Times New Roman"/>
                      <w:b w:val="0"/>
                      <w:bCs w:val="0"/>
                      <w:color w:val="auto"/>
                      <w:kern w:val="0"/>
                      <w:szCs w:val="21"/>
                      <w:highlight w:val="none"/>
                      <w:u w:val="none"/>
                      <w:lang w:bidi="ar"/>
                    </w:rPr>
                    <w:t>浮</w:t>
                  </w:r>
                  <w:r>
                    <w:rPr>
                      <w:rFonts w:hint="eastAsia" w:ascii="Times New Roman" w:hAnsi="Times New Roman" w:eastAsia="宋体" w:cs="Times New Roman"/>
                      <w:b w:val="0"/>
                      <w:bCs w:val="0"/>
                      <w:color w:val="auto"/>
                      <w:kern w:val="0"/>
                      <w:szCs w:val="21"/>
                      <w:highlight w:val="none"/>
                      <w:u w:val="none"/>
                      <w:lang w:val="en-US" w:eastAsia="zh-CN" w:bidi="ar"/>
                    </w:rPr>
                    <w:t>洗</w:t>
                  </w:r>
                  <w:r>
                    <w:rPr>
                      <w:rFonts w:hint="default" w:ascii="Times New Roman" w:hAnsi="Times New Roman" w:eastAsia="宋体" w:cs="Times New Roman"/>
                      <w:b w:val="0"/>
                      <w:bCs w:val="0"/>
                      <w:color w:val="auto"/>
                      <w:kern w:val="0"/>
                      <w:szCs w:val="21"/>
                      <w:highlight w:val="none"/>
                      <w:u w:val="none"/>
                      <w:lang w:bidi="ar"/>
                    </w:rPr>
                    <w:t>剂</w:t>
                  </w:r>
                </w:p>
              </w:tc>
              <w:tc>
                <w:tcPr>
                  <w:tcW w:w="4399" w:type="pct"/>
                  <w:gridSpan w:val="6"/>
                  <w:vAlign w:val="center"/>
                </w:tcPr>
                <w:p w14:paraId="22F2AC02">
                  <w:pPr>
                    <w:tabs>
                      <w:tab w:val="left" w:pos="8415"/>
                    </w:tabs>
                    <w:adjustRightInd w:val="0"/>
                    <w:snapToGrid w:val="0"/>
                    <w:rPr>
                      <w:rFonts w:hint="default" w:ascii="Times New Roman" w:hAnsi="Times New Roman" w:eastAsia="宋体" w:cs="Times New Roman"/>
                      <w:b w:val="0"/>
                      <w:bCs w:val="0"/>
                      <w:color w:val="auto"/>
                      <w:szCs w:val="21"/>
                      <w:highlight w:val="none"/>
                      <w:u w:val="none"/>
                    </w:rPr>
                  </w:pPr>
                  <w:r>
                    <w:rPr>
                      <w:rFonts w:hint="default" w:ascii="Times New Roman" w:hAnsi="Times New Roman" w:eastAsia="宋体" w:cs="Times New Roman"/>
                      <w:b w:val="0"/>
                      <w:bCs w:val="0"/>
                      <w:color w:val="auto"/>
                      <w:szCs w:val="21"/>
                      <w:highlight w:val="none"/>
                      <w:u w:val="none"/>
                    </w:rPr>
                    <w:t>在矿物浮选过程中使用的能够调整矿物表面性质，提高或降低矿物可浮性，使矿浆性质和泡沫稳定性更有利于矿物分选的化学制剂，</w:t>
                  </w:r>
                  <w:r>
                    <w:rPr>
                      <w:rFonts w:hint="default" w:ascii="Times New Roman" w:hAnsi="Times New Roman" w:eastAsia="宋体" w:cs="Times New Roman"/>
                      <w:b/>
                      <w:bCs/>
                      <w:color w:val="auto"/>
                      <w:szCs w:val="21"/>
                      <w:highlight w:val="none"/>
                      <w:u w:val="none"/>
                    </w:rPr>
                    <w:t>主要成分为</w:t>
                  </w:r>
                  <w:r>
                    <w:rPr>
                      <w:rFonts w:hint="eastAsia" w:cs="Times New Roman"/>
                      <w:b/>
                      <w:bCs/>
                      <w:color w:val="auto"/>
                      <w:szCs w:val="21"/>
                      <w:highlight w:val="none"/>
                      <w:u w:val="none"/>
                      <w:lang w:val="en-US" w:eastAsia="zh-CN"/>
                    </w:rPr>
                    <w:t>70%</w:t>
                  </w:r>
                  <w:r>
                    <w:rPr>
                      <w:rFonts w:hint="default" w:ascii="Times New Roman" w:hAnsi="Times New Roman" w:eastAsia="宋体" w:cs="Times New Roman"/>
                      <w:b/>
                      <w:bCs/>
                      <w:color w:val="auto"/>
                      <w:szCs w:val="21"/>
                      <w:highlight w:val="none"/>
                      <w:u w:val="none"/>
                    </w:rPr>
                    <w:t>石油磺酸钠、</w:t>
                  </w:r>
                  <w:r>
                    <w:rPr>
                      <w:rFonts w:hint="eastAsia" w:cs="Times New Roman"/>
                      <w:b/>
                      <w:bCs/>
                      <w:color w:val="auto"/>
                      <w:szCs w:val="21"/>
                      <w:highlight w:val="none"/>
                      <w:u w:val="none"/>
                      <w:lang w:val="en-US" w:eastAsia="zh-CN"/>
                    </w:rPr>
                    <w:t>17.5%</w:t>
                  </w:r>
                  <w:r>
                    <w:rPr>
                      <w:rFonts w:hint="default" w:ascii="Times New Roman" w:hAnsi="Times New Roman" w:eastAsia="宋体" w:cs="Times New Roman"/>
                      <w:b/>
                      <w:bCs/>
                      <w:color w:val="auto"/>
                      <w:szCs w:val="21"/>
                      <w:highlight w:val="none"/>
                      <w:u w:val="none"/>
                    </w:rPr>
                    <w:t>十</w:t>
                  </w:r>
                  <w:r>
                    <w:rPr>
                      <w:rFonts w:hint="default" w:ascii="Times New Roman" w:hAnsi="Times New Roman" w:eastAsia="宋体" w:cs="Times New Roman"/>
                      <w:b/>
                      <w:bCs/>
                      <w:color w:val="auto"/>
                      <w:szCs w:val="21"/>
                      <w:highlight w:val="none"/>
                      <w:u w:val="none"/>
                      <w:lang w:eastAsia="zh-CN"/>
                    </w:rPr>
                    <w:t>二</w:t>
                  </w:r>
                  <w:r>
                    <w:rPr>
                      <w:rFonts w:hint="default" w:ascii="Times New Roman" w:hAnsi="Times New Roman" w:eastAsia="宋体" w:cs="Times New Roman"/>
                      <w:b/>
                      <w:bCs/>
                      <w:color w:val="auto"/>
                      <w:szCs w:val="21"/>
                      <w:highlight w:val="none"/>
                      <w:u w:val="none"/>
                    </w:rPr>
                    <w:t>胺</w:t>
                  </w:r>
                  <w:r>
                    <w:rPr>
                      <w:rFonts w:hint="default" w:ascii="Times New Roman" w:hAnsi="Times New Roman" w:eastAsia="宋体" w:cs="Times New Roman"/>
                      <w:b/>
                      <w:bCs/>
                      <w:color w:val="auto"/>
                      <w:szCs w:val="21"/>
                      <w:highlight w:val="none"/>
                      <w:u w:val="none"/>
                      <w:lang w:eastAsia="zh-CN"/>
                    </w:rPr>
                    <w:t>、</w:t>
                  </w:r>
                  <w:r>
                    <w:rPr>
                      <w:rFonts w:hint="eastAsia" w:cs="Times New Roman"/>
                      <w:b/>
                      <w:bCs/>
                      <w:color w:val="auto"/>
                      <w:szCs w:val="21"/>
                      <w:highlight w:val="none"/>
                      <w:u w:val="none"/>
                      <w:lang w:val="en-US" w:eastAsia="zh-CN"/>
                    </w:rPr>
                    <w:t>12.5%</w:t>
                  </w:r>
                  <w:r>
                    <w:rPr>
                      <w:rFonts w:hint="default" w:ascii="Times New Roman" w:hAnsi="Times New Roman" w:eastAsia="宋体" w:cs="Times New Roman"/>
                      <w:b/>
                      <w:bCs/>
                      <w:color w:val="auto"/>
                      <w:szCs w:val="21"/>
                      <w:highlight w:val="none"/>
                      <w:u w:val="none"/>
                    </w:rPr>
                    <w:t>非离子型表面活性剂</w:t>
                  </w:r>
                  <w:r>
                    <w:rPr>
                      <w:rFonts w:hint="eastAsia" w:ascii="Times New Roman" w:hAnsi="Times New Roman" w:eastAsia="宋体" w:cs="Times New Roman"/>
                      <w:b/>
                      <w:bCs/>
                      <w:color w:val="auto"/>
                      <w:szCs w:val="21"/>
                      <w:highlight w:val="none"/>
                      <w:u w:val="none"/>
                      <w:lang w:eastAsia="zh-CN"/>
                    </w:rPr>
                    <w:t>（</w:t>
                  </w:r>
                  <w:r>
                    <w:rPr>
                      <w:rFonts w:hint="eastAsia" w:cs="Times New Roman"/>
                      <w:b/>
                      <w:bCs/>
                      <w:color w:val="auto"/>
                      <w:szCs w:val="21"/>
                      <w:highlight w:val="none"/>
                      <w:u w:val="none"/>
                      <w:lang w:val="en-US" w:eastAsia="zh-CN"/>
                    </w:rPr>
                    <w:t>主要为</w:t>
                  </w:r>
                  <w:r>
                    <w:rPr>
                      <w:rFonts w:hint="default" w:ascii="Times New Roman" w:hAnsi="Times New Roman" w:eastAsia="宋体" w:cs="Times New Roman"/>
                      <w:b/>
                      <w:bCs/>
                      <w:color w:val="auto"/>
                      <w:szCs w:val="21"/>
                      <w:highlight w:val="none"/>
                      <w:u w:val="none"/>
                    </w:rPr>
                    <w:t>十二烷基磺酸钠、十二烷基硫酸钠、油酸钠</w:t>
                  </w:r>
                  <w:r>
                    <w:rPr>
                      <w:rFonts w:hint="eastAsia" w:cs="Times New Roman"/>
                      <w:b/>
                      <w:bCs/>
                      <w:color w:val="auto"/>
                      <w:szCs w:val="21"/>
                      <w:highlight w:val="none"/>
                      <w:u w:val="none"/>
                      <w:lang w:val="en-US" w:eastAsia="zh-CN"/>
                    </w:rPr>
                    <w:t>等</w:t>
                  </w:r>
                  <w:r>
                    <w:rPr>
                      <w:rFonts w:hint="eastAsia" w:cs="Times New Roman"/>
                      <w:b/>
                      <w:bCs/>
                      <w:color w:val="auto"/>
                      <w:szCs w:val="21"/>
                      <w:highlight w:val="none"/>
                      <w:u w:val="none"/>
                      <w:lang w:eastAsia="zh-CN"/>
                    </w:rPr>
                    <w:t>）</w:t>
                  </w:r>
                  <w:r>
                    <w:rPr>
                      <w:rFonts w:hint="default" w:ascii="Times New Roman" w:hAnsi="Times New Roman" w:eastAsia="宋体" w:cs="Times New Roman"/>
                      <w:b w:val="0"/>
                      <w:bCs w:val="0"/>
                      <w:color w:val="auto"/>
                      <w:szCs w:val="21"/>
                      <w:highlight w:val="none"/>
                      <w:u w:val="none"/>
                    </w:rPr>
                    <w:t>。具有亲水基团和疏水基团的表面活性分子，定向吸附于水一空气界面，降低水溶液的表面张力，使充入水中的空气易于弥散成气泡和稳定气泡。起泡剂和捕收剂联合在一起吸附于矿物颗粒表面，使矿粒上浮。</w:t>
                  </w:r>
                </w:p>
                <w:p w14:paraId="51032D86">
                  <w:pPr>
                    <w:tabs>
                      <w:tab w:val="left" w:pos="8415"/>
                    </w:tabs>
                    <w:adjustRightInd w:val="0"/>
                    <w:snapToGrid w:val="0"/>
                    <w:rPr>
                      <w:rStyle w:val="117"/>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Cs w:val="21"/>
                      <w:highlight w:val="none"/>
                      <w:u w:val="none"/>
                    </w:rPr>
                    <w:t>石油磺酸钠</w:t>
                  </w:r>
                  <w:r>
                    <w:rPr>
                      <w:rFonts w:hint="default" w:ascii="Times New Roman" w:hAnsi="Times New Roman" w:eastAsia="宋体" w:cs="Times New Roman"/>
                      <w:b w:val="0"/>
                      <w:bCs w:val="0"/>
                      <w:color w:val="auto"/>
                      <w:szCs w:val="21"/>
                      <w:highlight w:val="none"/>
                      <w:u w:val="none"/>
                      <w:lang w:eastAsia="zh-CN"/>
                    </w:rPr>
                    <w:t>（RSO</w:t>
                  </w:r>
                  <w:r>
                    <w:rPr>
                      <w:rFonts w:hint="default" w:ascii="Times New Roman" w:hAnsi="Times New Roman" w:eastAsia="宋体" w:cs="Times New Roman"/>
                      <w:b w:val="0"/>
                      <w:bCs w:val="0"/>
                      <w:color w:val="auto"/>
                      <w:szCs w:val="21"/>
                      <w:highlight w:val="none"/>
                      <w:u w:val="none"/>
                      <w:vertAlign w:val="subscript"/>
                      <w:lang w:eastAsia="zh-CN"/>
                    </w:rPr>
                    <w:t>3</w:t>
                  </w:r>
                  <w:r>
                    <w:rPr>
                      <w:rFonts w:hint="default" w:ascii="Times New Roman" w:hAnsi="Times New Roman" w:eastAsia="宋体" w:cs="Times New Roman"/>
                      <w:b w:val="0"/>
                      <w:bCs w:val="0"/>
                      <w:color w:val="auto"/>
                      <w:szCs w:val="21"/>
                      <w:highlight w:val="none"/>
                      <w:u w:val="none"/>
                      <w:lang w:eastAsia="zh-CN"/>
                    </w:rPr>
                    <w:t>Na(R=C</w:t>
                  </w:r>
                  <w:r>
                    <w:rPr>
                      <w:rFonts w:hint="default" w:ascii="Times New Roman" w:hAnsi="Times New Roman" w:eastAsia="宋体" w:cs="Times New Roman"/>
                      <w:b w:val="0"/>
                      <w:bCs w:val="0"/>
                      <w:color w:val="auto"/>
                      <w:szCs w:val="21"/>
                      <w:highlight w:val="none"/>
                      <w:u w:val="none"/>
                      <w:vertAlign w:val="subscript"/>
                      <w:lang w:eastAsia="zh-CN"/>
                    </w:rPr>
                    <w:t>14</w:t>
                  </w:r>
                  <w:r>
                    <w:rPr>
                      <w:rFonts w:hint="default" w:ascii="Times New Roman" w:hAnsi="Times New Roman" w:eastAsia="宋体" w:cs="Times New Roman"/>
                      <w:b w:val="0"/>
                      <w:bCs w:val="0"/>
                      <w:color w:val="auto"/>
                      <w:szCs w:val="21"/>
                      <w:highlight w:val="none"/>
                      <w:u w:val="none"/>
                      <w:lang w:eastAsia="zh-CN"/>
                    </w:rPr>
                    <w:t>～C</w:t>
                  </w:r>
                  <w:r>
                    <w:rPr>
                      <w:rFonts w:hint="default" w:ascii="Times New Roman" w:hAnsi="Times New Roman" w:eastAsia="宋体" w:cs="Times New Roman"/>
                      <w:b w:val="0"/>
                      <w:bCs w:val="0"/>
                      <w:color w:val="auto"/>
                      <w:szCs w:val="21"/>
                      <w:highlight w:val="none"/>
                      <w:u w:val="none"/>
                      <w:vertAlign w:val="subscript"/>
                      <w:lang w:eastAsia="zh-CN"/>
                    </w:rPr>
                    <w:t>22</w:t>
                  </w:r>
                  <w:r>
                    <w:rPr>
                      <w:rFonts w:hint="default" w:ascii="Times New Roman" w:hAnsi="Times New Roman" w:eastAsia="宋体" w:cs="Times New Roman"/>
                      <w:b w:val="0"/>
                      <w:bCs w:val="0"/>
                      <w:color w:val="auto"/>
                      <w:szCs w:val="21"/>
                      <w:highlight w:val="none"/>
                      <w:u w:val="none"/>
                      <w:lang w:eastAsia="zh-CN"/>
                    </w:rPr>
                    <w:t>烷基)）：</w:t>
                  </w:r>
                  <w:r>
                    <w:rPr>
                      <w:rFonts w:hint="default" w:ascii="Times New Roman" w:hAnsi="Times New Roman" w:eastAsia="宋体" w:cs="Times New Roman"/>
                      <w:b w:val="0"/>
                      <w:bCs w:val="0"/>
                      <w:color w:val="auto"/>
                      <w:szCs w:val="21"/>
                      <w:highlight w:val="none"/>
                      <w:u w:val="none"/>
                    </w:rPr>
                    <w:t>阴离子表面活性剂。分子结构中有一个强亲水性的磺酸基与烃基相联结，表面活性强，低温水溶解性好，20℃含32%活性物，浊点(25%时)3℃，表面张力(1%)25℃时31mN/m，润湿力0.1%水溶液20℃为8s，50℃为4s。在碱性，中性，弱酸性溶液中稳定，对硬水不敏感。具有吸水潮解性，在粉状洗涤剂中用量不宜过多。含正构烷烃&gt;98%的C</w:t>
                  </w:r>
                  <w:r>
                    <w:rPr>
                      <w:rFonts w:hint="default" w:ascii="Times New Roman" w:hAnsi="Times New Roman" w:eastAsia="宋体" w:cs="Times New Roman"/>
                      <w:b w:val="0"/>
                      <w:bCs w:val="0"/>
                      <w:color w:val="auto"/>
                      <w:szCs w:val="21"/>
                      <w:highlight w:val="none"/>
                      <w:u w:val="none"/>
                      <w:vertAlign w:val="subscript"/>
                    </w:rPr>
                    <w:t>14</w:t>
                  </w:r>
                  <w:r>
                    <w:rPr>
                      <w:rFonts w:hint="default" w:ascii="Times New Roman" w:hAnsi="Times New Roman" w:eastAsia="宋体" w:cs="Times New Roman"/>
                      <w:b w:val="0"/>
                      <w:bCs w:val="0"/>
                      <w:color w:val="auto"/>
                      <w:szCs w:val="21"/>
                      <w:highlight w:val="none"/>
                      <w:u w:val="none"/>
                    </w:rPr>
                    <w:t>～C</w:t>
                  </w:r>
                  <w:r>
                    <w:rPr>
                      <w:rFonts w:hint="default" w:ascii="Times New Roman" w:hAnsi="Times New Roman" w:eastAsia="宋体" w:cs="Times New Roman"/>
                      <w:b w:val="0"/>
                      <w:bCs w:val="0"/>
                      <w:color w:val="auto"/>
                      <w:szCs w:val="21"/>
                      <w:highlight w:val="none"/>
                      <w:u w:val="none"/>
                      <w:vertAlign w:val="subscript"/>
                    </w:rPr>
                    <w:t>17</w:t>
                  </w:r>
                  <w:r>
                    <w:rPr>
                      <w:rFonts w:hint="default" w:ascii="Times New Roman" w:hAnsi="Times New Roman" w:eastAsia="宋体" w:cs="Times New Roman"/>
                      <w:b w:val="0"/>
                      <w:bCs w:val="0"/>
                      <w:color w:val="auto"/>
                      <w:szCs w:val="21"/>
                      <w:highlight w:val="none"/>
                      <w:u w:val="none"/>
                    </w:rPr>
                    <w:t>烷烃与适量水在反应器内紫外光照射下通入压力0.1MPa的SO</w:t>
                  </w:r>
                  <w:r>
                    <w:rPr>
                      <w:rFonts w:hint="default" w:ascii="Times New Roman" w:hAnsi="Times New Roman" w:eastAsia="宋体" w:cs="Times New Roman"/>
                      <w:b w:val="0"/>
                      <w:bCs w:val="0"/>
                      <w:color w:val="auto"/>
                      <w:szCs w:val="21"/>
                      <w:highlight w:val="none"/>
                      <w:u w:val="none"/>
                      <w:vertAlign w:val="subscript"/>
                    </w:rPr>
                    <w:t>2</w:t>
                  </w:r>
                  <w:r>
                    <w:rPr>
                      <w:rFonts w:hint="default" w:ascii="Times New Roman" w:hAnsi="Times New Roman" w:eastAsia="宋体" w:cs="Times New Roman"/>
                      <w:b w:val="0"/>
                      <w:bCs w:val="0"/>
                      <w:color w:val="auto"/>
                      <w:szCs w:val="21"/>
                      <w:highlight w:val="none"/>
                      <w:u w:val="none"/>
                    </w:rPr>
                    <w:t>与O</w:t>
                  </w:r>
                  <w:r>
                    <w:rPr>
                      <w:rFonts w:hint="default" w:ascii="Times New Roman" w:hAnsi="Times New Roman" w:eastAsia="宋体" w:cs="Times New Roman"/>
                      <w:b w:val="0"/>
                      <w:bCs w:val="0"/>
                      <w:color w:val="auto"/>
                      <w:szCs w:val="21"/>
                      <w:highlight w:val="none"/>
                      <w:u w:val="none"/>
                      <w:vertAlign w:val="subscript"/>
                    </w:rPr>
                    <w:t>2</w:t>
                  </w:r>
                  <w:r>
                    <w:rPr>
                      <w:rFonts w:hint="default" w:ascii="Times New Roman" w:hAnsi="Times New Roman" w:eastAsia="宋体" w:cs="Times New Roman"/>
                      <w:b w:val="0"/>
                      <w:bCs w:val="0"/>
                      <w:color w:val="auto"/>
                      <w:szCs w:val="21"/>
                      <w:highlight w:val="none"/>
                      <w:u w:val="none"/>
                    </w:rPr>
                    <w:t>的混合气体，SO</w:t>
                  </w:r>
                  <w:r>
                    <w:rPr>
                      <w:rFonts w:hint="default" w:ascii="Times New Roman" w:hAnsi="Times New Roman" w:eastAsia="宋体" w:cs="Times New Roman"/>
                      <w:b w:val="0"/>
                      <w:bCs w:val="0"/>
                      <w:color w:val="auto"/>
                      <w:szCs w:val="21"/>
                      <w:highlight w:val="none"/>
                      <w:u w:val="none"/>
                      <w:vertAlign w:val="subscript"/>
                    </w:rPr>
                    <w:t>2</w:t>
                  </w:r>
                  <w:r>
                    <w:rPr>
                      <w:rFonts w:hint="default" w:ascii="Times New Roman" w:hAnsi="Times New Roman" w:eastAsia="宋体" w:cs="Times New Roman"/>
                      <w:b w:val="0"/>
                      <w:bCs w:val="0"/>
                      <w:color w:val="auto"/>
                      <w:szCs w:val="21"/>
                      <w:highlight w:val="none"/>
                      <w:u w:val="none"/>
                    </w:rPr>
                    <w:t>与O</w:t>
                  </w:r>
                  <w:r>
                    <w:rPr>
                      <w:rFonts w:hint="default" w:ascii="Times New Roman" w:hAnsi="Times New Roman" w:eastAsia="宋体" w:cs="Times New Roman"/>
                      <w:b w:val="0"/>
                      <w:bCs w:val="0"/>
                      <w:color w:val="auto"/>
                      <w:szCs w:val="21"/>
                      <w:highlight w:val="none"/>
                      <w:u w:val="none"/>
                      <w:vertAlign w:val="subscript"/>
                    </w:rPr>
                    <w:t>2</w:t>
                  </w:r>
                  <w:r>
                    <w:rPr>
                      <w:rFonts w:hint="default" w:ascii="Times New Roman" w:hAnsi="Times New Roman" w:eastAsia="宋体" w:cs="Times New Roman"/>
                      <w:b w:val="0"/>
                      <w:bCs w:val="0"/>
                      <w:color w:val="auto"/>
                      <w:szCs w:val="21"/>
                      <w:highlight w:val="none"/>
                      <w:u w:val="none"/>
                    </w:rPr>
                    <w:t>的分子比为2：1，在30℃温度下进行磺氧化反应，并经分离制得。</w:t>
                  </w:r>
                </w:p>
              </w:tc>
            </w:tr>
            <w:tr w14:paraId="26F74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shd w:val="clear" w:color="auto" w:fill="auto"/>
                  <w:vAlign w:val="center"/>
                </w:tcPr>
                <w:p w14:paraId="260A1DDD">
                  <w:pPr>
                    <w:widowControl/>
                    <w:jc w:val="center"/>
                    <w:rPr>
                      <w:rFonts w:hint="default" w:ascii="Times New Roman" w:hAnsi="Times New Roman" w:eastAsia="宋体" w:cs="Times New Roman"/>
                      <w:color w:val="auto"/>
                      <w:kern w:val="0"/>
                      <w:sz w:val="21"/>
                      <w:szCs w:val="21"/>
                      <w:lang w:val="en-US" w:eastAsia="zh-CN" w:bidi="ar"/>
                    </w:rPr>
                  </w:pPr>
                  <w:r>
                    <w:rPr>
                      <w:color w:val="auto"/>
                      <w:szCs w:val="21"/>
                    </w:rPr>
                    <w:t>PAC</w:t>
                  </w:r>
                </w:p>
              </w:tc>
              <w:tc>
                <w:tcPr>
                  <w:tcW w:w="4399" w:type="pct"/>
                  <w:gridSpan w:val="6"/>
                  <w:shd w:val="clear" w:color="auto" w:fill="auto"/>
                  <w:vAlign w:val="center"/>
                </w:tcPr>
                <w:p w14:paraId="476A866B">
                  <w:pPr>
                    <w:tabs>
                      <w:tab w:val="left" w:pos="8415"/>
                    </w:tabs>
                    <w:adjustRightInd w:val="0"/>
                    <w:snapToGrid w:val="0"/>
                    <w:rPr>
                      <w:rFonts w:hint="default" w:ascii="Times New Roman" w:hAnsi="Times New Roman" w:eastAsia="宋体" w:cs="Times New Roman"/>
                      <w:color w:val="auto"/>
                      <w:kern w:val="2"/>
                      <w:sz w:val="21"/>
                      <w:szCs w:val="21"/>
                      <w:lang w:val="en-US" w:eastAsia="zh-CN" w:bidi="ar-SA"/>
                    </w:rPr>
                  </w:pPr>
                  <w:r>
                    <w:rPr>
                      <w:rFonts w:hint="eastAsia"/>
                      <w:color w:val="auto"/>
                      <w:szCs w:val="21"/>
                    </w:rPr>
                    <w:t>聚合氯化铝，一种新兴净水材料、无机高分子混凝剂，简称聚铝。它是介于AlCl</w:t>
                  </w:r>
                  <w:r>
                    <w:rPr>
                      <w:rFonts w:hint="eastAsia"/>
                      <w:color w:val="auto"/>
                      <w:szCs w:val="21"/>
                      <w:vertAlign w:val="subscript"/>
                    </w:rPr>
                    <w:t>3</w:t>
                  </w:r>
                  <w:r>
                    <w:rPr>
                      <w:rFonts w:hint="eastAsia"/>
                      <w:color w:val="auto"/>
                      <w:szCs w:val="21"/>
                    </w:rPr>
                    <w:t>和Al（OH）</w:t>
                  </w:r>
                  <w:r>
                    <w:rPr>
                      <w:rFonts w:hint="eastAsia"/>
                      <w:color w:val="auto"/>
                      <w:szCs w:val="21"/>
                      <w:vertAlign w:val="subscript"/>
                      <w:lang w:val="en-US" w:eastAsia="zh-CN"/>
                    </w:rPr>
                    <w:t>3</w:t>
                  </w:r>
                  <w:r>
                    <w:rPr>
                      <w:rFonts w:hint="eastAsia"/>
                      <w:color w:val="auto"/>
                      <w:szCs w:val="21"/>
                    </w:rPr>
                    <w:t>之间的一种水溶性无机高分子聚合物，化学通式为[Al</w:t>
                  </w:r>
                  <w:r>
                    <w:rPr>
                      <w:rFonts w:hint="eastAsia"/>
                      <w:color w:val="auto"/>
                      <w:szCs w:val="21"/>
                      <w:vertAlign w:val="subscript"/>
                    </w:rPr>
                    <w:t>2</w:t>
                  </w:r>
                  <w:r>
                    <w:rPr>
                      <w:rFonts w:hint="eastAsia"/>
                      <w:color w:val="auto"/>
                      <w:szCs w:val="21"/>
                    </w:rPr>
                    <w:t>（OH）</w:t>
                  </w:r>
                  <w:r>
                    <w:rPr>
                      <w:rFonts w:hint="eastAsia"/>
                      <w:color w:val="auto"/>
                      <w:szCs w:val="21"/>
                      <w:vertAlign w:val="subscript"/>
                    </w:rPr>
                    <w:t>n</w:t>
                  </w:r>
                  <w:r>
                    <w:rPr>
                      <w:rFonts w:hint="eastAsia"/>
                      <w:color w:val="auto"/>
                      <w:szCs w:val="21"/>
                    </w:rPr>
                    <w:t>Cl</w:t>
                  </w:r>
                  <w:r>
                    <w:rPr>
                      <w:rFonts w:hint="eastAsia"/>
                      <w:color w:val="auto"/>
                      <w:szCs w:val="21"/>
                      <w:vertAlign w:val="subscript"/>
                    </w:rPr>
                    <w:t>6-n</w:t>
                  </w:r>
                  <w:r>
                    <w:rPr>
                      <w:rFonts w:hint="eastAsia"/>
                      <w:color w:val="auto"/>
                      <w:szCs w:val="21"/>
                    </w:rPr>
                    <w:t>]</w:t>
                  </w:r>
                  <w:r>
                    <w:rPr>
                      <w:rFonts w:hint="eastAsia"/>
                      <w:color w:val="auto"/>
                      <w:szCs w:val="21"/>
                      <w:vertAlign w:val="subscript"/>
                    </w:rPr>
                    <w:t>m</w:t>
                  </w:r>
                  <w:r>
                    <w:rPr>
                      <w:rFonts w:hint="eastAsia"/>
                      <w:color w:val="auto"/>
                      <w:szCs w:val="21"/>
                    </w:rPr>
                    <w:t>，其中m代表聚合程度，n表示PAC产品的中性程度。n=1~5为具有Keggin结构的高电荷聚合环链体，对水中胶体和颗粒物具有高度电中和及桥联作用，并可强力去除微有毒物及重金属离子，性状稳定。</w:t>
                  </w:r>
                </w:p>
              </w:tc>
            </w:tr>
            <w:tr w14:paraId="11844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shd w:val="clear" w:color="auto" w:fill="auto"/>
                  <w:vAlign w:val="center"/>
                </w:tcPr>
                <w:p w14:paraId="09133D55">
                  <w:pPr>
                    <w:widowControl/>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PAM</w:t>
                  </w:r>
                </w:p>
              </w:tc>
              <w:tc>
                <w:tcPr>
                  <w:tcW w:w="4399" w:type="pct"/>
                  <w:gridSpan w:val="6"/>
                  <w:shd w:val="clear" w:color="auto" w:fill="auto"/>
                  <w:vAlign w:val="center"/>
                </w:tcPr>
                <w:p w14:paraId="04A39508">
                  <w:pPr>
                    <w:tabs>
                      <w:tab w:val="left" w:pos="8415"/>
                    </w:tabs>
                    <w:adjustRightInd w:val="0"/>
                    <w:snapToGrid w:val="0"/>
                    <w:rPr>
                      <w:rFonts w:hint="default" w:ascii="Times New Roman" w:hAnsi="Times New Roman" w:eastAsia="宋体" w:cs="Times New Roman"/>
                      <w:color w:val="auto"/>
                      <w:kern w:val="2"/>
                      <w:sz w:val="21"/>
                      <w:szCs w:val="21"/>
                      <w:lang w:val="en-US" w:eastAsia="zh-CN" w:bidi="ar-SA"/>
                    </w:rPr>
                  </w:pPr>
                  <w:r>
                    <w:rPr>
                      <w:rFonts w:hint="eastAsia"/>
                      <w:color w:val="auto"/>
                      <w:szCs w:val="21"/>
                    </w:rPr>
                    <w:t>聚丙烯酰胺，CAS号为9003-05-8，分子式为(C</w:t>
                  </w:r>
                  <w:r>
                    <w:rPr>
                      <w:rFonts w:hint="eastAsia"/>
                      <w:color w:val="auto"/>
                      <w:szCs w:val="21"/>
                      <w:vertAlign w:val="subscript"/>
                    </w:rPr>
                    <w:t>3</w:t>
                  </w:r>
                  <w:r>
                    <w:rPr>
                      <w:rFonts w:hint="eastAsia"/>
                      <w:color w:val="auto"/>
                      <w:szCs w:val="21"/>
                    </w:rPr>
                    <w:t>H</w:t>
                  </w:r>
                  <w:r>
                    <w:rPr>
                      <w:rFonts w:hint="eastAsia"/>
                      <w:color w:val="auto"/>
                      <w:szCs w:val="21"/>
                      <w:vertAlign w:val="subscript"/>
                    </w:rPr>
                    <w:t>5</w:t>
                  </w:r>
                  <w:r>
                    <w:rPr>
                      <w:rFonts w:hint="eastAsia"/>
                      <w:color w:val="auto"/>
                      <w:szCs w:val="21"/>
                    </w:rPr>
                    <w:t>NO)n，是一种线状的有机高分子聚合物</w:t>
                  </w:r>
                  <w:r>
                    <w:rPr>
                      <w:rFonts w:hint="eastAsia"/>
                      <w:color w:val="auto"/>
                      <w:szCs w:val="21"/>
                      <w:lang w:eastAsia="zh-CN"/>
                    </w:rPr>
                    <w:t>。</w:t>
                  </w:r>
                </w:p>
              </w:tc>
            </w:tr>
            <w:tr w14:paraId="78ABF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shd w:val="clear" w:color="auto" w:fill="auto"/>
                  <w:vAlign w:val="center"/>
                </w:tcPr>
                <w:p w14:paraId="4304936D">
                  <w:pPr>
                    <w:widowControl/>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氢氧化钙</w:t>
                  </w:r>
                </w:p>
              </w:tc>
              <w:tc>
                <w:tcPr>
                  <w:tcW w:w="4399" w:type="pct"/>
                  <w:gridSpan w:val="6"/>
                  <w:shd w:val="clear" w:color="auto" w:fill="auto"/>
                  <w:vAlign w:val="center"/>
                </w:tcPr>
                <w:p w14:paraId="55BD8B03">
                  <w:pPr>
                    <w:tabs>
                      <w:tab w:val="left" w:pos="8415"/>
                    </w:tabs>
                    <w:adjustRightInd w:val="0"/>
                    <w:snapToGrid w:val="0"/>
                    <w:rPr>
                      <w:rFonts w:hint="default" w:ascii="Times New Roman" w:hAnsi="Times New Roman" w:eastAsia="宋体" w:cs="Times New Roman"/>
                      <w:color w:val="auto"/>
                      <w:kern w:val="2"/>
                      <w:sz w:val="21"/>
                      <w:szCs w:val="21"/>
                      <w:lang w:val="en-US" w:eastAsia="zh-CN" w:bidi="ar-SA"/>
                    </w:rPr>
                  </w:pPr>
                  <w:r>
                    <w:rPr>
                      <w:rFonts w:hint="eastAsia"/>
                      <w:color w:val="auto"/>
                      <w:szCs w:val="21"/>
                    </w:rPr>
                    <w:t>是一种无机化合物，化学式为Ca（OH）</w:t>
                  </w:r>
                  <w:r>
                    <w:rPr>
                      <w:rFonts w:hint="eastAsia"/>
                      <w:color w:val="auto"/>
                      <w:szCs w:val="21"/>
                      <w:vertAlign w:val="subscript"/>
                    </w:rPr>
                    <w:t>2</w:t>
                  </w:r>
                  <w:r>
                    <w:rPr>
                      <w:rFonts w:hint="eastAsia"/>
                      <w:color w:val="auto"/>
                      <w:szCs w:val="21"/>
                    </w:rPr>
                    <w:t>，分子量74.10，俗称熟石灰（slaked lime）或消石灰（hydrate lime），是一种白色六方晶系粉末状晶体，密度2.243g/cm</w:t>
                  </w:r>
                  <w:r>
                    <w:rPr>
                      <w:rFonts w:hint="eastAsia"/>
                      <w:color w:val="auto"/>
                      <w:szCs w:val="21"/>
                      <w:vertAlign w:val="superscript"/>
                    </w:rPr>
                    <w:t>3</w:t>
                  </w:r>
                  <w:r>
                    <w:rPr>
                      <w:rFonts w:hint="eastAsia"/>
                      <w:color w:val="auto"/>
                      <w:szCs w:val="21"/>
                    </w:rPr>
                    <w:t>，580℃失水成CaO，常用于</w:t>
                  </w:r>
                  <w:r>
                    <w:rPr>
                      <w:color w:val="auto"/>
                      <w:szCs w:val="21"/>
                    </w:rPr>
                    <w:t>酸碱中和剂。</w:t>
                  </w:r>
                </w:p>
              </w:tc>
            </w:tr>
            <w:tr w14:paraId="13FE2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shd w:val="clear" w:color="auto" w:fill="auto"/>
                  <w:vAlign w:val="center"/>
                </w:tcPr>
                <w:p w14:paraId="720E4A31">
                  <w:pPr>
                    <w:widowControl/>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氢氧化钠</w:t>
                  </w:r>
                </w:p>
              </w:tc>
              <w:tc>
                <w:tcPr>
                  <w:tcW w:w="4399" w:type="pct"/>
                  <w:gridSpan w:val="6"/>
                  <w:shd w:val="clear" w:color="auto" w:fill="auto"/>
                  <w:vAlign w:val="center"/>
                </w:tcPr>
                <w:p w14:paraId="7B351871">
                  <w:pPr>
                    <w:tabs>
                      <w:tab w:val="left" w:pos="8415"/>
                    </w:tabs>
                    <w:adjustRightInd w:val="0"/>
                    <w:snapToGrid w:val="0"/>
                    <w:rPr>
                      <w:rFonts w:hint="default" w:ascii="Times New Roman" w:hAnsi="Times New Roman" w:eastAsia="宋体" w:cs="Times New Roman"/>
                      <w:color w:val="auto"/>
                      <w:kern w:val="2"/>
                      <w:sz w:val="21"/>
                      <w:szCs w:val="21"/>
                      <w:lang w:val="en-US" w:eastAsia="zh-CN" w:bidi="ar-SA"/>
                    </w:rPr>
                  </w:pPr>
                  <w:r>
                    <w:rPr>
                      <w:rFonts w:hint="eastAsia"/>
                      <w:color w:val="auto"/>
                      <w:szCs w:val="21"/>
                    </w:rPr>
                    <w:t>无机化合物，化学式为NaOH</w:t>
                  </w:r>
                  <w:r>
                    <w:rPr>
                      <w:rFonts w:hint="eastAsia"/>
                      <w:color w:val="auto"/>
                      <w:szCs w:val="21"/>
                      <w:lang w:eastAsia="zh-CN"/>
                    </w:rPr>
                    <w:t>，</w:t>
                  </w:r>
                  <w:r>
                    <w:rPr>
                      <w:rFonts w:hint="eastAsia"/>
                      <w:color w:val="auto"/>
                      <w:szCs w:val="21"/>
                    </w:rPr>
                    <w:t>也称苛性钠、烧碱、固碱、火碱、苛性苏打。氢氧化钠具有强碱性，腐蚀性极强，可作酸中和剂、配合掩蔽剂、沉剂、沉淀掩蔽剂、显色剂、皂化剂、去皮剂、洗涤剂等，用途非常广泛。NaOH熔点318.4℃，沸点1390℃，强碱性、强吸湿性、强腐蚀性，中等毒性。</w:t>
                  </w:r>
                </w:p>
              </w:tc>
            </w:tr>
            <w:tr w14:paraId="75311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vAlign w:val="center"/>
                </w:tcPr>
                <w:p w14:paraId="4781A382">
                  <w:pPr>
                    <w:snapToGrid w:val="0"/>
                    <w:spacing w:line="280" w:lineRule="exact"/>
                    <w:jc w:val="center"/>
                    <w:rPr>
                      <w:color w:val="auto"/>
                      <w:kern w:val="0"/>
                      <w:szCs w:val="21"/>
                    </w:rPr>
                  </w:pPr>
                  <w:r>
                    <w:rPr>
                      <w:color w:val="auto"/>
                      <w:kern w:val="0"/>
                      <w:szCs w:val="21"/>
                    </w:rPr>
                    <w:t>氢氟酸</w:t>
                  </w:r>
                </w:p>
              </w:tc>
            </w:tr>
            <w:tr w14:paraId="67AF1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4D2A0E98">
                  <w:pPr>
                    <w:snapToGrid w:val="0"/>
                    <w:spacing w:line="280" w:lineRule="exact"/>
                    <w:jc w:val="center"/>
                    <w:rPr>
                      <w:color w:val="auto"/>
                      <w:kern w:val="0"/>
                      <w:szCs w:val="21"/>
                    </w:rPr>
                  </w:pPr>
                  <w:r>
                    <w:rPr>
                      <w:color w:val="auto"/>
                      <w:kern w:val="0"/>
                      <w:szCs w:val="21"/>
                    </w:rPr>
                    <w:t>品名</w:t>
                  </w:r>
                </w:p>
              </w:tc>
              <w:tc>
                <w:tcPr>
                  <w:tcW w:w="762" w:type="pct"/>
                  <w:vAlign w:val="center"/>
                </w:tcPr>
                <w:p w14:paraId="6EA08D8D">
                  <w:pPr>
                    <w:snapToGrid w:val="0"/>
                    <w:spacing w:line="280" w:lineRule="exact"/>
                    <w:jc w:val="center"/>
                    <w:rPr>
                      <w:color w:val="auto"/>
                      <w:kern w:val="0"/>
                      <w:szCs w:val="21"/>
                    </w:rPr>
                  </w:pPr>
                  <w:r>
                    <w:rPr>
                      <w:color w:val="auto"/>
                      <w:kern w:val="0"/>
                      <w:szCs w:val="21"/>
                    </w:rPr>
                    <w:t>氢氟酸</w:t>
                  </w:r>
                </w:p>
              </w:tc>
              <w:tc>
                <w:tcPr>
                  <w:tcW w:w="782" w:type="pct"/>
                  <w:vAlign w:val="center"/>
                </w:tcPr>
                <w:p w14:paraId="58D13F29">
                  <w:pPr>
                    <w:snapToGrid w:val="0"/>
                    <w:spacing w:line="280" w:lineRule="exact"/>
                    <w:jc w:val="center"/>
                    <w:rPr>
                      <w:color w:val="auto"/>
                      <w:kern w:val="0"/>
                      <w:szCs w:val="21"/>
                    </w:rPr>
                  </w:pPr>
                  <w:r>
                    <w:rPr>
                      <w:color w:val="auto"/>
                      <w:kern w:val="0"/>
                      <w:szCs w:val="21"/>
                    </w:rPr>
                    <w:t>别名</w:t>
                  </w:r>
                </w:p>
              </w:tc>
              <w:tc>
                <w:tcPr>
                  <w:tcW w:w="1357" w:type="pct"/>
                  <w:gridSpan w:val="2"/>
                  <w:vAlign w:val="center"/>
                </w:tcPr>
                <w:p w14:paraId="6B15AA3F">
                  <w:pPr>
                    <w:snapToGrid w:val="0"/>
                    <w:spacing w:line="280" w:lineRule="exact"/>
                    <w:jc w:val="center"/>
                    <w:rPr>
                      <w:color w:val="auto"/>
                      <w:kern w:val="0"/>
                      <w:szCs w:val="21"/>
                    </w:rPr>
                  </w:pPr>
                  <w:r>
                    <w:rPr>
                      <w:color w:val="auto"/>
                      <w:kern w:val="0"/>
                      <w:szCs w:val="21"/>
                    </w:rPr>
                    <w:t>氟氢酸、氟化氢、氟化氢溶液</w:t>
                  </w:r>
                </w:p>
              </w:tc>
              <w:tc>
                <w:tcPr>
                  <w:tcW w:w="765" w:type="pct"/>
                  <w:vAlign w:val="center"/>
                </w:tcPr>
                <w:p w14:paraId="1A10E82F">
                  <w:pPr>
                    <w:snapToGrid w:val="0"/>
                    <w:spacing w:line="280" w:lineRule="exact"/>
                    <w:jc w:val="center"/>
                    <w:rPr>
                      <w:color w:val="auto"/>
                      <w:kern w:val="0"/>
                      <w:szCs w:val="21"/>
                    </w:rPr>
                  </w:pPr>
                  <w:r>
                    <w:rPr>
                      <w:color w:val="auto"/>
                      <w:kern w:val="0"/>
                      <w:szCs w:val="21"/>
                    </w:rPr>
                    <w:t>英文名</w:t>
                  </w:r>
                </w:p>
              </w:tc>
              <w:tc>
                <w:tcPr>
                  <w:tcW w:w="731" w:type="pct"/>
                  <w:vAlign w:val="center"/>
                </w:tcPr>
                <w:p w14:paraId="090E3488">
                  <w:pPr>
                    <w:snapToGrid w:val="0"/>
                    <w:spacing w:line="280" w:lineRule="exact"/>
                    <w:jc w:val="center"/>
                    <w:rPr>
                      <w:color w:val="auto"/>
                      <w:kern w:val="0"/>
                      <w:szCs w:val="21"/>
                    </w:rPr>
                  </w:pPr>
                  <w:r>
                    <w:rPr>
                      <w:color w:val="auto"/>
                      <w:kern w:val="0"/>
                      <w:szCs w:val="21"/>
                    </w:rPr>
                    <w:t>Hydrofluoric acid</w:t>
                  </w:r>
                </w:p>
              </w:tc>
            </w:tr>
            <w:tr w14:paraId="46A99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09213ECD">
                  <w:pPr>
                    <w:snapToGrid w:val="0"/>
                    <w:spacing w:line="280" w:lineRule="exact"/>
                    <w:jc w:val="center"/>
                    <w:rPr>
                      <w:color w:val="auto"/>
                      <w:kern w:val="0"/>
                      <w:szCs w:val="21"/>
                    </w:rPr>
                  </w:pPr>
                  <w:r>
                    <w:rPr>
                      <w:color w:val="auto"/>
                      <w:kern w:val="0"/>
                      <w:szCs w:val="21"/>
                    </w:rPr>
                    <w:t>CAS号</w:t>
                  </w:r>
                </w:p>
              </w:tc>
              <w:tc>
                <w:tcPr>
                  <w:tcW w:w="762" w:type="pct"/>
                  <w:vAlign w:val="center"/>
                </w:tcPr>
                <w:p w14:paraId="067417A0">
                  <w:pPr>
                    <w:snapToGrid w:val="0"/>
                    <w:spacing w:line="280" w:lineRule="exact"/>
                    <w:jc w:val="center"/>
                    <w:rPr>
                      <w:color w:val="auto"/>
                      <w:kern w:val="0"/>
                      <w:szCs w:val="21"/>
                    </w:rPr>
                  </w:pPr>
                  <w:r>
                    <w:rPr>
                      <w:color w:val="auto"/>
                      <w:kern w:val="0"/>
                      <w:szCs w:val="21"/>
                    </w:rPr>
                    <w:t>7664-39-3</w:t>
                  </w:r>
                </w:p>
              </w:tc>
              <w:tc>
                <w:tcPr>
                  <w:tcW w:w="782" w:type="pct"/>
                  <w:vAlign w:val="center"/>
                </w:tcPr>
                <w:p w14:paraId="14B3C28E">
                  <w:pPr>
                    <w:snapToGrid w:val="0"/>
                    <w:spacing w:line="280" w:lineRule="exact"/>
                    <w:jc w:val="center"/>
                    <w:rPr>
                      <w:color w:val="auto"/>
                      <w:kern w:val="0"/>
                      <w:szCs w:val="21"/>
                    </w:rPr>
                  </w:pPr>
                  <w:r>
                    <w:rPr>
                      <w:color w:val="auto"/>
                      <w:kern w:val="0"/>
                      <w:szCs w:val="21"/>
                    </w:rPr>
                    <w:t>危险性类别</w:t>
                  </w:r>
                </w:p>
              </w:tc>
              <w:tc>
                <w:tcPr>
                  <w:tcW w:w="1357" w:type="pct"/>
                  <w:gridSpan w:val="2"/>
                  <w:vAlign w:val="center"/>
                </w:tcPr>
                <w:p w14:paraId="2A69EF3D">
                  <w:pPr>
                    <w:snapToGrid w:val="0"/>
                    <w:spacing w:line="280" w:lineRule="exact"/>
                    <w:jc w:val="center"/>
                    <w:rPr>
                      <w:color w:val="auto"/>
                      <w:kern w:val="0"/>
                      <w:szCs w:val="21"/>
                    </w:rPr>
                  </w:pPr>
                  <w:r>
                    <w:rPr>
                      <w:color w:val="auto"/>
                      <w:kern w:val="0"/>
                      <w:szCs w:val="21"/>
                      <w:lang w:val="zh-CN"/>
                    </w:rPr>
                    <w:t>8.1类 酸性腐蚀品</w:t>
                  </w:r>
                </w:p>
              </w:tc>
              <w:tc>
                <w:tcPr>
                  <w:tcW w:w="765" w:type="pct"/>
                  <w:vAlign w:val="center"/>
                </w:tcPr>
                <w:p w14:paraId="525B5C1F">
                  <w:pPr>
                    <w:snapToGrid w:val="0"/>
                    <w:spacing w:line="280" w:lineRule="exact"/>
                    <w:jc w:val="center"/>
                    <w:rPr>
                      <w:color w:val="auto"/>
                      <w:kern w:val="0"/>
                      <w:szCs w:val="21"/>
                    </w:rPr>
                  </w:pPr>
                  <w:r>
                    <w:rPr>
                      <w:color w:val="auto"/>
                      <w:kern w:val="0"/>
                      <w:szCs w:val="21"/>
                    </w:rPr>
                    <w:t>爆炸极限（V/V%）</w:t>
                  </w:r>
                </w:p>
              </w:tc>
              <w:tc>
                <w:tcPr>
                  <w:tcW w:w="731" w:type="pct"/>
                  <w:vAlign w:val="center"/>
                </w:tcPr>
                <w:p w14:paraId="63AB88E5">
                  <w:pPr>
                    <w:snapToGrid w:val="0"/>
                    <w:spacing w:line="280" w:lineRule="exact"/>
                    <w:jc w:val="center"/>
                    <w:rPr>
                      <w:color w:val="auto"/>
                      <w:kern w:val="0"/>
                      <w:szCs w:val="21"/>
                    </w:rPr>
                  </w:pPr>
                  <w:r>
                    <w:rPr>
                      <w:color w:val="auto"/>
                      <w:kern w:val="0"/>
                      <w:szCs w:val="21"/>
                    </w:rPr>
                    <w:t>/</w:t>
                  </w:r>
                </w:p>
              </w:tc>
            </w:tr>
            <w:tr w14:paraId="2587A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restart"/>
                  <w:vAlign w:val="center"/>
                </w:tcPr>
                <w:p w14:paraId="36037273">
                  <w:pPr>
                    <w:snapToGrid w:val="0"/>
                    <w:spacing w:line="280" w:lineRule="exact"/>
                    <w:jc w:val="center"/>
                    <w:rPr>
                      <w:color w:val="auto"/>
                      <w:kern w:val="0"/>
                      <w:szCs w:val="21"/>
                    </w:rPr>
                  </w:pPr>
                  <w:r>
                    <w:rPr>
                      <w:color w:val="auto"/>
                      <w:kern w:val="0"/>
                      <w:szCs w:val="21"/>
                    </w:rPr>
                    <w:t>理化性质</w:t>
                  </w:r>
                </w:p>
              </w:tc>
              <w:tc>
                <w:tcPr>
                  <w:tcW w:w="762" w:type="pct"/>
                  <w:vAlign w:val="center"/>
                </w:tcPr>
                <w:p w14:paraId="194F1A41">
                  <w:pPr>
                    <w:snapToGrid w:val="0"/>
                    <w:spacing w:line="280" w:lineRule="exact"/>
                    <w:jc w:val="center"/>
                    <w:rPr>
                      <w:color w:val="auto"/>
                      <w:kern w:val="0"/>
                      <w:szCs w:val="21"/>
                    </w:rPr>
                  </w:pPr>
                  <w:r>
                    <w:rPr>
                      <w:color w:val="auto"/>
                      <w:kern w:val="0"/>
                      <w:szCs w:val="21"/>
                    </w:rPr>
                    <w:t>分子式</w:t>
                  </w:r>
                </w:p>
              </w:tc>
              <w:tc>
                <w:tcPr>
                  <w:tcW w:w="782" w:type="pct"/>
                  <w:vAlign w:val="center"/>
                </w:tcPr>
                <w:p w14:paraId="4AADD0DD">
                  <w:pPr>
                    <w:snapToGrid w:val="0"/>
                    <w:spacing w:line="280" w:lineRule="exact"/>
                    <w:jc w:val="center"/>
                    <w:rPr>
                      <w:color w:val="auto"/>
                      <w:kern w:val="0"/>
                      <w:szCs w:val="21"/>
                    </w:rPr>
                  </w:pPr>
                  <w:r>
                    <w:rPr>
                      <w:color w:val="auto"/>
                      <w:kern w:val="0"/>
                      <w:szCs w:val="21"/>
                    </w:rPr>
                    <w:t>HF</w:t>
                  </w:r>
                </w:p>
              </w:tc>
              <w:tc>
                <w:tcPr>
                  <w:tcW w:w="573" w:type="pct"/>
                  <w:vAlign w:val="center"/>
                </w:tcPr>
                <w:p w14:paraId="3741814B">
                  <w:pPr>
                    <w:snapToGrid w:val="0"/>
                    <w:spacing w:line="280" w:lineRule="exact"/>
                    <w:jc w:val="center"/>
                    <w:rPr>
                      <w:color w:val="auto"/>
                      <w:kern w:val="0"/>
                      <w:szCs w:val="21"/>
                    </w:rPr>
                  </w:pPr>
                  <w:r>
                    <w:rPr>
                      <w:color w:val="auto"/>
                      <w:kern w:val="0"/>
                      <w:szCs w:val="21"/>
                    </w:rPr>
                    <w:t>分子量</w:t>
                  </w:r>
                </w:p>
              </w:tc>
              <w:tc>
                <w:tcPr>
                  <w:tcW w:w="784" w:type="pct"/>
                  <w:vAlign w:val="center"/>
                </w:tcPr>
                <w:p w14:paraId="4CE6A1EB">
                  <w:pPr>
                    <w:snapToGrid w:val="0"/>
                    <w:spacing w:line="280" w:lineRule="exact"/>
                    <w:jc w:val="center"/>
                    <w:rPr>
                      <w:color w:val="auto"/>
                      <w:kern w:val="0"/>
                      <w:szCs w:val="21"/>
                    </w:rPr>
                  </w:pPr>
                  <w:r>
                    <w:rPr>
                      <w:color w:val="auto"/>
                      <w:kern w:val="0"/>
                      <w:szCs w:val="21"/>
                    </w:rPr>
                    <w:t>20.01</w:t>
                  </w:r>
                </w:p>
              </w:tc>
              <w:tc>
                <w:tcPr>
                  <w:tcW w:w="765" w:type="pct"/>
                  <w:vAlign w:val="center"/>
                </w:tcPr>
                <w:p w14:paraId="736A5D5C">
                  <w:pPr>
                    <w:snapToGrid w:val="0"/>
                    <w:spacing w:line="280" w:lineRule="exact"/>
                    <w:jc w:val="center"/>
                    <w:rPr>
                      <w:color w:val="auto"/>
                      <w:kern w:val="0"/>
                      <w:szCs w:val="21"/>
                    </w:rPr>
                  </w:pPr>
                  <w:r>
                    <w:rPr>
                      <w:color w:val="auto"/>
                      <w:kern w:val="0"/>
                      <w:szCs w:val="21"/>
                    </w:rPr>
                    <w:t>闪点</w:t>
                  </w:r>
                </w:p>
              </w:tc>
              <w:tc>
                <w:tcPr>
                  <w:tcW w:w="731" w:type="pct"/>
                  <w:vAlign w:val="center"/>
                </w:tcPr>
                <w:p w14:paraId="5723F47D">
                  <w:pPr>
                    <w:snapToGrid w:val="0"/>
                    <w:spacing w:line="280" w:lineRule="exact"/>
                    <w:jc w:val="center"/>
                    <w:rPr>
                      <w:color w:val="auto"/>
                      <w:kern w:val="0"/>
                      <w:szCs w:val="21"/>
                    </w:rPr>
                  </w:pPr>
                  <w:r>
                    <w:rPr>
                      <w:color w:val="auto"/>
                      <w:kern w:val="0"/>
                      <w:szCs w:val="21"/>
                    </w:rPr>
                    <w:t>112.2℃</w:t>
                  </w:r>
                </w:p>
              </w:tc>
            </w:tr>
            <w:tr w14:paraId="36F3F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6E74EEED">
                  <w:pPr>
                    <w:snapToGrid w:val="0"/>
                    <w:spacing w:line="280" w:lineRule="exact"/>
                    <w:jc w:val="center"/>
                    <w:rPr>
                      <w:color w:val="auto"/>
                      <w:kern w:val="0"/>
                      <w:szCs w:val="21"/>
                    </w:rPr>
                  </w:pPr>
                </w:p>
              </w:tc>
              <w:tc>
                <w:tcPr>
                  <w:tcW w:w="762" w:type="pct"/>
                  <w:vAlign w:val="center"/>
                </w:tcPr>
                <w:p w14:paraId="2153AD03">
                  <w:pPr>
                    <w:snapToGrid w:val="0"/>
                    <w:spacing w:line="280" w:lineRule="exact"/>
                    <w:jc w:val="center"/>
                    <w:rPr>
                      <w:color w:val="auto"/>
                      <w:kern w:val="0"/>
                      <w:szCs w:val="21"/>
                    </w:rPr>
                  </w:pPr>
                  <w:r>
                    <w:rPr>
                      <w:color w:val="auto"/>
                      <w:kern w:val="0"/>
                      <w:szCs w:val="21"/>
                    </w:rPr>
                    <w:t>沸点</w:t>
                  </w:r>
                </w:p>
              </w:tc>
              <w:tc>
                <w:tcPr>
                  <w:tcW w:w="782" w:type="pct"/>
                  <w:vAlign w:val="center"/>
                </w:tcPr>
                <w:p w14:paraId="4E2ACCF9">
                  <w:pPr>
                    <w:snapToGrid w:val="0"/>
                    <w:spacing w:line="280" w:lineRule="exact"/>
                    <w:jc w:val="center"/>
                    <w:rPr>
                      <w:color w:val="auto"/>
                      <w:kern w:val="0"/>
                      <w:szCs w:val="21"/>
                    </w:rPr>
                  </w:pPr>
                  <w:r>
                    <w:rPr>
                      <w:color w:val="auto"/>
                      <w:kern w:val="0"/>
                      <w:szCs w:val="21"/>
                    </w:rPr>
                    <w:t>120℃</w:t>
                  </w:r>
                </w:p>
              </w:tc>
              <w:tc>
                <w:tcPr>
                  <w:tcW w:w="573" w:type="pct"/>
                  <w:vAlign w:val="center"/>
                </w:tcPr>
                <w:p w14:paraId="0285C1A2">
                  <w:pPr>
                    <w:snapToGrid w:val="0"/>
                    <w:spacing w:line="280" w:lineRule="exact"/>
                    <w:jc w:val="center"/>
                    <w:rPr>
                      <w:color w:val="auto"/>
                      <w:kern w:val="0"/>
                      <w:szCs w:val="21"/>
                    </w:rPr>
                  </w:pPr>
                  <w:r>
                    <w:rPr>
                      <w:color w:val="auto"/>
                      <w:kern w:val="0"/>
                      <w:szCs w:val="21"/>
                    </w:rPr>
                    <w:t>相对密度</w:t>
                  </w:r>
                </w:p>
              </w:tc>
              <w:tc>
                <w:tcPr>
                  <w:tcW w:w="784" w:type="pct"/>
                  <w:vAlign w:val="center"/>
                </w:tcPr>
                <w:p w14:paraId="5C6284C9">
                  <w:pPr>
                    <w:snapToGrid w:val="0"/>
                    <w:spacing w:line="280" w:lineRule="exact"/>
                    <w:jc w:val="center"/>
                    <w:rPr>
                      <w:color w:val="auto"/>
                      <w:kern w:val="0"/>
                      <w:szCs w:val="21"/>
                    </w:rPr>
                  </w:pPr>
                  <w:r>
                    <w:rPr>
                      <w:color w:val="auto"/>
                      <w:kern w:val="0"/>
                      <w:szCs w:val="21"/>
                    </w:rPr>
                    <w:t>（水＝1）1.26</w:t>
                  </w:r>
                </w:p>
                <w:p w14:paraId="5786C031">
                  <w:pPr>
                    <w:snapToGrid w:val="0"/>
                    <w:spacing w:line="280" w:lineRule="exact"/>
                    <w:jc w:val="center"/>
                    <w:rPr>
                      <w:color w:val="auto"/>
                      <w:kern w:val="0"/>
                      <w:szCs w:val="21"/>
                    </w:rPr>
                  </w:pPr>
                  <w:r>
                    <w:rPr>
                      <w:color w:val="auto"/>
                      <w:kern w:val="0"/>
                      <w:szCs w:val="21"/>
                    </w:rPr>
                    <w:t>（空气=1）1.27</w:t>
                  </w:r>
                </w:p>
              </w:tc>
              <w:tc>
                <w:tcPr>
                  <w:tcW w:w="765" w:type="pct"/>
                  <w:vAlign w:val="center"/>
                </w:tcPr>
                <w:p w14:paraId="3DA527A6">
                  <w:pPr>
                    <w:snapToGrid w:val="0"/>
                    <w:spacing w:line="280" w:lineRule="exact"/>
                    <w:jc w:val="center"/>
                    <w:rPr>
                      <w:color w:val="auto"/>
                      <w:kern w:val="0"/>
                      <w:szCs w:val="21"/>
                    </w:rPr>
                  </w:pPr>
                  <w:r>
                    <w:rPr>
                      <w:color w:val="auto"/>
                      <w:kern w:val="0"/>
                      <w:szCs w:val="21"/>
                    </w:rPr>
                    <w:t>蒸气压</w:t>
                  </w:r>
                </w:p>
              </w:tc>
              <w:tc>
                <w:tcPr>
                  <w:tcW w:w="731" w:type="pct"/>
                  <w:vAlign w:val="center"/>
                </w:tcPr>
                <w:p w14:paraId="00C6386A">
                  <w:pPr>
                    <w:snapToGrid w:val="0"/>
                    <w:spacing w:line="280" w:lineRule="exact"/>
                    <w:jc w:val="center"/>
                    <w:rPr>
                      <w:color w:val="auto"/>
                      <w:kern w:val="0"/>
                      <w:szCs w:val="21"/>
                    </w:rPr>
                  </w:pPr>
                  <w:r>
                    <w:rPr>
                      <w:color w:val="auto"/>
                      <w:kern w:val="0"/>
                      <w:szCs w:val="21"/>
                    </w:rPr>
                    <w:t>53.32(2.5℃)</w:t>
                  </w:r>
                </w:p>
              </w:tc>
            </w:tr>
            <w:tr w14:paraId="31328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7C0AB990">
                  <w:pPr>
                    <w:snapToGrid w:val="0"/>
                    <w:spacing w:line="280" w:lineRule="exact"/>
                    <w:jc w:val="center"/>
                    <w:rPr>
                      <w:color w:val="auto"/>
                      <w:kern w:val="0"/>
                      <w:szCs w:val="21"/>
                    </w:rPr>
                  </w:pPr>
                </w:p>
              </w:tc>
              <w:tc>
                <w:tcPr>
                  <w:tcW w:w="762" w:type="pct"/>
                  <w:vAlign w:val="center"/>
                </w:tcPr>
                <w:p w14:paraId="56C2E3CD">
                  <w:pPr>
                    <w:snapToGrid w:val="0"/>
                    <w:spacing w:line="280" w:lineRule="exact"/>
                    <w:jc w:val="center"/>
                    <w:rPr>
                      <w:color w:val="auto"/>
                      <w:kern w:val="0"/>
                      <w:szCs w:val="21"/>
                    </w:rPr>
                  </w:pPr>
                  <w:r>
                    <w:rPr>
                      <w:color w:val="auto"/>
                      <w:kern w:val="0"/>
                      <w:szCs w:val="21"/>
                    </w:rPr>
                    <w:t>外观气味</w:t>
                  </w:r>
                </w:p>
              </w:tc>
              <w:tc>
                <w:tcPr>
                  <w:tcW w:w="3636" w:type="pct"/>
                  <w:gridSpan w:val="5"/>
                  <w:vAlign w:val="center"/>
                </w:tcPr>
                <w:p w14:paraId="4531D7AE">
                  <w:pPr>
                    <w:snapToGrid w:val="0"/>
                    <w:spacing w:line="280" w:lineRule="exact"/>
                    <w:jc w:val="center"/>
                    <w:rPr>
                      <w:color w:val="auto"/>
                      <w:kern w:val="0"/>
                      <w:szCs w:val="21"/>
                    </w:rPr>
                  </w:pPr>
                  <w:r>
                    <w:rPr>
                      <w:color w:val="auto"/>
                      <w:kern w:val="0"/>
                      <w:szCs w:val="21"/>
                    </w:rPr>
                    <w:t>无色透明有刺激性臭味的液体</w:t>
                  </w:r>
                </w:p>
              </w:tc>
            </w:tr>
            <w:tr w14:paraId="58E82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183C5752">
                  <w:pPr>
                    <w:snapToGrid w:val="0"/>
                    <w:spacing w:line="280" w:lineRule="exact"/>
                    <w:jc w:val="center"/>
                    <w:rPr>
                      <w:color w:val="auto"/>
                      <w:kern w:val="0"/>
                      <w:szCs w:val="21"/>
                    </w:rPr>
                  </w:pPr>
                </w:p>
              </w:tc>
              <w:tc>
                <w:tcPr>
                  <w:tcW w:w="762" w:type="pct"/>
                  <w:vAlign w:val="center"/>
                </w:tcPr>
                <w:p w14:paraId="3AFD138A">
                  <w:pPr>
                    <w:snapToGrid w:val="0"/>
                    <w:spacing w:line="280" w:lineRule="exact"/>
                    <w:jc w:val="center"/>
                    <w:rPr>
                      <w:color w:val="auto"/>
                      <w:kern w:val="0"/>
                      <w:szCs w:val="21"/>
                    </w:rPr>
                  </w:pPr>
                  <w:r>
                    <w:rPr>
                      <w:color w:val="auto"/>
                      <w:kern w:val="0"/>
                      <w:szCs w:val="21"/>
                    </w:rPr>
                    <w:t>溶解性</w:t>
                  </w:r>
                </w:p>
              </w:tc>
              <w:tc>
                <w:tcPr>
                  <w:tcW w:w="3636" w:type="pct"/>
                  <w:gridSpan w:val="5"/>
                  <w:vAlign w:val="center"/>
                </w:tcPr>
                <w:p w14:paraId="78D2483D">
                  <w:pPr>
                    <w:snapToGrid w:val="0"/>
                    <w:spacing w:line="280" w:lineRule="exact"/>
                    <w:jc w:val="center"/>
                    <w:rPr>
                      <w:color w:val="auto"/>
                      <w:kern w:val="0"/>
                      <w:szCs w:val="21"/>
                    </w:rPr>
                  </w:pPr>
                  <w:r>
                    <w:rPr>
                      <w:color w:val="auto"/>
                      <w:kern w:val="0"/>
                      <w:szCs w:val="21"/>
                    </w:rPr>
                    <w:t>易溶于水、乙醇，微溶于乙醚</w:t>
                  </w:r>
                </w:p>
              </w:tc>
            </w:tr>
            <w:tr w14:paraId="21213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2B9807C5">
                  <w:pPr>
                    <w:snapToGrid w:val="0"/>
                    <w:spacing w:line="280" w:lineRule="exact"/>
                    <w:jc w:val="center"/>
                    <w:rPr>
                      <w:color w:val="auto"/>
                      <w:kern w:val="0"/>
                      <w:szCs w:val="21"/>
                    </w:rPr>
                  </w:pPr>
                  <w:r>
                    <w:rPr>
                      <w:color w:val="auto"/>
                      <w:kern w:val="0"/>
                      <w:szCs w:val="21"/>
                    </w:rPr>
                    <w:t>稳定性和</w:t>
                  </w:r>
                </w:p>
                <w:p w14:paraId="2344C55C">
                  <w:pPr>
                    <w:snapToGrid w:val="0"/>
                    <w:spacing w:line="280" w:lineRule="exact"/>
                    <w:jc w:val="center"/>
                    <w:rPr>
                      <w:color w:val="auto"/>
                      <w:kern w:val="0"/>
                      <w:szCs w:val="21"/>
                    </w:rPr>
                  </w:pPr>
                  <w:r>
                    <w:rPr>
                      <w:color w:val="auto"/>
                      <w:kern w:val="0"/>
                      <w:szCs w:val="21"/>
                    </w:rPr>
                    <w:t>危险性</w:t>
                  </w:r>
                </w:p>
              </w:tc>
              <w:tc>
                <w:tcPr>
                  <w:tcW w:w="4399" w:type="pct"/>
                  <w:gridSpan w:val="6"/>
                  <w:vAlign w:val="center"/>
                </w:tcPr>
                <w:p w14:paraId="0E6601F3">
                  <w:pPr>
                    <w:snapToGrid w:val="0"/>
                    <w:spacing w:line="280" w:lineRule="exact"/>
                    <w:jc w:val="left"/>
                    <w:rPr>
                      <w:color w:val="auto"/>
                      <w:kern w:val="0"/>
                      <w:szCs w:val="21"/>
                    </w:rPr>
                  </w:pPr>
                  <w:r>
                    <w:rPr>
                      <w:color w:val="auto"/>
                      <w:kern w:val="0"/>
                      <w:szCs w:val="21"/>
                    </w:rPr>
                    <w:t>稳定性：稳定；</w:t>
                  </w:r>
                </w:p>
                <w:p w14:paraId="4DC3C2BF">
                  <w:pPr>
                    <w:snapToGrid w:val="0"/>
                    <w:spacing w:line="280" w:lineRule="exact"/>
                    <w:jc w:val="left"/>
                    <w:rPr>
                      <w:color w:val="auto"/>
                      <w:kern w:val="0"/>
                      <w:szCs w:val="21"/>
                    </w:rPr>
                  </w:pPr>
                  <w:r>
                    <w:rPr>
                      <w:color w:val="auto"/>
                      <w:kern w:val="0"/>
                      <w:szCs w:val="21"/>
                    </w:rPr>
                    <w:t>危险性：本品不燃，但能与大多数金属反应，生成氢气而引起爆炸；遇H发泡剂立即燃烧；腐蚀性极强。</w:t>
                  </w:r>
                </w:p>
              </w:tc>
            </w:tr>
            <w:tr w14:paraId="0FBC8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4AD12A90">
                  <w:pPr>
                    <w:snapToGrid w:val="0"/>
                    <w:spacing w:line="280" w:lineRule="exact"/>
                    <w:jc w:val="center"/>
                    <w:rPr>
                      <w:color w:val="auto"/>
                      <w:kern w:val="0"/>
                      <w:szCs w:val="21"/>
                    </w:rPr>
                  </w:pPr>
                  <w:r>
                    <w:rPr>
                      <w:color w:val="auto"/>
                      <w:kern w:val="0"/>
                      <w:szCs w:val="21"/>
                    </w:rPr>
                    <w:t>毒理学</w:t>
                  </w:r>
                </w:p>
                <w:p w14:paraId="618706C5">
                  <w:pPr>
                    <w:snapToGrid w:val="0"/>
                    <w:spacing w:line="280" w:lineRule="exact"/>
                    <w:jc w:val="center"/>
                    <w:rPr>
                      <w:color w:val="auto"/>
                      <w:kern w:val="0"/>
                      <w:szCs w:val="21"/>
                    </w:rPr>
                  </w:pPr>
                  <w:r>
                    <w:rPr>
                      <w:color w:val="auto"/>
                      <w:kern w:val="0"/>
                      <w:szCs w:val="21"/>
                    </w:rPr>
                    <w:t>资料</w:t>
                  </w:r>
                </w:p>
              </w:tc>
              <w:tc>
                <w:tcPr>
                  <w:tcW w:w="4399" w:type="pct"/>
                  <w:gridSpan w:val="6"/>
                  <w:vAlign w:val="center"/>
                </w:tcPr>
                <w:p w14:paraId="3B0F9919">
                  <w:pPr>
                    <w:snapToGrid w:val="0"/>
                    <w:spacing w:line="280" w:lineRule="exact"/>
                    <w:jc w:val="left"/>
                    <w:rPr>
                      <w:color w:val="auto"/>
                      <w:kern w:val="0"/>
                      <w:szCs w:val="21"/>
                    </w:rPr>
                  </w:pPr>
                  <w:r>
                    <w:rPr>
                      <w:color w:val="auto"/>
                      <w:kern w:val="0"/>
                      <w:szCs w:val="21"/>
                    </w:rPr>
                    <w:t>毒性：对皮肤有强烈的腐蚀作用。</w:t>
                  </w:r>
                </w:p>
                <w:p w14:paraId="2EB0CFE5">
                  <w:pPr>
                    <w:snapToGrid w:val="0"/>
                    <w:spacing w:line="280" w:lineRule="exact"/>
                    <w:jc w:val="left"/>
                    <w:rPr>
                      <w:color w:val="auto"/>
                      <w:kern w:val="0"/>
                      <w:szCs w:val="21"/>
                    </w:rPr>
                  </w:pPr>
                  <w:r>
                    <w:rPr>
                      <w:color w:val="auto"/>
                      <w:kern w:val="0"/>
                      <w:szCs w:val="21"/>
                    </w:rPr>
                    <w:t>急性毒性：LC</w:t>
                  </w:r>
                  <w:r>
                    <w:rPr>
                      <w:color w:val="auto"/>
                      <w:kern w:val="0"/>
                      <w:szCs w:val="21"/>
                      <w:vertAlign w:val="subscript"/>
                    </w:rPr>
                    <w:t>50</w:t>
                  </w:r>
                  <w:r>
                    <w:rPr>
                      <w:color w:val="auto"/>
                      <w:kern w:val="0"/>
                      <w:szCs w:val="21"/>
                    </w:rPr>
                    <w:t>：1276ppm（1小时，大鼠吸入）。</w:t>
                  </w:r>
                </w:p>
                <w:p w14:paraId="4B33727B">
                  <w:pPr>
                    <w:snapToGrid w:val="0"/>
                    <w:spacing w:line="280" w:lineRule="exact"/>
                    <w:jc w:val="left"/>
                    <w:rPr>
                      <w:color w:val="auto"/>
                      <w:kern w:val="0"/>
                      <w:szCs w:val="21"/>
                    </w:rPr>
                  </w:pPr>
                  <w:r>
                    <w:rPr>
                      <w:color w:val="auto"/>
                      <w:kern w:val="0"/>
                      <w:szCs w:val="21"/>
                    </w:rPr>
                    <w:t>大气毒性终点浓度：1级36 mg/m</w:t>
                  </w:r>
                  <w:r>
                    <w:rPr>
                      <w:color w:val="auto"/>
                      <w:kern w:val="0"/>
                      <w:szCs w:val="21"/>
                      <w:vertAlign w:val="superscript"/>
                    </w:rPr>
                    <w:t>3</w:t>
                  </w:r>
                  <w:r>
                    <w:rPr>
                      <w:color w:val="auto"/>
                      <w:kern w:val="0"/>
                      <w:szCs w:val="21"/>
                    </w:rPr>
                    <w:t>、2级20 mg/m</w:t>
                  </w:r>
                  <w:r>
                    <w:rPr>
                      <w:color w:val="auto"/>
                      <w:kern w:val="0"/>
                      <w:szCs w:val="21"/>
                      <w:vertAlign w:val="superscript"/>
                    </w:rPr>
                    <w:t>3</w:t>
                  </w:r>
                </w:p>
              </w:tc>
            </w:tr>
            <w:tr w14:paraId="23763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vAlign w:val="center"/>
                </w:tcPr>
                <w:p w14:paraId="6406CD19">
                  <w:pPr>
                    <w:snapToGrid w:val="0"/>
                    <w:spacing w:line="280" w:lineRule="exact"/>
                    <w:jc w:val="center"/>
                    <w:rPr>
                      <w:color w:val="auto"/>
                      <w:kern w:val="0"/>
                      <w:szCs w:val="21"/>
                    </w:rPr>
                  </w:pPr>
                  <w:r>
                    <w:rPr>
                      <w:rFonts w:hint="eastAsia"/>
                      <w:color w:val="auto"/>
                      <w:kern w:val="0"/>
                      <w:szCs w:val="21"/>
                    </w:rPr>
                    <w:t>盐酸</w:t>
                  </w:r>
                </w:p>
              </w:tc>
            </w:tr>
            <w:tr w14:paraId="4ADD3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585E7106">
                  <w:pPr>
                    <w:snapToGrid w:val="0"/>
                    <w:spacing w:line="280" w:lineRule="exact"/>
                    <w:jc w:val="center"/>
                    <w:rPr>
                      <w:color w:val="auto"/>
                      <w:kern w:val="0"/>
                      <w:szCs w:val="21"/>
                    </w:rPr>
                  </w:pPr>
                  <w:r>
                    <w:rPr>
                      <w:color w:val="auto"/>
                      <w:kern w:val="0"/>
                      <w:szCs w:val="21"/>
                    </w:rPr>
                    <w:t>品名</w:t>
                  </w:r>
                </w:p>
              </w:tc>
              <w:tc>
                <w:tcPr>
                  <w:tcW w:w="762" w:type="pct"/>
                  <w:vAlign w:val="center"/>
                </w:tcPr>
                <w:p w14:paraId="3608C46A">
                  <w:pPr>
                    <w:snapToGrid w:val="0"/>
                    <w:spacing w:line="280" w:lineRule="exact"/>
                    <w:jc w:val="center"/>
                    <w:rPr>
                      <w:color w:val="auto"/>
                      <w:kern w:val="0"/>
                      <w:szCs w:val="21"/>
                    </w:rPr>
                  </w:pPr>
                  <w:r>
                    <w:rPr>
                      <w:color w:val="auto"/>
                      <w:kern w:val="0"/>
                      <w:szCs w:val="21"/>
                    </w:rPr>
                    <w:t>盐酸</w:t>
                  </w:r>
                </w:p>
              </w:tc>
              <w:tc>
                <w:tcPr>
                  <w:tcW w:w="782" w:type="pct"/>
                  <w:vAlign w:val="center"/>
                </w:tcPr>
                <w:p w14:paraId="71A7194F">
                  <w:pPr>
                    <w:snapToGrid w:val="0"/>
                    <w:spacing w:line="280" w:lineRule="exact"/>
                    <w:jc w:val="center"/>
                    <w:rPr>
                      <w:color w:val="auto"/>
                      <w:kern w:val="0"/>
                      <w:szCs w:val="21"/>
                    </w:rPr>
                  </w:pPr>
                  <w:r>
                    <w:rPr>
                      <w:color w:val="auto"/>
                      <w:kern w:val="0"/>
                      <w:szCs w:val="21"/>
                    </w:rPr>
                    <w:t>别名</w:t>
                  </w:r>
                </w:p>
              </w:tc>
              <w:tc>
                <w:tcPr>
                  <w:tcW w:w="1357" w:type="pct"/>
                  <w:gridSpan w:val="2"/>
                  <w:vAlign w:val="center"/>
                </w:tcPr>
                <w:p w14:paraId="61F96E04">
                  <w:pPr>
                    <w:snapToGrid w:val="0"/>
                    <w:spacing w:line="280" w:lineRule="exact"/>
                    <w:jc w:val="center"/>
                    <w:rPr>
                      <w:color w:val="auto"/>
                      <w:kern w:val="0"/>
                      <w:szCs w:val="21"/>
                    </w:rPr>
                  </w:pPr>
                  <w:r>
                    <w:rPr>
                      <w:color w:val="auto"/>
                      <w:kern w:val="0"/>
                      <w:szCs w:val="21"/>
                    </w:rPr>
                    <w:t>氢氯酸</w:t>
                  </w:r>
                </w:p>
              </w:tc>
              <w:tc>
                <w:tcPr>
                  <w:tcW w:w="765" w:type="pct"/>
                  <w:vAlign w:val="center"/>
                </w:tcPr>
                <w:p w14:paraId="54DB2BCF">
                  <w:pPr>
                    <w:snapToGrid w:val="0"/>
                    <w:spacing w:line="280" w:lineRule="exact"/>
                    <w:jc w:val="center"/>
                    <w:rPr>
                      <w:color w:val="auto"/>
                      <w:kern w:val="0"/>
                      <w:szCs w:val="21"/>
                    </w:rPr>
                  </w:pPr>
                  <w:r>
                    <w:rPr>
                      <w:color w:val="auto"/>
                      <w:kern w:val="0"/>
                      <w:szCs w:val="21"/>
                    </w:rPr>
                    <w:t>英文名</w:t>
                  </w:r>
                </w:p>
              </w:tc>
              <w:tc>
                <w:tcPr>
                  <w:tcW w:w="731" w:type="pct"/>
                  <w:vAlign w:val="center"/>
                </w:tcPr>
                <w:p w14:paraId="7239E1B2">
                  <w:pPr>
                    <w:snapToGrid w:val="0"/>
                    <w:spacing w:line="280" w:lineRule="exact"/>
                    <w:jc w:val="center"/>
                    <w:rPr>
                      <w:color w:val="auto"/>
                      <w:kern w:val="0"/>
                      <w:szCs w:val="21"/>
                    </w:rPr>
                  </w:pPr>
                  <w:r>
                    <w:rPr>
                      <w:color w:val="auto"/>
                      <w:kern w:val="0"/>
                      <w:szCs w:val="21"/>
                    </w:rPr>
                    <w:t>Hydrochloric acid</w:t>
                  </w:r>
                </w:p>
              </w:tc>
            </w:tr>
            <w:tr w14:paraId="2D7AC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44D0C12C">
                  <w:pPr>
                    <w:snapToGrid w:val="0"/>
                    <w:spacing w:line="280" w:lineRule="exact"/>
                    <w:jc w:val="center"/>
                    <w:rPr>
                      <w:color w:val="auto"/>
                      <w:kern w:val="0"/>
                      <w:szCs w:val="21"/>
                    </w:rPr>
                  </w:pPr>
                  <w:r>
                    <w:rPr>
                      <w:color w:val="auto"/>
                      <w:kern w:val="0"/>
                      <w:szCs w:val="21"/>
                    </w:rPr>
                    <w:t>CAS号</w:t>
                  </w:r>
                </w:p>
              </w:tc>
              <w:tc>
                <w:tcPr>
                  <w:tcW w:w="762" w:type="pct"/>
                  <w:vAlign w:val="center"/>
                </w:tcPr>
                <w:p w14:paraId="3E4A6C4C">
                  <w:pPr>
                    <w:snapToGrid w:val="0"/>
                    <w:spacing w:line="280" w:lineRule="exact"/>
                    <w:jc w:val="center"/>
                    <w:rPr>
                      <w:color w:val="auto"/>
                      <w:kern w:val="0"/>
                      <w:szCs w:val="21"/>
                    </w:rPr>
                  </w:pPr>
                  <w:r>
                    <w:rPr>
                      <w:color w:val="auto"/>
                      <w:kern w:val="0"/>
                      <w:szCs w:val="21"/>
                    </w:rPr>
                    <w:t>7647-01-0</w:t>
                  </w:r>
                </w:p>
              </w:tc>
              <w:tc>
                <w:tcPr>
                  <w:tcW w:w="782" w:type="pct"/>
                  <w:vAlign w:val="center"/>
                </w:tcPr>
                <w:p w14:paraId="0FE554B6">
                  <w:pPr>
                    <w:snapToGrid w:val="0"/>
                    <w:spacing w:line="280" w:lineRule="exact"/>
                    <w:jc w:val="center"/>
                    <w:rPr>
                      <w:color w:val="auto"/>
                      <w:kern w:val="0"/>
                      <w:szCs w:val="21"/>
                    </w:rPr>
                  </w:pPr>
                  <w:r>
                    <w:rPr>
                      <w:color w:val="auto"/>
                      <w:kern w:val="0"/>
                      <w:szCs w:val="21"/>
                    </w:rPr>
                    <w:t>危险性类别</w:t>
                  </w:r>
                </w:p>
              </w:tc>
              <w:tc>
                <w:tcPr>
                  <w:tcW w:w="1357" w:type="pct"/>
                  <w:gridSpan w:val="2"/>
                  <w:vAlign w:val="center"/>
                </w:tcPr>
                <w:p w14:paraId="24DCC3A7">
                  <w:pPr>
                    <w:snapToGrid w:val="0"/>
                    <w:spacing w:line="280" w:lineRule="exact"/>
                    <w:jc w:val="center"/>
                    <w:rPr>
                      <w:color w:val="auto"/>
                      <w:kern w:val="0"/>
                      <w:szCs w:val="21"/>
                    </w:rPr>
                  </w:pPr>
                  <w:r>
                    <w:rPr>
                      <w:color w:val="auto"/>
                      <w:kern w:val="0"/>
                      <w:szCs w:val="21"/>
                      <w:lang w:val="zh-CN"/>
                    </w:rPr>
                    <w:t>第</w:t>
                  </w:r>
                  <w:r>
                    <w:rPr>
                      <w:color w:val="auto"/>
                      <w:kern w:val="0"/>
                      <w:szCs w:val="21"/>
                    </w:rPr>
                    <w:t>8.1</w:t>
                  </w:r>
                  <w:r>
                    <w:rPr>
                      <w:color w:val="auto"/>
                      <w:kern w:val="0"/>
                      <w:szCs w:val="21"/>
                      <w:lang w:val="zh-CN"/>
                    </w:rPr>
                    <w:t>类</w:t>
                  </w:r>
                  <w:r>
                    <w:rPr>
                      <w:color w:val="auto"/>
                      <w:kern w:val="0"/>
                      <w:szCs w:val="21"/>
                    </w:rPr>
                    <w:t>酸性腐蚀品</w:t>
                  </w:r>
                </w:p>
              </w:tc>
              <w:tc>
                <w:tcPr>
                  <w:tcW w:w="765" w:type="pct"/>
                  <w:vAlign w:val="center"/>
                </w:tcPr>
                <w:p w14:paraId="4A4D6F7B">
                  <w:pPr>
                    <w:snapToGrid w:val="0"/>
                    <w:spacing w:line="280" w:lineRule="exact"/>
                    <w:jc w:val="center"/>
                    <w:rPr>
                      <w:color w:val="auto"/>
                      <w:kern w:val="0"/>
                      <w:szCs w:val="21"/>
                    </w:rPr>
                  </w:pPr>
                  <w:r>
                    <w:rPr>
                      <w:color w:val="auto"/>
                      <w:kern w:val="0"/>
                      <w:szCs w:val="21"/>
                    </w:rPr>
                    <w:t>爆炸极限（V/V%）</w:t>
                  </w:r>
                </w:p>
              </w:tc>
              <w:tc>
                <w:tcPr>
                  <w:tcW w:w="731" w:type="pct"/>
                  <w:vAlign w:val="center"/>
                </w:tcPr>
                <w:p w14:paraId="52E5067E">
                  <w:pPr>
                    <w:snapToGrid w:val="0"/>
                    <w:spacing w:line="280" w:lineRule="exact"/>
                    <w:jc w:val="center"/>
                    <w:rPr>
                      <w:color w:val="auto"/>
                      <w:kern w:val="0"/>
                      <w:szCs w:val="21"/>
                    </w:rPr>
                  </w:pPr>
                  <w:r>
                    <w:rPr>
                      <w:color w:val="auto"/>
                      <w:kern w:val="0"/>
                      <w:szCs w:val="21"/>
                    </w:rPr>
                    <w:t>/</w:t>
                  </w:r>
                </w:p>
              </w:tc>
            </w:tr>
            <w:tr w14:paraId="5E7CC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restart"/>
                  <w:vAlign w:val="center"/>
                </w:tcPr>
                <w:p w14:paraId="5CCB6D7C">
                  <w:pPr>
                    <w:snapToGrid w:val="0"/>
                    <w:spacing w:line="280" w:lineRule="exact"/>
                    <w:jc w:val="center"/>
                    <w:rPr>
                      <w:color w:val="auto"/>
                      <w:kern w:val="0"/>
                      <w:szCs w:val="21"/>
                    </w:rPr>
                  </w:pPr>
                  <w:r>
                    <w:rPr>
                      <w:color w:val="auto"/>
                      <w:kern w:val="0"/>
                      <w:szCs w:val="21"/>
                    </w:rPr>
                    <w:t>理化性质</w:t>
                  </w:r>
                </w:p>
              </w:tc>
              <w:tc>
                <w:tcPr>
                  <w:tcW w:w="762" w:type="pct"/>
                  <w:vAlign w:val="center"/>
                </w:tcPr>
                <w:p w14:paraId="2A7FDB19">
                  <w:pPr>
                    <w:snapToGrid w:val="0"/>
                    <w:spacing w:line="280" w:lineRule="exact"/>
                    <w:jc w:val="center"/>
                    <w:rPr>
                      <w:color w:val="auto"/>
                      <w:kern w:val="0"/>
                      <w:szCs w:val="21"/>
                    </w:rPr>
                  </w:pPr>
                  <w:r>
                    <w:rPr>
                      <w:color w:val="auto"/>
                      <w:kern w:val="0"/>
                      <w:szCs w:val="21"/>
                    </w:rPr>
                    <w:t>分子式</w:t>
                  </w:r>
                </w:p>
              </w:tc>
              <w:tc>
                <w:tcPr>
                  <w:tcW w:w="782" w:type="pct"/>
                  <w:vAlign w:val="center"/>
                </w:tcPr>
                <w:p w14:paraId="0B6159C5">
                  <w:pPr>
                    <w:snapToGrid w:val="0"/>
                    <w:spacing w:line="280" w:lineRule="exact"/>
                    <w:jc w:val="center"/>
                    <w:rPr>
                      <w:color w:val="auto"/>
                      <w:kern w:val="0"/>
                      <w:szCs w:val="21"/>
                    </w:rPr>
                  </w:pPr>
                  <w:r>
                    <w:rPr>
                      <w:color w:val="auto"/>
                      <w:kern w:val="0"/>
                      <w:szCs w:val="21"/>
                    </w:rPr>
                    <w:t>HCl</w:t>
                  </w:r>
                </w:p>
              </w:tc>
              <w:tc>
                <w:tcPr>
                  <w:tcW w:w="573" w:type="pct"/>
                  <w:vAlign w:val="center"/>
                </w:tcPr>
                <w:p w14:paraId="39FD6F37">
                  <w:pPr>
                    <w:snapToGrid w:val="0"/>
                    <w:spacing w:line="280" w:lineRule="exact"/>
                    <w:jc w:val="center"/>
                    <w:rPr>
                      <w:color w:val="auto"/>
                      <w:kern w:val="0"/>
                      <w:szCs w:val="21"/>
                    </w:rPr>
                  </w:pPr>
                  <w:r>
                    <w:rPr>
                      <w:color w:val="auto"/>
                      <w:kern w:val="0"/>
                      <w:szCs w:val="21"/>
                    </w:rPr>
                    <w:t>分子量</w:t>
                  </w:r>
                </w:p>
              </w:tc>
              <w:tc>
                <w:tcPr>
                  <w:tcW w:w="784" w:type="pct"/>
                  <w:vAlign w:val="center"/>
                </w:tcPr>
                <w:p w14:paraId="59841030">
                  <w:pPr>
                    <w:snapToGrid w:val="0"/>
                    <w:spacing w:line="280" w:lineRule="exact"/>
                    <w:jc w:val="center"/>
                    <w:rPr>
                      <w:color w:val="auto"/>
                      <w:kern w:val="0"/>
                      <w:szCs w:val="21"/>
                    </w:rPr>
                  </w:pPr>
                  <w:r>
                    <w:rPr>
                      <w:color w:val="auto"/>
                      <w:kern w:val="0"/>
                      <w:szCs w:val="21"/>
                    </w:rPr>
                    <w:t>36.46</w:t>
                  </w:r>
                </w:p>
              </w:tc>
              <w:tc>
                <w:tcPr>
                  <w:tcW w:w="765" w:type="pct"/>
                  <w:vAlign w:val="center"/>
                </w:tcPr>
                <w:p w14:paraId="1CBE83B1">
                  <w:pPr>
                    <w:snapToGrid w:val="0"/>
                    <w:spacing w:line="280" w:lineRule="exact"/>
                    <w:jc w:val="center"/>
                    <w:rPr>
                      <w:color w:val="auto"/>
                      <w:kern w:val="0"/>
                      <w:szCs w:val="21"/>
                    </w:rPr>
                  </w:pPr>
                  <w:r>
                    <w:rPr>
                      <w:color w:val="auto"/>
                      <w:kern w:val="0"/>
                      <w:szCs w:val="21"/>
                    </w:rPr>
                    <w:t>闪点</w:t>
                  </w:r>
                </w:p>
              </w:tc>
              <w:tc>
                <w:tcPr>
                  <w:tcW w:w="731" w:type="pct"/>
                  <w:vAlign w:val="center"/>
                </w:tcPr>
                <w:p w14:paraId="72DF47F1">
                  <w:pPr>
                    <w:snapToGrid w:val="0"/>
                    <w:spacing w:line="280" w:lineRule="exact"/>
                    <w:jc w:val="center"/>
                    <w:rPr>
                      <w:color w:val="auto"/>
                      <w:kern w:val="0"/>
                      <w:szCs w:val="21"/>
                    </w:rPr>
                  </w:pPr>
                  <w:r>
                    <w:rPr>
                      <w:color w:val="auto"/>
                      <w:kern w:val="0"/>
                      <w:szCs w:val="21"/>
                    </w:rPr>
                    <w:t>/</w:t>
                  </w:r>
                </w:p>
              </w:tc>
            </w:tr>
            <w:tr w14:paraId="773DE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023C9EA2">
                  <w:pPr>
                    <w:snapToGrid w:val="0"/>
                    <w:spacing w:line="280" w:lineRule="exact"/>
                    <w:jc w:val="center"/>
                    <w:rPr>
                      <w:color w:val="auto"/>
                      <w:kern w:val="0"/>
                      <w:szCs w:val="21"/>
                    </w:rPr>
                  </w:pPr>
                </w:p>
              </w:tc>
              <w:tc>
                <w:tcPr>
                  <w:tcW w:w="762" w:type="pct"/>
                  <w:vAlign w:val="center"/>
                </w:tcPr>
                <w:p w14:paraId="1EDFB104">
                  <w:pPr>
                    <w:snapToGrid w:val="0"/>
                    <w:spacing w:line="280" w:lineRule="exact"/>
                    <w:jc w:val="center"/>
                    <w:rPr>
                      <w:color w:val="auto"/>
                      <w:kern w:val="0"/>
                      <w:szCs w:val="21"/>
                    </w:rPr>
                  </w:pPr>
                  <w:r>
                    <w:rPr>
                      <w:color w:val="auto"/>
                      <w:kern w:val="0"/>
                      <w:szCs w:val="21"/>
                    </w:rPr>
                    <w:t>沸点</w:t>
                  </w:r>
                </w:p>
              </w:tc>
              <w:tc>
                <w:tcPr>
                  <w:tcW w:w="782" w:type="pct"/>
                  <w:vAlign w:val="center"/>
                </w:tcPr>
                <w:p w14:paraId="2AA1F82A">
                  <w:pPr>
                    <w:snapToGrid w:val="0"/>
                    <w:spacing w:line="280" w:lineRule="exact"/>
                    <w:jc w:val="center"/>
                    <w:rPr>
                      <w:color w:val="auto"/>
                      <w:kern w:val="0"/>
                      <w:szCs w:val="21"/>
                    </w:rPr>
                  </w:pPr>
                  <w:r>
                    <w:rPr>
                      <w:color w:val="auto"/>
                      <w:kern w:val="0"/>
                      <w:szCs w:val="21"/>
                    </w:rPr>
                    <w:t>108.6℃(20%)</w:t>
                  </w:r>
                </w:p>
              </w:tc>
              <w:tc>
                <w:tcPr>
                  <w:tcW w:w="573" w:type="pct"/>
                  <w:vAlign w:val="center"/>
                </w:tcPr>
                <w:p w14:paraId="22B7718D">
                  <w:pPr>
                    <w:snapToGrid w:val="0"/>
                    <w:spacing w:line="280" w:lineRule="exact"/>
                    <w:jc w:val="center"/>
                    <w:rPr>
                      <w:color w:val="auto"/>
                      <w:kern w:val="0"/>
                      <w:szCs w:val="21"/>
                    </w:rPr>
                  </w:pPr>
                  <w:r>
                    <w:rPr>
                      <w:color w:val="auto"/>
                      <w:kern w:val="0"/>
                      <w:szCs w:val="21"/>
                    </w:rPr>
                    <w:t>相对密度</w:t>
                  </w:r>
                </w:p>
              </w:tc>
              <w:tc>
                <w:tcPr>
                  <w:tcW w:w="784" w:type="pct"/>
                  <w:vAlign w:val="center"/>
                </w:tcPr>
                <w:p w14:paraId="6F53E1C6">
                  <w:pPr>
                    <w:snapToGrid w:val="0"/>
                    <w:spacing w:line="280" w:lineRule="exact"/>
                    <w:jc w:val="center"/>
                    <w:rPr>
                      <w:color w:val="auto"/>
                      <w:kern w:val="0"/>
                      <w:szCs w:val="21"/>
                    </w:rPr>
                  </w:pPr>
                  <w:r>
                    <w:rPr>
                      <w:color w:val="auto"/>
                      <w:kern w:val="0"/>
                      <w:szCs w:val="21"/>
                    </w:rPr>
                    <w:t>（水＝1）1.20（空气=1）1.26</w:t>
                  </w:r>
                </w:p>
              </w:tc>
              <w:tc>
                <w:tcPr>
                  <w:tcW w:w="765" w:type="pct"/>
                  <w:vAlign w:val="center"/>
                </w:tcPr>
                <w:p w14:paraId="3F6B1230">
                  <w:pPr>
                    <w:snapToGrid w:val="0"/>
                    <w:spacing w:line="280" w:lineRule="exact"/>
                    <w:jc w:val="center"/>
                    <w:rPr>
                      <w:color w:val="auto"/>
                      <w:kern w:val="0"/>
                      <w:szCs w:val="21"/>
                    </w:rPr>
                  </w:pPr>
                  <w:r>
                    <w:rPr>
                      <w:color w:val="auto"/>
                      <w:kern w:val="0"/>
                      <w:szCs w:val="21"/>
                    </w:rPr>
                    <w:t>蒸气压</w:t>
                  </w:r>
                </w:p>
              </w:tc>
              <w:tc>
                <w:tcPr>
                  <w:tcW w:w="731" w:type="pct"/>
                  <w:vAlign w:val="center"/>
                </w:tcPr>
                <w:p w14:paraId="4AB59228">
                  <w:pPr>
                    <w:snapToGrid w:val="0"/>
                    <w:spacing w:line="280" w:lineRule="exact"/>
                    <w:jc w:val="center"/>
                    <w:rPr>
                      <w:color w:val="auto"/>
                      <w:kern w:val="0"/>
                      <w:szCs w:val="21"/>
                    </w:rPr>
                  </w:pPr>
                  <w:r>
                    <w:rPr>
                      <w:color w:val="auto"/>
                      <w:kern w:val="0"/>
                      <w:szCs w:val="21"/>
                    </w:rPr>
                    <w:t>30.66kPa</w:t>
                  </w:r>
                </w:p>
                <w:p w14:paraId="2B2E83DE">
                  <w:pPr>
                    <w:snapToGrid w:val="0"/>
                    <w:spacing w:line="280" w:lineRule="exact"/>
                    <w:jc w:val="center"/>
                    <w:rPr>
                      <w:color w:val="auto"/>
                      <w:kern w:val="0"/>
                      <w:szCs w:val="21"/>
                    </w:rPr>
                  </w:pPr>
                  <w:r>
                    <w:rPr>
                      <w:color w:val="auto"/>
                      <w:kern w:val="0"/>
                      <w:szCs w:val="21"/>
                    </w:rPr>
                    <w:t>（21℃）</w:t>
                  </w:r>
                </w:p>
              </w:tc>
            </w:tr>
            <w:tr w14:paraId="27319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50598DD0">
                  <w:pPr>
                    <w:snapToGrid w:val="0"/>
                    <w:spacing w:line="280" w:lineRule="exact"/>
                    <w:jc w:val="center"/>
                    <w:rPr>
                      <w:color w:val="auto"/>
                      <w:kern w:val="0"/>
                      <w:szCs w:val="21"/>
                    </w:rPr>
                  </w:pPr>
                </w:p>
              </w:tc>
              <w:tc>
                <w:tcPr>
                  <w:tcW w:w="762" w:type="pct"/>
                  <w:vAlign w:val="center"/>
                </w:tcPr>
                <w:p w14:paraId="58753FAD">
                  <w:pPr>
                    <w:snapToGrid w:val="0"/>
                    <w:spacing w:line="280" w:lineRule="exact"/>
                    <w:jc w:val="center"/>
                    <w:rPr>
                      <w:color w:val="auto"/>
                      <w:kern w:val="0"/>
                      <w:szCs w:val="21"/>
                    </w:rPr>
                  </w:pPr>
                  <w:r>
                    <w:rPr>
                      <w:color w:val="auto"/>
                      <w:kern w:val="0"/>
                      <w:szCs w:val="21"/>
                    </w:rPr>
                    <w:t>外观气味</w:t>
                  </w:r>
                </w:p>
              </w:tc>
              <w:tc>
                <w:tcPr>
                  <w:tcW w:w="3636" w:type="pct"/>
                  <w:gridSpan w:val="5"/>
                  <w:vAlign w:val="center"/>
                </w:tcPr>
                <w:p w14:paraId="7BDB38AB">
                  <w:pPr>
                    <w:snapToGrid w:val="0"/>
                    <w:spacing w:line="280" w:lineRule="exact"/>
                    <w:jc w:val="center"/>
                    <w:rPr>
                      <w:color w:val="auto"/>
                      <w:kern w:val="0"/>
                      <w:szCs w:val="21"/>
                    </w:rPr>
                  </w:pPr>
                  <w:r>
                    <w:rPr>
                      <w:color w:val="auto"/>
                      <w:kern w:val="0"/>
                      <w:szCs w:val="21"/>
                    </w:rPr>
                    <w:t>无色无臭透明液体，由于纯度不同，颜色自无色、黄色棕色，变成浑浊状</w:t>
                  </w:r>
                </w:p>
              </w:tc>
            </w:tr>
            <w:tr w14:paraId="0345F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20DD2E7D">
                  <w:pPr>
                    <w:snapToGrid w:val="0"/>
                    <w:spacing w:line="280" w:lineRule="exact"/>
                    <w:jc w:val="center"/>
                    <w:rPr>
                      <w:color w:val="auto"/>
                      <w:kern w:val="0"/>
                      <w:szCs w:val="21"/>
                    </w:rPr>
                  </w:pPr>
                </w:p>
              </w:tc>
              <w:tc>
                <w:tcPr>
                  <w:tcW w:w="762" w:type="pct"/>
                  <w:vAlign w:val="center"/>
                </w:tcPr>
                <w:p w14:paraId="63A6A90B">
                  <w:pPr>
                    <w:snapToGrid w:val="0"/>
                    <w:spacing w:line="280" w:lineRule="exact"/>
                    <w:jc w:val="center"/>
                    <w:rPr>
                      <w:color w:val="auto"/>
                      <w:kern w:val="0"/>
                      <w:szCs w:val="21"/>
                    </w:rPr>
                  </w:pPr>
                  <w:r>
                    <w:rPr>
                      <w:color w:val="auto"/>
                      <w:kern w:val="0"/>
                      <w:szCs w:val="21"/>
                    </w:rPr>
                    <w:t>溶解性</w:t>
                  </w:r>
                </w:p>
              </w:tc>
              <w:tc>
                <w:tcPr>
                  <w:tcW w:w="3636" w:type="pct"/>
                  <w:gridSpan w:val="5"/>
                  <w:vAlign w:val="center"/>
                </w:tcPr>
                <w:p w14:paraId="7B65271D">
                  <w:pPr>
                    <w:snapToGrid w:val="0"/>
                    <w:spacing w:line="280" w:lineRule="exact"/>
                    <w:jc w:val="center"/>
                    <w:rPr>
                      <w:color w:val="auto"/>
                      <w:kern w:val="0"/>
                      <w:szCs w:val="21"/>
                    </w:rPr>
                  </w:pPr>
                  <w:r>
                    <w:rPr>
                      <w:color w:val="auto"/>
                      <w:kern w:val="0"/>
                      <w:szCs w:val="21"/>
                    </w:rPr>
                    <w:t>与水混溶，溶于碱液</w:t>
                  </w:r>
                </w:p>
              </w:tc>
            </w:tr>
            <w:tr w14:paraId="3799E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68081DB1">
                  <w:pPr>
                    <w:snapToGrid w:val="0"/>
                    <w:spacing w:line="280" w:lineRule="exact"/>
                    <w:jc w:val="center"/>
                    <w:rPr>
                      <w:color w:val="auto"/>
                      <w:kern w:val="0"/>
                      <w:szCs w:val="21"/>
                    </w:rPr>
                  </w:pPr>
                  <w:r>
                    <w:rPr>
                      <w:color w:val="auto"/>
                      <w:kern w:val="0"/>
                      <w:szCs w:val="21"/>
                    </w:rPr>
                    <w:t>稳定性和</w:t>
                  </w:r>
                </w:p>
                <w:p w14:paraId="01D09EE1">
                  <w:pPr>
                    <w:snapToGrid w:val="0"/>
                    <w:spacing w:line="280" w:lineRule="exact"/>
                    <w:jc w:val="center"/>
                    <w:rPr>
                      <w:color w:val="auto"/>
                      <w:kern w:val="0"/>
                      <w:szCs w:val="21"/>
                    </w:rPr>
                  </w:pPr>
                  <w:r>
                    <w:rPr>
                      <w:color w:val="auto"/>
                      <w:kern w:val="0"/>
                      <w:szCs w:val="21"/>
                    </w:rPr>
                    <w:t>危险性</w:t>
                  </w:r>
                </w:p>
              </w:tc>
              <w:tc>
                <w:tcPr>
                  <w:tcW w:w="4399" w:type="pct"/>
                  <w:gridSpan w:val="6"/>
                  <w:vAlign w:val="center"/>
                </w:tcPr>
                <w:p w14:paraId="4B564541">
                  <w:pPr>
                    <w:snapToGrid w:val="0"/>
                    <w:spacing w:line="280" w:lineRule="exact"/>
                    <w:jc w:val="left"/>
                    <w:rPr>
                      <w:color w:val="auto"/>
                      <w:kern w:val="0"/>
                      <w:szCs w:val="21"/>
                    </w:rPr>
                  </w:pPr>
                  <w:r>
                    <w:rPr>
                      <w:color w:val="auto"/>
                      <w:kern w:val="0"/>
                      <w:szCs w:val="21"/>
                    </w:rPr>
                    <w:t>稳定性：稳定；</w:t>
                  </w:r>
                </w:p>
                <w:p w14:paraId="58DDBCF4">
                  <w:pPr>
                    <w:snapToGrid w:val="0"/>
                    <w:spacing w:line="280" w:lineRule="exact"/>
                    <w:jc w:val="left"/>
                    <w:rPr>
                      <w:color w:val="auto"/>
                      <w:kern w:val="0"/>
                      <w:szCs w:val="21"/>
                    </w:rPr>
                  </w:pPr>
                  <w:r>
                    <w:rPr>
                      <w:color w:val="auto"/>
                      <w:kern w:val="0"/>
                      <w:szCs w:val="21"/>
                    </w:rPr>
                    <w:t>危险性：具有强腐蚀性、强刺激性，能与一些活性金属粉末发生反应，放出氢气。</w:t>
                  </w:r>
                </w:p>
              </w:tc>
            </w:tr>
            <w:tr w14:paraId="6C60D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74461A04">
                  <w:pPr>
                    <w:snapToGrid w:val="0"/>
                    <w:spacing w:line="280" w:lineRule="exact"/>
                    <w:jc w:val="center"/>
                    <w:rPr>
                      <w:color w:val="auto"/>
                      <w:kern w:val="0"/>
                      <w:szCs w:val="21"/>
                    </w:rPr>
                  </w:pPr>
                  <w:r>
                    <w:rPr>
                      <w:color w:val="auto"/>
                      <w:kern w:val="0"/>
                      <w:szCs w:val="21"/>
                    </w:rPr>
                    <w:t>毒理学</w:t>
                  </w:r>
                </w:p>
                <w:p w14:paraId="4779ACE8">
                  <w:pPr>
                    <w:snapToGrid w:val="0"/>
                    <w:spacing w:line="280" w:lineRule="exact"/>
                    <w:jc w:val="center"/>
                    <w:rPr>
                      <w:color w:val="auto"/>
                      <w:kern w:val="0"/>
                      <w:szCs w:val="21"/>
                    </w:rPr>
                  </w:pPr>
                  <w:r>
                    <w:rPr>
                      <w:color w:val="auto"/>
                      <w:kern w:val="0"/>
                      <w:szCs w:val="21"/>
                    </w:rPr>
                    <w:t>资料</w:t>
                  </w:r>
                </w:p>
              </w:tc>
              <w:tc>
                <w:tcPr>
                  <w:tcW w:w="4399" w:type="pct"/>
                  <w:gridSpan w:val="6"/>
                  <w:vAlign w:val="center"/>
                </w:tcPr>
                <w:p w14:paraId="27A8C4F6">
                  <w:pPr>
                    <w:snapToGrid w:val="0"/>
                    <w:spacing w:line="280" w:lineRule="exact"/>
                    <w:jc w:val="left"/>
                    <w:rPr>
                      <w:color w:val="auto"/>
                      <w:kern w:val="0"/>
                      <w:szCs w:val="21"/>
                    </w:rPr>
                  </w:pPr>
                  <w:r>
                    <w:rPr>
                      <w:color w:val="auto"/>
                      <w:kern w:val="0"/>
                      <w:szCs w:val="21"/>
                    </w:rPr>
                    <w:t>接触其蒸汽或烟雾，可引起急性中毒，出现结膜炎，鼻及口腔粘膜有烧灼感，牙龈出血、气管炎等。</w:t>
                  </w:r>
                </w:p>
                <w:p w14:paraId="09B1FCB1">
                  <w:pPr>
                    <w:pStyle w:val="118"/>
                    <w:widowControl w:val="0"/>
                    <w:spacing w:line="240" w:lineRule="auto"/>
                    <w:ind w:firstLine="0" w:firstLineChars="0"/>
                    <w:rPr>
                      <w:rFonts w:cs="Times New Roman"/>
                      <w:color w:val="auto"/>
                      <w:sz w:val="21"/>
                      <w:szCs w:val="21"/>
                      <w:lang w:val="en-US"/>
                    </w:rPr>
                  </w:pPr>
                  <w:r>
                    <w:rPr>
                      <w:rFonts w:cs="Times New Roman"/>
                      <w:color w:val="auto"/>
                      <w:sz w:val="21"/>
                      <w:szCs w:val="21"/>
                    </w:rPr>
                    <w:t>急性毒性</w:t>
                  </w:r>
                  <w:r>
                    <w:rPr>
                      <w:rFonts w:cs="Times New Roman"/>
                      <w:color w:val="auto"/>
                      <w:sz w:val="21"/>
                      <w:szCs w:val="21"/>
                      <w:lang w:val="en-US"/>
                    </w:rPr>
                    <w:t>：LD</w:t>
                  </w:r>
                  <w:r>
                    <w:rPr>
                      <w:rFonts w:cs="Times New Roman"/>
                      <w:color w:val="auto"/>
                      <w:sz w:val="21"/>
                      <w:szCs w:val="21"/>
                      <w:vertAlign w:val="subscript"/>
                      <w:lang w:val="en-US"/>
                    </w:rPr>
                    <w:t>50</w:t>
                  </w:r>
                  <w:r>
                    <w:rPr>
                      <w:rFonts w:cs="Times New Roman"/>
                      <w:color w:val="auto"/>
                      <w:sz w:val="21"/>
                      <w:szCs w:val="21"/>
                      <w:lang w:val="en-US"/>
                    </w:rPr>
                    <w:t>：900mg/kg(</w:t>
                  </w:r>
                  <w:r>
                    <w:rPr>
                      <w:rFonts w:cs="Times New Roman"/>
                      <w:color w:val="auto"/>
                      <w:sz w:val="21"/>
                      <w:szCs w:val="21"/>
                    </w:rPr>
                    <w:t>兔经口</w:t>
                  </w:r>
                  <w:r>
                    <w:rPr>
                      <w:rFonts w:cs="Times New Roman"/>
                      <w:color w:val="auto"/>
                      <w:sz w:val="21"/>
                      <w:szCs w:val="21"/>
                      <w:lang w:val="en-US"/>
                    </w:rPr>
                    <w:t>)；LC</w:t>
                  </w:r>
                  <w:r>
                    <w:rPr>
                      <w:rFonts w:cs="Times New Roman"/>
                      <w:color w:val="auto"/>
                      <w:sz w:val="21"/>
                      <w:szCs w:val="21"/>
                      <w:vertAlign w:val="subscript"/>
                      <w:lang w:val="en-US"/>
                    </w:rPr>
                    <w:t xml:space="preserve">50 </w:t>
                  </w:r>
                  <w:r>
                    <w:rPr>
                      <w:rFonts w:cs="Times New Roman"/>
                      <w:color w:val="auto"/>
                      <w:sz w:val="21"/>
                      <w:szCs w:val="21"/>
                      <w:lang w:val="en-US"/>
                    </w:rPr>
                    <w:t>：3124ppm，1h(</w:t>
                  </w:r>
                  <w:r>
                    <w:rPr>
                      <w:rFonts w:cs="Times New Roman"/>
                      <w:color w:val="auto"/>
                      <w:sz w:val="21"/>
                      <w:szCs w:val="21"/>
                    </w:rPr>
                    <w:t>大鼠吸入</w:t>
                  </w:r>
                  <w:r>
                    <w:rPr>
                      <w:rFonts w:cs="Times New Roman"/>
                      <w:color w:val="auto"/>
                      <w:sz w:val="21"/>
                      <w:szCs w:val="21"/>
                      <w:lang w:val="en-US"/>
                    </w:rPr>
                    <w:t>)</w:t>
                  </w:r>
                </w:p>
                <w:p w14:paraId="2C11CEBD">
                  <w:pPr>
                    <w:pStyle w:val="118"/>
                    <w:widowControl w:val="0"/>
                    <w:spacing w:line="240" w:lineRule="auto"/>
                    <w:ind w:firstLine="0" w:firstLineChars="0"/>
                    <w:rPr>
                      <w:rFonts w:cs="Times New Roman"/>
                      <w:color w:val="auto"/>
                      <w:sz w:val="21"/>
                      <w:szCs w:val="21"/>
                      <w:lang w:val="en-US"/>
                    </w:rPr>
                  </w:pPr>
                  <w:r>
                    <w:rPr>
                      <w:rFonts w:cs="Times New Roman"/>
                      <w:color w:val="auto"/>
                      <w:sz w:val="21"/>
                      <w:szCs w:val="21"/>
                    </w:rPr>
                    <w:t>大气毒性终点浓度</w:t>
                  </w:r>
                  <w:r>
                    <w:rPr>
                      <w:rFonts w:cs="Times New Roman"/>
                      <w:color w:val="auto"/>
                      <w:sz w:val="21"/>
                      <w:szCs w:val="21"/>
                      <w:lang w:val="en-US"/>
                    </w:rPr>
                    <w:t>：1</w:t>
                  </w:r>
                  <w:r>
                    <w:rPr>
                      <w:rFonts w:cs="Times New Roman"/>
                      <w:color w:val="auto"/>
                      <w:sz w:val="21"/>
                      <w:szCs w:val="21"/>
                    </w:rPr>
                    <w:t>级</w:t>
                  </w:r>
                  <w:r>
                    <w:rPr>
                      <w:rFonts w:cs="Times New Roman"/>
                      <w:color w:val="auto"/>
                      <w:sz w:val="21"/>
                      <w:szCs w:val="21"/>
                      <w:lang w:val="en-US"/>
                    </w:rPr>
                    <w:t>150 mg/m</w:t>
                  </w:r>
                  <w:r>
                    <w:rPr>
                      <w:rFonts w:cs="Times New Roman"/>
                      <w:color w:val="auto"/>
                      <w:sz w:val="21"/>
                      <w:szCs w:val="21"/>
                      <w:vertAlign w:val="superscript"/>
                      <w:lang w:val="en-US"/>
                    </w:rPr>
                    <w:t>3</w:t>
                  </w:r>
                  <w:r>
                    <w:rPr>
                      <w:rFonts w:cs="Times New Roman"/>
                      <w:color w:val="auto"/>
                      <w:sz w:val="21"/>
                      <w:szCs w:val="21"/>
                    </w:rPr>
                    <w:t>、</w:t>
                  </w:r>
                  <w:r>
                    <w:rPr>
                      <w:rFonts w:cs="Times New Roman"/>
                      <w:color w:val="auto"/>
                      <w:sz w:val="21"/>
                      <w:szCs w:val="21"/>
                      <w:lang w:val="en-US"/>
                    </w:rPr>
                    <w:t>2</w:t>
                  </w:r>
                  <w:r>
                    <w:rPr>
                      <w:rFonts w:cs="Times New Roman"/>
                      <w:color w:val="auto"/>
                      <w:sz w:val="21"/>
                      <w:szCs w:val="21"/>
                    </w:rPr>
                    <w:t>级</w:t>
                  </w:r>
                  <w:r>
                    <w:rPr>
                      <w:rFonts w:cs="Times New Roman"/>
                      <w:color w:val="auto"/>
                      <w:sz w:val="21"/>
                      <w:szCs w:val="21"/>
                      <w:lang w:val="en-US"/>
                    </w:rPr>
                    <w:t>33mg/m</w:t>
                  </w:r>
                  <w:r>
                    <w:rPr>
                      <w:rFonts w:cs="Times New Roman"/>
                      <w:color w:val="auto"/>
                      <w:sz w:val="21"/>
                      <w:szCs w:val="21"/>
                      <w:vertAlign w:val="superscript"/>
                      <w:lang w:val="en-US"/>
                    </w:rPr>
                    <w:t>3</w:t>
                  </w:r>
                </w:p>
              </w:tc>
            </w:tr>
            <w:tr w14:paraId="0FFEC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vAlign w:val="center"/>
                </w:tcPr>
                <w:p w14:paraId="7AE1779F">
                  <w:pPr>
                    <w:snapToGrid w:val="0"/>
                    <w:spacing w:line="280" w:lineRule="exact"/>
                    <w:jc w:val="center"/>
                    <w:rPr>
                      <w:rFonts w:hint="default" w:eastAsia="宋体"/>
                      <w:color w:val="auto"/>
                      <w:kern w:val="0"/>
                      <w:szCs w:val="21"/>
                      <w:lang w:val="en-US" w:eastAsia="zh-CN"/>
                    </w:rPr>
                  </w:pPr>
                  <w:r>
                    <w:rPr>
                      <w:rFonts w:hint="eastAsia"/>
                      <w:color w:val="auto"/>
                      <w:kern w:val="0"/>
                      <w:szCs w:val="21"/>
                      <w:lang w:val="en-US" w:eastAsia="zh-CN"/>
                    </w:rPr>
                    <w:t>氯化氢</w:t>
                  </w:r>
                </w:p>
              </w:tc>
            </w:tr>
            <w:tr w14:paraId="2D8DF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6C1435AB">
                  <w:pPr>
                    <w:snapToGrid w:val="0"/>
                    <w:spacing w:line="280" w:lineRule="exact"/>
                    <w:jc w:val="center"/>
                    <w:rPr>
                      <w:color w:val="auto"/>
                      <w:kern w:val="0"/>
                      <w:szCs w:val="21"/>
                    </w:rPr>
                  </w:pPr>
                  <w:r>
                    <w:rPr>
                      <w:color w:val="auto"/>
                      <w:kern w:val="0"/>
                      <w:szCs w:val="21"/>
                    </w:rPr>
                    <w:t>品名</w:t>
                  </w:r>
                </w:p>
              </w:tc>
              <w:tc>
                <w:tcPr>
                  <w:tcW w:w="762" w:type="pct"/>
                  <w:vAlign w:val="center"/>
                </w:tcPr>
                <w:p w14:paraId="4FEB3DE2">
                  <w:pPr>
                    <w:snapToGrid w:val="0"/>
                    <w:spacing w:line="280" w:lineRule="exact"/>
                    <w:jc w:val="center"/>
                    <w:rPr>
                      <w:color w:val="auto"/>
                      <w:kern w:val="0"/>
                      <w:szCs w:val="21"/>
                    </w:rPr>
                  </w:pPr>
                  <w:r>
                    <w:rPr>
                      <w:rFonts w:hint="eastAsia"/>
                      <w:color w:val="auto"/>
                      <w:kern w:val="0"/>
                      <w:szCs w:val="21"/>
                      <w:lang w:val="en-US" w:eastAsia="zh-CN"/>
                    </w:rPr>
                    <w:t>氯化氢</w:t>
                  </w:r>
                </w:p>
              </w:tc>
              <w:tc>
                <w:tcPr>
                  <w:tcW w:w="782" w:type="pct"/>
                  <w:vAlign w:val="center"/>
                </w:tcPr>
                <w:p w14:paraId="2935F20C">
                  <w:pPr>
                    <w:snapToGrid w:val="0"/>
                    <w:spacing w:line="280" w:lineRule="exact"/>
                    <w:jc w:val="center"/>
                    <w:rPr>
                      <w:color w:val="auto"/>
                      <w:kern w:val="0"/>
                      <w:szCs w:val="21"/>
                    </w:rPr>
                  </w:pPr>
                  <w:r>
                    <w:rPr>
                      <w:color w:val="auto"/>
                      <w:kern w:val="0"/>
                      <w:szCs w:val="21"/>
                    </w:rPr>
                    <w:t>别名</w:t>
                  </w:r>
                </w:p>
              </w:tc>
              <w:tc>
                <w:tcPr>
                  <w:tcW w:w="1357" w:type="pct"/>
                  <w:gridSpan w:val="2"/>
                  <w:vAlign w:val="center"/>
                </w:tcPr>
                <w:p w14:paraId="17005B21">
                  <w:pPr>
                    <w:snapToGrid w:val="0"/>
                    <w:spacing w:line="280" w:lineRule="exact"/>
                    <w:jc w:val="center"/>
                    <w:rPr>
                      <w:color w:val="auto"/>
                      <w:kern w:val="0"/>
                      <w:szCs w:val="21"/>
                    </w:rPr>
                  </w:pPr>
                  <w:r>
                    <w:rPr>
                      <w:rFonts w:hint="eastAsia"/>
                      <w:color w:val="auto"/>
                      <w:kern w:val="0"/>
                      <w:szCs w:val="21"/>
                      <w:lang w:val="en-US" w:eastAsia="zh-CN"/>
                    </w:rPr>
                    <w:t>氯化氢</w:t>
                  </w:r>
                </w:p>
              </w:tc>
              <w:tc>
                <w:tcPr>
                  <w:tcW w:w="765" w:type="pct"/>
                  <w:vAlign w:val="center"/>
                </w:tcPr>
                <w:p w14:paraId="2C5F5DAC">
                  <w:pPr>
                    <w:snapToGrid w:val="0"/>
                    <w:spacing w:line="280" w:lineRule="exact"/>
                    <w:jc w:val="center"/>
                    <w:rPr>
                      <w:color w:val="auto"/>
                      <w:kern w:val="0"/>
                      <w:szCs w:val="21"/>
                    </w:rPr>
                  </w:pPr>
                  <w:r>
                    <w:rPr>
                      <w:color w:val="auto"/>
                      <w:kern w:val="0"/>
                      <w:szCs w:val="21"/>
                    </w:rPr>
                    <w:t>英文名</w:t>
                  </w:r>
                </w:p>
              </w:tc>
              <w:tc>
                <w:tcPr>
                  <w:tcW w:w="731" w:type="pct"/>
                  <w:vAlign w:val="center"/>
                </w:tcPr>
                <w:p w14:paraId="59C73BEE">
                  <w:pPr>
                    <w:snapToGrid w:val="0"/>
                    <w:spacing w:line="280" w:lineRule="exact"/>
                    <w:jc w:val="center"/>
                    <w:rPr>
                      <w:color w:val="auto"/>
                      <w:kern w:val="0"/>
                      <w:szCs w:val="21"/>
                    </w:rPr>
                  </w:pPr>
                  <w:r>
                    <w:rPr>
                      <w:color w:val="auto"/>
                      <w:kern w:val="0"/>
                      <w:szCs w:val="21"/>
                    </w:rPr>
                    <w:t>Hydrogen chloride</w:t>
                  </w:r>
                </w:p>
              </w:tc>
            </w:tr>
            <w:tr w14:paraId="34B05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70FA84CF">
                  <w:pPr>
                    <w:snapToGrid w:val="0"/>
                    <w:spacing w:line="280" w:lineRule="exact"/>
                    <w:jc w:val="center"/>
                    <w:rPr>
                      <w:color w:val="auto"/>
                      <w:kern w:val="0"/>
                      <w:szCs w:val="21"/>
                    </w:rPr>
                  </w:pPr>
                  <w:r>
                    <w:rPr>
                      <w:color w:val="auto"/>
                      <w:kern w:val="0"/>
                      <w:szCs w:val="21"/>
                    </w:rPr>
                    <w:t>CAS号</w:t>
                  </w:r>
                </w:p>
              </w:tc>
              <w:tc>
                <w:tcPr>
                  <w:tcW w:w="762" w:type="pct"/>
                  <w:vAlign w:val="center"/>
                </w:tcPr>
                <w:p w14:paraId="2C67547D">
                  <w:pPr>
                    <w:snapToGrid w:val="0"/>
                    <w:spacing w:line="280" w:lineRule="exact"/>
                    <w:jc w:val="center"/>
                    <w:rPr>
                      <w:color w:val="auto"/>
                      <w:kern w:val="0"/>
                      <w:szCs w:val="21"/>
                    </w:rPr>
                  </w:pPr>
                  <w:r>
                    <w:rPr>
                      <w:color w:val="auto"/>
                      <w:kern w:val="0"/>
                      <w:szCs w:val="21"/>
                    </w:rPr>
                    <w:t>7647-01-0</w:t>
                  </w:r>
                </w:p>
              </w:tc>
              <w:tc>
                <w:tcPr>
                  <w:tcW w:w="782" w:type="pct"/>
                  <w:vAlign w:val="center"/>
                </w:tcPr>
                <w:p w14:paraId="3ECBE3ED">
                  <w:pPr>
                    <w:snapToGrid w:val="0"/>
                    <w:spacing w:line="280" w:lineRule="exact"/>
                    <w:jc w:val="center"/>
                    <w:rPr>
                      <w:color w:val="auto"/>
                      <w:kern w:val="0"/>
                      <w:szCs w:val="21"/>
                    </w:rPr>
                  </w:pPr>
                  <w:r>
                    <w:rPr>
                      <w:color w:val="auto"/>
                      <w:kern w:val="0"/>
                      <w:szCs w:val="21"/>
                    </w:rPr>
                    <w:t>危险性类别</w:t>
                  </w:r>
                </w:p>
              </w:tc>
              <w:tc>
                <w:tcPr>
                  <w:tcW w:w="1357" w:type="pct"/>
                  <w:gridSpan w:val="2"/>
                  <w:vAlign w:val="center"/>
                </w:tcPr>
                <w:p w14:paraId="4FA24D1D">
                  <w:pPr>
                    <w:snapToGrid w:val="0"/>
                    <w:spacing w:line="280" w:lineRule="exact"/>
                    <w:jc w:val="center"/>
                    <w:rPr>
                      <w:rFonts w:hint="eastAsia" w:eastAsia="宋体"/>
                      <w:color w:val="auto"/>
                      <w:kern w:val="0"/>
                      <w:szCs w:val="21"/>
                      <w:lang w:val="en-US" w:eastAsia="zh-CN"/>
                    </w:rPr>
                  </w:pPr>
                  <w:r>
                    <w:rPr>
                      <w:rFonts w:hint="eastAsia"/>
                      <w:color w:val="auto"/>
                      <w:kern w:val="0"/>
                      <w:szCs w:val="21"/>
                      <w:lang w:val="en-US" w:eastAsia="zh-CN"/>
                    </w:rPr>
                    <w:t>/</w:t>
                  </w:r>
                </w:p>
              </w:tc>
              <w:tc>
                <w:tcPr>
                  <w:tcW w:w="765" w:type="pct"/>
                  <w:vAlign w:val="center"/>
                </w:tcPr>
                <w:p w14:paraId="661601E0">
                  <w:pPr>
                    <w:snapToGrid w:val="0"/>
                    <w:spacing w:line="280" w:lineRule="exact"/>
                    <w:jc w:val="center"/>
                    <w:rPr>
                      <w:color w:val="auto"/>
                      <w:kern w:val="0"/>
                      <w:szCs w:val="21"/>
                    </w:rPr>
                  </w:pPr>
                  <w:r>
                    <w:rPr>
                      <w:color w:val="auto"/>
                      <w:kern w:val="0"/>
                      <w:szCs w:val="21"/>
                    </w:rPr>
                    <w:t>爆炸极限（V/V%）</w:t>
                  </w:r>
                </w:p>
              </w:tc>
              <w:tc>
                <w:tcPr>
                  <w:tcW w:w="731" w:type="pct"/>
                  <w:vAlign w:val="center"/>
                </w:tcPr>
                <w:p w14:paraId="2D4C01CC">
                  <w:pPr>
                    <w:snapToGrid w:val="0"/>
                    <w:spacing w:line="280" w:lineRule="exact"/>
                    <w:jc w:val="center"/>
                    <w:rPr>
                      <w:color w:val="auto"/>
                      <w:kern w:val="0"/>
                      <w:szCs w:val="21"/>
                    </w:rPr>
                  </w:pPr>
                  <w:r>
                    <w:rPr>
                      <w:color w:val="auto"/>
                      <w:kern w:val="0"/>
                      <w:szCs w:val="21"/>
                    </w:rPr>
                    <w:t>/</w:t>
                  </w:r>
                </w:p>
              </w:tc>
            </w:tr>
            <w:tr w14:paraId="7DFB8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restart"/>
                  <w:vAlign w:val="center"/>
                </w:tcPr>
                <w:p w14:paraId="4EA2EE9A">
                  <w:pPr>
                    <w:snapToGrid w:val="0"/>
                    <w:spacing w:line="280" w:lineRule="exact"/>
                    <w:jc w:val="center"/>
                    <w:rPr>
                      <w:color w:val="auto"/>
                      <w:kern w:val="0"/>
                      <w:szCs w:val="21"/>
                    </w:rPr>
                  </w:pPr>
                  <w:r>
                    <w:rPr>
                      <w:color w:val="auto"/>
                      <w:kern w:val="0"/>
                      <w:szCs w:val="21"/>
                    </w:rPr>
                    <w:t>理化性质</w:t>
                  </w:r>
                </w:p>
              </w:tc>
              <w:tc>
                <w:tcPr>
                  <w:tcW w:w="762" w:type="pct"/>
                  <w:vAlign w:val="center"/>
                </w:tcPr>
                <w:p w14:paraId="5E8EB346">
                  <w:pPr>
                    <w:snapToGrid w:val="0"/>
                    <w:spacing w:line="280" w:lineRule="exact"/>
                    <w:jc w:val="center"/>
                    <w:rPr>
                      <w:color w:val="auto"/>
                      <w:kern w:val="0"/>
                      <w:szCs w:val="21"/>
                    </w:rPr>
                  </w:pPr>
                  <w:r>
                    <w:rPr>
                      <w:color w:val="auto"/>
                      <w:kern w:val="0"/>
                      <w:szCs w:val="21"/>
                    </w:rPr>
                    <w:t>分子式</w:t>
                  </w:r>
                </w:p>
              </w:tc>
              <w:tc>
                <w:tcPr>
                  <w:tcW w:w="782" w:type="pct"/>
                  <w:vAlign w:val="center"/>
                </w:tcPr>
                <w:p w14:paraId="50E02B72">
                  <w:pPr>
                    <w:snapToGrid w:val="0"/>
                    <w:spacing w:line="280" w:lineRule="exact"/>
                    <w:jc w:val="center"/>
                    <w:rPr>
                      <w:rFonts w:hint="default" w:eastAsia="宋体"/>
                      <w:color w:val="auto"/>
                      <w:kern w:val="0"/>
                      <w:szCs w:val="21"/>
                      <w:lang w:val="en-US" w:eastAsia="zh-CN"/>
                    </w:rPr>
                  </w:pPr>
                  <w:r>
                    <w:rPr>
                      <w:color w:val="auto"/>
                      <w:kern w:val="0"/>
                      <w:szCs w:val="21"/>
                    </w:rPr>
                    <w:t>H</w:t>
                  </w:r>
                  <w:r>
                    <w:rPr>
                      <w:rFonts w:hint="eastAsia"/>
                      <w:color w:val="auto"/>
                      <w:kern w:val="0"/>
                      <w:szCs w:val="21"/>
                      <w:lang w:val="en-US" w:eastAsia="zh-CN"/>
                    </w:rPr>
                    <w:t>Cl</w:t>
                  </w:r>
                </w:p>
              </w:tc>
              <w:tc>
                <w:tcPr>
                  <w:tcW w:w="573" w:type="pct"/>
                  <w:vAlign w:val="center"/>
                </w:tcPr>
                <w:p w14:paraId="4F38608A">
                  <w:pPr>
                    <w:snapToGrid w:val="0"/>
                    <w:spacing w:line="280" w:lineRule="exact"/>
                    <w:jc w:val="center"/>
                    <w:rPr>
                      <w:color w:val="auto"/>
                      <w:kern w:val="0"/>
                      <w:szCs w:val="21"/>
                    </w:rPr>
                  </w:pPr>
                  <w:r>
                    <w:rPr>
                      <w:color w:val="auto"/>
                      <w:kern w:val="0"/>
                      <w:szCs w:val="21"/>
                    </w:rPr>
                    <w:t>分子量</w:t>
                  </w:r>
                </w:p>
              </w:tc>
              <w:tc>
                <w:tcPr>
                  <w:tcW w:w="784" w:type="pct"/>
                  <w:vAlign w:val="center"/>
                </w:tcPr>
                <w:p w14:paraId="69C61726">
                  <w:pPr>
                    <w:snapToGrid w:val="0"/>
                    <w:spacing w:line="280" w:lineRule="exact"/>
                    <w:jc w:val="center"/>
                    <w:rPr>
                      <w:rFonts w:hint="default" w:eastAsia="宋体"/>
                      <w:color w:val="auto"/>
                      <w:kern w:val="0"/>
                      <w:szCs w:val="21"/>
                      <w:lang w:val="en-US" w:eastAsia="zh-CN"/>
                    </w:rPr>
                  </w:pPr>
                  <w:r>
                    <w:rPr>
                      <w:rFonts w:hint="eastAsia"/>
                      <w:color w:val="auto"/>
                      <w:kern w:val="0"/>
                      <w:szCs w:val="21"/>
                      <w:lang w:val="en-US" w:eastAsia="zh-CN"/>
                    </w:rPr>
                    <w:t>36.5</w:t>
                  </w:r>
                </w:p>
              </w:tc>
              <w:tc>
                <w:tcPr>
                  <w:tcW w:w="765" w:type="pct"/>
                  <w:shd w:val="clear" w:color="auto" w:fill="auto"/>
                  <w:vAlign w:val="center"/>
                </w:tcPr>
                <w:p w14:paraId="4113BA6B">
                  <w:pPr>
                    <w:snapToGrid w:val="0"/>
                    <w:spacing w:line="280" w:lineRule="exact"/>
                    <w:jc w:val="center"/>
                    <w:rPr>
                      <w:rFonts w:ascii="Times New Roman" w:hAnsi="Times New Roman" w:eastAsia="宋体" w:cs="Times New Roman"/>
                      <w:color w:val="auto"/>
                      <w:kern w:val="0"/>
                      <w:sz w:val="21"/>
                      <w:szCs w:val="21"/>
                      <w:lang w:val="en-US" w:eastAsia="zh-CN" w:bidi="ar-SA"/>
                    </w:rPr>
                  </w:pPr>
                  <w:r>
                    <w:rPr>
                      <w:color w:val="auto"/>
                      <w:kern w:val="0"/>
                      <w:szCs w:val="21"/>
                    </w:rPr>
                    <w:t>相对密度</w:t>
                  </w:r>
                </w:p>
              </w:tc>
              <w:tc>
                <w:tcPr>
                  <w:tcW w:w="731" w:type="pct"/>
                  <w:shd w:val="clear" w:color="auto" w:fill="auto"/>
                  <w:vAlign w:val="center"/>
                </w:tcPr>
                <w:p w14:paraId="68D6B404">
                  <w:pPr>
                    <w:snapToGrid w:val="0"/>
                    <w:spacing w:line="280" w:lineRule="exact"/>
                    <w:jc w:val="center"/>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1.3</w:t>
                  </w:r>
                </w:p>
              </w:tc>
            </w:tr>
            <w:tr w14:paraId="592CE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21B7B41D">
                  <w:pPr>
                    <w:snapToGrid w:val="0"/>
                    <w:spacing w:line="280" w:lineRule="exact"/>
                    <w:jc w:val="center"/>
                    <w:rPr>
                      <w:color w:val="auto"/>
                      <w:kern w:val="0"/>
                      <w:szCs w:val="21"/>
                    </w:rPr>
                  </w:pPr>
                </w:p>
              </w:tc>
              <w:tc>
                <w:tcPr>
                  <w:tcW w:w="762" w:type="pct"/>
                  <w:vAlign w:val="center"/>
                </w:tcPr>
                <w:p w14:paraId="0A8D5633">
                  <w:pPr>
                    <w:snapToGrid w:val="0"/>
                    <w:spacing w:line="280" w:lineRule="exact"/>
                    <w:jc w:val="center"/>
                    <w:rPr>
                      <w:color w:val="auto"/>
                      <w:kern w:val="0"/>
                      <w:szCs w:val="21"/>
                    </w:rPr>
                  </w:pPr>
                  <w:r>
                    <w:rPr>
                      <w:color w:val="auto"/>
                      <w:kern w:val="0"/>
                      <w:szCs w:val="21"/>
                    </w:rPr>
                    <w:t>外观气味</w:t>
                  </w:r>
                </w:p>
              </w:tc>
              <w:tc>
                <w:tcPr>
                  <w:tcW w:w="3636" w:type="pct"/>
                  <w:gridSpan w:val="5"/>
                  <w:vAlign w:val="center"/>
                </w:tcPr>
                <w:p w14:paraId="3510145F">
                  <w:pPr>
                    <w:snapToGrid w:val="0"/>
                    <w:spacing w:line="280" w:lineRule="exact"/>
                    <w:jc w:val="center"/>
                    <w:rPr>
                      <w:rFonts w:hint="eastAsia" w:eastAsia="宋体"/>
                      <w:color w:val="auto"/>
                      <w:kern w:val="0"/>
                      <w:szCs w:val="21"/>
                      <w:lang w:eastAsia="zh-CN"/>
                    </w:rPr>
                  </w:pPr>
                  <w:r>
                    <w:rPr>
                      <w:color w:val="auto"/>
                      <w:kern w:val="0"/>
                      <w:szCs w:val="21"/>
                    </w:rPr>
                    <w:t>无色透明</w:t>
                  </w:r>
                  <w:r>
                    <w:rPr>
                      <w:rFonts w:hint="eastAsia"/>
                      <w:color w:val="auto"/>
                      <w:kern w:val="0"/>
                      <w:szCs w:val="21"/>
                      <w:lang w:eastAsia="zh-CN"/>
                    </w:rPr>
                    <w:t>，带有一种强烈的辛辣气味</w:t>
                  </w:r>
                </w:p>
              </w:tc>
            </w:tr>
            <w:tr w14:paraId="20BDB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Merge w:val="continue"/>
                  <w:vAlign w:val="center"/>
                </w:tcPr>
                <w:p w14:paraId="1936FEFA">
                  <w:pPr>
                    <w:snapToGrid w:val="0"/>
                    <w:spacing w:line="280" w:lineRule="exact"/>
                    <w:jc w:val="center"/>
                    <w:rPr>
                      <w:color w:val="auto"/>
                      <w:kern w:val="0"/>
                      <w:szCs w:val="21"/>
                    </w:rPr>
                  </w:pPr>
                </w:p>
              </w:tc>
              <w:tc>
                <w:tcPr>
                  <w:tcW w:w="762" w:type="pct"/>
                  <w:vAlign w:val="center"/>
                </w:tcPr>
                <w:p w14:paraId="54DDC88A">
                  <w:pPr>
                    <w:snapToGrid w:val="0"/>
                    <w:spacing w:line="280" w:lineRule="exact"/>
                    <w:jc w:val="center"/>
                    <w:rPr>
                      <w:color w:val="auto"/>
                      <w:kern w:val="0"/>
                      <w:szCs w:val="21"/>
                    </w:rPr>
                  </w:pPr>
                  <w:r>
                    <w:rPr>
                      <w:color w:val="auto"/>
                      <w:kern w:val="0"/>
                      <w:szCs w:val="21"/>
                    </w:rPr>
                    <w:t>溶解性</w:t>
                  </w:r>
                </w:p>
              </w:tc>
              <w:tc>
                <w:tcPr>
                  <w:tcW w:w="3636" w:type="pct"/>
                  <w:gridSpan w:val="5"/>
                  <w:vAlign w:val="center"/>
                </w:tcPr>
                <w:p w14:paraId="3A8C2969">
                  <w:pPr>
                    <w:snapToGrid w:val="0"/>
                    <w:spacing w:line="280" w:lineRule="exact"/>
                    <w:jc w:val="center"/>
                    <w:rPr>
                      <w:color w:val="auto"/>
                      <w:kern w:val="0"/>
                      <w:szCs w:val="21"/>
                    </w:rPr>
                  </w:pPr>
                  <w:r>
                    <w:rPr>
                      <w:rFonts w:hint="eastAsia"/>
                      <w:color w:val="auto"/>
                      <w:kern w:val="0"/>
                      <w:szCs w:val="21"/>
                    </w:rPr>
                    <w:t>与水混溶</w:t>
                  </w:r>
                </w:p>
              </w:tc>
            </w:tr>
            <w:tr w14:paraId="5750F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7CCC1945">
                  <w:pPr>
                    <w:snapToGrid w:val="0"/>
                    <w:spacing w:line="280" w:lineRule="exact"/>
                    <w:jc w:val="center"/>
                    <w:rPr>
                      <w:color w:val="auto"/>
                      <w:kern w:val="0"/>
                      <w:szCs w:val="21"/>
                    </w:rPr>
                  </w:pPr>
                  <w:r>
                    <w:rPr>
                      <w:color w:val="auto"/>
                      <w:kern w:val="0"/>
                      <w:szCs w:val="21"/>
                    </w:rPr>
                    <w:t>稳定性和危险性</w:t>
                  </w:r>
                </w:p>
              </w:tc>
              <w:tc>
                <w:tcPr>
                  <w:tcW w:w="4399" w:type="pct"/>
                  <w:gridSpan w:val="6"/>
                  <w:vAlign w:val="center"/>
                </w:tcPr>
                <w:p w14:paraId="4B8AC6C3">
                  <w:pPr>
                    <w:snapToGrid w:val="0"/>
                    <w:spacing w:line="280" w:lineRule="exact"/>
                    <w:jc w:val="left"/>
                    <w:rPr>
                      <w:color w:val="auto"/>
                      <w:kern w:val="0"/>
                      <w:szCs w:val="21"/>
                    </w:rPr>
                  </w:pPr>
                  <w:r>
                    <w:rPr>
                      <w:color w:val="auto"/>
                      <w:kern w:val="0"/>
                      <w:szCs w:val="21"/>
                    </w:rPr>
                    <w:t>稳定性：稳定；</w:t>
                  </w:r>
                </w:p>
                <w:p w14:paraId="5E17AD52">
                  <w:pPr>
                    <w:snapToGrid w:val="0"/>
                    <w:spacing w:line="280" w:lineRule="exact"/>
                    <w:jc w:val="left"/>
                    <w:rPr>
                      <w:color w:val="auto"/>
                      <w:kern w:val="0"/>
                      <w:szCs w:val="21"/>
                    </w:rPr>
                  </w:pPr>
                  <w:r>
                    <w:rPr>
                      <w:color w:val="auto"/>
                      <w:kern w:val="0"/>
                      <w:szCs w:val="21"/>
                    </w:rPr>
                    <w:t>危险性：</w:t>
                  </w:r>
                  <w:r>
                    <w:rPr>
                      <w:rFonts w:hint="eastAsia"/>
                      <w:color w:val="auto"/>
                      <w:kern w:val="0"/>
                      <w:szCs w:val="21"/>
                    </w:rPr>
                    <w:t>与镁、钠、钾、铜等金属或乙炔金属化合物接触发生着火或燃烧。</w:t>
                  </w:r>
                </w:p>
              </w:tc>
            </w:tr>
            <w:tr w14:paraId="762B0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0" w:type="pct"/>
                  <w:vAlign w:val="center"/>
                </w:tcPr>
                <w:p w14:paraId="07DEA00D">
                  <w:pPr>
                    <w:snapToGrid w:val="0"/>
                    <w:spacing w:line="280" w:lineRule="exact"/>
                    <w:jc w:val="center"/>
                    <w:rPr>
                      <w:color w:val="auto"/>
                      <w:kern w:val="0"/>
                      <w:szCs w:val="21"/>
                    </w:rPr>
                  </w:pPr>
                  <w:r>
                    <w:rPr>
                      <w:color w:val="auto"/>
                      <w:kern w:val="0"/>
                      <w:szCs w:val="21"/>
                    </w:rPr>
                    <w:t>毒理学</w:t>
                  </w:r>
                </w:p>
                <w:p w14:paraId="09FA5CB0">
                  <w:pPr>
                    <w:snapToGrid w:val="0"/>
                    <w:spacing w:line="280" w:lineRule="exact"/>
                    <w:jc w:val="center"/>
                    <w:rPr>
                      <w:color w:val="auto"/>
                      <w:kern w:val="0"/>
                      <w:szCs w:val="21"/>
                    </w:rPr>
                  </w:pPr>
                  <w:r>
                    <w:rPr>
                      <w:color w:val="auto"/>
                      <w:kern w:val="0"/>
                      <w:szCs w:val="21"/>
                    </w:rPr>
                    <w:t>资料</w:t>
                  </w:r>
                </w:p>
              </w:tc>
              <w:tc>
                <w:tcPr>
                  <w:tcW w:w="4399" w:type="pct"/>
                  <w:gridSpan w:val="6"/>
                  <w:vAlign w:val="center"/>
                </w:tcPr>
                <w:p w14:paraId="1578716F">
                  <w:pPr>
                    <w:snapToGrid w:val="0"/>
                    <w:spacing w:line="280" w:lineRule="exact"/>
                    <w:jc w:val="left"/>
                    <w:rPr>
                      <w:color w:val="auto"/>
                      <w:kern w:val="0"/>
                      <w:szCs w:val="21"/>
                    </w:rPr>
                  </w:pPr>
                  <w:r>
                    <w:rPr>
                      <w:color w:val="auto"/>
                      <w:kern w:val="0"/>
                      <w:szCs w:val="21"/>
                    </w:rPr>
                    <w:t>毒性：对皮肤有强烈的腐蚀作用。</w:t>
                  </w:r>
                </w:p>
                <w:p w14:paraId="579F88C4">
                  <w:pPr>
                    <w:snapToGrid w:val="0"/>
                    <w:spacing w:line="280" w:lineRule="exact"/>
                    <w:jc w:val="left"/>
                    <w:rPr>
                      <w:color w:val="auto"/>
                      <w:kern w:val="0"/>
                      <w:szCs w:val="21"/>
                    </w:rPr>
                  </w:pPr>
                  <w:r>
                    <w:rPr>
                      <w:color w:val="auto"/>
                      <w:kern w:val="0"/>
                      <w:szCs w:val="21"/>
                    </w:rPr>
                    <w:t>急性毒性：LC</w:t>
                  </w:r>
                  <w:r>
                    <w:rPr>
                      <w:color w:val="auto"/>
                      <w:kern w:val="0"/>
                      <w:szCs w:val="21"/>
                      <w:vertAlign w:val="subscript"/>
                    </w:rPr>
                    <w:t>50</w:t>
                  </w:r>
                  <w:r>
                    <w:rPr>
                      <w:color w:val="auto"/>
                      <w:kern w:val="0"/>
                      <w:szCs w:val="21"/>
                    </w:rPr>
                    <w:t>：</w:t>
                  </w:r>
                  <w:r>
                    <w:rPr>
                      <w:rFonts w:hint="eastAsia"/>
                      <w:color w:val="auto"/>
                      <w:kern w:val="0"/>
                      <w:szCs w:val="21"/>
                    </w:rPr>
                    <w:t>900mg</w:t>
                  </w:r>
                  <w:r>
                    <w:rPr>
                      <w:rFonts w:hint="eastAsia"/>
                      <w:color w:val="auto"/>
                      <w:kern w:val="0"/>
                      <w:szCs w:val="21"/>
                      <w:lang w:val="en-US" w:eastAsia="zh-CN"/>
                    </w:rPr>
                    <w:t>/</w:t>
                  </w:r>
                  <w:r>
                    <w:rPr>
                      <w:rFonts w:hint="eastAsia"/>
                      <w:color w:val="auto"/>
                      <w:kern w:val="0"/>
                      <w:szCs w:val="21"/>
                    </w:rPr>
                    <w:t>kg(兔子)</w:t>
                  </w:r>
                </w:p>
              </w:tc>
            </w:tr>
          </w:tbl>
          <w:p w14:paraId="5B55673F">
            <w:pPr>
              <w:adjustRightInd w:val="0"/>
              <w:snapToGrid w:val="0"/>
              <w:spacing w:beforeLines="50" w:line="360" w:lineRule="auto"/>
              <w:rPr>
                <w:b/>
                <w:bCs/>
                <w:color w:val="auto"/>
                <w:sz w:val="24"/>
              </w:rPr>
            </w:pPr>
            <w:r>
              <w:rPr>
                <w:b/>
                <w:bCs/>
                <w:color w:val="auto"/>
                <w:sz w:val="24"/>
              </w:rPr>
              <w:t>2.1.7 各类平衡</w:t>
            </w:r>
          </w:p>
          <w:p w14:paraId="60829334">
            <w:pPr>
              <w:adjustRightInd w:val="0"/>
              <w:snapToGrid w:val="0"/>
              <w:spacing w:beforeLines="50" w:line="360" w:lineRule="auto"/>
              <w:rPr>
                <w:b/>
                <w:bCs/>
                <w:color w:val="auto"/>
                <w:sz w:val="24"/>
              </w:rPr>
            </w:pPr>
          </w:p>
          <w:p w14:paraId="0715F864">
            <w:pPr>
              <w:adjustRightInd w:val="0"/>
              <w:snapToGrid w:val="0"/>
              <w:spacing w:beforeLines="50" w:line="360" w:lineRule="auto"/>
              <w:rPr>
                <w:b/>
                <w:bCs/>
                <w:color w:val="auto"/>
                <w:sz w:val="24"/>
              </w:rPr>
            </w:pPr>
          </w:p>
          <w:p w14:paraId="4423480F">
            <w:pPr>
              <w:adjustRightInd w:val="0"/>
              <w:snapToGrid w:val="0"/>
              <w:spacing w:beforeLines="50" w:line="360" w:lineRule="auto"/>
              <w:rPr>
                <w:b/>
                <w:bCs/>
                <w:color w:val="auto"/>
                <w:sz w:val="24"/>
              </w:rPr>
            </w:pPr>
          </w:p>
          <w:p w14:paraId="677A6641">
            <w:pPr>
              <w:adjustRightInd w:val="0"/>
              <w:snapToGrid w:val="0"/>
              <w:spacing w:beforeLines="50" w:line="360" w:lineRule="auto"/>
              <w:rPr>
                <w:b/>
                <w:bCs/>
                <w:color w:val="auto"/>
                <w:sz w:val="24"/>
              </w:rPr>
            </w:pPr>
          </w:p>
          <w:p w14:paraId="68571085">
            <w:pPr>
              <w:adjustRightInd w:val="0"/>
              <w:snapToGrid w:val="0"/>
              <w:spacing w:beforeLines="50" w:line="360" w:lineRule="auto"/>
              <w:rPr>
                <w:b/>
                <w:bCs/>
                <w:color w:val="auto"/>
                <w:sz w:val="24"/>
              </w:rPr>
            </w:pPr>
          </w:p>
          <w:p w14:paraId="6D54E01A">
            <w:pPr>
              <w:adjustRightInd w:val="0"/>
              <w:snapToGrid w:val="0"/>
              <w:spacing w:beforeLines="50" w:line="360" w:lineRule="auto"/>
              <w:rPr>
                <w:b/>
                <w:bCs/>
                <w:color w:val="auto"/>
                <w:sz w:val="24"/>
              </w:rPr>
            </w:pPr>
          </w:p>
          <w:p w14:paraId="3BE57771">
            <w:pPr>
              <w:adjustRightInd w:val="0"/>
              <w:snapToGrid w:val="0"/>
              <w:spacing w:beforeLines="50" w:line="360" w:lineRule="auto"/>
              <w:rPr>
                <w:b/>
                <w:bCs/>
                <w:color w:val="auto"/>
                <w:sz w:val="24"/>
              </w:rPr>
            </w:pPr>
          </w:p>
          <w:p w14:paraId="072329D6">
            <w:pPr>
              <w:adjustRightInd w:val="0"/>
              <w:snapToGrid w:val="0"/>
              <w:spacing w:beforeLines="50" w:line="360" w:lineRule="auto"/>
              <w:rPr>
                <w:b/>
                <w:bCs/>
                <w:color w:val="auto"/>
                <w:sz w:val="24"/>
              </w:rPr>
            </w:pPr>
          </w:p>
          <w:p w14:paraId="29854216">
            <w:pPr>
              <w:adjustRightInd w:val="0"/>
              <w:snapToGrid w:val="0"/>
              <w:spacing w:beforeLines="50" w:line="360" w:lineRule="auto"/>
              <w:rPr>
                <w:b/>
                <w:bCs/>
                <w:color w:val="auto"/>
                <w:sz w:val="24"/>
              </w:rPr>
            </w:pPr>
          </w:p>
          <w:p w14:paraId="680DA661">
            <w:pPr>
              <w:adjustRightInd w:val="0"/>
              <w:snapToGrid w:val="0"/>
              <w:spacing w:beforeLines="50" w:line="360" w:lineRule="auto"/>
              <w:rPr>
                <w:b/>
                <w:bCs/>
                <w:color w:val="auto"/>
                <w:sz w:val="24"/>
              </w:rPr>
            </w:pPr>
          </w:p>
          <w:p w14:paraId="06572D60">
            <w:pPr>
              <w:adjustRightInd w:val="0"/>
              <w:snapToGrid w:val="0"/>
              <w:spacing w:beforeLines="50" w:line="360" w:lineRule="auto"/>
              <w:rPr>
                <w:b/>
                <w:bCs/>
                <w:color w:val="auto"/>
                <w:sz w:val="24"/>
              </w:rPr>
            </w:pPr>
          </w:p>
          <w:p w14:paraId="08ABB493">
            <w:pPr>
              <w:adjustRightInd w:val="0"/>
              <w:snapToGrid w:val="0"/>
              <w:spacing w:beforeLines="50" w:line="360" w:lineRule="auto"/>
              <w:rPr>
                <w:b/>
                <w:bCs/>
                <w:color w:val="auto"/>
                <w:sz w:val="24"/>
              </w:rPr>
            </w:pPr>
          </w:p>
          <w:p w14:paraId="6909E146">
            <w:pPr>
              <w:adjustRightInd w:val="0"/>
              <w:snapToGrid w:val="0"/>
              <w:spacing w:beforeLines="50" w:line="360" w:lineRule="auto"/>
              <w:rPr>
                <w:b/>
                <w:bCs/>
                <w:color w:val="auto"/>
                <w:sz w:val="24"/>
              </w:rPr>
            </w:pPr>
          </w:p>
          <w:p w14:paraId="16E43174">
            <w:pPr>
              <w:adjustRightInd w:val="0"/>
              <w:snapToGrid w:val="0"/>
              <w:spacing w:line="360" w:lineRule="auto"/>
              <w:jc w:val="center"/>
              <w:rPr>
                <w:color w:val="auto"/>
              </w:rPr>
            </w:pPr>
            <w:r>
              <w:rPr>
                <w:color w:val="auto"/>
              </w:rPr>
              <w:object>
                <v:shape id="_x0000_i1026" o:spt="75" type="#_x0000_t75" style="height:292.6pt;width:400.1pt;" o:ole="t" filled="f" o:preferrelative="t" stroked="f" coordsize="21600,21600">
                  <v:path/>
                  <v:fill on="f" focussize="0,0"/>
                  <v:stroke on="f"/>
                  <v:imagedata r:id="rId10" o:title=""/>
                  <o:lock v:ext="edit" aspectratio="t"/>
                  <w10:wrap type="none"/>
                  <w10:anchorlock/>
                </v:shape>
                <o:OLEObject Type="Embed" ProgID="Visio.Drawing.11" ShapeID="_x0000_i1026" DrawAspect="Content" ObjectID="_1468075726" r:id="rId9">
                  <o:LockedField>false</o:LockedField>
                </o:OLEObject>
              </w:object>
            </w:r>
          </w:p>
          <w:p w14:paraId="663890EA">
            <w:pPr>
              <w:adjustRightInd w:val="0"/>
              <w:snapToGrid w:val="0"/>
              <w:spacing w:line="360" w:lineRule="auto"/>
              <w:jc w:val="center"/>
              <w:rPr>
                <w:rFonts w:hint="default" w:eastAsia="宋体"/>
                <w:b/>
                <w:color w:val="auto"/>
                <w:szCs w:val="21"/>
                <w:lang w:val="en-US" w:eastAsia="zh-CN"/>
              </w:rPr>
            </w:pPr>
            <w:r>
              <w:rPr>
                <w:b/>
                <w:color w:val="auto"/>
                <w:szCs w:val="21"/>
              </w:rPr>
              <w:t>图2-1  项目用水平衡图</w:t>
            </w:r>
            <w:r>
              <w:rPr>
                <w:rFonts w:hint="eastAsia"/>
                <w:b/>
                <w:color w:val="auto"/>
                <w:szCs w:val="21"/>
                <w:lang w:val="en-US" w:eastAsia="zh-CN"/>
              </w:rPr>
              <w:t xml:space="preserve">  单位：t/d</w:t>
            </w:r>
          </w:p>
          <w:p w14:paraId="400E2A22">
            <w:pPr>
              <w:adjustRightInd w:val="0"/>
              <w:snapToGrid w:val="0"/>
              <w:jc w:val="center"/>
              <w:rPr>
                <w:b/>
                <w:color w:val="auto"/>
                <w:szCs w:val="21"/>
              </w:rPr>
            </w:pPr>
            <w:r>
              <w:rPr>
                <w:b/>
                <w:color w:val="auto"/>
                <w:szCs w:val="21"/>
              </w:rPr>
              <w:object>
                <v:shape id="_x0000_i1027" o:spt="75" type="#_x0000_t75" style="height:133.85pt;width:394.2pt;" o:ole="t" filled="f" o:preferrelative="t" stroked="f" coordsize="21600,21600">
                  <v:path/>
                  <v:fill on="f" focussize="0,0"/>
                  <v:stroke on="f"/>
                  <v:imagedata r:id="rId12" o:title=""/>
                  <o:lock v:ext="edit" aspectratio="f"/>
                  <w10:wrap type="none"/>
                  <w10:anchorlock/>
                </v:shape>
                <o:OLEObject Type="Embed" ProgID="Visio.Drawing.15" ShapeID="_x0000_i1027" DrawAspect="Content" ObjectID="_1468075727" r:id="rId11">
                  <o:LockedField>false</o:LockedField>
                </o:OLEObject>
              </w:object>
            </w:r>
          </w:p>
          <w:p w14:paraId="75910104">
            <w:pPr>
              <w:adjustRightInd w:val="0"/>
              <w:snapToGrid w:val="0"/>
              <w:jc w:val="center"/>
              <w:rPr>
                <w:rFonts w:hint="eastAsia"/>
                <w:b/>
                <w:color w:val="auto"/>
                <w:szCs w:val="21"/>
                <w:lang w:val="en-US" w:eastAsia="zh-CN"/>
              </w:rPr>
            </w:pPr>
            <w:r>
              <w:rPr>
                <w:b/>
                <w:color w:val="auto"/>
                <w:szCs w:val="21"/>
              </w:rPr>
              <w:t>图2-2  项目氟</w:t>
            </w:r>
            <w:r>
              <w:rPr>
                <w:rFonts w:hint="eastAsia"/>
                <w:b/>
                <w:color w:val="auto"/>
                <w:szCs w:val="21"/>
                <w:lang w:val="en-US" w:eastAsia="zh-CN"/>
              </w:rPr>
              <w:t>元素</w:t>
            </w:r>
            <w:r>
              <w:rPr>
                <w:b/>
                <w:color w:val="auto"/>
                <w:szCs w:val="21"/>
              </w:rPr>
              <w:t>平衡图</w:t>
            </w:r>
            <w:r>
              <w:rPr>
                <w:rFonts w:hint="eastAsia"/>
                <w:b/>
                <w:color w:val="auto"/>
                <w:szCs w:val="21"/>
                <w:lang w:val="en-US" w:eastAsia="zh-CN"/>
              </w:rPr>
              <w:t xml:space="preserve">  单位：t/a </w:t>
            </w:r>
          </w:p>
          <w:p w14:paraId="58C54F97">
            <w:pPr>
              <w:adjustRightInd w:val="0"/>
              <w:snapToGrid w:val="0"/>
              <w:jc w:val="center"/>
              <w:rPr>
                <w:color w:val="auto"/>
              </w:rPr>
            </w:pPr>
            <w:r>
              <w:rPr>
                <w:color w:val="auto"/>
              </w:rPr>
              <w:object>
                <v:shape id="_x0000_i1028" o:spt="75" type="#_x0000_t75" style="height:115.25pt;width:405.05pt;" o:ole="t" filled="f" o:preferrelative="t" stroked="f" coordsize="21600,21600">
                  <v:path/>
                  <v:fill on="f" focussize="0,0"/>
                  <v:stroke on="f"/>
                  <v:imagedata r:id="rId14" o:title=""/>
                  <o:lock v:ext="edit" aspectratio="f"/>
                  <w10:wrap type="none"/>
                  <w10:anchorlock/>
                </v:shape>
                <o:OLEObject Type="Embed" ProgID="Visio.Drawing.15" ShapeID="_x0000_i1028" DrawAspect="Content" ObjectID="_1468075728" r:id="rId13">
                  <o:LockedField>false</o:LockedField>
                </o:OLEObject>
              </w:object>
            </w:r>
          </w:p>
          <w:p w14:paraId="6515EED3">
            <w:pPr>
              <w:adjustRightInd w:val="0"/>
              <w:snapToGrid w:val="0"/>
              <w:jc w:val="center"/>
              <w:rPr>
                <w:b/>
                <w:color w:val="auto"/>
                <w:szCs w:val="21"/>
                <w:lang w:val="zh-CN"/>
              </w:rPr>
            </w:pPr>
            <w:r>
              <w:rPr>
                <w:b/>
                <w:color w:val="auto"/>
                <w:szCs w:val="21"/>
                <w:lang w:val="zh-CN"/>
              </w:rPr>
              <w:t>图2-</w:t>
            </w:r>
            <w:r>
              <w:rPr>
                <w:rFonts w:hint="eastAsia"/>
                <w:b/>
                <w:color w:val="auto"/>
                <w:szCs w:val="21"/>
              </w:rPr>
              <w:t>3</w:t>
            </w:r>
            <w:r>
              <w:rPr>
                <w:b/>
                <w:color w:val="auto"/>
                <w:szCs w:val="21"/>
                <w:lang w:val="zh-CN"/>
              </w:rPr>
              <w:t xml:space="preserve">  项目</w:t>
            </w:r>
            <w:r>
              <w:rPr>
                <w:b/>
                <w:color w:val="auto"/>
                <w:szCs w:val="21"/>
              </w:rPr>
              <w:t>氯</w:t>
            </w:r>
            <w:r>
              <w:rPr>
                <w:rFonts w:hint="eastAsia"/>
                <w:b/>
                <w:color w:val="auto"/>
                <w:szCs w:val="21"/>
                <w:lang w:val="en-US" w:eastAsia="zh-CN"/>
              </w:rPr>
              <w:t>元素</w:t>
            </w:r>
            <w:r>
              <w:rPr>
                <w:b/>
                <w:color w:val="auto"/>
                <w:szCs w:val="21"/>
                <w:lang w:val="zh-CN"/>
              </w:rPr>
              <w:t>平衡图</w:t>
            </w:r>
            <w:r>
              <w:rPr>
                <w:rFonts w:hint="eastAsia"/>
                <w:b/>
                <w:color w:val="auto"/>
                <w:szCs w:val="21"/>
                <w:lang w:val="en-US" w:eastAsia="zh-CN"/>
              </w:rPr>
              <w:t xml:space="preserve">  单位：t/a </w:t>
            </w:r>
          </w:p>
          <w:p w14:paraId="0E52DF9D">
            <w:pPr>
              <w:adjustRightInd w:val="0"/>
              <w:snapToGrid w:val="0"/>
              <w:spacing w:beforeLines="50" w:line="360" w:lineRule="auto"/>
              <w:rPr>
                <w:b/>
                <w:bCs/>
                <w:color w:val="auto"/>
                <w:sz w:val="24"/>
              </w:rPr>
            </w:pPr>
            <w:r>
              <w:rPr>
                <w:b/>
                <w:bCs/>
                <w:color w:val="auto"/>
                <w:sz w:val="24"/>
              </w:rPr>
              <w:t>2.1.8 劳动定员和生产天数</w:t>
            </w:r>
          </w:p>
          <w:p w14:paraId="08932C95">
            <w:pPr>
              <w:spacing w:line="360" w:lineRule="auto"/>
              <w:ind w:firstLine="480" w:firstLineChars="200"/>
              <w:rPr>
                <w:color w:val="auto"/>
                <w:sz w:val="24"/>
              </w:rPr>
            </w:pPr>
            <w:r>
              <w:rPr>
                <w:color w:val="auto"/>
                <w:sz w:val="24"/>
              </w:rPr>
              <w:t>（1）工作制度</w:t>
            </w:r>
          </w:p>
          <w:p w14:paraId="0AA4E26B">
            <w:pPr>
              <w:spacing w:line="360" w:lineRule="auto"/>
              <w:ind w:firstLine="480" w:firstLineChars="200"/>
              <w:rPr>
                <w:color w:val="auto"/>
                <w:sz w:val="24"/>
              </w:rPr>
            </w:pPr>
            <w:r>
              <w:rPr>
                <w:color w:val="auto"/>
                <w:sz w:val="24"/>
              </w:rPr>
              <w:t>全年工作日300天，</w:t>
            </w:r>
            <w:r>
              <w:rPr>
                <w:rFonts w:hint="eastAsia"/>
                <w:color w:val="auto"/>
                <w:sz w:val="24"/>
                <w:lang w:val="en-US" w:eastAsia="zh-CN"/>
              </w:rPr>
              <w:t>纯化工序</w:t>
            </w:r>
            <w:r>
              <w:rPr>
                <w:color w:val="auto"/>
                <w:sz w:val="24"/>
              </w:rPr>
              <w:t>四班三运转生产，每班工作8小时</w:t>
            </w:r>
            <w:r>
              <w:rPr>
                <w:rFonts w:hint="eastAsia"/>
                <w:color w:val="auto"/>
                <w:sz w:val="24"/>
                <w:lang w:eastAsia="zh-CN"/>
              </w:rPr>
              <w:t>，</w:t>
            </w:r>
            <w:r>
              <w:rPr>
                <w:rFonts w:hint="eastAsia"/>
                <w:color w:val="auto"/>
                <w:sz w:val="24"/>
                <w:lang w:val="en-US" w:eastAsia="zh-CN"/>
              </w:rPr>
              <w:t>其他为白班</w:t>
            </w:r>
            <w:r>
              <w:rPr>
                <w:color w:val="auto"/>
                <w:sz w:val="24"/>
              </w:rPr>
              <w:t>。</w:t>
            </w:r>
          </w:p>
          <w:p w14:paraId="67F7D311">
            <w:pPr>
              <w:spacing w:line="360" w:lineRule="auto"/>
              <w:ind w:firstLine="480" w:firstLineChars="200"/>
              <w:rPr>
                <w:color w:val="auto"/>
                <w:sz w:val="24"/>
              </w:rPr>
            </w:pPr>
            <w:r>
              <w:rPr>
                <w:color w:val="auto"/>
                <w:sz w:val="24"/>
              </w:rPr>
              <w:t>（2）劳动定员</w:t>
            </w:r>
          </w:p>
          <w:p w14:paraId="21953072">
            <w:pPr>
              <w:pStyle w:val="10"/>
              <w:widowControl w:val="0"/>
              <w:spacing w:line="360" w:lineRule="auto"/>
              <w:ind w:firstLine="480" w:firstLineChars="200"/>
              <w:rPr>
                <w:color w:val="auto"/>
                <w:kern w:val="2"/>
                <w:sz w:val="24"/>
                <w:szCs w:val="24"/>
              </w:rPr>
            </w:pPr>
            <w:r>
              <w:rPr>
                <w:color w:val="auto"/>
                <w:kern w:val="2"/>
                <w:sz w:val="24"/>
                <w:szCs w:val="24"/>
              </w:rPr>
              <w:t>本项目新增劳动定员3</w:t>
            </w:r>
            <w:r>
              <w:rPr>
                <w:rFonts w:hint="eastAsia"/>
                <w:color w:val="auto"/>
                <w:kern w:val="2"/>
                <w:sz w:val="24"/>
                <w:szCs w:val="24"/>
                <w:lang w:val="en-US" w:eastAsia="zh-CN"/>
              </w:rPr>
              <w:t>9</w:t>
            </w:r>
            <w:r>
              <w:rPr>
                <w:color w:val="auto"/>
                <w:kern w:val="2"/>
                <w:sz w:val="24"/>
                <w:szCs w:val="24"/>
              </w:rPr>
              <w:t>人，不设宿舍及食堂。</w:t>
            </w:r>
          </w:p>
          <w:p w14:paraId="0EFBC5F9">
            <w:pPr>
              <w:adjustRightInd w:val="0"/>
              <w:snapToGrid w:val="0"/>
              <w:spacing w:beforeLines="50" w:line="360" w:lineRule="auto"/>
              <w:rPr>
                <w:b/>
                <w:bCs/>
                <w:color w:val="auto"/>
                <w:sz w:val="24"/>
              </w:rPr>
            </w:pPr>
            <w:r>
              <w:rPr>
                <w:b/>
                <w:bCs/>
                <w:color w:val="auto"/>
                <w:sz w:val="24"/>
              </w:rPr>
              <w:t>2.1.9 厂区平面布置</w:t>
            </w:r>
          </w:p>
          <w:p w14:paraId="1197E779">
            <w:pPr>
              <w:adjustRightInd w:val="0"/>
              <w:snapToGrid w:val="0"/>
              <w:spacing w:line="360" w:lineRule="auto"/>
              <w:ind w:firstLine="480" w:firstLineChars="200"/>
              <w:rPr>
                <w:color w:val="auto"/>
                <w:sz w:val="24"/>
              </w:rPr>
            </w:pPr>
            <w:r>
              <w:rPr>
                <w:color w:val="auto"/>
                <w:sz w:val="24"/>
              </w:rPr>
              <w:t>本项目</w:t>
            </w:r>
            <w:r>
              <w:rPr>
                <w:color w:val="auto"/>
                <w:kern w:val="0"/>
                <w:sz w:val="24"/>
              </w:rPr>
              <w:t>租用闲置厂房</w:t>
            </w:r>
            <w:r>
              <w:rPr>
                <w:rFonts w:hint="eastAsia"/>
                <w:color w:val="auto"/>
                <w:kern w:val="0"/>
                <w:sz w:val="24"/>
              </w:rPr>
              <w:t>，生产车间</w:t>
            </w:r>
            <w:r>
              <w:rPr>
                <w:rFonts w:hint="eastAsia"/>
                <w:color w:val="auto"/>
                <w:kern w:val="0"/>
                <w:sz w:val="24"/>
                <w:lang w:val="en-US" w:eastAsia="zh-CN"/>
              </w:rPr>
              <w:t>北侧</w:t>
            </w:r>
            <w:r>
              <w:rPr>
                <w:rFonts w:hint="eastAsia"/>
                <w:color w:val="auto"/>
                <w:kern w:val="0"/>
                <w:sz w:val="24"/>
              </w:rPr>
              <w:t>由西往东依次为</w:t>
            </w:r>
            <w:r>
              <w:rPr>
                <w:rFonts w:hint="eastAsia"/>
                <w:color w:val="auto"/>
                <w:kern w:val="0"/>
                <w:sz w:val="24"/>
                <w:lang w:val="en-US" w:eastAsia="zh-CN"/>
              </w:rPr>
              <w:t>污水站、纯水制备、水洗、磁选、纯化、成品区，南侧由西往东依次为烤砂冷却、罐区、酸洗、浮洗、制砂、焙烧、原料区。危废仓库设置在西北侧</w:t>
            </w:r>
            <w:r>
              <w:rPr>
                <w:color w:val="auto"/>
                <w:sz w:val="24"/>
              </w:rPr>
              <w:t>。项目所处位置详见附图2，具体平面布置见附图4。</w:t>
            </w:r>
          </w:p>
        </w:tc>
      </w:tr>
      <w:tr w14:paraId="0C8946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3" w:hRule="atLeast"/>
          <w:jc w:val="center"/>
        </w:trPr>
        <w:tc>
          <w:tcPr>
            <w:tcW w:w="797" w:type="dxa"/>
            <w:vAlign w:val="center"/>
          </w:tcPr>
          <w:p w14:paraId="65C2C43B">
            <w:pPr>
              <w:pStyle w:val="29"/>
              <w:widowControl w:val="0"/>
              <w:adjustRightInd w:val="0"/>
              <w:snapToGrid w:val="0"/>
              <w:spacing w:before="0" w:beforeAutospacing="0" w:after="0" w:afterAutospacing="0"/>
              <w:jc w:val="center"/>
              <w:rPr>
                <w:rFonts w:ascii="Times New Roman" w:hAnsi="Times New Roman"/>
                <w:color w:val="auto"/>
                <w:szCs w:val="24"/>
              </w:rPr>
            </w:pPr>
            <w:r>
              <w:rPr>
                <w:rFonts w:ascii="Times New Roman" w:hAnsi="Times New Roman"/>
                <w:color w:val="auto"/>
                <w:szCs w:val="24"/>
              </w:rPr>
              <w:t>工艺流程和产排污环节</w:t>
            </w:r>
          </w:p>
        </w:tc>
        <w:tc>
          <w:tcPr>
            <w:tcW w:w="8264" w:type="dxa"/>
          </w:tcPr>
          <w:p w14:paraId="286064CA">
            <w:pPr>
              <w:pStyle w:val="91"/>
              <w:snapToGrid w:val="0"/>
              <w:spacing w:line="360" w:lineRule="auto"/>
              <w:jc w:val="both"/>
              <w:rPr>
                <w:rFonts w:ascii="Times New Roman" w:cs="Times New Roman"/>
                <w:b/>
                <w:color w:val="auto"/>
              </w:rPr>
            </w:pPr>
            <w:r>
              <w:rPr>
                <w:rFonts w:ascii="Times New Roman" w:cs="Times New Roman"/>
                <w:b/>
                <w:bCs/>
                <w:color w:val="auto"/>
              </w:rPr>
              <w:t>2.1.10</w:t>
            </w:r>
            <w:r>
              <w:rPr>
                <w:rFonts w:ascii="Times New Roman" w:cs="Times New Roman"/>
                <w:b/>
                <w:color w:val="auto"/>
              </w:rPr>
              <w:t>工艺流程及产污环节</w:t>
            </w:r>
          </w:p>
          <w:p w14:paraId="0D3EEBC5">
            <w:pPr>
              <w:adjustRightInd w:val="0"/>
              <w:snapToGrid w:val="0"/>
              <w:spacing w:line="360" w:lineRule="auto"/>
              <w:ind w:firstLine="480" w:firstLineChars="200"/>
              <w:rPr>
                <w:color w:val="auto"/>
                <w:sz w:val="24"/>
              </w:rPr>
            </w:pPr>
            <w:r>
              <w:rPr>
                <w:color w:val="auto"/>
                <w:sz w:val="24"/>
              </w:rPr>
              <w:t>本项目生产工艺流程及产污环节见</w:t>
            </w:r>
            <w:r>
              <w:rPr>
                <w:rFonts w:hint="eastAsia"/>
                <w:color w:val="auto"/>
                <w:sz w:val="24"/>
              </w:rPr>
              <w:t>下图</w:t>
            </w:r>
            <w:r>
              <w:rPr>
                <w:color w:val="auto"/>
                <w:sz w:val="24"/>
              </w:rPr>
              <w:t>。</w:t>
            </w:r>
          </w:p>
          <w:p w14:paraId="57A5CBE8">
            <w:pPr>
              <w:adjustRightInd w:val="0"/>
              <w:snapToGrid w:val="0"/>
              <w:spacing w:line="360" w:lineRule="auto"/>
              <w:ind w:firstLine="480" w:firstLineChars="200"/>
              <w:rPr>
                <w:color w:val="auto"/>
                <w:sz w:val="24"/>
              </w:rPr>
            </w:pPr>
          </w:p>
          <w:p w14:paraId="098FA843">
            <w:pPr>
              <w:pStyle w:val="8"/>
              <w:rPr>
                <w:b/>
                <w:bCs/>
                <w:color w:val="auto"/>
                <w:sz w:val="24"/>
              </w:rPr>
            </w:pPr>
          </w:p>
          <w:p w14:paraId="7BDF672F">
            <w:pPr>
              <w:rPr>
                <w:b/>
                <w:bCs/>
                <w:color w:val="auto"/>
                <w:sz w:val="24"/>
              </w:rPr>
            </w:pPr>
          </w:p>
          <w:p w14:paraId="617309D5">
            <w:pPr>
              <w:rPr>
                <w:b/>
                <w:bCs/>
                <w:color w:val="auto"/>
                <w:sz w:val="24"/>
              </w:rPr>
            </w:pPr>
          </w:p>
          <w:p w14:paraId="35D644E4">
            <w:pPr>
              <w:pStyle w:val="9"/>
              <w:rPr>
                <w:color w:val="auto"/>
              </w:rPr>
            </w:pPr>
          </w:p>
          <w:p w14:paraId="2CFDA273">
            <w:pPr>
              <w:pStyle w:val="8"/>
              <w:rPr>
                <w:b/>
                <w:bCs/>
                <w:color w:val="auto"/>
                <w:sz w:val="24"/>
              </w:rPr>
            </w:pPr>
          </w:p>
          <w:p w14:paraId="701953F3">
            <w:pPr>
              <w:pStyle w:val="8"/>
              <w:rPr>
                <w:b/>
                <w:bCs/>
                <w:color w:val="auto"/>
                <w:sz w:val="24"/>
              </w:rPr>
            </w:pPr>
          </w:p>
          <w:p w14:paraId="7C607366">
            <w:pPr>
              <w:rPr>
                <w:b/>
                <w:bCs/>
                <w:color w:val="auto"/>
                <w:sz w:val="24"/>
              </w:rPr>
            </w:pPr>
          </w:p>
          <w:p w14:paraId="6CC11377">
            <w:pPr>
              <w:rPr>
                <w:b/>
                <w:bCs/>
                <w:color w:val="auto"/>
                <w:sz w:val="24"/>
              </w:rPr>
            </w:pPr>
          </w:p>
          <w:p w14:paraId="41446731">
            <w:pPr>
              <w:pStyle w:val="9"/>
              <w:rPr>
                <w:color w:val="auto"/>
              </w:rPr>
            </w:pPr>
          </w:p>
          <w:p w14:paraId="1635FD2B">
            <w:pPr>
              <w:pStyle w:val="8"/>
              <w:rPr>
                <w:b/>
                <w:bCs/>
                <w:color w:val="auto"/>
                <w:sz w:val="24"/>
              </w:rPr>
            </w:pPr>
          </w:p>
          <w:p w14:paraId="4A2DD040">
            <w:pPr>
              <w:adjustRightInd w:val="0"/>
              <w:snapToGrid w:val="0"/>
              <w:spacing w:line="360" w:lineRule="auto"/>
              <w:ind w:firstLine="480" w:firstLineChars="200"/>
              <w:rPr>
                <w:color w:val="auto"/>
                <w:sz w:val="24"/>
              </w:rPr>
            </w:pPr>
          </w:p>
          <w:p w14:paraId="34145796">
            <w:pPr>
              <w:adjustRightInd w:val="0"/>
              <w:snapToGrid w:val="0"/>
              <w:spacing w:line="360" w:lineRule="auto"/>
              <w:jc w:val="center"/>
              <w:rPr>
                <w:color w:val="auto"/>
              </w:rPr>
            </w:pPr>
            <w:r>
              <w:rPr>
                <w:color w:val="auto"/>
              </w:rPr>
              <w:object>
                <v:shape id="_x0000_i1029" o:spt="75" type="#_x0000_t75" style="height:384.3pt;width:399.65pt;" o:ole="t" filled="f" o:preferrelative="t" stroked="f" coordsize="21600,21600">
                  <v:path/>
                  <v:fill on="f" focussize="0,0"/>
                  <v:stroke on="f"/>
                  <v:imagedata r:id="rId16" o:title=""/>
                  <o:lock v:ext="edit" aspectratio="t"/>
                  <w10:wrap type="none"/>
                  <w10:anchorlock/>
                </v:shape>
                <o:OLEObject Type="Embed" ProgID="Visio.Drawing.11" ShapeID="_x0000_i1029" DrawAspect="Content" ObjectID="_1468075729" r:id="rId15">
                  <o:LockedField>false</o:LockedField>
                </o:OLEObject>
              </w:object>
            </w:r>
          </w:p>
          <w:p w14:paraId="47AE0F59">
            <w:pPr>
              <w:adjustRightInd w:val="0"/>
              <w:snapToGrid w:val="0"/>
              <w:spacing w:line="360" w:lineRule="auto"/>
              <w:jc w:val="center"/>
              <w:rPr>
                <w:b/>
                <w:color w:val="auto"/>
                <w:szCs w:val="21"/>
              </w:rPr>
            </w:pPr>
            <w:r>
              <w:rPr>
                <w:b/>
                <w:color w:val="auto"/>
                <w:szCs w:val="21"/>
              </w:rPr>
              <w:t>图2-</w:t>
            </w:r>
            <w:r>
              <w:rPr>
                <w:rFonts w:hint="eastAsia"/>
                <w:b/>
                <w:color w:val="auto"/>
                <w:szCs w:val="21"/>
                <w:lang w:val="en-US" w:eastAsia="zh-CN"/>
              </w:rPr>
              <w:t xml:space="preserve">4 </w:t>
            </w:r>
            <w:r>
              <w:rPr>
                <w:b/>
                <w:color w:val="auto"/>
                <w:szCs w:val="21"/>
              </w:rPr>
              <w:t xml:space="preserve"> 石英砂生产线生产工艺和产污环节图</w:t>
            </w:r>
          </w:p>
          <w:p w14:paraId="71BE4814">
            <w:pPr>
              <w:pStyle w:val="29"/>
              <w:widowControl w:val="0"/>
              <w:wordWrap w:val="0"/>
              <w:adjustRightInd w:val="0"/>
              <w:snapToGrid w:val="0"/>
              <w:spacing w:before="0" w:beforeAutospacing="0" w:after="0" w:afterAutospacing="0" w:line="360" w:lineRule="auto"/>
              <w:ind w:firstLine="482" w:firstLineChars="200"/>
              <w:rPr>
                <w:rFonts w:ascii="Times New Roman" w:hAnsi="Times New Roman"/>
                <w:b/>
                <w:color w:val="auto"/>
                <w:szCs w:val="24"/>
              </w:rPr>
            </w:pPr>
            <w:r>
              <w:rPr>
                <w:rFonts w:ascii="Times New Roman" w:hAnsi="Times New Roman"/>
                <w:b/>
                <w:bCs/>
                <w:color w:val="auto"/>
                <w:szCs w:val="24"/>
              </w:rPr>
              <w:t>项目</w:t>
            </w:r>
            <w:r>
              <w:rPr>
                <w:rFonts w:ascii="Times New Roman" w:hAnsi="Times New Roman"/>
                <w:b/>
                <w:color w:val="auto"/>
                <w:szCs w:val="24"/>
              </w:rPr>
              <w:t>生产工艺简要说明：</w:t>
            </w:r>
          </w:p>
          <w:p w14:paraId="4DD39364">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rPr>
              <w:t>1）破</w:t>
            </w:r>
            <w:r>
              <w:rPr>
                <w:rFonts w:hint="default" w:ascii="Times New Roman" w:hAnsi="Times New Roman" w:eastAsia="宋体" w:cs="Times New Roman"/>
                <w:b/>
                <w:bCs/>
                <w:color w:val="auto"/>
                <w:sz w:val="24"/>
                <w:szCs w:val="24"/>
                <w:highlight w:val="none"/>
              </w:rPr>
              <w:t>碎</w:t>
            </w:r>
            <w:r>
              <w:rPr>
                <w:rFonts w:hint="eastAsia" w:cs="Times New Roman"/>
                <w:b/>
                <w:bCs/>
                <w:color w:val="auto"/>
                <w:sz w:val="24"/>
                <w:szCs w:val="24"/>
                <w:highlight w:val="none"/>
                <w:lang w:val="en-US" w:eastAsia="zh-CN"/>
              </w:rPr>
              <w:t>/挑选</w:t>
            </w:r>
          </w:p>
          <w:p w14:paraId="48CA35E6">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项目外购石英石</w:t>
            </w:r>
            <w:r>
              <w:rPr>
                <w:rFonts w:hint="eastAsia" w:cs="Times New Roman"/>
                <w:color w:val="auto"/>
                <w:sz w:val="24"/>
                <w:szCs w:val="24"/>
                <w:highlight w:val="none"/>
                <w:lang w:val="en-US" w:eastAsia="zh-CN"/>
              </w:rPr>
              <w:t>粒径约3cm</w:t>
            </w:r>
            <w:r>
              <w:rPr>
                <w:rFonts w:hint="default" w:ascii="Times New Roman" w:hAnsi="Times New Roman" w:eastAsia="宋体" w:cs="Times New Roman"/>
                <w:color w:val="auto"/>
                <w:sz w:val="24"/>
                <w:szCs w:val="24"/>
                <w:highlight w:val="none"/>
              </w:rPr>
              <w:t>入厂，铲车将石英石运至破碎间临时堆放处，</w:t>
            </w:r>
            <w:r>
              <w:rPr>
                <w:rFonts w:hint="eastAsia" w:cs="Times New Roman"/>
                <w:color w:val="auto"/>
                <w:sz w:val="24"/>
                <w:szCs w:val="24"/>
                <w:highlight w:val="none"/>
                <w:lang w:val="en-US" w:eastAsia="zh-CN"/>
              </w:rPr>
              <w:t>经人工挑选后，粒径超过3cm的部分进入破碎，该部分约占总原料量的3%，</w:t>
            </w:r>
            <w:r>
              <w:rPr>
                <w:rFonts w:hint="default" w:ascii="Times New Roman" w:hAnsi="Times New Roman" w:eastAsia="宋体" w:cs="Times New Roman"/>
                <w:color w:val="auto"/>
                <w:sz w:val="24"/>
                <w:szCs w:val="24"/>
                <w:highlight w:val="none"/>
              </w:rPr>
              <w:t>经振动给料机连续送入颚破机，破碎至2-3cm。</w:t>
            </w:r>
          </w:p>
          <w:p w14:paraId="108298D7">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产污分析：破碎工序的投料、破碎及转运过程产生粉尘G1，颚破机等设备上方布置集气罩，粉尘经集气罩收集后进入袋式除尘器，处理后经DA001排气筒排放。</w:t>
            </w:r>
          </w:p>
          <w:p w14:paraId="208499BA">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）焙烧</w:t>
            </w:r>
          </w:p>
          <w:p w14:paraId="1A0A3AB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破碎后的石英砂通过密闭输送带运送至高温焙烧炉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密闭装置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，焙烧炉包含滑槽、石英加热管、旋转机构等系统，石英砂经滑槽送至旋转的石英管内高频电加热，加热温度1000℃左右，采用电加热。</w:t>
            </w:r>
          </w:p>
          <w:p w14:paraId="49FBE743">
            <w:pPr>
              <w:widowControl/>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焙烧原理：</w:t>
            </w:r>
            <w:r>
              <w:rPr>
                <w:rFonts w:hint="default" w:ascii="Times New Roman" w:hAnsi="Times New Roman" w:eastAsia="宋体" w:cs="Times New Roman"/>
                <w:color w:val="auto"/>
                <w:sz w:val="24"/>
                <w:szCs w:val="24"/>
                <w:highlight w:val="none"/>
              </w:rPr>
              <w:t>采用电加热焙烧工艺，使石英砂加热至1000℃（石英砂的熔化温度为1400℃）。高温焙烧使石英晶体膨胀，晶体表面和内部会产生大量裂纹。裂纹通常出现在界面处以及晶体结构的缺陷处，通过改变焙烧的温度和时间，使包裹体爆裂，其内部的杂质迁移至表面，利于酸洗和浮洗再次去除杂质</w:t>
            </w:r>
            <w:r>
              <w:rPr>
                <w:rFonts w:hint="default" w:ascii="Times New Roman" w:hAnsi="Times New Roman" w:eastAsia="宋体" w:cs="Times New Roman"/>
                <w:b w:val="0"/>
                <w:bCs w:val="0"/>
                <w:color w:val="auto"/>
                <w:sz w:val="24"/>
                <w:szCs w:val="24"/>
                <w:highlight w:val="none"/>
                <w:u w:val="none"/>
              </w:rPr>
              <w:t>。</w:t>
            </w:r>
            <w:r>
              <w:rPr>
                <w:rFonts w:hint="default" w:ascii="Times New Roman" w:hAnsi="Times New Roman" w:eastAsia="宋体" w:cs="Times New Roman"/>
                <w:b w:val="0"/>
                <w:bCs w:val="0"/>
                <w:color w:val="auto"/>
                <w:kern w:val="0"/>
                <w:sz w:val="24"/>
                <w:szCs w:val="24"/>
                <w:highlight w:val="none"/>
                <w:u w:val="none"/>
                <w:lang w:bidi="ar"/>
              </w:rPr>
              <w:t>原料石英石中含有</w:t>
            </w:r>
            <w:r>
              <w:rPr>
                <w:rFonts w:hint="default" w:ascii="Times New Roman" w:hAnsi="Times New Roman" w:eastAsia="宋体" w:cs="Times New Roman"/>
                <w:b w:val="0"/>
                <w:bCs w:val="0"/>
                <w:color w:val="auto"/>
                <w:kern w:val="0"/>
                <w:sz w:val="24"/>
                <w:szCs w:val="24"/>
                <w:highlight w:val="none"/>
                <w:u w:val="none"/>
                <w:lang w:eastAsia="zh-CN" w:bidi="ar"/>
              </w:rPr>
              <w:t>的杂质主要为</w:t>
            </w:r>
            <w:r>
              <w:rPr>
                <w:rFonts w:hint="default" w:ascii="Times New Roman" w:hAnsi="Times New Roman" w:eastAsia="宋体" w:cs="Times New Roman"/>
                <w:b w:val="0"/>
                <w:bCs w:val="0"/>
                <w:color w:val="auto"/>
                <w:kern w:val="0"/>
                <w:sz w:val="24"/>
                <w:szCs w:val="24"/>
                <w:highlight w:val="none"/>
                <w:u w:val="none"/>
                <w:lang w:bidi="ar"/>
              </w:rPr>
              <w:t>Al</w:t>
            </w:r>
            <w:r>
              <w:rPr>
                <w:rFonts w:hint="default" w:ascii="Times New Roman" w:hAnsi="Times New Roman" w:eastAsia="宋体" w:cs="Times New Roman"/>
                <w:b w:val="0"/>
                <w:bCs w:val="0"/>
                <w:color w:val="auto"/>
                <w:kern w:val="0"/>
                <w:sz w:val="24"/>
                <w:szCs w:val="24"/>
                <w:highlight w:val="none"/>
                <w:u w:val="none"/>
                <w:vertAlign w:val="subscript"/>
                <w:lang w:bidi="ar"/>
              </w:rPr>
              <w:t>2</w:t>
            </w:r>
            <w:r>
              <w:rPr>
                <w:rFonts w:hint="default" w:ascii="Times New Roman" w:hAnsi="Times New Roman" w:eastAsia="宋体" w:cs="Times New Roman"/>
                <w:b w:val="0"/>
                <w:bCs w:val="0"/>
                <w:color w:val="auto"/>
                <w:kern w:val="0"/>
                <w:sz w:val="24"/>
                <w:szCs w:val="24"/>
                <w:highlight w:val="none"/>
                <w:u w:val="none"/>
                <w:lang w:bidi="ar"/>
              </w:rPr>
              <w:t>O</w:t>
            </w:r>
            <w:r>
              <w:rPr>
                <w:rFonts w:hint="default" w:ascii="Times New Roman" w:hAnsi="Times New Roman" w:eastAsia="宋体" w:cs="Times New Roman"/>
                <w:b w:val="0"/>
                <w:bCs w:val="0"/>
                <w:color w:val="auto"/>
                <w:kern w:val="0"/>
                <w:sz w:val="24"/>
                <w:szCs w:val="24"/>
                <w:highlight w:val="none"/>
                <w:u w:val="none"/>
                <w:vertAlign w:val="subscript"/>
                <w:lang w:bidi="ar"/>
              </w:rPr>
              <w:t>3</w:t>
            </w:r>
            <w:r>
              <w:rPr>
                <w:rFonts w:hint="default" w:ascii="Times New Roman" w:hAnsi="Times New Roman" w:eastAsia="宋体" w:cs="Times New Roman"/>
                <w:b w:val="0"/>
                <w:bCs w:val="0"/>
                <w:color w:val="auto"/>
                <w:kern w:val="0"/>
                <w:sz w:val="24"/>
                <w:szCs w:val="24"/>
                <w:highlight w:val="none"/>
                <w:u w:val="none"/>
                <w:lang w:bidi="ar"/>
              </w:rPr>
              <w:t>、Fe</w:t>
            </w:r>
            <w:r>
              <w:rPr>
                <w:rFonts w:hint="default" w:ascii="Times New Roman" w:hAnsi="Times New Roman" w:eastAsia="宋体" w:cs="Times New Roman"/>
                <w:b w:val="0"/>
                <w:bCs w:val="0"/>
                <w:color w:val="auto"/>
                <w:kern w:val="0"/>
                <w:sz w:val="24"/>
                <w:szCs w:val="24"/>
                <w:highlight w:val="none"/>
                <w:u w:val="none"/>
                <w:vertAlign w:val="subscript"/>
                <w:lang w:bidi="ar"/>
              </w:rPr>
              <w:t>2</w:t>
            </w:r>
            <w:r>
              <w:rPr>
                <w:rFonts w:hint="default" w:ascii="Times New Roman" w:hAnsi="Times New Roman" w:eastAsia="宋体" w:cs="Times New Roman"/>
                <w:b w:val="0"/>
                <w:bCs w:val="0"/>
                <w:color w:val="auto"/>
                <w:kern w:val="0"/>
                <w:sz w:val="24"/>
                <w:szCs w:val="24"/>
                <w:highlight w:val="none"/>
                <w:u w:val="none"/>
                <w:lang w:bidi="ar"/>
              </w:rPr>
              <w:t>O</w:t>
            </w:r>
            <w:r>
              <w:rPr>
                <w:rFonts w:hint="default" w:ascii="Times New Roman" w:hAnsi="Times New Roman" w:eastAsia="宋体" w:cs="Times New Roman"/>
                <w:b w:val="0"/>
                <w:bCs w:val="0"/>
                <w:color w:val="auto"/>
                <w:kern w:val="0"/>
                <w:sz w:val="24"/>
                <w:szCs w:val="24"/>
                <w:highlight w:val="none"/>
                <w:u w:val="none"/>
                <w:vertAlign w:val="subscript"/>
                <w:lang w:bidi="ar"/>
              </w:rPr>
              <w:t>3</w:t>
            </w:r>
            <w:r>
              <w:rPr>
                <w:rFonts w:hint="default" w:ascii="Times New Roman" w:hAnsi="Times New Roman" w:eastAsia="宋体" w:cs="Times New Roman"/>
                <w:b w:val="0"/>
                <w:bCs w:val="0"/>
                <w:color w:val="auto"/>
                <w:kern w:val="0"/>
                <w:sz w:val="24"/>
                <w:szCs w:val="24"/>
                <w:highlight w:val="none"/>
                <w:u w:val="none"/>
                <w:lang w:bidi="ar"/>
              </w:rPr>
              <w:t>、CaO、其余成分含量均小于0.01%。Al</w:t>
            </w:r>
            <w:r>
              <w:rPr>
                <w:rFonts w:hint="default" w:ascii="Times New Roman" w:hAnsi="Times New Roman" w:eastAsia="宋体" w:cs="Times New Roman"/>
                <w:b w:val="0"/>
                <w:bCs w:val="0"/>
                <w:color w:val="auto"/>
                <w:kern w:val="0"/>
                <w:sz w:val="24"/>
                <w:szCs w:val="24"/>
                <w:highlight w:val="none"/>
                <w:u w:val="none"/>
                <w:vertAlign w:val="subscript"/>
                <w:lang w:bidi="ar"/>
              </w:rPr>
              <w:t>2</w:t>
            </w:r>
            <w:r>
              <w:rPr>
                <w:rFonts w:hint="default" w:ascii="Times New Roman" w:hAnsi="Times New Roman" w:eastAsia="宋体" w:cs="Times New Roman"/>
                <w:b w:val="0"/>
                <w:bCs w:val="0"/>
                <w:color w:val="auto"/>
                <w:kern w:val="0"/>
                <w:sz w:val="24"/>
                <w:szCs w:val="24"/>
                <w:highlight w:val="none"/>
                <w:u w:val="none"/>
                <w:lang w:bidi="ar"/>
              </w:rPr>
              <w:t>O</w:t>
            </w:r>
            <w:r>
              <w:rPr>
                <w:rFonts w:hint="default" w:ascii="Times New Roman" w:hAnsi="Times New Roman" w:eastAsia="宋体" w:cs="Times New Roman"/>
                <w:b w:val="0"/>
                <w:bCs w:val="0"/>
                <w:color w:val="auto"/>
                <w:kern w:val="0"/>
                <w:sz w:val="24"/>
                <w:szCs w:val="24"/>
                <w:highlight w:val="none"/>
                <w:u w:val="none"/>
                <w:vertAlign w:val="subscript"/>
                <w:lang w:bidi="ar"/>
              </w:rPr>
              <w:t>3</w:t>
            </w:r>
            <w:r>
              <w:rPr>
                <w:rFonts w:hint="default" w:ascii="Times New Roman" w:hAnsi="Times New Roman" w:eastAsia="宋体" w:cs="Times New Roman"/>
                <w:b w:val="0"/>
                <w:bCs w:val="0"/>
                <w:color w:val="auto"/>
                <w:kern w:val="0"/>
                <w:sz w:val="24"/>
                <w:szCs w:val="24"/>
                <w:highlight w:val="none"/>
                <w:u w:val="none"/>
                <w:lang w:bidi="ar"/>
              </w:rPr>
              <w:t>熔点为2040℃、Fe</w:t>
            </w:r>
            <w:r>
              <w:rPr>
                <w:rFonts w:hint="default" w:ascii="Times New Roman" w:hAnsi="Times New Roman" w:eastAsia="宋体" w:cs="Times New Roman"/>
                <w:b w:val="0"/>
                <w:bCs w:val="0"/>
                <w:color w:val="auto"/>
                <w:kern w:val="0"/>
                <w:sz w:val="24"/>
                <w:szCs w:val="24"/>
                <w:highlight w:val="none"/>
                <w:u w:val="none"/>
                <w:vertAlign w:val="subscript"/>
                <w:lang w:bidi="ar"/>
              </w:rPr>
              <w:t>2</w:t>
            </w:r>
            <w:r>
              <w:rPr>
                <w:rFonts w:hint="default" w:ascii="Times New Roman" w:hAnsi="Times New Roman" w:eastAsia="宋体" w:cs="Times New Roman"/>
                <w:b w:val="0"/>
                <w:bCs w:val="0"/>
                <w:color w:val="auto"/>
                <w:kern w:val="0"/>
                <w:sz w:val="24"/>
                <w:szCs w:val="24"/>
                <w:highlight w:val="none"/>
                <w:u w:val="none"/>
                <w:lang w:bidi="ar"/>
              </w:rPr>
              <w:t>O</w:t>
            </w:r>
            <w:r>
              <w:rPr>
                <w:rFonts w:hint="default" w:ascii="Times New Roman" w:hAnsi="Times New Roman" w:eastAsia="宋体" w:cs="Times New Roman"/>
                <w:b w:val="0"/>
                <w:bCs w:val="0"/>
                <w:color w:val="auto"/>
                <w:kern w:val="0"/>
                <w:sz w:val="24"/>
                <w:szCs w:val="24"/>
                <w:highlight w:val="none"/>
                <w:u w:val="none"/>
                <w:vertAlign w:val="subscript"/>
                <w:lang w:bidi="ar"/>
              </w:rPr>
              <w:t>3</w:t>
            </w:r>
            <w:r>
              <w:rPr>
                <w:rFonts w:hint="default" w:ascii="Times New Roman" w:hAnsi="Times New Roman" w:eastAsia="宋体" w:cs="Times New Roman"/>
                <w:b w:val="0"/>
                <w:bCs w:val="0"/>
                <w:color w:val="auto"/>
                <w:kern w:val="0"/>
                <w:sz w:val="24"/>
                <w:szCs w:val="24"/>
                <w:highlight w:val="none"/>
                <w:u w:val="none"/>
                <w:lang w:bidi="ar"/>
              </w:rPr>
              <w:t>熔点为1538℃、CaO熔点为2570℃。焙烧过程最高温度1</w:t>
            </w:r>
            <w:r>
              <w:rPr>
                <w:rFonts w:hint="default" w:ascii="Times New Roman" w:hAnsi="Times New Roman" w:eastAsia="宋体" w:cs="Times New Roman"/>
                <w:b w:val="0"/>
                <w:bCs w:val="0"/>
                <w:color w:val="auto"/>
                <w:kern w:val="0"/>
                <w:sz w:val="24"/>
                <w:szCs w:val="24"/>
                <w:highlight w:val="none"/>
                <w:u w:val="none"/>
                <w:lang w:val="en-US" w:eastAsia="zh-CN" w:bidi="ar"/>
              </w:rPr>
              <w:t>0</w:t>
            </w:r>
            <w:r>
              <w:rPr>
                <w:rFonts w:hint="default" w:ascii="Times New Roman" w:hAnsi="Times New Roman" w:eastAsia="宋体" w:cs="Times New Roman"/>
                <w:b w:val="0"/>
                <w:bCs w:val="0"/>
                <w:color w:val="auto"/>
                <w:kern w:val="0"/>
                <w:sz w:val="24"/>
                <w:szCs w:val="24"/>
                <w:highlight w:val="none"/>
                <w:u w:val="none"/>
                <w:lang w:bidi="ar"/>
              </w:rPr>
              <w:t>00℃，未达到</w:t>
            </w:r>
            <w:r>
              <w:rPr>
                <w:rFonts w:hint="default" w:ascii="Times New Roman" w:hAnsi="Times New Roman" w:eastAsia="宋体" w:cs="Times New Roman"/>
                <w:b w:val="0"/>
                <w:bCs w:val="0"/>
                <w:color w:val="auto"/>
                <w:kern w:val="0"/>
                <w:sz w:val="24"/>
                <w:szCs w:val="24"/>
                <w:highlight w:val="none"/>
                <w:u w:val="none"/>
                <w:lang w:val="en-US" w:eastAsia="zh-CN" w:bidi="ar"/>
              </w:rPr>
              <w:t>大部分杂质</w:t>
            </w:r>
            <w:r>
              <w:rPr>
                <w:rFonts w:hint="default" w:ascii="Times New Roman" w:hAnsi="Times New Roman" w:eastAsia="宋体" w:cs="Times New Roman"/>
                <w:b w:val="0"/>
                <w:bCs w:val="0"/>
                <w:color w:val="auto"/>
                <w:kern w:val="0"/>
                <w:sz w:val="24"/>
                <w:szCs w:val="24"/>
                <w:highlight w:val="none"/>
                <w:u w:val="none"/>
                <w:lang w:bidi="ar"/>
              </w:rPr>
              <w:t>的熔点</w:t>
            </w:r>
            <w:r>
              <w:rPr>
                <w:rFonts w:hint="default" w:ascii="Times New Roman" w:hAnsi="Times New Roman" w:eastAsia="宋体" w:cs="Times New Roman"/>
                <w:b w:val="0"/>
                <w:bCs w:val="0"/>
                <w:color w:val="auto"/>
                <w:kern w:val="0"/>
                <w:sz w:val="24"/>
                <w:szCs w:val="24"/>
                <w:highlight w:val="none"/>
                <w:u w:val="none"/>
                <w:lang w:eastAsia="zh-CN" w:bidi="ar"/>
              </w:rPr>
              <w:t>，</w:t>
            </w:r>
            <w:r>
              <w:rPr>
                <w:rFonts w:hint="default" w:ascii="Times New Roman" w:hAnsi="Times New Roman" w:eastAsia="宋体" w:cs="Times New Roman"/>
                <w:b w:val="0"/>
                <w:bCs w:val="0"/>
                <w:color w:val="auto"/>
                <w:kern w:val="0"/>
                <w:sz w:val="24"/>
                <w:szCs w:val="24"/>
                <w:highlight w:val="none"/>
                <w:u w:val="none"/>
                <w:lang w:bidi="ar"/>
              </w:rPr>
              <w:t>焙烧过程中废气产生</w:t>
            </w:r>
            <w:r>
              <w:rPr>
                <w:rFonts w:hint="default" w:ascii="Times New Roman" w:hAnsi="Times New Roman" w:eastAsia="宋体" w:cs="Times New Roman"/>
                <w:b w:val="0"/>
                <w:bCs w:val="0"/>
                <w:color w:val="auto"/>
                <w:kern w:val="0"/>
                <w:sz w:val="24"/>
                <w:szCs w:val="24"/>
                <w:highlight w:val="none"/>
                <w:u w:val="none"/>
                <w:lang w:val="en-US" w:eastAsia="zh-CN" w:bidi="ar"/>
              </w:rPr>
              <w:t>量较小</w:t>
            </w:r>
            <w:r>
              <w:rPr>
                <w:rFonts w:hint="default" w:ascii="Times New Roman" w:hAnsi="Times New Roman" w:eastAsia="宋体" w:cs="Times New Roman"/>
                <w:b w:val="0"/>
                <w:bCs w:val="0"/>
                <w:color w:val="auto"/>
                <w:kern w:val="0"/>
                <w:sz w:val="24"/>
                <w:szCs w:val="24"/>
                <w:highlight w:val="none"/>
                <w:u w:val="none"/>
                <w:lang w:bidi="ar"/>
              </w:rPr>
              <w:t>。</w:t>
            </w:r>
          </w:p>
          <w:p w14:paraId="5F3B6650">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产污分析：</w:t>
            </w:r>
            <w:r>
              <w:rPr>
                <w:rFonts w:hint="default" w:ascii="Times New Roman" w:hAnsi="Times New Roman" w:eastAsia="宋体" w:cs="Times New Roman"/>
                <w:b/>
                <w:bCs/>
                <w:color w:val="auto"/>
                <w:sz w:val="24"/>
                <w:szCs w:val="24"/>
                <w:highlight w:val="none"/>
                <w:lang w:val="en-US" w:eastAsia="zh-CN"/>
              </w:rPr>
              <w:t>焙烧出口产生的粉尘</w:t>
            </w:r>
            <w:r>
              <w:rPr>
                <w:rFonts w:hint="eastAsia" w:cs="Times New Roman"/>
                <w:b/>
                <w:bCs/>
                <w:color w:val="auto"/>
                <w:sz w:val="24"/>
                <w:szCs w:val="24"/>
                <w:highlight w:val="none"/>
                <w:lang w:val="en-US" w:eastAsia="zh-CN"/>
              </w:rPr>
              <w:t>G2</w:t>
            </w:r>
            <w:r>
              <w:rPr>
                <w:rFonts w:hint="default" w:ascii="Times New Roman" w:hAnsi="Times New Roman" w:eastAsia="宋体" w:cs="Times New Roman"/>
                <w:b/>
                <w:bCs/>
                <w:color w:val="auto"/>
                <w:sz w:val="24"/>
                <w:szCs w:val="24"/>
                <w:highlight w:val="none"/>
                <w:lang w:val="en-US" w:eastAsia="zh-CN"/>
              </w:rPr>
              <w:t>（主要为少部分低沸点的金属氧化物）经集气罩收集后</w:t>
            </w:r>
            <w:r>
              <w:rPr>
                <w:rFonts w:hint="default" w:ascii="Times New Roman" w:hAnsi="Times New Roman" w:eastAsia="宋体" w:cs="Times New Roman"/>
                <w:b/>
                <w:bCs/>
                <w:color w:val="auto"/>
                <w:sz w:val="24"/>
                <w:szCs w:val="24"/>
                <w:highlight w:val="none"/>
              </w:rPr>
              <w:t>进入</w:t>
            </w:r>
            <w:r>
              <w:rPr>
                <w:rFonts w:hint="eastAsia" w:cs="Times New Roman"/>
                <w:b/>
                <w:bCs/>
                <w:color w:val="auto"/>
                <w:sz w:val="24"/>
                <w:szCs w:val="24"/>
                <w:highlight w:val="none"/>
                <w:lang w:val="en-US" w:eastAsia="zh-CN"/>
              </w:rPr>
              <w:t>水喷淋装置</w:t>
            </w:r>
            <w:r>
              <w:rPr>
                <w:rFonts w:hint="default" w:ascii="Times New Roman" w:hAnsi="Times New Roman" w:eastAsia="宋体" w:cs="Times New Roman"/>
                <w:b/>
                <w:bCs/>
                <w:color w:val="auto"/>
                <w:sz w:val="24"/>
                <w:szCs w:val="24"/>
                <w:highlight w:val="none"/>
              </w:rPr>
              <w:t>，处理后经DA00</w:t>
            </w: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排气筒排放</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排放</w:t>
            </w:r>
            <w:r>
              <w:rPr>
                <w:rFonts w:hint="default" w:ascii="Times New Roman" w:hAnsi="Times New Roman" w:eastAsia="宋体" w:cs="Times New Roman"/>
                <w:b/>
                <w:bCs/>
                <w:color w:val="auto"/>
                <w:sz w:val="24"/>
                <w:szCs w:val="24"/>
                <w:highlight w:val="none"/>
              </w:rPr>
              <w:t>量较少，本报告不定量</w:t>
            </w:r>
            <w:r>
              <w:rPr>
                <w:rFonts w:hint="default" w:ascii="Times New Roman" w:hAnsi="Times New Roman" w:eastAsia="宋体" w:cs="Times New Roman"/>
                <w:b/>
                <w:bCs/>
                <w:color w:val="auto"/>
                <w:sz w:val="24"/>
                <w:szCs w:val="24"/>
                <w:highlight w:val="none"/>
                <w:lang w:eastAsia="zh-CN"/>
              </w:rPr>
              <w:t>。</w:t>
            </w:r>
          </w:p>
          <w:p w14:paraId="1789AB3D">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）水淬</w:t>
            </w:r>
          </w:p>
          <w:p w14:paraId="26CFD913">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焙烧</w:t>
            </w:r>
            <w:r>
              <w:rPr>
                <w:rFonts w:hint="default" w:ascii="Times New Roman" w:hAnsi="Times New Roman" w:eastAsia="宋体" w:cs="Times New Roman"/>
                <w:color w:val="auto"/>
                <w:sz w:val="24"/>
                <w:szCs w:val="24"/>
                <w:highlight w:val="none"/>
              </w:rPr>
              <w:t>后的</w:t>
            </w:r>
            <w:r>
              <w:rPr>
                <w:rFonts w:hint="eastAsia" w:ascii="Times New Roman" w:hAnsi="Times New Roman" w:eastAsia="宋体" w:cs="Times New Roman"/>
                <w:color w:val="auto"/>
                <w:sz w:val="24"/>
                <w:szCs w:val="24"/>
                <w:highlight w:val="none"/>
                <w:lang w:eastAsia="zh-CN"/>
              </w:rPr>
              <w:t>石英砂</w:t>
            </w:r>
            <w:r>
              <w:rPr>
                <w:rFonts w:hint="default" w:ascii="Times New Roman" w:hAnsi="Times New Roman" w:eastAsia="宋体" w:cs="Times New Roman"/>
                <w:color w:val="auto"/>
                <w:sz w:val="24"/>
                <w:szCs w:val="24"/>
                <w:highlight w:val="none"/>
              </w:rPr>
              <w:t>，经石英管输出，落入水淬水槽，纯水冷却</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纯水过滤后循环使用定期补充不外排，水槽内定期捞渣</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水淬完成后石英砂</w:t>
            </w:r>
            <w:r>
              <w:rPr>
                <w:rFonts w:hint="default" w:ascii="Times New Roman" w:hAnsi="Times New Roman" w:eastAsia="宋体" w:cs="Times New Roman"/>
                <w:color w:val="auto"/>
                <w:sz w:val="24"/>
                <w:szCs w:val="24"/>
                <w:highlight w:val="none"/>
              </w:rPr>
              <w:t>经输送带输送出槽，落入周转车，自然冷却，矿石表面水分蒸发干。</w:t>
            </w:r>
          </w:p>
          <w:p w14:paraId="0EC76654">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水淬</w:t>
            </w:r>
            <w:r>
              <w:rPr>
                <w:rFonts w:hint="default" w:ascii="Times New Roman" w:hAnsi="Times New Roman" w:eastAsia="宋体" w:cs="Times New Roman"/>
                <w:color w:val="auto"/>
                <w:sz w:val="24"/>
                <w:szCs w:val="24"/>
                <w:highlight w:val="none"/>
                <w:lang w:val="en-US" w:eastAsia="zh-CN"/>
              </w:rPr>
              <w:t>原理：</w:t>
            </w:r>
            <w:r>
              <w:rPr>
                <w:rFonts w:hint="default" w:ascii="Times New Roman" w:hAnsi="Times New Roman" w:eastAsia="宋体" w:cs="Times New Roman"/>
                <w:color w:val="auto"/>
                <w:sz w:val="24"/>
                <w:szCs w:val="24"/>
                <w:highlight w:val="none"/>
              </w:rPr>
              <w:t>石英矿石根据内部纹理初步破裂，便于后续制砂破碎以及杂质的处理。</w:t>
            </w:r>
          </w:p>
          <w:p w14:paraId="12AD4F61">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产污分析：水淬工序会产生废渣S</w:t>
            </w:r>
            <w:r>
              <w:rPr>
                <w:rFonts w:hint="eastAsia"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固废，废渣外售综合利用。</w:t>
            </w:r>
            <w:r>
              <w:rPr>
                <w:rFonts w:hint="default" w:ascii="Times New Roman" w:hAnsi="Times New Roman" w:eastAsia="宋体" w:cs="Times New Roman"/>
                <w:color w:val="auto"/>
                <w:sz w:val="24"/>
                <w:szCs w:val="24"/>
                <w:highlight w:val="none"/>
              </w:rPr>
              <w:t>此过程石英砂为湿石英砂</w:t>
            </w:r>
            <w:r>
              <w:rPr>
                <w:rFonts w:hint="eastAsia" w:cs="Times New Roman"/>
                <w:color w:val="auto"/>
                <w:sz w:val="24"/>
                <w:szCs w:val="24"/>
                <w:highlight w:val="none"/>
                <w:lang w:val="en-US" w:eastAsia="zh-CN"/>
              </w:rPr>
              <w:t>，基本无粉尘产生。</w:t>
            </w:r>
          </w:p>
          <w:p w14:paraId="1DCAEBD2">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）制砂</w:t>
            </w:r>
          </w:p>
          <w:p w14:paraId="34D649F2">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项目制砂分为干法和湿法，以订单要求选择，根据设计资料约5%产品采用干法制砂，95%使用湿法制砂。</w:t>
            </w:r>
          </w:p>
          <w:p w14:paraId="432F5A8B">
            <w:pPr>
              <w:pStyle w:val="15"/>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干法制砂：</w:t>
            </w:r>
            <w:r>
              <w:rPr>
                <w:rFonts w:hint="default" w:ascii="Times New Roman" w:hAnsi="Times New Roman" w:eastAsia="宋体" w:cs="Times New Roman"/>
                <w:color w:val="auto"/>
                <w:sz w:val="24"/>
                <w:szCs w:val="24"/>
                <w:highlight w:val="none"/>
              </w:rPr>
              <w:t>经过水淬后的石英砂通过密闭输送带运送至立轴制砂机，利用高速旋转的转子和冲击板，高效破碎各种硬度的物料，产生优质的石英砂。制砂至</w:t>
            </w:r>
            <w:r>
              <w:rPr>
                <w:rFonts w:hint="default" w:ascii="Times New Roman" w:hAnsi="Times New Roman" w:eastAsia="宋体" w:cs="Times New Roman"/>
                <w:color w:val="auto"/>
                <w:sz w:val="24"/>
                <w:szCs w:val="24"/>
                <w:highlight w:val="none"/>
                <w:lang w:val="en-US" w:eastAsia="zh-CN"/>
              </w:rPr>
              <w:t>粒径</w:t>
            </w:r>
            <w:r>
              <w:rPr>
                <w:rFonts w:hint="default" w:ascii="Times New Roman" w:hAnsi="Times New Roman" w:eastAsia="宋体" w:cs="Times New Roman"/>
                <w:color w:val="auto"/>
                <w:sz w:val="24"/>
                <w:szCs w:val="24"/>
                <w:highlight w:val="none"/>
              </w:rPr>
              <w:t>0.1-0.5cm。</w:t>
            </w:r>
          </w:p>
          <w:p w14:paraId="39AC28B3">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产污分析：</w:t>
            </w:r>
            <w:r>
              <w:rPr>
                <w:rFonts w:hint="eastAsia" w:cs="Times New Roman"/>
                <w:b/>
                <w:bCs/>
                <w:color w:val="auto"/>
                <w:sz w:val="24"/>
                <w:szCs w:val="24"/>
                <w:highlight w:val="none"/>
                <w:lang w:val="en-US" w:eastAsia="zh-CN"/>
              </w:rPr>
              <w:t>干法制砂</w:t>
            </w:r>
            <w:r>
              <w:rPr>
                <w:rFonts w:hint="default" w:ascii="Times New Roman" w:hAnsi="Times New Roman" w:eastAsia="宋体" w:cs="Times New Roman"/>
                <w:b/>
                <w:bCs/>
                <w:color w:val="auto"/>
                <w:sz w:val="24"/>
                <w:szCs w:val="24"/>
                <w:highlight w:val="none"/>
              </w:rPr>
              <w:t>过程产生粉尘G</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，立轴制砂机等设备上方布置集气罩，粉尘经集气罩收集后通过密闭管道进入袋式除尘器，处理后经DA001排气筒排放。</w:t>
            </w:r>
          </w:p>
          <w:p w14:paraId="0CC597E1">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湿法制砂：</w:t>
            </w:r>
            <w:r>
              <w:rPr>
                <w:rFonts w:hint="default" w:ascii="Times New Roman" w:hAnsi="Times New Roman" w:eastAsia="宋体" w:cs="Times New Roman"/>
                <w:color w:val="auto"/>
                <w:sz w:val="24"/>
                <w:szCs w:val="24"/>
                <w:highlight w:val="none"/>
              </w:rPr>
              <w:t>经过水淬后的石英砂通过密闭输送带运送至棒磨机</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石英砂经棒磨机磨至50目-200目。</w:t>
            </w:r>
            <w:r>
              <w:rPr>
                <w:rFonts w:hint="eastAsia" w:ascii="Times New Roman" w:hAnsi="Times New Roman" w:eastAsia="宋体" w:cs="Times New Roman"/>
                <w:color w:val="auto"/>
                <w:sz w:val="24"/>
                <w:szCs w:val="24"/>
                <w:highlight w:val="none"/>
                <w:lang w:val="en-US" w:eastAsia="zh-CN"/>
              </w:rPr>
              <w:t>石英砂进入下一工序，水经过滤循环使用定期补充不外排，定期捞渣产生的废渣作为固废</w:t>
            </w:r>
            <w:r>
              <w:rPr>
                <w:rFonts w:hint="default" w:ascii="Times New Roman" w:hAnsi="Times New Roman" w:eastAsia="宋体" w:cs="Times New Roman"/>
                <w:color w:val="auto"/>
                <w:sz w:val="24"/>
                <w:szCs w:val="24"/>
                <w:highlight w:val="none"/>
              </w:rPr>
              <w:t>。</w:t>
            </w:r>
          </w:p>
          <w:p w14:paraId="02022185">
            <w:pPr>
              <w:adjustRightInd w:val="0"/>
              <w:snapToGrid w:val="0"/>
              <w:spacing w:line="360" w:lineRule="auto"/>
              <w:ind w:firstLine="482" w:firstLineChars="200"/>
              <w:rPr>
                <w:rFonts w:hint="eastAsia"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产污分析：</w:t>
            </w:r>
            <w:r>
              <w:rPr>
                <w:rFonts w:hint="eastAsia" w:ascii="Times New Roman" w:hAnsi="Times New Roman" w:eastAsia="宋体" w:cs="Times New Roman"/>
                <w:b/>
                <w:bCs/>
                <w:color w:val="auto"/>
                <w:sz w:val="24"/>
                <w:szCs w:val="24"/>
                <w:highlight w:val="none"/>
                <w:lang w:val="en-US" w:eastAsia="zh-CN"/>
              </w:rPr>
              <w:t>捞渣</w:t>
            </w:r>
            <w:r>
              <w:rPr>
                <w:rFonts w:hint="default" w:ascii="Times New Roman" w:hAnsi="Times New Roman" w:eastAsia="宋体" w:cs="Times New Roman"/>
                <w:b/>
                <w:bCs/>
                <w:color w:val="auto"/>
                <w:sz w:val="24"/>
                <w:szCs w:val="24"/>
                <w:highlight w:val="none"/>
              </w:rPr>
              <w:t>产生的</w:t>
            </w:r>
            <w:r>
              <w:rPr>
                <w:rFonts w:hint="eastAsia" w:ascii="Times New Roman" w:hAnsi="Times New Roman" w:eastAsia="宋体" w:cs="Times New Roman"/>
                <w:b/>
                <w:bCs/>
                <w:color w:val="auto"/>
                <w:sz w:val="24"/>
                <w:szCs w:val="24"/>
                <w:highlight w:val="none"/>
                <w:lang w:val="en-US" w:eastAsia="zh-CN"/>
              </w:rPr>
              <w:t>废渣S2</w:t>
            </w:r>
            <w:r>
              <w:rPr>
                <w:rFonts w:hint="default" w:ascii="Times New Roman" w:hAnsi="Times New Roman" w:eastAsia="宋体" w:cs="Times New Roman"/>
                <w:b/>
                <w:bCs/>
                <w:color w:val="auto"/>
                <w:sz w:val="24"/>
                <w:szCs w:val="24"/>
                <w:highlight w:val="none"/>
              </w:rPr>
              <w:t>，收集后暂存</w:t>
            </w:r>
            <w:r>
              <w:rPr>
                <w:rFonts w:hint="eastAsia"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color w:val="auto"/>
                <w:sz w:val="24"/>
                <w:szCs w:val="24"/>
                <w:highlight w:val="none"/>
              </w:rPr>
              <w:t>此过程石英砂为湿石英砂</w:t>
            </w:r>
            <w:r>
              <w:rPr>
                <w:rFonts w:hint="eastAsia" w:cs="Times New Roman"/>
                <w:color w:val="auto"/>
                <w:sz w:val="24"/>
                <w:szCs w:val="24"/>
                <w:highlight w:val="none"/>
                <w:lang w:val="en-US" w:eastAsia="zh-CN"/>
              </w:rPr>
              <w:t>，基本无粉尘产生。</w:t>
            </w:r>
          </w:p>
          <w:p w14:paraId="55B2EF95">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rPr>
              <w:t>）筛分、磁选</w:t>
            </w:r>
          </w:p>
          <w:p w14:paraId="54F64C67">
            <w:pPr>
              <w:pStyle w:val="15"/>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制砂后的石英砂经</w:t>
            </w:r>
            <w:r>
              <w:rPr>
                <w:rFonts w:hint="eastAsia" w:ascii="Times New Roman" w:hAnsi="Times New Roman" w:eastAsia="宋体" w:cs="Times New Roman"/>
                <w:color w:val="auto"/>
                <w:sz w:val="24"/>
                <w:szCs w:val="24"/>
                <w:highlight w:val="none"/>
                <w:lang w:val="en-US" w:eastAsia="zh-CN"/>
              </w:rPr>
              <w:t>包装桶</w:t>
            </w:r>
            <w:r>
              <w:rPr>
                <w:rFonts w:hint="default" w:ascii="Times New Roman" w:hAnsi="Times New Roman" w:eastAsia="宋体" w:cs="Times New Roman"/>
                <w:color w:val="auto"/>
                <w:sz w:val="24"/>
                <w:szCs w:val="24"/>
                <w:highlight w:val="none"/>
              </w:rPr>
              <w:t>吊送依次进入筛分设备、磁选设备，筛除石英微粉，</w:t>
            </w:r>
            <w:r>
              <w:rPr>
                <w:rFonts w:hint="eastAsia" w:ascii="Times New Roman" w:hAnsi="Times New Roman" w:eastAsia="宋体" w:cs="Times New Roman"/>
                <w:color w:val="auto"/>
                <w:sz w:val="24"/>
                <w:szCs w:val="24"/>
                <w:highlight w:val="none"/>
                <w:lang w:val="en-US" w:eastAsia="zh-CN"/>
              </w:rPr>
              <w:t>之后</w:t>
            </w:r>
            <w:r>
              <w:rPr>
                <w:rFonts w:hint="default" w:ascii="Times New Roman" w:hAnsi="Times New Roman" w:eastAsia="宋体" w:cs="Times New Roman"/>
                <w:color w:val="auto"/>
                <w:sz w:val="24"/>
                <w:szCs w:val="24"/>
                <w:highlight w:val="none"/>
              </w:rPr>
              <w:t>从磁选机底部进入电磁浆料除铁器，二次磁选去除弱磁性物质。筛分、磁选过程</w:t>
            </w:r>
            <w:r>
              <w:rPr>
                <w:rFonts w:hint="default" w:ascii="Times New Roman" w:hAnsi="Times New Roman" w:eastAsia="宋体" w:cs="Times New Roman"/>
                <w:color w:val="auto"/>
                <w:sz w:val="24"/>
                <w:szCs w:val="24"/>
                <w:highlight w:val="none"/>
                <w:lang w:val="en-US" w:eastAsia="zh-CN"/>
              </w:rPr>
              <w:t>在</w:t>
            </w:r>
            <w:r>
              <w:rPr>
                <w:rFonts w:hint="default" w:ascii="Times New Roman" w:hAnsi="Times New Roman" w:eastAsia="宋体" w:cs="Times New Roman"/>
                <w:color w:val="auto"/>
                <w:sz w:val="24"/>
                <w:szCs w:val="24"/>
                <w:highlight w:val="none"/>
              </w:rPr>
              <w:t>密闭</w:t>
            </w:r>
            <w:r>
              <w:rPr>
                <w:rFonts w:hint="default" w:ascii="Times New Roman" w:hAnsi="Times New Roman" w:eastAsia="宋体" w:cs="Times New Roman"/>
                <w:color w:val="auto"/>
                <w:sz w:val="24"/>
                <w:szCs w:val="24"/>
                <w:highlight w:val="none"/>
                <w:lang w:val="en-US" w:eastAsia="zh-CN"/>
              </w:rPr>
              <w:t>车间内进行</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此过程石英砂为湿石英砂，粉尘产生量较少。</w:t>
            </w:r>
          </w:p>
          <w:p w14:paraId="743F0C27">
            <w:pPr>
              <w:adjustRightInd w:val="0"/>
              <w:snapToGrid w:val="0"/>
              <w:spacing w:line="360" w:lineRule="auto"/>
              <w:ind w:firstLine="482"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产污分析：磁选产生的磁性物料S</w:t>
            </w: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，收集后暂存，废气粉尘G</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经磁选</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筛分设备</w:t>
            </w:r>
            <w:r>
              <w:rPr>
                <w:rFonts w:hint="default" w:ascii="Times New Roman" w:hAnsi="Times New Roman" w:eastAsia="宋体" w:cs="Times New Roman"/>
                <w:b/>
                <w:bCs/>
                <w:color w:val="auto"/>
                <w:sz w:val="24"/>
                <w:szCs w:val="24"/>
                <w:highlight w:val="none"/>
              </w:rPr>
              <w:t>上方布置的集气罩收集后进入袋式除尘器，处理后经DA001排气筒排放。</w:t>
            </w:r>
          </w:p>
          <w:p w14:paraId="5547F8F4">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水洗</w:t>
            </w:r>
            <w:r>
              <w:rPr>
                <w:rFonts w:hint="eastAsia"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浮洗、</w:t>
            </w:r>
            <w:r>
              <w:rPr>
                <w:rFonts w:hint="default" w:ascii="Times New Roman" w:hAnsi="Times New Roman" w:eastAsia="宋体" w:cs="Times New Roman"/>
                <w:b/>
                <w:bCs/>
                <w:color w:val="auto"/>
                <w:sz w:val="24"/>
                <w:szCs w:val="24"/>
                <w:highlight w:val="none"/>
                <w:lang w:val="en-US" w:eastAsia="zh-CN"/>
              </w:rPr>
              <w:t>水洗</w:t>
            </w:r>
          </w:p>
          <w:p w14:paraId="1C71BACC">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石英砂经</w:t>
            </w:r>
            <w:r>
              <w:rPr>
                <w:rFonts w:hint="eastAsia" w:ascii="Times New Roman" w:hAnsi="Times New Roman" w:eastAsia="宋体" w:cs="Times New Roman"/>
                <w:color w:val="auto"/>
                <w:sz w:val="24"/>
                <w:szCs w:val="24"/>
                <w:highlight w:val="none"/>
                <w:lang w:val="en-US" w:eastAsia="zh-CN"/>
              </w:rPr>
              <w:t>包装桶</w:t>
            </w:r>
            <w:r>
              <w:rPr>
                <w:rFonts w:hint="default" w:ascii="Times New Roman" w:hAnsi="Times New Roman" w:eastAsia="宋体" w:cs="Times New Roman"/>
                <w:color w:val="auto"/>
                <w:sz w:val="24"/>
                <w:szCs w:val="24"/>
                <w:highlight w:val="none"/>
              </w:rPr>
              <w:t>吊送</w:t>
            </w:r>
            <w:r>
              <w:rPr>
                <w:rFonts w:hint="default" w:ascii="Times New Roman" w:hAnsi="Times New Roman" w:eastAsia="宋体" w:cs="Times New Roman"/>
                <w:color w:val="auto"/>
                <w:sz w:val="24"/>
                <w:szCs w:val="24"/>
                <w:highlight w:val="none"/>
                <w:lang w:val="en-US" w:eastAsia="zh-CN"/>
              </w:rPr>
              <w:t>至</w:t>
            </w:r>
            <w:r>
              <w:rPr>
                <w:rFonts w:hint="eastAsia" w:cs="Times New Roman"/>
                <w:color w:val="auto"/>
                <w:sz w:val="24"/>
                <w:szCs w:val="24"/>
                <w:highlight w:val="none"/>
                <w:lang w:val="en-US" w:eastAsia="zh-CN"/>
              </w:rPr>
              <w:t>洗砂机，加入纯水进行水洗，水洗后石英砂过滤送至浮选机，第一道水洗</w:t>
            </w:r>
            <w:r>
              <w:rPr>
                <w:rFonts w:hint="eastAsia" w:ascii="Times New Roman" w:hAnsi="Times New Roman" w:eastAsia="宋体" w:cs="Times New Roman"/>
                <w:color w:val="auto"/>
                <w:sz w:val="24"/>
                <w:szCs w:val="24"/>
                <w:highlight w:val="none"/>
                <w:lang w:val="en-US" w:eastAsia="zh-CN"/>
              </w:rPr>
              <w:t>水</w:t>
            </w:r>
            <w:r>
              <w:rPr>
                <w:rFonts w:hint="eastAsia" w:cs="Times New Roman"/>
                <w:color w:val="auto"/>
                <w:sz w:val="24"/>
                <w:szCs w:val="24"/>
                <w:highlight w:val="none"/>
                <w:lang w:val="en-US" w:eastAsia="zh-CN"/>
              </w:rPr>
              <w:t>循环使用定期补充不外排，定期捞渣产生的废渣作为固废，在</w:t>
            </w:r>
            <w:r>
              <w:rPr>
                <w:rFonts w:hint="default" w:ascii="Times New Roman" w:hAnsi="Times New Roman" w:eastAsia="宋体" w:cs="Times New Roman"/>
                <w:color w:val="auto"/>
                <w:sz w:val="24"/>
                <w:szCs w:val="24"/>
                <w:highlight w:val="none"/>
              </w:rPr>
              <w:t>浮洗机</w:t>
            </w:r>
            <w:r>
              <w:rPr>
                <w:rFonts w:hint="eastAsia" w:cs="Times New Roman"/>
                <w:color w:val="auto"/>
                <w:sz w:val="24"/>
                <w:szCs w:val="24"/>
                <w:highlight w:val="none"/>
                <w:lang w:val="en-US" w:eastAsia="zh-CN"/>
              </w:rPr>
              <w:t>内</w:t>
            </w:r>
            <w:r>
              <w:rPr>
                <w:rFonts w:hint="default" w:ascii="Times New Roman" w:hAnsi="Times New Roman" w:eastAsia="宋体" w:cs="Times New Roman"/>
                <w:color w:val="auto"/>
                <w:sz w:val="24"/>
                <w:szCs w:val="24"/>
                <w:highlight w:val="none"/>
              </w:rPr>
              <w:t>投加浮洗剂、</w:t>
            </w:r>
            <w:r>
              <w:rPr>
                <w:rFonts w:hint="eastAsia" w:cs="Times New Roman"/>
                <w:color w:val="auto"/>
                <w:sz w:val="24"/>
                <w:szCs w:val="24"/>
                <w:highlight w:val="none"/>
                <w:lang w:val="en-US" w:eastAsia="zh-CN"/>
              </w:rPr>
              <w:t>电加热后30-35℃</w:t>
            </w:r>
            <w:r>
              <w:rPr>
                <w:rFonts w:hint="default" w:ascii="Times New Roman" w:hAnsi="Times New Roman" w:eastAsia="宋体" w:cs="Times New Roman"/>
                <w:color w:val="auto"/>
                <w:sz w:val="24"/>
                <w:szCs w:val="24"/>
                <w:highlight w:val="none"/>
              </w:rPr>
              <w:t>纯水进行浮洗，将杂质和疏水矿物浮出并去除。</w:t>
            </w:r>
          </w:p>
          <w:p w14:paraId="331D8703">
            <w:pPr>
              <w:adjustRightInd w:val="0"/>
              <w:snapToGrid w:val="0"/>
              <w:spacing w:line="360" w:lineRule="auto"/>
              <w:ind w:firstLine="480" w:firstLineChars="200"/>
              <w:rPr>
                <w:rFonts w:hint="default"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本项目浮洗1t石英砂加入</w:t>
            </w:r>
            <w:r>
              <w:rPr>
                <w:rFonts w:hint="default" w:ascii="Times New Roman" w:hAnsi="Times New Roman" w:eastAsia="宋体" w:cs="Times New Roman"/>
                <w:color w:val="auto"/>
                <w:sz w:val="24"/>
                <w:szCs w:val="24"/>
                <w:highlight w:val="none"/>
              </w:rPr>
              <w:t>浮洗剂</w:t>
            </w:r>
            <w:r>
              <w:rPr>
                <w:rFonts w:hint="eastAsia"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lang w:val="en-US" w:eastAsia="zh-CN"/>
              </w:rPr>
              <w:t>kg</w:t>
            </w: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浮洗过程需保持石英砂与水的比例约35%，即1t石英砂浮洗需2.8t纯水，损耗约10%，</w:t>
            </w:r>
            <w:r>
              <w:rPr>
                <w:rFonts w:hint="eastAsia"/>
                <w:color w:val="auto"/>
                <w:kern w:val="0"/>
                <w:sz w:val="24"/>
                <w:highlight w:val="none"/>
                <w:lang w:val="en-US" w:eastAsia="zh-CN" w:bidi="ar"/>
              </w:rPr>
              <w:t>故2000t产品</w:t>
            </w:r>
            <w:r>
              <w:rPr>
                <w:rFonts w:hint="eastAsia" w:ascii="Times New Roman" w:hAnsi="Times New Roman" w:eastAsia="宋体" w:cs="Times New Roman"/>
                <w:color w:val="auto"/>
                <w:sz w:val="24"/>
                <w:szCs w:val="24"/>
                <w:highlight w:val="none"/>
                <w:lang w:val="en-US" w:eastAsia="zh-CN"/>
              </w:rPr>
              <w:t>浮洗</w:t>
            </w:r>
            <w:r>
              <w:rPr>
                <w:rFonts w:hint="eastAsia"/>
                <w:color w:val="auto"/>
                <w:kern w:val="0"/>
                <w:sz w:val="24"/>
                <w:highlight w:val="none"/>
                <w:lang w:val="en-US" w:eastAsia="zh-CN" w:bidi="ar"/>
              </w:rPr>
              <w:t>废水W1约5000t/a，经过滤后</w:t>
            </w:r>
            <w:r>
              <w:rPr>
                <w:rFonts w:hint="default" w:ascii="Times New Roman" w:hAnsi="Times New Roman" w:eastAsia="宋体" w:cs="Times New Roman"/>
                <w:color w:val="auto"/>
                <w:sz w:val="24"/>
                <w:szCs w:val="24"/>
                <w:highlight w:val="none"/>
              </w:rPr>
              <w:t>排入污水处理站处理。</w:t>
            </w:r>
          </w:p>
          <w:p w14:paraId="55599AEB">
            <w:pPr>
              <w:adjustRightInd w:val="0"/>
              <w:snapToGrid w:val="0"/>
              <w:spacing w:line="360" w:lineRule="auto"/>
              <w:ind w:firstLine="480" w:firstLineChars="200"/>
              <w:rPr>
                <w:rFonts w:hint="default"/>
                <w:color w:val="auto"/>
                <w:kern w:val="0"/>
                <w:sz w:val="24"/>
                <w:highlight w:val="none"/>
                <w:lang w:val="en-US" w:eastAsia="zh-CN" w:bidi="ar"/>
              </w:rPr>
            </w:pPr>
            <w:r>
              <w:rPr>
                <w:rFonts w:hint="eastAsia"/>
                <w:color w:val="auto"/>
                <w:kern w:val="0"/>
                <w:sz w:val="24"/>
                <w:highlight w:val="none"/>
                <w:lang w:bidi="ar"/>
              </w:rPr>
              <w:t>浮选后，在浮选机内直接进行水洗，去除石英砂表面残留的浮渣等杂质，采用纯水清洗。清洗后通过离心</w:t>
            </w:r>
            <w:r>
              <w:rPr>
                <w:rFonts w:hint="eastAsia"/>
                <w:color w:val="auto"/>
                <w:kern w:val="0"/>
                <w:sz w:val="24"/>
                <w:highlight w:val="none"/>
                <w:lang w:eastAsia="zh-CN" w:bidi="ar"/>
              </w:rPr>
              <w:t>脱水</w:t>
            </w:r>
            <w:r>
              <w:rPr>
                <w:rFonts w:hint="eastAsia"/>
                <w:color w:val="auto"/>
                <w:kern w:val="0"/>
                <w:sz w:val="24"/>
                <w:highlight w:val="none"/>
                <w:lang w:bidi="ar"/>
              </w:rPr>
              <w:t>机进行脱水</w:t>
            </w:r>
            <w:r>
              <w:rPr>
                <w:rFonts w:hint="eastAsia"/>
                <w:color w:val="auto"/>
                <w:kern w:val="0"/>
                <w:sz w:val="24"/>
                <w:highlight w:val="none"/>
                <w:lang w:eastAsia="zh-CN" w:bidi="ar"/>
              </w:rPr>
              <w:t>。</w:t>
            </w:r>
            <w:r>
              <w:rPr>
                <w:rFonts w:hint="eastAsia"/>
                <w:color w:val="auto"/>
                <w:kern w:val="0"/>
                <w:sz w:val="24"/>
                <w:highlight w:val="none"/>
                <w:lang w:val="en-US" w:eastAsia="zh-CN" w:bidi="ar"/>
              </w:rPr>
              <w:t>该道水洗废水产生量约2t/t原料，故清洗废水W2约4000t/a，经过滤捞渣后</w:t>
            </w:r>
            <w:r>
              <w:rPr>
                <w:rFonts w:hint="default" w:ascii="Times New Roman" w:hAnsi="Times New Roman" w:eastAsia="宋体" w:cs="Times New Roman"/>
                <w:color w:val="auto"/>
                <w:sz w:val="24"/>
                <w:szCs w:val="24"/>
                <w:highlight w:val="none"/>
              </w:rPr>
              <w:t>排入污水处理站处理</w:t>
            </w:r>
            <w:r>
              <w:rPr>
                <w:rFonts w:hint="eastAsia"/>
                <w:color w:val="auto"/>
                <w:kern w:val="0"/>
                <w:sz w:val="24"/>
                <w:highlight w:val="none"/>
                <w:lang w:val="en-US" w:eastAsia="zh-CN" w:bidi="ar"/>
              </w:rPr>
              <w:t>。</w:t>
            </w:r>
          </w:p>
          <w:p w14:paraId="778BCCD8">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浮洗</w:t>
            </w:r>
            <w:r>
              <w:rPr>
                <w:rFonts w:hint="default" w:ascii="Times New Roman" w:hAnsi="Times New Roman" w:eastAsia="宋体" w:cs="Times New Roman"/>
                <w:color w:val="auto"/>
                <w:sz w:val="24"/>
                <w:szCs w:val="24"/>
                <w:highlight w:val="none"/>
                <w:lang w:val="en-US" w:eastAsia="zh-CN"/>
              </w:rPr>
              <w:t>原理：</w:t>
            </w:r>
            <w:r>
              <w:rPr>
                <w:rFonts w:hint="default" w:ascii="Times New Roman" w:hAnsi="Times New Roman" w:eastAsia="宋体" w:cs="Times New Roman"/>
                <w:color w:val="auto"/>
                <w:sz w:val="24"/>
                <w:szCs w:val="24"/>
                <w:highlight w:val="none"/>
              </w:rPr>
              <w:t>浮洗主要</w:t>
            </w:r>
            <w:r>
              <w:rPr>
                <w:rFonts w:hint="eastAsia" w:cs="Times New Roman"/>
                <w:color w:val="auto"/>
                <w:sz w:val="24"/>
                <w:szCs w:val="24"/>
                <w:highlight w:val="none"/>
                <w:lang w:val="en-US" w:eastAsia="zh-CN"/>
              </w:rPr>
              <w:t>作用为杂质矿物分离</w:t>
            </w:r>
            <w:r>
              <w:rPr>
                <w:rFonts w:hint="default" w:ascii="Times New Roman" w:hAnsi="Times New Roman" w:eastAsia="宋体" w:cs="Times New Roman"/>
                <w:color w:val="auto"/>
                <w:sz w:val="24"/>
                <w:szCs w:val="24"/>
                <w:highlight w:val="none"/>
              </w:rPr>
              <w:t>。本工序浮洗原理是采用起捕集作用的表面活性剂吸附在固体矿粉的表面，吸附随矿物性质的不同而有一定的选择性，是利用</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HYPERLINK "https://baike.baidu.com/item/%E6%99%B6%E4%BD%93%E8%A1%A8%E9%9D%A2/12594768" \t "https://baike.baidu.com/item/%E6%B5%AE%E9%80%89/_blank"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晶体表面</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的晶格缺陷，而向外的疏水端部分地</w:t>
            </w:r>
            <w:r>
              <w:rPr>
                <w:rFonts w:hint="default" w:ascii="Times New Roman" w:hAnsi="Times New Roman" w:eastAsia="宋体" w:cs="Times New Roman"/>
                <w:color w:val="auto"/>
                <w:sz w:val="24"/>
                <w:szCs w:val="24"/>
                <w:highlight w:val="none"/>
                <w:lang w:val="en-US" w:eastAsia="zh-CN"/>
              </w:rPr>
              <w:t>附着</w:t>
            </w:r>
            <w:r>
              <w:rPr>
                <w:rFonts w:hint="default" w:ascii="Times New Roman" w:hAnsi="Times New Roman" w:eastAsia="宋体" w:cs="Times New Roman"/>
                <w:color w:val="auto"/>
                <w:sz w:val="24"/>
                <w:szCs w:val="24"/>
                <w:highlight w:val="none"/>
              </w:rPr>
              <w:t>气泡</w:t>
            </w:r>
            <w:r>
              <w:rPr>
                <w:rFonts w:hint="default" w:ascii="Times New Roman" w:hAnsi="Times New Roman" w:eastAsia="宋体" w:cs="Times New Roman"/>
                <w:color w:val="auto"/>
                <w:sz w:val="24"/>
                <w:szCs w:val="24"/>
                <w:highlight w:val="none"/>
                <w:lang w:val="en-US" w:eastAsia="zh-CN"/>
              </w:rPr>
              <w:t>上</w:t>
            </w:r>
            <w:r>
              <w:rPr>
                <w:rFonts w:hint="default" w:ascii="Times New Roman" w:hAnsi="Times New Roman" w:eastAsia="宋体" w:cs="Times New Roman"/>
                <w:color w:val="auto"/>
                <w:sz w:val="24"/>
                <w:szCs w:val="24"/>
                <w:highlight w:val="none"/>
              </w:rPr>
              <w:t>，这样在浮洗过程中气泡就可能把</w:t>
            </w:r>
            <w:r>
              <w:rPr>
                <w:rFonts w:hint="default" w:ascii="Times New Roman" w:hAnsi="Times New Roman" w:eastAsia="宋体" w:cs="Times New Roman"/>
                <w:color w:val="auto"/>
                <w:sz w:val="24"/>
                <w:szCs w:val="24"/>
                <w:highlight w:val="none"/>
                <w:lang w:val="en-US" w:eastAsia="zh-CN"/>
              </w:rPr>
              <w:t>杂质矿物分离出去</w:t>
            </w:r>
            <w:r>
              <w:rPr>
                <w:rFonts w:hint="default" w:ascii="Times New Roman" w:hAnsi="Times New Roman" w:eastAsia="宋体" w:cs="Times New Roman"/>
                <w:color w:val="auto"/>
                <w:sz w:val="24"/>
                <w:szCs w:val="24"/>
                <w:highlight w:val="none"/>
              </w:rPr>
              <w:t>。</w:t>
            </w:r>
          </w:p>
          <w:p w14:paraId="7BCB41A8">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产污分析：浮洗过程中产生浮洗废水W</w:t>
            </w:r>
            <w:r>
              <w:rPr>
                <w:rFonts w:hint="eastAsia" w:cs="Times New Roman"/>
                <w:b/>
                <w:bCs/>
                <w:color w:val="auto"/>
                <w:sz w:val="24"/>
                <w:szCs w:val="24"/>
                <w:highlight w:val="none"/>
                <w:lang w:val="en-US" w:eastAsia="zh-CN"/>
              </w:rPr>
              <w:t>1、清洗废水</w:t>
            </w:r>
            <w:r>
              <w:rPr>
                <w:rFonts w:hint="default" w:ascii="Times New Roman" w:hAnsi="Times New Roman" w:eastAsia="宋体" w:cs="Times New Roman"/>
                <w:b/>
                <w:bCs/>
                <w:color w:val="auto"/>
                <w:sz w:val="24"/>
                <w:szCs w:val="24"/>
                <w:highlight w:val="none"/>
              </w:rPr>
              <w:t>W</w:t>
            </w:r>
            <w:r>
              <w:rPr>
                <w:rFonts w:hint="eastAsia" w:ascii="Times New Roman" w:hAnsi="Times New Roman" w:eastAsia="宋体" w:cs="Times New Roman"/>
                <w:b/>
                <w:bCs/>
                <w:color w:val="auto"/>
                <w:sz w:val="24"/>
                <w:szCs w:val="24"/>
                <w:highlight w:val="none"/>
                <w:lang w:val="en-US" w:eastAsia="zh-CN"/>
              </w:rPr>
              <w:t>2</w:t>
            </w:r>
            <w:r>
              <w:rPr>
                <w:rFonts w:hint="eastAsia"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废矿砂S</w:t>
            </w:r>
            <w:r>
              <w:rPr>
                <w:rFonts w:hint="eastAsia" w:cs="Times New Roman"/>
                <w:b/>
                <w:bCs/>
                <w:color w:val="auto"/>
                <w:sz w:val="24"/>
                <w:szCs w:val="24"/>
                <w:highlight w:val="none"/>
                <w:lang w:val="en-US" w:eastAsia="zh-CN"/>
              </w:rPr>
              <w:t>5、废渣S6</w:t>
            </w:r>
            <w:r>
              <w:rPr>
                <w:rFonts w:hint="default" w:ascii="Times New Roman" w:hAnsi="Times New Roman" w:eastAsia="宋体" w:cs="Times New Roman"/>
                <w:b/>
                <w:bCs/>
                <w:color w:val="auto"/>
                <w:sz w:val="24"/>
                <w:szCs w:val="24"/>
                <w:highlight w:val="none"/>
              </w:rPr>
              <w:t>。废水经</w:t>
            </w:r>
            <w:r>
              <w:rPr>
                <w:rFonts w:hint="eastAsia" w:cs="Times New Roman"/>
                <w:b/>
                <w:bCs/>
                <w:color w:val="auto"/>
                <w:sz w:val="24"/>
                <w:szCs w:val="24"/>
                <w:highlight w:val="none"/>
                <w:lang w:val="en-US" w:eastAsia="zh-CN"/>
              </w:rPr>
              <w:t>过滤后</w:t>
            </w:r>
            <w:r>
              <w:rPr>
                <w:rFonts w:hint="default" w:ascii="Times New Roman" w:hAnsi="Times New Roman" w:eastAsia="宋体" w:cs="Times New Roman"/>
                <w:b/>
                <w:bCs/>
                <w:color w:val="auto"/>
                <w:sz w:val="24"/>
                <w:szCs w:val="24"/>
                <w:highlight w:val="none"/>
              </w:rPr>
              <w:t>排入厂区污水处理站处理</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color w:val="auto"/>
                <w:sz w:val="24"/>
                <w:szCs w:val="24"/>
                <w:highlight w:val="none"/>
              </w:rPr>
              <w:t>此过程石英砂为湿石英砂</w:t>
            </w:r>
            <w:r>
              <w:rPr>
                <w:rFonts w:hint="eastAsia" w:cs="Times New Roman"/>
                <w:color w:val="auto"/>
                <w:sz w:val="24"/>
                <w:szCs w:val="24"/>
                <w:highlight w:val="none"/>
                <w:lang w:val="en-US" w:eastAsia="zh-CN"/>
              </w:rPr>
              <w:t>，基本无粉尘产生。</w:t>
            </w:r>
          </w:p>
          <w:p w14:paraId="75E03AC5">
            <w:pPr>
              <w:adjustRightInd w:val="0"/>
              <w:snapToGrid w:val="0"/>
              <w:spacing w:line="360" w:lineRule="auto"/>
              <w:ind w:firstLine="482" w:firstLineChars="200"/>
              <w:rPr>
                <w:rFonts w:hint="default" w:ascii="Times New Roman" w:hAnsi="Times New Roman" w:eastAsia="宋体" w:cs="Times New Roman"/>
                <w:color w:val="auto"/>
                <w:sz w:val="24"/>
                <w:szCs w:val="24"/>
                <w:highlight w:val="none"/>
              </w:rPr>
            </w:pP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）酸洗</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水洗</w:t>
            </w:r>
          </w:p>
          <w:p w14:paraId="45269A4F">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石英砂送密闭双锥回转反应釜，加盖密闭后通过防腐管道向密闭酸洗釜中按比例加入混合酸液。电加热至</w:t>
            </w:r>
            <w:r>
              <w:rPr>
                <w:rFonts w:hint="eastAsia" w:cs="Times New Roman"/>
                <w:color w:val="auto"/>
                <w:sz w:val="24"/>
                <w:szCs w:val="24"/>
                <w:highlight w:val="none"/>
                <w:lang w:val="en-US" w:eastAsia="zh-CN"/>
              </w:rPr>
              <w:t>70~</w:t>
            </w:r>
            <w:r>
              <w:rPr>
                <w:rFonts w:hint="default" w:ascii="Times New Roman" w:hAnsi="Times New Roman" w:eastAsia="宋体" w:cs="Times New Roman"/>
                <w:color w:val="auto"/>
                <w:sz w:val="24"/>
                <w:szCs w:val="24"/>
                <w:highlight w:val="none"/>
              </w:rPr>
              <w:t>90℃</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搅拌，</w:t>
            </w:r>
            <w:r>
              <w:rPr>
                <w:rFonts w:hint="default" w:ascii="Times New Roman" w:hAnsi="Times New Roman" w:eastAsia="宋体" w:cs="Times New Roman"/>
                <w:color w:val="auto"/>
                <w:sz w:val="24"/>
                <w:szCs w:val="24"/>
                <w:highlight w:val="none"/>
              </w:rPr>
              <w:t>酸化处理完成后采用负压抽真空的方式将混合酸液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含混合酸、反应产生水、少量金属氯化物</w:t>
            </w:r>
            <w:r>
              <w:rPr>
                <w:rFonts w:hint="eastAsia" w:cs="Times New Roman"/>
                <w:color w:val="auto"/>
                <w:sz w:val="24"/>
                <w:szCs w:val="24"/>
                <w:highlight w:val="none"/>
                <w:lang w:val="en-US" w:eastAsia="zh-CN"/>
              </w:rPr>
              <w:t>及杂质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抽到回收罐中</w:t>
            </w:r>
            <w:r>
              <w:rPr>
                <w:rFonts w:hint="default" w:ascii="Times New Roman" w:hAnsi="Times New Roman" w:eastAsia="宋体" w:cs="Times New Roman"/>
                <w:color w:val="auto"/>
                <w:sz w:val="24"/>
                <w:szCs w:val="24"/>
                <w:highlight w:val="none"/>
                <w:lang w:val="en-US" w:eastAsia="zh-CN"/>
              </w:rPr>
              <w:t>回用（每批混合酸使用后暂存</w:t>
            </w:r>
            <w:r>
              <w:rPr>
                <w:rFonts w:hint="default" w:ascii="Times New Roman" w:hAnsi="Times New Roman" w:eastAsia="宋体" w:cs="Times New Roman"/>
                <w:color w:val="auto"/>
                <w:sz w:val="24"/>
                <w:szCs w:val="24"/>
                <w:highlight w:val="none"/>
              </w:rPr>
              <w:t>回收罐</w:t>
            </w:r>
            <w:r>
              <w:rPr>
                <w:rFonts w:hint="default" w:ascii="Times New Roman" w:hAnsi="Times New Roman" w:eastAsia="宋体" w:cs="Times New Roman"/>
                <w:color w:val="auto"/>
                <w:sz w:val="24"/>
                <w:szCs w:val="24"/>
                <w:highlight w:val="none"/>
                <w:lang w:val="en-US" w:eastAsia="zh-CN"/>
              </w:rPr>
              <w:t>，在</w:t>
            </w:r>
            <w:r>
              <w:rPr>
                <w:rFonts w:hint="default" w:ascii="Times New Roman" w:hAnsi="Times New Roman" w:eastAsia="宋体" w:cs="Times New Roman"/>
                <w:color w:val="auto"/>
                <w:sz w:val="24"/>
                <w:szCs w:val="24"/>
                <w:highlight w:val="none"/>
              </w:rPr>
              <w:t>回收罐</w:t>
            </w:r>
            <w:r>
              <w:rPr>
                <w:rFonts w:hint="default" w:ascii="Times New Roman" w:hAnsi="Times New Roman" w:eastAsia="宋体" w:cs="Times New Roman"/>
                <w:color w:val="auto"/>
                <w:sz w:val="24"/>
                <w:szCs w:val="24"/>
                <w:highlight w:val="none"/>
                <w:lang w:val="en-US" w:eastAsia="zh-CN"/>
              </w:rPr>
              <w:t>中</w:t>
            </w:r>
            <w:r>
              <w:rPr>
                <w:rFonts w:hint="eastAsia" w:cs="Times New Roman"/>
                <w:color w:val="auto"/>
                <w:sz w:val="24"/>
                <w:szCs w:val="24"/>
                <w:highlight w:val="none"/>
                <w:lang w:val="en-US" w:eastAsia="zh-CN"/>
              </w:rPr>
              <w:t>视情况</w:t>
            </w:r>
            <w:r>
              <w:rPr>
                <w:rFonts w:hint="default" w:ascii="Times New Roman" w:hAnsi="Times New Roman" w:eastAsia="宋体" w:cs="Times New Roman"/>
                <w:color w:val="auto"/>
                <w:sz w:val="24"/>
                <w:szCs w:val="24"/>
                <w:highlight w:val="none"/>
                <w:lang w:val="en-US" w:eastAsia="zh-CN"/>
              </w:rPr>
              <w:t>加入</w:t>
            </w: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%盐酸</w:t>
            </w: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rPr>
              <w:t>%氢氟酸</w:t>
            </w:r>
            <w:r>
              <w:rPr>
                <w:rFonts w:hint="default" w:ascii="Times New Roman" w:hAnsi="Times New Roman" w:eastAsia="宋体" w:cs="Times New Roman"/>
                <w:color w:val="auto"/>
                <w:sz w:val="24"/>
                <w:szCs w:val="24"/>
                <w:highlight w:val="none"/>
                <w:lang w:val="en-US" w:eastAsia="zh-CN"/>
              </w:rPr>
              <w:t>可继续回用，一般使用5批后作为废酸处理</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根据企业提供材料，</w:t>
            </w:r>
            <w:r>
              <w:rPr>
                <w:rFonts w:hint="eastAsia" w:eastAsia="宋体" w:cs="Times New Roman"/>
                <w:color w:val="auto"/>
                <w:sz w:val="24"/>
                <w:szCs w:val="24"/>
                <w:highlight w:val="none"/>
                <w:lang w:val="en-US" w:eastAsia="zh-CN"/>
              </w:rPr>
              <w:t>折合每</w:t>
            </w:r>
            <w:r>
              <w:rPr>
                <w:rFonts w:hint="default" w:ascii="Times New Roman" w:hAnsi="Times New Roman" w:eastAsia="宋体" w:cs="Times New Roman"/>
                <w:color w:val="auto"/>
                <w:sz w:val="24"/>
                <w:szCs w:val="24"/>
                <w:highlight w:val="none"/>
              </w:rPr>
              <w:t>处理1吨石英砂需用3</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%盐酸约</w:t>
            </w:r>
            <w:r>
              <w:rPr>
                <w:rFonts w:hint="default" w:ascii="Times New Roman" w:hAnsi="Times New Roman" w:eastAsia="宋体" w:cs="Times New Roman"/>
                <w:color w:val="auto"/>
                <w:sz w:val="24"/>
                <w:szCs w:val="24"/>
                <w:highlight w:val="none"/>
                <w:lang w:val="en-US" w:eastAsia="zh-CN"/>
              </w:rPr>
              <w:t>400</w:t>
            </w:r>
            <w:r>
              <w:rPr>
                <w:rFonts w:hint="default" w:ascii="Times New Roman" w:hAnsi="Times New Roman" w:eastAsia="宋体" w:cs="Times New Roman"/>
                <w:color w:val="auto"/>
                <w:sz w:val="24"/>
                <w:szCs w:val="24"/>
                <w:highlight w:val="none"/>
              </w:rPr>
              <w:t>kg、4</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%氢氟酸约</w:t>
            </w:r>
            <w:r>
              <w:rPr>
                <w:rFonts w:hint="default" w:ascii="Times New Roman" w:hAnsi="Times New Roman" w:eastAsia="宋体" w:cs="Times New Roman"/>
                <w:color w:val="auto"/>
                <w:sz w:val="24"/>
                <w:szCs w:val="24"/>
                <w:highlight w:val="none"/>
                <w:lang w:val="en-US" w:eastAsia="zh-CN"/>
              </w:rPr>
              <w:t>100</w:t>
            </w:r>
            <w:r>
              <w:rPr>
                <w:rFonts w:hint="default" w:ascii="Times New Roman" w:hAnsi="Times New Roman" w:eastAsia="宋体" w:cs="Times New Roman"/>
                <w:color w:val="auto"/>
                <w:sz w:val="24"/>
                <w:szCs w:val="24"/>
                <w:highlight w:val="none"/>
              </w:rPr>
              <w:t>kg</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。酸化提纯的目的是将石英砂中的金属氧化物等杂质与混合酸发生化学反应，从而将杂质分离达到提纯石英砂的目的。去除各类主要杂质的主要反应方程式如下：</w:t>
            </w:r>
          </w:p>
          <w:p w14:paraId="74FA913A">
            <w:pPr>
              <w:adjustRightInd w:val="0"/>
              <w:snapToGrid w:val="0"/>
              <w:spacing w:line="360" w:lineRule="auto"/>
              <w:ind w:firstLine="480" w:firstLineChars="20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Al₂O₃：Al₂O₃+6HF=2A1F₃↓+3H₂O；Al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O₃+6HCl=2A1Cl</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+3H₂O</w:t>
            </w:r>
          </w:p>
          <w:p w14:paraId="4BA257AE">
            <w:pPr>
              <w:adjustRightInd w:val="0"/>
              <w:snapToGrid w:val="0"/>
              <w:spacing w:line="360" w:lineRule="auto"/>
              <w:ind w:firstLine="480" w:firstLineChars="20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CaO：CaO+2HF=CaF₂↓+H₂O；CaO+2HCl=CaCl₂+H₂O</w:t>
            </w:r>
          </w:p>
          <w:p w14:paraId="2E0A808F">
            <w:pPr>
              <w:adjustRightInd w:val="0"/>
              <w:snapToGrid w:val="0"/>
              <w:spacing w:line="360" w:lineRule="auto"/>
              <w:ind w:firstLine="480" w:firstLineChars="20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MgO：MgO+2HF=MgF₂↓+H₂O；MgO+2HCl=MgCl₂+H₂O</w:t>
            </w:r>
          </w:p>
          <w:p w14:paraId="63F2B953">
            <w:pPr>
              <w:adjustRightInd w:val="0"/>
              <w:snapToGrid w:val="0"/>
              <w:spacing w:line="360" w:lineRule="auto"/>
              <w:ind w:firstLine="480" w:firstLineChars="20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Fe₂O₃：Fe₂O₃+6HF=2FeF₃↓+3H₂O；Fe₂O₃+6HCl=2FeCl₃+3H₂O</w:t>
            </w:r>
          </w:p>
          <w:p w14:paraId="5D8CB9E5">
            <w:pPr>
              <w:adjustRightInd w:val="0"/>
              <w:snapToGrid w:val="0"/>
              <w:spacing w:line="360" w:lineRule="auto"/>
              <w:ind w:firstLine="1680" w:firstLineChars="7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副反应：4HF + SiO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SiF</w:t>
            </w:r>
            <w:r>
              <w:rPr>
                <w:rFonts w:hint="default" w:ascii="Times New Roman" w:hAnsi="Times New Roman" w:eastAsia="宋体" w:cs="Times New Roman"/>
                <w:color w:val="auto"/>
                <w:sz w:val="24"/>
                <w:szCs w:val="24"/>
                <w:highlight w:val="none"/>
                <w:vertAlign w:val="subscript"/>
                <w:lang w:val="en-US" w:eastAsia="zh-CN"/>
              </w:rPr>
              <w:t>4</w:t>
            </w:r>
            <w:r>
              <w:rPr>
                <w:rFonts w:hint="default" w:ascii="Times New Roman" w:hAnsi="Times New Roman" w:eastAsia="宋体" w:cs="Times New Roman"/>
                <w:color w:val="auto"/>
                <w:sz w:val="24"/>
                <w:szCs w:val="24"/>
                <w:highlight w:val="none"/>
                <w:lang w:val="en-US" w:eastAsia="zh-CN"/>
              </w:rPr>
              <w:t xml:space="preserve"> + 2H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i w:val="0"/>
                <w:iCs w:val="0"/>
                <w:caps w:val="0"/>
                <w:color w:val="auto"/>
                <w:spacing w:val="0"/>
                <w:sz w:val="24"/>
                <w:szCs w:val="24"/>
                <w:highlight w:val="none"/>
                <w:shd w:val="clear" w:fill="FFFFFF"/>
              </w:rPr>
              <w:t>SiF</w:t>
            </w:r>
            <w:r>
              <w:rPr>
                <w:rFonts w:hint="default" w:ascii="Times New Roman" w:hAnsi="Times New Roman" w:eastAsia="宋体" w:cs="Times New Roman"/>
                <w:i w:val="0"/>
                <w:iCs w:val="0"/>
                <w:caps w:val="0"/>
                <w:color w:val="auto"/>
                <w:spacing w:val="0"/>
                <w:sz w:val="24"/>
                <w:szCs w:val="24"/>
                <w:highlight w:val="none"/>
                <w:shd w:val="clear" w:fill="FFFFFF"/>
                <w:vertAlign w:val="subscript"/>
              </w:rPr>
              <w:t>4</w:t>
            </w:r>
            <w:r>
              <w:rPr>
                <w:rFonts w:hint="default" w:ascii="Times New Roman" w:hAnsi="Times New Roman" w:eastAsia="宋体" w:cs="Times New Roman"/>
                <w:i w:val="0"/>
                <w:iCs w:val="0"/>
                <w:caps w:val="0"/>
                <w:color w:val="auto"/>
                <w:spacing w:val="0"/>
                <w:sz w:val="24"/>
                <w:szCs w:val="24"/>
                <w:highlight w:val="none"/>
                <w:shd w:val="clear" w:fill="FFFFFF"/>
              </w:rPr>
              <w:t>+2HF=H</w:t>
            </w:r>
            <w:r>
              <w:rPr>
                <w:rFonts w:hint="default" w:ascii="Times New Roman" w:hAnsi="Times New Roman" w:eastAsia="宋体" w:cs="Times New Roman"/>
                <w:i w:val="0"/>
                <w:iCs w:val="0"/>
                <w:caps w:val="0"/>
                <w:color w:val="auto"/>
                <w:spacing w:val="0"/>
                <w:sz w:val="24"/>
                <w:szCs w:val="24"/>
                <w:highlight w:val="none"/>
                <w:shd w:val="clear" w:fill="FFFFFF"/>
                <w:vertAlign w:val="subscript"/>
              </w:rPr>
              <w:t>2</w:t>
            </w:r>
            <w:r>
              <w:rPr>
                <w:rFonts w:hint="default" w:ascii="Times New Roman" w:hAnsi="Times New Roman" w:eastAsia="宋体" w:cs="Times New Roman"/>
                <w:i w:val="0"/>
                <w:iCs w:val="0"/>
                <w:caps w:val="0"/>
                <w:color w:val="auto"/>
                <w:spacing w:val="0"/>
                <w:sz w:val="24"/>
                <w:szCs w:val="24"/>
                <w:highlight w:val="none"/>
                <w:shd w:val="clear" w:fill="FFFFFF"/>
              </w:rPr>
              <w:t>SiF</w:t>
            </w:r>
            <w:r>
              <w:rPr>
                <w:rFonts w:hint="default" w:ascii="Times New Roman" w:hAnsi="Times New Roman" w:eastAsia="宋体" w:cs="Times New Roman"/>
                <w:i w:val="0"/>
                <w:iCs w:val="0"/>
                <w:caps w:val="0"/>
                <w:color w:val="auto"/>
                <w:spacing w:val="0"/>
                <w:sz w:val="24"/>
                <w:szCs w:val="24"/>
                <w:highlight w:val="none"/>
                <w:shd w:val="clear" w:fill="FFFFFF"/>
                <w:vertAlign w:val="subscript"/>
              </w:rPr>
              <w:t>6</w:t>
            </w:r>
            <w:r>
              <w:rPr>
                <w:rFonts w:hint="default" w:ascii="Times New Roman" w:hAnsi="Times New Roman" w:eastAsia="宋体" w:cs="Times New Roman"/>
                <w:i w:val="0"/>
                <w:iCs w:val="0"/>
                <w:caps w:val="0"/>
                <w:color w:val="auto"/>
                <w:spacing w:val="0"/>
                <w:sz w:val="24"/>
                <w:szCs w:val="24"/>
                <w:highlight w:val="none"/>
                <w:shd w:val="clear" w:fill="FFFFFF"/>
                <w:vertAlign w:val="baseline"/>
              </w:rPr>
              <w:t> </w:t>
            </w:r>
          </w:p>
          <w:p w14:paraId="6B93B793">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rPr>
            </w:pPr>
            <w:r>
              <w:rPr>
                <w:rFonts w:hint="eastAsia" w:cs="Times New Roman"/>
                <w:color w:val="auto"/>
                <w:sz w:val="24"/>
                <w:szCs w:val="24"/>
                <w:highlight w:val="none"/>
                <w:lang w:val="en-US" w:eastAsia="zh-CN"/>
              </w:rPr>
              <w:t>抽酸后</w:t>
            </w:r>
            <w:r>
              <w:rPr>
                <w:rFonts w:hint="default" w:ascii="Times New Roman" w:hAnsi="Times New Roman" w:eastAsia="宋体" w:cs="Times New Roman"/>
                <w:color w:val="auto"/>
                <w:sz w:val="24"/>
                <w:szCs w:val="24"/>
                <w:highlight w:val="none"/>
              </w:rPr>
              <w:t>酸洗釜加入适量高纯水冲洗石英砂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去除可溶性金属氯化物及少量混合酸，冲洗完成后清洗废水送污水站</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石英砂通过管道送入下一工序</w:t>
            </w:r>
            <w:r>
              <w:rPr>
                <w:rFonts w:hint="default" w:ascii="Times New Roman" w:hAnsi="Times New Roman" w:eastAsia="宋体" w:cs="Times New Roman"/>
                <w:color w:val="auto"/>
                <w:sz w:val="24"/>
                <w:szCs w:val="24"/>
                <w:highlight w:val="none"/>
              </w:rPr>
              <w:t>。每年需清洗石英砂量2000t，清洗废水量与石英砂清洗量约</w:t>
            </w:r>
            <w:r>
              <w:rPr>
                <w:rFonts w:hint="eastAsia"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rPr>
              <w:t>:1，因此清洗</w:t>
            </w:r>
            <w:r>
              <w:rPr>
                <w:rFonts w:hint="default" w:ascii="Times New Roman" w:hAnsi="Times New Roman" w:eastAsia="宋体" w:cs="Times New Roman"/>
                <w:bCs/>
                <w:color w:val="auto"/>
                <w:sz w:val="24"/>
                <w:szCs w:val="24"/>
                <w:highlight w:val="none"/>
              </w:rPr>
              <w:t>废水</w:t>
            </w:r>
            <w:r>
              <w:rPr>
                <w:rFonts w:hint="default" w:ascii="Times New Roman" w:hAnsi="Times New Roman" w:eastAsia="宋体" w:cs="Times New Roman"/>
                <w:color w:val="auto"/>
                <w:sz w:val="24"/>
                <w:szCs w:val="24"/>
                <w:highlight w:val="none"/>
              </w:rPr>
              <w:t>量约</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p>
          <w:p w14:paraId="1CF67B6A">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产污分析：酸洗工序产生酸性废气G</w:t>
            </w:r>
            <w:r>
              <w:rPr>
                <w:rFonts w:hint="eastAsia" w:cs="Times New Roman"/>
                <w:b/>
                <w:bCs/>
                <w:color w:val="auto"/>
                <w:sz w:val="24"/>
                <w:szCs w:val="24"/>
                <w:highlight w:val="none"/>
                <w:lang w:val="en-US" w:eastAsia="zh-CN"/>
              </w:rPr>
              <w:t>5</w:t>
            </w:r>
            <w:r>
              <w:rPr>
                <w:rFonts w:hint="eastAsia"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清洗废水W3</w:t>
            </w:r>
            <w:r>
              <w:rPr>
                <w:rFonts w:hint="eastAsia"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废酸S6、废酸渣S</w:t>
            </w:r>
            <w:r>
              <w:rPr>
                <w:rFonts w:hint="eastAsia"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rPr>
              <w:t>，废气主要污染物为酸洗过程产生的酸性废气氯化氢、氟化物，废气经负压集气管收集后进入</w:t>
            </w:r>
            <w:r>
              <w:rPr>
                <w:rFonts w:hint="eastAsia" w:cs="Times New Roman"/>
                <w:b/>
                <w:bCs/>
                <w:color w:val="auto"/>
                <w:sz w:val="24"/>
                <w:szCs w:val="24"/>
                <w:highlight w:val="none"/>
                <w:lang w:eastAsia="zh-CN"/>
              </w:rPr>
              <w:t>两级碱</w:t>
            </w:r>
            <w:r>
              <w:rPr>
                <w:rFonts w:hint="default" w:ascii="Times New Roman" w:hAnsi="Times New Roman" w:eastAsia="宋体" w:cs="Times New Roman"/>
                <w:b/>
                <w:bCs/>
                <w:color w:val="auto"/>
                <w:sz w:val="24"/>
                <w:szCs w:val="24"/>
                <w:highlight w:val="none"/>
              </w:rPr>
              <w:t>液喷淋塔处理后经DA003排气筒排放；清洗废水经废水管道收集进入厂区污水处理站处理，酸洗后废酸、废酸渣作为固废处置。</w:t>
            </w:r>
          </w:p>
          <w:p w14:paraId="361E72DA">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rPr>
              <w:t>）烤砂</w:t>
            </w:r>
          </w:p>
          <w:p w14:paraId="4928ED76">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将石英砂通过密闭输送带送入烤砂炉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密闭装置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中进行烤砂处理，烤砂温度约为1000℃，烤砂采用电加热，使得石英砂的含水量低至0.5%，烤干后自然冷却。</w:t>
            </w:r>
          </w:p>
          <w:p w14:paraId="61EBF199">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产污分析：烤砂</w:t>
            </w:r>
            <w:r>
              <w:rPr>
                <w:rFonts w:hint="default" w:ascii="Times New Roman" w:hAnsi="Times New Roman" w:eastAsia="宋体" w:cs="Times New Roman"/>
                <w:b/>
                <w:bCs/>
                <w:color w:val="auto"/>
                <w:sz w:val="24"/>
                <w:szCs w:val="24"/>
                <w:highlight w:val="none"/>
                <w:lang w:val="en-US" w:eastAsia="zh-CN"/>
              </w:rPr>
              <w:t>出口产生的粉尘</w:t>
            </w:r>
            <w:r>
              <w:rPr>
                <w:rFonts w:hint="eastAsia" w:cs="Times New Roman"/>
                <w:b/>
                <w:bCs/>
                <w:color w:val="auto"/>
                <w:sz w:val="24"/>
                <w:szCs w:val="24"/>
                <w:highlight w:val="none"/>
                <w:lang w:val="en-US" w:eastAsia="zh-CN"/>
              </w:rPr>
              <w:t>G6</w:t>
            </w:r>
            <w:r>
              <w:rPr>
                <w:rFonts w:hint="default" w:ascii="Times New Roman" w:hAnsi="Times New Roman" w:eastAsia="宋体" w:cs="Times New Roman"/>
                <w:b/>
                <w:bCs/>
                <w:color w:val="auto"/>
                <w:sz w:val="24"/>
                <w:szCs w:val="24"/>
                <w:highlight w:val="none"/>
                <w:lang w:val="en-US" w:eastAsia="zh-CN"/>
              </w:rPr>
              <w:t>经集气罩收集后</w:t>
            </w:r>
            <w:r>
              <w:rPr>
                <w:rFonts w:hint="default" w:ascii="Times New Roman" w:hAnsi="Times New Roman" w:eastAsia="宋体" w:cs="Times New Roman"/>
                <w:b/>
                <w:bCs/>
                <w:color w:val="auto"/>
                <w:sz w:val="24"/>
                <w:szCs w:val="24"/>
                <w:highlight w:val="none"/>
              </w:rPr>
              <w:t>进入</w:t>
            </w:r>
            <w:r>
              <w:rPr>
                <w:rFonts w:hint="eastAsia" w:cs="Times New Roman"/>
                <w:b/>
                <w:bCs/>
                <w:color w:val="auto"/>
                <w:sz w:val="24"/>
                <w:szCs w:val="24"/>
                <w:highlight w:val="none"/>
                <w:lang w:val="en-US" w:eastAsia="zh-CN"/>
              </w:rPr>
              <w:t>水喷淋装置</w:t>
            </w:r>
            <w:r>
              <w:rPr>
                <w:rFonts w:hint="default" w:ascii="Times New Roman" w:hAnsi="Times New Roman" w:eastAsia="宋体" w:cs="Times New Roman"/>
                <w:b/>
                <w:bCs/>
                <w:color w:val="auto"/>
                <w:sz w:val="24"/>
                <w:szCs w:val="24"/>
                <w:highlight w:val="none"/>
              </w:rPr>
              <w:t>，处理后经DA00</w:t>
            </w: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排气筒排放</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排放</w:t>
            </w:r>
            <w:r>
              <w:rPr>
                <w:rFonts w:hint="default" w:ascii="Times New Roman" w:hAnsi="Times New Roman" w:eastAsia="宋体" w:cs="Times New Roman"/>
                <w:b/>
                <w:bCs/>
                <w:color w:val="auto"/>
                <w:sz w:val="24"/>
                <w:szCs w:val="24"/>
                <w:highlight w:val="none"/>
              </w:rPr>
              <w:t>量较少，本报告不定量</w:t>
            </w:r>
            <w:r>
              <w:rPr>
                <w:rFonts w:hint="default" w:ascii="Times New Roman" w:hAnsi="Times New Roman" w:eastAsia="宋体" w:cs="Times New Roman"/>
                <w:b/>
                <w:bCs/>
                <w:color w:val="auto"/>
                <w:sz w:val="24"/>
                <w:szCs w:val="24"/>
                <w:highlight w:val="none"/>
                <w:lang w:eastAsia="zh-CN"/>
              </w:rPr>
              <w:t>。</w:t>
            </w:r>
          </w:p>
          <w:p w14:paraId="422AA0A8">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rPr>
              <w:t>）磁选</w:t>
            </w:r>
          </w:p>
          <w:p w14:paraId="0359E93B">
            <w:pPr>
              <w:pStyle w:val="15"/>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烤砂</w:t>
            </w:r>
            <w:r>
              <w:rPr>
                <w:rFonts w:hint="default" w:ascii="Times New Roman" w:hAnsi="Times New Roman" w:eastAsia="宋体" w:cs="Times New Roman"/>
                <w:color w:val="auto"/>
                <w:sz w:val="24"/>
                <w:szCs w:val="24"/>
                <w:highlight w:val="none"/>
              </w:rPr>
              <w:t>后的石英砂经</w:t>
            </w:r>
            <w:r>
              <w:rPr>
                <w:rFonts w:hint="eastAsia" w:ascii="Times New Roman" w:hAnsi="Times New Roman" w:eastAsia="宋体" w:cs="Times New Roman"/>
                <w:color w:val="auto"/>
                <w:sz w:val="24"/>
                <w:szCs w:val="24"/>
                <w:highlight w:val="none"/>
                <w:lang w:val="en-US" w:eastAsia="zh-CN"/>
              </w:rPr>
              <w:t>包装桶</w:t>
            </w:r>
            <w:r>
              <w:rPr>
                <w:rFonts w:hint="default" w:ascii="Times New Roman" w:hAnsi="Times New Roman" w:eastAsia="宋体" w:cs="Times New Roman"/>
                <w:color w:val="auto"/>
                <w:sz w:val="24"/>
                <w:szCs w:val="24"/>
                <w:highlight w:val="none"/>
              </w:rPr>
              <w:t>吊送进入磁选设备，去除弱磁性物质。</w:t>
            </w:r>
          </w:p>
          <w:p w14:paraId="2E3AD357">
            <w:pPr>
              <w:adjustRightInd w:val="0"/>
              <w:snapToGrid w:val="0"/>
              <w:spacing w:line="360" w:lineRule="auto"/>
              <w:ind w:firstLine="482"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产污分析：磁选产生的磁性物料S</w:t>
            </w:r>
            <w:r>
              <w:rPr>
                <w:rFonts w:hint="eastAsia" w:ascii="Times New Roman" w:hAnsi="Times New Roman" w:eastAsia="宋体"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rPr>
              <w:t>，收集后暂存，废气粉尘G</w:t>
            </w:r>
            <w:r>
              <w:rPr>
                <w:rFonts w:hint="eastAsia"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经磁选</w:t>
            </w:r>
            <w:r>
              <w:rPr>
                <w:rFonts w:hint="default" w:ascii="Times New Roman" w:hAnsi="Times New Roman" w:eastAsia="宋体" w:cs="Times New Roman"/>
                <w:b/>
                <w:bCs/>
                <w:color w:val="auto"/>
                <w:sz w:val="24"/>
                <w:szCs w:val="24"/>
                <w:highlight w:val="none"/>
                <w:lang w:val="en-US" w:eastAsia="zh-CN"/>
              </w:rPr>
              <w:t>设备</w:t>
            </w:r>
            <w:r>
              <w:rPr>
                <w:rFonts w:hint="default" w:ascii="Times New Roman" w:hAnsi="Times New Roman" w:eastAsia="宋体" w:cs="Times New Roman"/>
                <w:b/>
                <w:bCs/>
                <w:color w:val="auto"/>
                <w:sz w:val="24"/>
                <w:szCs w:val="24"/>
                <w:highlight w:val="none"/>
              </w:rPr>
              <w:t>上方布置的集气罩收集后进入袋式除尘器，处理后经DA001排气筒排放。</w:t>
            </w:r>
          </w:p>
          <w:p w14:paraId="055A6960">
            <w:pPr>
              <w:adjustRightInd w:val="0"/>
              <w:snapToGrid w:val="0"/>
              <w:spacing w:line="360" w:lineRule="auto"/>
              <w:ind w:firstLine="482" w:firstLineChars="200"/>
              <w:rPr>
                <w:rFonts w:hint="default" w:ascii="Times New Roman" w:hAnsi="Times New Roman" w:eastAsia="宋体" w:cs="Times New Roman"/>
                <w:b/>
                <w:bCs/>
                <w:color w:val="auto"/>
                <w:sz w:val="24"/>
                <w:szCs w:val="24"/>
                <w:highlight w:val="none"/>
              </w:rPr>
            </w:pPr>
            <w:r>
              <w:rPr>
                <w:rFonts w:hint="eastAsia" w:cs="Times New Roman"/>
                <w:b/>
                <w:bCs/>
                <w:color w:val="auto"/>
                <w:sz w:val="24"/>
                <w:szCs w:val="24"/>
                <w:highlight w:val="none"/>
                <w:lang w:val="en-US" w:eastAsia="zh-CN"/>
              </w:rPr>
              <w:t>10</w:t>
            </w:r>
            <w:r>
              <w:rPr>
                <w:rFonts w:hint="default" w:ascii="Times New Roman" w:hAnsi="Times New Roman" w:eastAsia="宋体" w:cs="Times New Roman"/>
                <w:b/>
                <w:bCs/>
                <w:color w:val="auto"/>
                <w:sz w:val="24"/>
                <w:szCs w:val="24"/>
                <w:highlight w:val="none"/>
              </w:rPr>
              <w:t>）纯化</w:t>
            </w:r>
          </w:p>
          <w:p w14:paraId="731AB82D">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磁选后石英砂</w:t>
            </w:r>
            <w:r>
              <w:rPr>
                <w:rFonts w:hint="default" w:ascii="Times New Roman" w:hAnsi="Times New Roman" w:eastAsia="宋体" w:cs="Times New Roman"/>
                <w:color w:val="auto"/>
                <w:sz w:val="24"/>
                <w:szCs w:val="24"/>
                <w:highlight w:val="none"/>
                <w:lang w:val="en-US" w:eastAsia="zh-CN"/>
              </w:rPr>
              <w:t>进行纯化工序，纯化过程首先将石英砂填入炉内的石英管，然后对管内进行抽真空处理，之后通过密闭管道加入氯化氢气体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氯化氢加入速率为1</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kg/h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纯化过程全密闭，将炉内温度升温至1000℃。纯化结束后向炉内鼓入过量干燥空气进行</w:t>
            </w:r>
            <w:r>
              <w:rPr>
                <w:rFonts w:hint="eastAsia" w:cs="Times New Roman"/>
                <w:color w:val="auto"/>
                <w:sz w:val="24"/>
                <w:szCs w:val="24"/>
                <w:highlight w:val="none"/>
                <w:lang w:val="en-US" w:eastAsia="zh-CN"/>
              </w:rPr>
              <w:t>气体</w:t>
            </w:r>
            <w:r>
              <w:rPr>
                <w:rFonts w:hint="default" w:ascii="Times New Roman" w:hAnsi="Times New Roman" w:eastAsia="宋体" w:cs="Times New Roman"/>
                <w:color w:val="auto"/>
                <w:sz w:val="24"/>
                <w:szCs w:val="24"/>
                <w:highlight w:val="none"/>
                <w:lang w:val="en-US" w:eastAsia="zh-CN"/>
              </w:rPr>
              <w:t>置换、降温</w:t>
            </w:r>
            <w:r>
              <w:rPr>
                <w:rFonts w:hint="eastAsia" w:cs="Times New Roman"/>
                <w:color w:val="auto"/>
                <w:sz w:val="24"/>
                <w:szCs w:val="24"/>
                <w:highlight w:val="none"/>
                <w:lang w:val="en-US" w:eastAsia="zh-CN"/>
              </w:rPr>
              <w:t>，进入废气处理装置</w:t>
            </w:r>
            <w:r>
              <w:rPr>
                <w:rFonts w:hint="default" w:ascii="Times New Roman" w:hAnsi="Times New Roman" w:eastAsia="宋体" w:cs="Times New Roman"/>
                <w:color w:val="auto"/>
                <w:sz w:val="24"/>
                <w:szCs w:val="24"/>
                <w:highlight w:val="none"/>
              </w:rPr>
              <w:t>。</w:t>
            </w:r>
          </w:p>
          <w:p w14:paraId="78893F2B">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纯化原理：</w:t>
            </w:r>
            <w:r>
              <w:rPr>
                <w:rFonts w:hint="default" w:ascii="Times New Roman" w:hAnsi="Times New Roman" w:eastAsia="宋体" w:cs="Times New Roman"/>
                <w:color w:val="auto"/>
                <w:sz w:val="24"/>
                <w:szCs w:val="24"/>
                <w:highlight w:val="none"/>
              </w:rPr>
              <w:t>石英颗粒表层的碱金属、碱土金属和残余的包裹体等杂质在高温下与氯化氢反应生成氯化物，高温气流使其升华后迅速将这些杂质元素的氯化物带走，从而达到深度提纯的目的。</w:t>
            </w:r>
          </w:p>
          <w:p w14:paraId="444956C6">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纯化过程中存在反应和逸出两个阶段。</w:t>
            </w:r>
          </w:p>
          <w:p w14:paraId="4C92B109">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①反应阶段：晶格内的代替Si</w:t>
            </w:r>
            <w:r>
              <w:rPr>
                <w:rFonts w:hint="default" w:ascii="Times New Roman" w:hAnsi="Times New Roman" w:eastAsia="宋体" w:cs="Times New Roman"/>
                <w:color w:val="auto"/>
                <w:sz w:val="24"/>
                <w:szCs w:val="24"/>
                <w:highlight w:val="none"/>
                <w:vertAlign w:val="superscript"/>
              </w:rPr>
              <w:t>4+</w:t>
            </w:r>
            <w:r>
              <w:rPr>
                <w:rFonts w:hint="default" w:ascii="Times New Roman" w:hAnsi="Times New Roman" w:eastAsia="宋体" w:cs="Times New Roman"/>
                <w:color w:val="auto"/>
                <w:sz w:val="24"/>
                <w:szCs w:val="24"/>
                <w:highlight w:val="none"/>
              </w:rPr>
              <w:t>的杂质离子（Al</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、Fe</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等）转变为游离态，与HCl反应生成AlCl</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等金属氯化物，由于沸点不高迅速被高温气流带走进入废气处理装置。石英晶格内部的热缺陷在高温振动下处于不断产生与复合的动态平衡中，缺陷的迁移运动原本是完全无序的，由于石英表面和内部形成了浓度梯度，在这种外力场的作用下，石英内部的热缺陷缓慢地朝表面定向运动，有利于石英内部的杂质缺陷逐渐减少。</w:t>
            </w:r>
          </w:p>
          <w:p w14:paraId="329E8E92">
            <w:pPr>
              <w:adjustRightInd w:val="0"/>
              <w:snapToGrid w:val="0"/>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O₃+6HCl→2FeCl₃+3H₂O</w:t>
            </w:r>
          </w:p>
          <w:p w14:paraId="07D04AE3">
            <w:pPr>
              <w:adjustRightInd w:val="0"/>
              <w:snapToGrid w:val="0"/>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O₃+6HCl→2A1Cl₃+3H₂O</w:t>
            </w:r>
          </w:p>
          <w:p w14:paraId="5CD5A3C1">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逸出阶段：反应阶段生成的水、氯化物挥发逸出石英表面并向体系内扩散，导致石英表面生成物浓度处于较低的水平，利于反应的平衡右移。受限于热缺陷的迁移速率和其他因素，石英砂内部产生的肖特基缺陷很难完全迁移至表面，而石英砂表面或近表面的晶格杂质可能在纯化过程中得到净化。</w:t>
            </w:r>
          </w:p>
          <w:p w14:paraId="0AF81349">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氯化氢为不燃气体，分解温度约为1500℃，二氧化硅熔点1650℃，沸点2230℃，氯化铁沸点约为316℃，氯化铝沸点约为178℃。 </w:t>
            </w:r>
          </w:p>
          <w:p w14:paraId="6A0887C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在高温纯化过程中，基本无有机组分参与，也不是氯化氢燃烧过程，而是氯化氢与金属、非金属元素反应生成低沸点氯化物过程，无二噁英产生。</w:t>
            </w:r>
          </w:p>
          <w:p w14:paraId="0E9528CB">
            <w:pPr>
              <w:pStyle w:val="15"/>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产污分析：纯化处理过程中</w:t>
            </w:r>
            <w:r>
              <w:rPr>
                <w:rFonts w:hint="default" w:ascii="Times New Roman" w:hAnsi="Times New Roman" w:eastAsia="宋体" w:cs="Times New Roman"/>
                <w:b/>
                <w:bCs/>
                <w:color w:val="auto"/>
                <w:kern w:val="2"/>
                <w:sz w:val="24"/>
                <w:szCs w:val="24"/>
                <w:highlight w:val="none"/>
              </w:rPr>
              <w:t>产生废气G</w:t>
            </w:r>
            <w:r>
              <w:rPr>
                <w:rFonts w:hint="eastAsia" w:cs="Times New Roman"/>
                <w:b/>
                <w:bCs/>
                <w:color w:val="auto"/>
                <w:kern w:val="2"/>
                <w:sz w:val="24"/>
                <w:szCs w:val="24"/>
                <w:highlight w:val="none"/>
                <w:lang w:val="en-US" w:eastAsia="zh-CN"/>
              </w:rPr>
              <w:t>8</w:t>
            </w:r>
            <w:r>
              <w:rPr>
                <w:rFonts w:hint="default" w:ascii="Times New Roman" w:hAnsi="Times New Roman" w:eastAsia="宋体" w:cs="Times New Roman"/>
                <w:b/>
                <w:bCs/>
                <w:color w:val="auto"/>
                <w:kern w:val="2"/>
                <w:sz w:val="24"/>
                <w:szCs w:val="24"/>
                <w:highlight w:val="none"/>
              </w:rPr>
              <w:t>，主要为氯化氢气体、</w:t>
            </w:r>
            <w:r>
              <w:rPr>
                <w:rFonts w:hint="eastAsia" w:cs="Times New Roman"/>
                <w:b/>
                <w:bCs/>
                <w:color w:val="auto"/>
                <w:kern w:val="2"/>
                <w:sz w:val="24"/>
                <w:szCs w:val="24"/>
                <w:highlight w:val="none"/>
                <w:lang w:val="en-US" w:eastAsia="zh-CN"/>
              </w:rPr>
              <w:t>颗粒物（</w:t>
            </w:r>
            <w:r>
              <w:rPr>
                <w:rFonts w:hint="default" w:ascii="Times New Roman" w:hAnsi="Times New Roman" w:eastAsia="宋体" w:cs="Times New Roman"/>
                <w:b/>
                <w:bCs/>
                <w:color w:val="auto"/>
                <w:sz w:val="24"/>
                <w:szCs w:val="24"/>
                <w:highlight w:val="none"/>
                <w:lang w:val="en-US" w:eastAsia="zh-CN"/>
              </w:rPr>
              <w:t>低沸点的金属</w:t>
            </w:r>
            <w:r>
              <w:rPr>
                <w:rFonts w:hint="eastAsia" w:ascii="Times New Roman" w:hAnsi="Times New Roman" w:eastAsia="宋体" w:cs="Times New Roman"/>
                <w:b/>
                <w:bCs/>
                <w:color w:val="auto"/>
                <w:sz w:val="24"/>
                <w:szCs w:val="24"/>
                <w:highlight w:val="none"/>
                <w:lang w:val="en-US" w:eastAsia="zh-CN"/>
              </w:rPr>
              <w:t>化合物、石英砂等）</w:t>
            </w:r>
            <w:r>
              <w:rPr>
                <w:rFonts w:hint="default" w:ascii="Times New Roman" w:hAnsi="Times New Roman" w:eastAsia="宋体" w:cs="Times New Roman"/>
                <w:b/>
                <w:bCs/>
                <w:color w:val="auto"/>
                <w:kern w:val="2"/>
                <w:sz w:val="24"/>
                <w:szCs w:val="24"/>
                <w:highlight w:val="none"/>
              </w:rPr>
              <w:t>；</w:t>
            </w:r>
            <w:r>
              <w:rPr>
                <w:rFonts w:hint="default" w:ascii="Times New Roman" w:hAnsi="Times New Roman" w:eastAsia="宋体" w:cs="Times New Roman"/>
                <w:b/>
                <w:bCs/>
                <w:color w:val="auto"/>
                <w:sz w:val="24"/>
                <w:szCs w:val="24"/>
                <w:highlight w:val="none"/>
              </w:rPr>
              <w:t>氯化氢提纯</w:t>
            </w:r>
            <w:r>
              <w:rPr>
                <w:rFonts w:hint="eastAsia" w:cs="Times New Roman"/>
                <w:b/>
                <w:bCs/>
                <w:color w:val="auto"/>
                <w:sz w:val="24"/>
                <w:szCs w:val="24"/>
                <w:highlight w:val="none"/>
                <w:lang w:val="en-US" w:eastAsia="zh-CN"/>
              </w:rPr>
              <w:t>炉</w:t>
            </w:r>
            <w:r>
              <w:rPr>
                <w:rFonts w:hint="default" w:ascii="Times New Roman" w:hAnsi="Times New Roman" w:eastAsia="宋体" w:cs="Times New Roman"/>
                <w:b/>
                <w:bCs/>
                <w:color w:val="auto"/>
                <w:sz w:val="24"/>
                <w:szCs w:val="24"/>
                <w:highlight w:val="none"/>
              </w:rPr>
              <w:t>为密闭空间，石英管内排出的废气经负压集气管收集后通过密闭管道进入</w:t>
            </w:r>
            <w:r>
              <w:rPr>
                <w:rFonts w:hint="eastAsia" w:cs="Times New Roman"/>
                <w:b/>
                <w:bCs/>
                <w:color w:val="auto"/>
                <w:sz w:val="24"/>
                <w:szCs w:val="24"/>
                <w:highlight w:val="none"/>
                <w:lang w:eastAsia="zh-CN"/>
              </w:rPr>
              <w:t>两级碱</w:t>
            </w:r>
            <w:r>
              <w:rPr>
                <w:rFonts w:hint="default" w:ascii="Times New Roman" w:hAnsi="Times New Roman" w:eastAsia="宋体" w:cs="Times New Roman"/>
                <w:b/>
                <w:bCs/>
                <w:color w:val="auto"/>
                <w:sz w:val="24"/>
                <w:szCs w:val="24"/>
                <w:highlight w:val="none"/>
              </w:rPr>
              <w:t>液喷淋塔处理后经DA005排气筒排放</w:t>
            </w:r>
            <w:r>
              <w:rPr>
                <w:rFonts w:hint="default" w:ascii="Times New Roman" w:hAnsi="Times New Roman" w:eastAsia="宋体" w:cs="Times New Roman"/>
                <w:b/>
                <w:bCs/>
                <w:color w:val="auto"/>
                <w:kern w:val="2"/>
                <w:sz w:val="24"/>
                <w:szCs w:val="24"/>
                <w:highlight w:val="none"/>
              </w:rPr>
              <w:t>。</w:t>
            </w:r>
          </w:p>
          <w:p w14:paraId="0B4AB1DD">
            <w:pPr>
              <w:adjustRightInd w:val="0"/>
              <w:snapToGrid w:val="0"/>
              <w:spacing w:line="360" w:lineRule="auto"/>
              <w:ind w:firstLine="482" w:firstLineChars="200"/>
              <w:rPr>
                <w:rFonts w:hint="default" w:ascii="Times New Roman" w:hAnsi="Times New Roman" w:eastAsia="宋体" w:cs="Times New Roman"/>
                <w:color w:val="auto"/>
                <w:sz w:val="24"/>
                <w:szCs w:val="24"/>
                <w:highlight w:val="none"/>
              </w:rPr>
            </w:pPr>
            <w:r>
              <w:rPr>
                <w:rFonts w:hint="eastAsia"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rPr>
              <w:t>）包装</w:t>
            </w:r>
            <w:r>
              <w:rPr>
                <w:rFonts w:hint="default" w:ascii="Times New Roman" w:hAnsi="Times New Roman" w:eastAsia="宋体" w:cs="Times New Roman"/>
                <w:color w:val="auto"/>
                <w:sz w:val="24"/>
                <w:szCs w:val="24"/>
                <w:highlight w:val="none"/>
              </w:rPr>
              <w:t>：提纯后的石英砂产品</w:t>
            </w:r>
            <w:r>
              <w:rPr>
                <w:rFonts w:hint="default" w:ascii="Times New Roman" w:hAnsi="Times New Roman" w:eastAsia="宋体" w:cs="Times New Roman"/>
                <w:color w:val="auto"/>
                <w:sz w:val="24"/>
                <w:szCs w:val="24"/>
                <w:highlight w:val="none"/>
                <w:lang w:val="en-US" w:eastAsia="zh-CN"/>
              </w:rPr>
              <w:t>采用自动包装机</w:t>
            </w:r>
            <w:r>
              <w:rPr>
                <w:rFonts w:hint="default" w:ascii="Times New Roman" w:hAnsi="Times New Roman" w:eastAsia="宋体" w:cs="Times New Roman"/>
                <w:color w:val="auto"/>
                <w:sz w:val="24"/>
                <w:szCs w:val="24"/>
                <w:highlight w:val="none"/>
              </w:rPr>
              <w:t>包装入库。</w:t>
            </w:r>
          </w:p>
          <w:p w14:paraId="3D66110D">
            <w:pPr>
              <w:adjustRightInd w:val="0"/>
              <w:snapToGrid w:val="0"/>
              <w:spacing w:line="360" w:lineRule="auto"/>
              <w:ind w:firstLine="482" w:firstLineChars="200"/>
              <w:rPr>
                <w:color w:val="auto"/>
                <w:sz w:val="24"/>
              </w:rPr>
            </w:pPr>
            <w:r>
              <w:rPr>
                <w:rFonts w:hint="default" w:ascii="Times New Roman" w:hAnsi="Times New Roman" w:eastAsia="宋体" w:cs="Times New Roman"/>
                <w:b/>
                <w:bCs/>
                <w:color w:val="auto"/>
                <w:sz w:val="24"/>
                <w:szCs w:val="24"/>
                <w:highlight w:val="none"/>
              </w:rPr>
              <w:t>产污分析：出料包装过程产生少量粉尘G8。</w:t>
            </w:r>
          </w:p>
          <w:p w14:paraId="74183E50">
            <w:pPr>
              <w:adjustRightInd w:val="0"/>
              <w:snapToGrid w:val="0"/>
              <w:spacing w:line="360" w:lineRule="auto"/>
              <w:ind w:firstLine="482" w:firstLineChars="200"/>
              <w:rPr>
                <w:b/>
                <w:bCs/>
                <w:color w:val="auto"/>
                <w:sz w:val="24"/>
              </w:rPr>
            </w:pPr>
            <w:r>
              <w:rPr>
                <w:b/>
                <w:bCs/>
                <w:color w:val="auto"/>
                <w:sz w:val="24"/>
              </w:rPr>
              <w:t>12）纯水制备</w:t>
            </w:r>
          </w:p>
          <w:p w14:paraId="74E4999F">
            <w:pPr>
              <w:adjustRightInd w:val="0"/>
              <w:snapToGrid w:val="0"/>
              <w:spacing w:line="360" w:lineRule="auto"/>
              <w:ind w:firstLine="480" w:firstLineChars="200"/>
              <w:rPr>
                <w:color w:val="auto"/>
                <w:sz w:val="24"/>
              </w:rPr>
            </w:pPr>
            <w:r>
              <w:rPr>
                <w:color w:val="auto"/>
                <w:sz w:val="24"/>
              </w:rPr>
              <w:t>高纯水设备通常由原水预处理系统、反渗透纯化系统、超纯化后处理系统三部分组成。</w:t>
            </w:r>
          </w:p>
          <w:p w14:paraId="5B060E6C">
            <w:pPr>
              <w:adjustRightInd w:val="0"/>
              <w:snapToGrid w:val="0"/>
              <w:spacing w:line="360" w:lineRule="auto"/>
              <w:ind w:firstLine="480" w:firstLineChars="200"/>
              <w:rPr>
                <w:color w:val="auto"/>
                <w:sz w:val="24"/>
              </w:rPr>
            </w:pPr>
            <w:r>
              <w:rPr>
                <w:color w:val="auto"/>
                <w:sz w:val="24"/>
              </w:rPr>
              <w:t>预处理的目的主要是使原水达到反渗透膜分离组件的进水要求，保证反渗透纯化系统的稳定运行。</w:t>
            </w:r>
          </w:p>
          <w:p w14:paraId="561BC4FA">
            <w:pPr>
              <w:adjustRightInd w:val="0"/>
              <w:snapToGrid w:val="0"/>
              <w:spacing w:line="360" w:lineRule="auto"/>
              <w:ind w:firstLine="480" w:firstLineChars="200"/>
              <w:rPr>
                <w:color w:val="auto"/>
                <w:sz w:val="24"/>
              </w:rPr>
            </w:pPr>
            <w:r>
              <w:rPr>
                <w:color w:val="auto"/>
                <w:sz w:val="24"/>
              </w:rPr>
              <w:t>反渗透膜系统是一次性去除原水中98%以上离子、有机物。预处理系统由各类过滤器组成（石英砂、活性炭等）。反渗透纯化系统是以压力差为推动力的一种高新膜分离技术，具有一次分离度高、无相变、简单高效的特点。反渗透膜孔径已小至纳米（1nm=10</w:t>
            </w:r>
            <w:r>
              <w:rPr>
                <w:color w:val="auto"/>
                <w:sz w:val="24"/>
                <w:vertAlign w:val="superscript"/>
              </w:rPr>
              <w:t>-9</w:t>
            </w:r>
            <w:r>
              <w:rPr>
                <w:color w:val="auto"/>
                <w:sz w:val="24"/>
              </w:rPr>
              <w:t>m），在扫描电镜下无法看到表面任何“过滤”小孔。在高于原水渗透压的操作压力下，水分子可反渗透通过RO半透膜产出纯水，而原水中的大量无机离子、有机物、胶体、微生物、热原等被RO膜截留。</w:t>
            </w:r>
          </w:p>
          <w:p w14:paraId="1DFF0750">
            <w:pPr>
              <w:adjustRightInd w:val="0"/>
              <w:snapToGrid w:val="0"/>
              <w:spacing w:line="360" w:lineRule="auto"/>
              <w:ind w:firstLine="480" w:firstLineChars="200"/>
              <w:rPr>
                <w:color w:val="auto"/>
                <w:sz w:val="24"/>
              </w:rPr>
            </w:pPr>
            <w:r>
              <w:rPr>
                <w:color w:val="auto"/>
                <w:sz w:val="24"/>
              </w:rPr>
              <w:t>高纯水设备的纯化后处理系统由EDI装置等部件组成，是一种利用电化学反应和离子交换原理来获得高纯度水的装置。它科学地将电渗析技术和离子交换技术融为一体，通过阳、阴离子膜对阳、阴离子的选择透过作用以及对水中离子的交换作用，在电场的作用下实现水中离子的定向迁移，从而达到水的深度净化除盐，利用电流实现离子交换树脂的连续再生，是一种高效的水处理装置‌。</w:t>
            </w:r>
          </w:p>
          <w:p w14:paraId="52C4DC2B">
            <w:pPr>
              <w:pStyle w:val="15"/>
              <w:spacing w:line="360" w:lineRule="auto"/>
              <w:ind w:firstLine="482" w:firstLineChars="200"/>
              <w:rPr>
                <w:b/>
                <w:bCs/>
                <w:color w:val="auto"/>
                <w:kern w:val="2"/>
                <w:szCs w:val="24"/>
              </w:rPr>
            </w:pPr>
            <w:r>
              <w:rPr>
                <w:b/>
                <w:bCs/>
                <w:color w:val="auto"/>
                <w:szCs w:val="24"/>
              </w:rPr>
              <w:t>产污分析：纯水制备过程主要产生废活性炭、废石英砂、废膜固废</w:t>
            </w:r>
            <w:r>
              <w:rPr>
                <w:b/>
                <w:bCs/>
                <w:color w:val="auto"/>
                <w:kern w:val="2"/>
                <w:szCs w:val="24"/>
              </w:rPr>
              <w:t>。</w:t>
            </w:r>
          </w:p>
          <w:p w14:paraId="01943783">
            <w:pPr>
              <w:spacing w:line="400" w:lineRule="exact"/>
              <w:jc w:val="center"/>
              <w:rPr>
                <w:rFonts w:hint="eastAsia"/>
                <w:b/>
                <w:bCs/>
                <w:color w:val="auto"/>
                <w:szCs w:val="21"/>
              </w:rPr>
            </w:pPr>
            <w:r>
              <w:rPr>
                <w:b/>
                <w:bCs/>
                <w:color w:val="auto"/>
                <w:szCs w:val="21"/>
              </w:rPr>
              <w:t>表2-</w:t>
            </w:r>
            <w:r>
              <w:rPr>
                <w:rFonts w:hint="eastAsia"/>
                <w:b/>
                <w:bCs/>
                <w:color w:val="auto"/>
                <w:szCs w:val="21"/>
                <w:lang w:val="en-US" w:eastAsia="zh-CN"/>
              </w:rPr>
              <w:t>9</w:t>
            </w:r>
            <w:r>
              <w:rPr>
                <w:b/>
                <w:bCs/>
                <w:color w:val="auto"/>
                <w:szCs w:val="21"/>
              </w:rPr>
              <w:t xml:space="preserve">  </w:t>
            </w:r>
            <w:r>
              <w:rPr>
                <w:rFonts w:hint="eastAsia"/>
                <w:b/>
                <w:bCs/>
                <w:color w:val="auto"/>
                <w:szCs w:val="21"/>
                <w:lang w:val="en-US" w:eastAsia="zh-CN"/>
              </w:rPr>
              <w:t>项目</w:t>
            </w:r>
            <w:r>
              <w:rPr>
                <w:rFonts w:hint="eastAsia"/>
                <w:b/>
                <w:bCs/>
                <w:color w:val="auto"/>
                <w:szCs w:val="21"/>
              </w:rPr>
              <w:t>全年物料平衡</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93"/>
              <w:gridCol w:w="32"/>
              <w:gridCol w:w="61"/>
              <w:gridCol w:w="1011"/>
              <w:gridCol w:w="1202"/>
              <w:gridCol w:w="1151"/>
              <w:gridCol w:w="1813"/>
              <w:gridCol w:w="1052"/>
            </w:tblGrid>
            <w:tr w14:paraId="173FE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6D056DE9">
                  <w:pPr>
                    <w:pStyle w:val="9"/>
                    <w:ind w:firstLine="0"/>
                    <w:jc w:val="center"/>
                    <w:rPr>
                      <w:rFonts w:hint="eastAsia" w:eastAsia="宋体"/>
                      <w:b/>
                      <w:bCs/>
                      <w:color w:val="auto"/>
                      <w:szCs w:val="21"/>
                      <w:lang w:val="en-US" w:eastAsia="zh-CN"/>
                    </w:rPr>
                  </w:pPr>
                  <w:r>
                    <w:rPr>
                      <w:rFonts w:hint="eastAsia"/>
                      <w:b/>
                      <w:bCs/>
                      <w:color w:val="auto"/>
                      <w:szCs w:val="21"/>
                      <w:lang w:val="en-US" w:eastAsia="zh-CN"/>
                    </w:rPr>
                    <w:t>工序</w:t>
                  </w:r>
                </w:p>
              </w:tc>
              <w:tc>
                <w:tcPr>
                  <w:tcW w:w="3199" w:type="dxa"/>
                  <w:gridSpan w:val="5"/>
                  <w:vAlign w:val="center"/>
                </w:tcPr>
                <w:p w14:paraId="71C8E7E5">
                  <w:pPr>
                    <w:pStyle w:val="9"/>
                    <w:ind w:firstLine="0"/>
                    <w:jc w:val="center"/>
                    <w:rPr>
                      <w:rFonts w:hint="eastAsia"/>
                      <w:b/>
                      <w:bCs/>
                      <w:color w:val="auto"/>
                      <w:szCs w:val="21"/>
                    </w:rPr>
                  </w:pPr>
                  <w:r>
                    <w:rPr>
                      <w:rFonts w:hint="eastAsia"/>
                      <w:b/>
                      <w:bCs/>
                      <w:color w:val="auto"/>
                      <w:szCs w:val="21"/>
                    </w:rPr>
                    <w:t>投入量（t/a）</w:t>
                  </w:r>
                </w:p>
              </w:tc>
              <w:tc>
                <w:tcPr>
                  <w:tcW w:w="4016" w:type="dxa"/>
                  <w:gridSpan w:val="3"/>
                  <w:vAlign w:val="center"/>
                </w:tcPr>
                <w:p w14:paraId="037C3046">
                  <w:pPr>
                    <w:pStyle w:val="9"/>
                    <w:ind w:firstLine="0"/>
                    <w:jc w:val="center"/>
                    <w:rPr>
                      <w:b/>
                      <w:bCs/>
                      <w:color w:val="auto"/>
                      <w:szCs w:val="21"/>
                    </w:rPr>
                  </w:pPr>
                  <w:r>
                    <w:rPr>
                      <w:rFonts w:hint="eastAsia"/>
                      <w:b/>
                      <w:bCs/>
                      <w:color w:val="auto"/>
                      <w:szCs w:val="21"/>
                    </w:rPr>
                    <w:t>产出量（t/a）</w:t>
                  </w:r>
                </w:p>
              </w:tc>
            </w:tr>
            <w:tr w14:paraId="16D31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4B9D3F2B">
                  <w:pPr>
                    <w:pStyle w:val="9"/>
                    <w:ind w:firstLine="0"/>
                    <w:jc w:val="center"/>
                    <w:rPr>
                      <w:b/>
                      <w:bCs/>
                      <w:color w:val="auto"/>
                      <w:szCs w:val="21"/>
                    </w:rPr>
                  </w:pPr>
                </w:p>
              </w:tc>
              <w:tc>
                <w:tcPr>
                  <w:tcW w:w="1997" w:type="dxa"/>
                  <w:gridSpan w:val="4"/>
                  <w:shd w:val="clear" w:color="auto" w:fill="auto"/>
                  <w:vAlign w:val="center"/>
                </w:tcPr>
                <w:p w14:paraId="427F6DF6">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rPr>
                    <w:t>物质名称</w:t>
                  </w:r>
                </w:p>
              </w:tc>
              <w:tc>
                <w:tcPr>
                  <w:tcW w:w="1202" w:type="dxa"/>
                  <w:vAlign w:val="center"/>
                </w:tcPr>
                <w:p w14:paraId="5AEF610F">
                  <w:pPr>
                    <w:pStyle w:val="9"/>
                    <w:ind w:firstLine="0"/>
                    <w:jc w:val="center"/>
                    <w:rPr>
                      <w:b/>
                      <w:bCs/>
                      <w:color w:val="auto"/>
                      <w:szCs w:val="21"/>
                    </w:rPr>
                  </w:pPr>
                  <w:r>
                    <w:rPr>
                      <w:rFonts w:hint="eastAsia"/>
                      <w:b/>
                      <w:bCs/>
                      <w:color w:val="auto"/>
                      <w:szCs w:val="21"/>
                    </w:rPr>
                    <w:t>数量</w:t>
                  </w:r>
                </w:p>
              </w:tc>
              <w:tc>
                <w:tcPr>
                  <w:tcW w:w="2964" w:type="dxa"/>
                  <w:gridSpan w:val="2"/>
                  <w:vAlign w:val="center"/>
                </w:tcPr>
                <w:p w14:paraId="4E51BECF">
                  <w:pPr>
                    <w:pStyle w:val="9"/>
                    <w:ind w:firstLine="0"/>
                    <w:jc w:val="center"/>
                    <w:rPr>
                      <w:rFonts w:hint="eastAsia"/>
                      <w:b/>
                      <w:bCs/>
                      <w:color w:val="auto"/>
                      <w:szCs w:val="21"/>
                    </w:rPr>
                  </w:pPr>
                  <w:r>
                    <w:rPr>
                      <w:rFonts w:hint="eastAsia"/>
                      <w:b/>
                      <w:bCs/>
                      <w:color w:val="auto"/>
                      <w:szCs w:val="21"/>
                    </w:rPr>
                    <w:t>物质名称</w:t>
                  </w:r>
                </w:p>
              </w:tc>
              <w:tc>
                <w:tcPr>
                  <w:tcW w:w="1052" w:type="dxa"/>
                  <w:vAlign w:val="center"/>
                </w:tcPr>
                <w:p w14:paraId="576F8623">
                  <w:pPr>
                    <w:pStyle w:val="9"/>
                    <w:ind w:firstLine="0"/>
                    <w:jc w:val="center"/>
                    <w:rPr>
                      <w:rFonts w:hint="eastAsia"/>
                      <w:b/>
                      <w:bCs/>
                      <w:color w:val="auto"/>
                      <w:szCs w:val="21"/>
                    </w:rPr>
                  </w:pPr>
                  <w:r>
                    <w:rPr>
                      <w:rFonts w:hint="eastAsia"/>
                      <w:b/>
                      <w:bCs/>
                      <w:color w:val="auto"/>
                      <w:szCs w:val="21"/>
                    </w:rPr>
                    <w:t>数量</w:t>
                  </w:r>
                </w:p>
              </w:tc>
            </w:tr>
            <w:tr w14:paraId="3DD15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5B3E823B">
                  <w:pPr>
                    <w:pStyle w:val="9"/>
                    <w:ind w:firstLine="0"/>
                    <w:jc w:val="center"/>
                    <w:rPr>
                      <w:rFonts w:hint="default" w:eastAsia="宋体"/>
                      <w:color w:val="auto"/>
                      <w:szCs w:val="21"/>
                      <w:lang w:val="en-US" w:eastAsia="zh-CN"/>
                    </w:rPr>
                  </w:pPr>
                  <w:r>
                    <w:rPr>
                      <w:rFonts w:hint="eastAsia"/>
                      <w:color w:val="auto"/>
                      <w:szCs w:val="21"/>
                      <w:lang w:val="en-US" w:eastAsia="zh-CN"/>
                    </w:rPr>
                    <w:t xml:space="preserve">破碎/挑选、焙烧 </w:t>
                  </w:r>
                </w:p>
              </w:tc>
              <w:tc>
                <w:tcPr>
                  <w:tcW w:w="1997" w:type="dxa"/>
                  <w:gridSpan w:val="4"/>
                  <w:shd w:val="clear" w:color="auto" w:fill="auto"/>
                  <w:vAlign w:val="center"/>
                </w:tcPr>
                <w:p w14:paraId="48F5BC74">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石英石</w:t>
                  </w:r>
                </w:p>
              </w:tc>
              <w:tc>
                <w:tcPr>
                  <w:tcW w:w="1202" w:type="dxa"/>
                  <w:shd w:val="clear" w:color="auto" w:fill="auto"/>
                  <w:vAlign w:val="center"/>
                </w:tcPr>
                <w:p w14:paraId="0A438FE3">
                  <w:pPr>
                    <w:pStyle w:val="9"/>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Cs w:val="21"/>
                      <w:lang w:val="en-US" w:eastAsia="zh-CN"/>
                    </w:rPr>
                    <w:t>2041.728</w:t>
                  </w:r>
                </w:p>
              </w:tc>
              <w:tc>
                <w:tcPr>
                  <w:tcW w:w="2964" w:type="dxa"/>
                  <w:gridSpan w:val="2"/>
                  <w:vAlign w:val="center"/>
                </w:tcPr>
                <w:p w14:paraId="4CEA86EC">
                  <w:pPr>
                    <w:pStyle w:val="9"/>
                    <w:ind w:firstLine="0"/>
                    <w:jc w:val="center"/>
                    <w:rPr>
                      <w:rFonts w:hint="default" w:eastAsia="宋体"/>
                      <w:color w:val="auto"/>
                      <w:szCs w:val="21"/>
                      <w:lang w:val="en-US" w:eastAsia="zh-CN"/>
                    </w:rPr>
                  </w:pPr>
                  <w:r>
                    <w:rPr>
                      <w:rFonts w:hint="eastAsia"/>
                      <w:color w:val="auto"/>
                      <w:szCs w:val="21"/>
                      <w:lang w:val="en-US" w:eastAsia="zh-CN"/>
                    </w:rPr>
                    <w:t>石英砂1</w:t>
                  </w:r>
                </w:p>
              </w:tc>
              <w:tc>
                <w:tcPr>
                  <w:tcW w:w="1052" w:type="dxa"/>
                  <w:shd w:val="clear" w:color="auto" w:fill="auto"/>
                  <w:vAlign w:val="center"/>
                </w:tcPr>
                <w:p w14:paraId="21AF9524">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2041.663</w:t>
                  </w:r>
                </w:p>
              </w:tc>
            </w:tr>
            <w:tr w14:paraId="23A47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787970E7">
                  <w:pPr>
                    <w:pStyle w:val="9"/>
                    <w:ind w:firstLine="0"/>
                    <w:jc w:val="center"/>
                    <w:rPr>
                      <w:rFonts w:hint="eastAsia"/>
                      <w:color w:val="auto"/>
                      <w:szCs w:val="21"/>
                    </w:rPr>
                  </w:pPr>
                </w:p>
              </w:tc>
              <w:tc>
                <w:tcPr>
                  <w:tcW w:w="1997" w:type="dxa"/>
                  <w:gridSpan w:val="4"/>
                  <w:shd w:val="clear" w:color="auto" w:fill="auto"/>
                  <w:vAlign w:val="center"/>
                </w:tcPr>
                <w:p w14:paraId="6C85DD3D">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202" w:type="dxa"/>
                  <w:vAlign w:val="center"/>
                </w:tcPr>
                <w:p w14:paraId="02003B0F">
                  <w:pPr>
                    <w:pStyle w:val="9"/>
                    <w:ind w:firstLine="0"/>
                    <w:jc w:val="center"/>
                    <w:rPr>
                      <w:rFonts w:hint="eastAsia"/>
                      <w:color w:val="auto"/>
                      <w:szCs w:val="21"/>
                    </w:rPr>
                  </w:pPr>
                </w:p>
              </w:tc>
              <w:tc>
                <w:tcPr>
                  <w:tcW w:w="1151" w:type="dxa"/>
                  <w:vMerge w:val="restart"/>
                  <w:vAlign w:val="center"/>
                </w:tcPr>
                <w:p w14:paraId="1E754B42">
                  <w:pPr>
                    <w:pStyle w:val="9"/>
                    <w:ind w:firstLine="0"/>
                    <w:jc w:val="center"/>
                    <w:rPr>
                      <w:rFonts w:hint="eastAsia" w:eastAsia="宋体"/>
                      <w:color w:val="auto"/>
                      <w:szCs w:val="21"/>
                      <w:lang w:val="en-US" w:eastAsia="zh-CN"/>
                    </w:rPr>
                  </w:pPr>
                  <w:r>
                    <w:rPr>
                      <w:rFonts w:hint="eastAsia"/>
                      <w:color w:val="auto"/>
                      <w:szCs w:val="21"/>
                      <w:lang w:val="en-US" w:eastAsia="zh-CN"/>
                    </w:rPr>
                    <w:t>废气</w:t>
                  </w:r>
                </w:p>
              </w:tc>
              <w:tc>
                <w:tcPr>
                  <w:tcW w:w="1813" w:type="dxa"/>
                  <w:shd w:val="clear" w:color="auto" w:fill="auto"/>
                  <w:vAlign w:val="center"/>
                </w:tcPr>
                <w:p w14:paraId="3C188C45">
                  <w:pPr>
                    <w:widowControl/>
                    <w:jc w:val="center"/>
                    <w:textAlignment w:val="center"/>
                    <w:rPr>
                      <w:rFonts w:ascii="Times New Roman" w:hAnsi="Times New Roman" w:eastAsia="宋体" w:cs="Times New Roman"/>
                      <w:color w:val="auto"/>
                      <w:kern w:val="2"/>
                      <w:sz w:val="21"/>
                      <w:szCs w:val="21"/>
                      <w:lang w:val="en-US" w:eastAsia="zh-CN" w:bidi="ar-SA"/>
                    </w:rPr>
                  </w:pPr>
                  <w:r>
                    <w:rPr>
                      <w:color w:val="auto"/>
                      <w:szCs w:val="21"/>
                    </w:rPr>
                    <w:t>破碎粉尘G1</w:t>
                  </w:r>
                </w:p>
              </w:tc>
              <w:tc>
                <w:tcPr>
                  <w:tcW w:w="1052" w:type="dxa"/>
                  <w:shd w:val="clear" w:color="auto" w:fill="auto"/>
                  <w:vAlign w:val="center"/>
                </w:tcPr>
                <w:p w14:paraId="54935C04">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0.045</w:t>
                  </w:r>
                </w:p>
              </w:tc>
            </w:tr>
            <w:tr w14:paraId="19DBB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46E9A1D8">
                  <w:pPr>
                    <w:pStyle w:val="9"/>
                    <w:ind w:firstLine="0"/>
                    <w:jc w:val="center"/>
                    <w:rPr>
                      <w:rFonts w:hint="eastAsia"/>
                      <w:color w:val="auto"/>
                      <w:szCs w:val="21"/>
                    </w:rPr>
                  </w:pPr>
                </w:p>
              </w:tc>
              <w:tc>
                <w:tcPr>
                  <w:tcW w:w="1997" w:type="dxa"/>
                  <w:gridSpan w:val="4"/>
                  <w:vAlign w:val="center"/>
                </w:tcPr>
                <w:p w14:paraId="3D73316B">
                  <w:pPr>
                    <w:pStyle w:val="9"/>
                    <w:ind w:firstLine="0"/>
                    <w:jc w:val="center"/>
                    <w:rPr>
                      <w:rFonts w:hint="eastAsia"/>
                      <w:color w:val="auto"/>
                      <w:szCs w:val="21"/>
                    </w:rPr>
                  </w:pPr>
                </w:p>
              </w:tc>
              <w:tc>
                <w:tcPr>
                  <w:tcW w:w="1202" w:type="dxa"/>
                  <w:vAlign w:val="center"/>
                </w:tcPr>
                <w:p w14:paraId="7A8276B3">
                  <w:pPr>
                    <w:pStyle w:val="9"/>
                    <w:ind w:firstLine="0"/>
                    <w:jc w:val="center"/>
                    <w:rPr>
                      <w:rFonts w:hint="eastAsia"/>
                      <w:color w:val="auto"/>
                      <w:szCs w:val="21"/>
                    </w:rPr>
                  </w:pPr>
                </w:p>
              </w:tc>
              <w:tc>
                <w:tcPr>
                  <w:tcW w:w="1151" w:type="dxa"/>
                  <w:vMerge w:val="continue"/>
                  <w:vAlign w:val="center"/>
                </w:tcPr>
                <w:p w14:paraId="19CD8FFD">
                  <w:pPr>
                    <w:pStyle w:val="9"/>
                    <w:ind w:firstLine="0"/>
                    <w:jc w:val="center"/>
                    <w:rPr>
                      <w:rFonts w:hint="eastAsia"/>
                      <w:color w:val="auto"/>
                      <w:szCs w:val="21"/>
                    </w:rPr>
                  </w:pPr>
                </w:p>
              </w:tc>
              <w:tc>
                <w:tcPr>
                  <w:tcW w:w="1813" w:type="dxa"/>
                  <w:shd w:val="clear" w:color="auto" w:fill="auto"/>
                  <w:vAlign w:val="center"/>
                </w:tcPr>
                <w:p w14:paraId="1470AD68">
                  <w:pPr>
                    <w:widowControl/>
                    <w:jc w:val="center"/>
                    <w:textAlignment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焙烧</w:t>
                  </w:r>
                  <w:r>
                    <w:rPr>
                      <w:color w:val="auto"/>
                      <w:szCs w:val="21"/>
                    </w:rPr>
                    <w:t>粉尘G2</w:t>
                  </w:r>
                </w:p>
              </w:tc>
              <w:tc>
                <w:tcPr>
                  <w:tcW w:w="1052" w:type="dxa"/>
                  <w:shd w:val="clear" w:color="auto" w:fill="auto"/>
                  <w:vAlign w:val="center"/>
                </w:tcPr>
                <w:p w14:paraId="711C1768">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0.02</w:t>
                  </w:r>
                </w:p>
              </w:tc>
            </w:tr>
            <w:tr w14:paraId="2FAF2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545144B">
                  <w:pPr>
                    <w:pStyle w:val="9"/>
                    <w:ind w:firstLine="0"/>
                    <w:jc w:val="center"/>
                    <w:rPr>
                      <w:rFonts w:hint="eastAsia"/>
                      <w:color w:val="auto"/>
                      <w:szCs w:val="21"/>
                    </w:rPr>
                  </w:pPr>
                </w:p>
              </w:tc>
              <w:tc>
                <w:tcPr>
                  <w:tcW w:w="1997" w:type="dxa"/>
                  <w:gridSpan w:val="4"/>
                  <w:vAlign w:val="center"/>
                </w:tcPr>
                <w:p w14:paraId="7C42B45B">
                  <w:pPr>
                    <w:pStyle w:val="9"/>
                    <w:ind w:firstLine="0"/>
                    <w:jc w:val="center"/>
                    <w:rPr>
                      <w:rFonts w:hint="eastAsia" w:eastAsia="宋体"/>
                      <w:b/>
                      <w:bCs/>
                      <w:color w:val="auto"/>
                      <w:szCs w:val="21"/>
                      <w:lang w:val="en-US" w:eastAsia="zh-CN"/>
                    </w:rPr>
                  </w:pPr>
                  <w:r>
                    <w:rPr>
                      <w:rFonts w:hint="eastAsia"/>
                      <w:b/>
                      <w:bCs/>
                      <w:color w:val="auto"/>
                      <w:szCs w:val="21"/>
                      <w:lang w:val="en-US" w:eastAsia="zh-CN"/>
                    </w:rPr>
                    <w:t>合计</w:t>
                  </w:r>
                </w:p>
              </w:tc>
              <w:tc>
                <w:tcPr>
                  <w:tcW w:w="1202" w:type="dxa"/>
                  <w:shd w:val="clear" w:color="auto" w:fill="auto"/>
                  <w:vAlign w:val="center"/>
                </w:tcPr>
                <w:p w14:paraId="1EC192B2">
                  <w:pPr>
                    <w:pStyle w:val="9"/>
                    <w:ind w:firstLine="0" w:firstLineChars="0"/>
                    <w:jc w:val="center"/>
                    <w:rPr>
                      <w:rFonts w:hint="eastAsia"/>
                      <w:b/>
                      <w:bCs/>
                      <w:color w:val="auto"/>
                      <w:szCs w:val="21"/>
                      <w:lang w:val="en-US" w:eastAsia="zh-CN"/>
                    </w:rPr>
                  </w:pPr>
                  <w:r>
                    <w:rPr>
                      <w:rFonts w:hint="eastAsia"/>
                      <w:b/>
                      <w:bCs/>
                      <w:color w:val="auto"/>
                      <w:szCs w:val="21"/>
                      <w:lang w:val="en-US" w:eastAsia="zh-CN"/>
                    </w:rPr>
                    <w:t>2041.728</w:t>
                  </w:r>
                </w:p>
              </w:tc>
              <w:tc>
                <w:tcPr>
                  <w:tcW w:w="2964" w:type="dxa"/>
                  <w:gridSpan w:val="2"/>
                  <w:vAlign w:val="center"/>
                </w:tcPr>
                <w:p w14:paraId="477ACC0C">
                  <w:pPr>
                    <w:pStyle w:val="9"/>
                    <w:ind w:firstLine="0"/>
                    <w:jc w:val="center"/>
                    <w:rPr>
                      <w:rFonts w:hint="eastAsia"/>
                      <w:b/>
                      <w:bCs/>
                      <w:color w:val="auto"/>
                      <w:szCs w:val="21"/>
                    </w:rPr>
                  </w:pPr>
                  <w:r>
                    <w:rPr>
                      <w:rFonts w:hint="eastAsia"/>
                      <w:b/>
                      <w:bCs/>
                      <w:color w:val="auto"/>
                      <w:szCs w:val="21"/>
                      <w:lang w:val="en-US" w:eastAsia="zh-CN"/>
                    </w:rPr>
                    <w:t>合计</w:t>
                  </w:r>
                </w:p>
              </w:tc>
              <w:tc>
                <w:tcPr>
                  <w:tcW w:w="1052" w:type="dxa"/>
                  <w:shd w:val="clear" w:color="auto" w:fill="auto"/>
                  <w:vAlign w:val="center"/>
                </w:tcPr>
                <w:p w14:paraId="6B424B20">
                  <w:pPr>
                    <w:pStyle w:val="9"/>
                    <w:ind w:firstLine="0" w:firstLineChars="0"/>
                    <w:jc w:val="center"/>
                    <w:rPr>
                      <w:rFonts w:hint="default"/>
                      <w:b/>
                      <w:bCs/>
                      <w:color w:val="auto"/>
                      <w:szCs w:val="21"/>
                      <w:lang w:val="en-US" w:eastAsia="zh-CN"/>
                    </w:rPr>
                  </w:pPr>
                  <w:r>
                    <w:rPr>
                      <w:rFonts w:hint="eastAsia"/>
                      <w:b/>
                      <w:bCs/>
                      <w:color w:val="auto"/>
                      <w:szCs w:val="21"/>
                      <w:lang w:val="en-US" w:eastAsia="zh-CN"/>
                    </w:rPr>
                    <w:t>2041.728</w:t>
                  </w:r>
                </w:p>
              </w:tc>
            </w:tr>
            <w:tr w14:paraId="2EE58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3AD1C785">
                  <w:pPr>
                    <w:pStyle w:val="9"/>
                    <w:ind w:firstLine="0"/>
                    <w:jc w:val="center"/>
                    <w:rPr>
                      <w:rFonts w:hint="eastAsia"/>
                      <w:color w:val="auto"/>
                      <w:szCs w:val="21"/>
                    </w:rPr>
                  </w:pPr>
                </w:p>
              </w:tc>
              <w:tc>
                <w:tcPr>
                  <w:tcW w:w="1997" w:type="dxa"/>
                  <w:gridSpan w:val="4"/>
                  <w:vAlign w:val="center"/>
                </w:tcPr>
                <w:p w14:paraId="0580DF0A">
                  <w:pPr>
                    <w:pStyle w:val="9"/>
                    <w:ind w:firstLine="0"/>
                    <w:jc w:val="center"/>
                    <w:rPr>
                      <w:rFonts w:hint="eastAsia"/>
                      <w:color w:val="auto"/>
                      <w:szCs w:val="21"/>
                    </w:rPr>
                  </w:pPr>
                </w:p>
              </w:tc>
              <w:tc>
                <w:tcPr>
                  <w:tcW w:w="1202" w:type="dxa"/>
                  <w:shd w:val="clear" w:color="auto" w:fill="auto"/>
                  <w:vAlign w:val="center"/>
                </w:tcPr>
                <w:p w14:paraId="08486D34">
                  <w:pPr>
                    <w:pStyle w:val="9"/>
                    <w:ind w:firstLine="0" w:firstLineChars="0"/>
                    <w:jc w:val="center"/>
                    <w:rPr>
                      <w:rFonts w:hint="eastAsia"/>
                      <w:color w:val="auto"/>
                      <w:szCs w:val="21"/>
                      <w:lang w:val="en-US" w:eastAsia="zh-CN"/>
                    </w:rPr>
                  </w:pPr>
                </w:p>
              </w:tc>
              <w:tc>
                <w:tcPr>
                  <w:tcW w:w="1151" w:type="dxa"/>
                  <w:vAlign w:val="center"/>
                </w:tcPr>
                <w:p w14:paraId="2981A893">
                  <w:pPr>
                    <w:pStyle w:val="9"/>
                    <w:ind w:firstLine="0"/>
                    <w:jc w:val="center"/>
                    <w:rPr>
                      <w:rFonts w:hint="eastAsia"/>
                      <w:color w:val="auto"/>
                      <w:szCs w:val="21"/>
                    </w:rPr>
                  </w:pPr>
                </w:p>
              </w:tc>
              <w:tc>
                <w:tcPr>
                  <w:tcW w:w="1813" w:type="dxa"/>
                  <w:vAlign w:val="center"/>
                </w:tcPr>
                <w:p w14:paraId="5D64A9ED">
                  <w:pPr>
                    <w:pStyle w:val="9"/>
                    <w:ind w:firstLine="0"/>
                    <w:jc w:val="center"/>
                    <w:rPr>
                      <w:rFonts w:hint="eastAsia"/>
                      <w:color w:val="auto"/>
                      <w:szCs w:val="21"/>
                    </w:rPr>
                  </w:pPr>
                </w:p>
              </w:tc>
              <w:tc>
                <w:tcPr>
                  <w:tcW w:w="1052" w:type="dxa"/>
                  <w:vAlign w:val="center"/>
                </w:tcPr>
                <w:p w14:paraId="239FB773">
                  <w:pPr>
                    <w:pStyle w:val="9"/>
                    <w:ind w:firstLine="0"/>
                    <w:jc w:val="center"/>
                    <w:rPr>
                      <w:rFonts w:hint="eastAsia"/>
                      <w:color w:val="auto"/>
                      <w:szCs w:val="21"/>
                    </w:rPr>
                  </w:pPr>
                </w:p>
              </w:tc>
            </w:tr>
            <w:tr w14:paraId="215CD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7F9B240A">
                  <w:pPr>
                    <w:pStyle w:val="9"/>
                    <w:ind w:firstLine="0"/>
                    <w:jc w:val="center"/>
                    <w:rPr>
                      <w:rFonts w:hint="eastAsia" w:eastAsia="宋体"/>
                      <w:color w:val="auto"/>
                      <w:szCs w:val="21"/>
                      <w:lang w:val="en-US" w:eastAsia="zh-CN"/>
                    </w:rPr>
                  </w:pPr>
                  <w:r>
                    <w:rPr>
                      <w:rFonts w:hint="eastAsia"/>
                      <w:color w:val="auto"/>
                      <w:szCs w:val="21"/>
                      <w:lang w:val="en-US" w:eastAsia="zh-CN"/>
                    </w:rPr>
                    <w:t>水淬</w:t>
                  </w:r>
                </w:p>
              </w:tc>
              <w:tc>
                <w:tcPr>
                  <w:tcW w:w="1997" w:type="dxa"/>
                  <w:gridSpan w:val="4"/>
                  <w:vAlign w:val="center"/>
                </w:tcPr>
                <w:p w14:paraId="4CC9DA32">
                  <w:pPr>
                    <w:pStyle w:val="9"/>
                    <w:ind w:firstLine="0"/>
                    <w:jc w:val="center"/>
                    <w:rPr>
                      <w:rFonts w:hint="eastAsia"/>
                      <w:color w:val="auto"/>
                      <w:szCs w:val="21"/>
                    </w:rPr>
                  </w:pPr>
                  <w:r>
                    <w:rPr>
                      <w:rFonts w:hint="eastAsia"/>
                      <w:color w:val="auto"/>
                      <w:szCs w:val="21"/>
                      <w:lang w:val="en-US" w:eastAsia="zh-CN"/>
                    </w:rPr>
                    <w:t>石英砂1</w:t>
                  </w:r>
                </w:p>
              </w:tc>
              <w:tc>
                <w:tcPr>
                  <w:tcW w:w="1202" w:type="dxa"/>
                  <w:shd w:val="clear" w:color="auto" w:fill="auto"/>
                  <w:vAlign w:val="center"/>
                </w:tcPr>
                <w:p w14:paraId="72405D5A">
                  <w:pPr>
                    <w:pStyle w:val="9"/>
                    <w:ind w:firstLine="0" w:firstLineChars="0"/>
                    <w:jc w:val="center"/>
                    <w:rPr>
                      <w:rFonts w:hint="default"/>
                      <w:color w:val="auto"/>
                      <w:szCs w:val="21"/>
                      <w:lang w:val="en-US" w:eastAsia="zh-CN"/>
                    </w:rPr>
                  </w:pPr>
                  <w:r>
                    <w:rPr>
                      <w:rFonts w:hint="eastAsia"/>
                      <w:color w:val="auto"/>
                      <w:szCs w:val="21"/>
                      <w:lang w:val="en-US" w:eastAsia="zh-CN"/>
                    </w:rPr>
                    <w:t>2041.663</w:t>
                  </w:r>
                </w:p>
              </w:tc>
              <w:tc>
                <w:tcPr>
                  <w:tcW w:w="1151" w:type="dxa"/>
                  <w:vMerge w:val="restart"/>
                  <w:vAlign w:val="center"/>
                </w:tcPr>
                <w:p w14:paraId="706B0960">
                  <w:pPr>
                    <w:pStyle w:val="9"/>
                    <w:ind w:firstLine="0"/>
                    <w:jc w:val="center"/>
                    <w:rPr>
                      <w:rFonts w:hint="eastAsia"/>
                      <w:color w:val="auto"/>
                      <w:szCs w:val="21"/>
                    </w:rPr>
                  </w:pPr>
                  <w:r>
                    <w:rPr>
                      <w:rFonts w:hint="eastAsia"/>
                      <w:color w:val="auto"/>
                      <w:szCs w:val="21"/>
                      <w:lang w:val="en-US" w:eastAsia="zh-CN"/>
                    </w:rPr>
                    <w:t>石英砂2</w:t>
                  </w:r>
                </w:p>
              </w:tc>
              <w:tc>
                <w:tcPr>
                  <w:tcW w:w="1813" w:type="dxa"/>
                  <w:shd w:val="clear" w:color="auto" w:fill="auto"/>
                  <w:vAlign w:val="center"/>
                </w:tcPr>
                <w:p w14:paraId="69B26A8C">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石英砂2</w:t>
                  </w:r>
                </w:p>
              </w:tc>
              <w:tc>
                <w:tcPr>
                  <w:tcW w:w="1052" w:type="dxa"/>
                  <w:shd w:val="clear" w:color="auto" w:fill="auto"/>
                  <w:vAlign w:val="center"/>
                </w:tcPr>
                <w:p w14:paraId="1E2F231A">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2038.663</w:t>
                  </w:r>
                </w:p>
              </w:tc>
            </w:tr>
            <w:tr w14:paraId="36CDD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2B005B16">
                  <w:pPr>
                    <w:pStyle w:val="9"/>
                    <w:ind w:firstLine="0"/>
                    <w:jc w:val="center"/>
                    <w:rPr>
                      <w:rFonts w:hint="eastAsia"/>
                      <w:color w:val="auto"/>
                      <w:szCs w:val="21"/>
                      <w:lang w:val="en-US" w:eastAsia="zh-CN"/>
                    </w:rPr>
                  </w:pPr>
                </w:p>
              </w:tc>
              <w:tc>
                <w:tcPr>
                  <w:tcW w:w="1997" w:type="dxa"/>
                  <w:gridSpan w:val="4"/>
                  <w:vAlign w:val="center"/>
                </w:tcPr>
                <w:p w14:paraId="18FC7372">
                  <w:pPr>
                    <w:pStyle w:val="9"/>
                    <w:ind w:firstLine="0"/>
                    <w:jc w:val="center"/>
                    <w:rPr>
                      <w:rFonts w:hint="eastAsia"/>
                      <w:color w:val="auto"/>
                      <w:szCs w:val="21"/>
                      <w:lang w:val="en-US" w:eastAsia="zh-CN"/>
                    </w:rPr>
                  </w:pPr>
                  <w:r>
                    <w:rPr>
                      <w:rFonts w:hint="eastAsia"/>
                      <w:color w:val="auto"/>
                      <w:szCs w:val="21"/>
                      <w:lang w:val="en-US" w:eastAsia="zh-CN"/>
                    </w:rPr>
                    <w:t>纯水</w:t>
                  </w:r>
                </w:p>
              </w:tc>
              <w:tc>
                <w:tcPr>
                  <w:tcW w:w="1202" w:type="dxa"/>
                  <w:shd w:val="clear" w:color="auto" w:fill="auto"/>
                  <w:vAlign w:val="center"/>
                </w:tcPr>
                <w:p w14:paraId="3819972A">
                  <w:pPr>
                    <w:pStyle w:val="9"/>
                    <w:ind w:firstLine="0" w:firstLineChars="0"/>
                    <w:jc w:val="center"/>
                    <w:rPr>
                      <w:rFonts w:hint="default"/>
                      <w:color w:val="auto"/>
                      <w:szCs w:val="21"/>
                      <w:lang w:val="en-US" w:eastAsia="zh-CN"/>
                    </w:rPr>
                  </w:pPr>
                  <w:r>
                    <w:rPr>
                      <w:rFonts w:hint="eastAsia"/>
                      <w:color w:val="auto"/>
                      <w:szCs w:val="21"/>
                      <w:lang w:val="en-US" w:eastAsia="zh-CN"/>
                    </w:rPr>
                    <w:t>72</w:t>
                  </w:r>
                </w:p>
              </w:tc>
              <w:tc>
                <w:tcPr>
                  <w:tcW w:w="1151" w:type="dxa"/>
                  <w:vMerge w:val="continue"/>
                  <w:vAlign w:val="center"/>
                </w:tcPr>
                <w:p w14:paraId="4407E296">
                  <w:pPr>
                    <w:pStyle w:val="9"/>
                    <w:ind w:firstLine="0"/>
                    <w:jc w:val="center"/>
                    <w:rPr>
                      <w:rFonts w:hint="eastAsia"/>
                      <w:color w:val="auto"/>
                      <w:szCs w:val="21"/>
                      <w:lang w:val="en-US" w:eastAsia="zh-CN"/>
                    </w:rPr>
                  </w:pPr>
                </w:p>
              </w:tc>
              <w:tc>
                <w:tcPr>
                  <w:tcW w:w="1813" w:type="dxa"/>
                  <w:vAlign w:val="center"/>
                </w:tcPr>
                <w:p w14:paraId="1979428D">
                  <w:pPr>
                    <w:pStyle w:val="9"/>
                    <w:ind w:firstLine="0"/>
                    <w:jc w:val="center"/>
                    <w:rPr>
                      <w:rFonts w:hint="default"/>
                      <w:color w:val="auto"/>
                      <w:szCs w:val="21"/>
                      <w:lang w:val="en-US" w:eastAsia="zh-CN"/>
                    </w:rPr>
                  </w:pPr>
                  <w:r>
                    <w:rPr>
                      <w:rFonts w:hint="eastAsia"/>
                      <w:color w:val="auto"/>
                      <w:szCs w:val="21"/>
                      <w:lang w:val="en-US" w:eastAsia="zh-CN"/>
                    </w:rPr>
                    <w:t>水</w:t>
                  </w:r>
                </w:p>
              </w:tc>
              <w:tc>
                <w:tcPr>
                  <w:tcW w:w="1052" w:type="dxa"/>
                  <w:shd w:val="clear" w:color="auto" w:fill="auto"/>
                  <w:vAlign w:val="center"/>
                </w:tcPr>
                <w:p w14:paraId="396DE3D7">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60</w:t>
                  </w:r>
                </w:p>
              </w:tc>
            </w:tr>
            <w:tr w14:paraId="5CBCA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5F5EAF4D">
                  <w:pPr>
                    <w:pStyle w:val="9"/>
                    <w:ind w:firstLine="0"/>
                    <w:jc w:val="center"/>
                    <w:rPr>
                      <w:rFonts w:hint="eastAsia"/>
                      <w:color w:val="auto"/>
                      <w:szCs w:val="21"/>
                    </w:rPr>
                  </w:pPr>
                </w:p>
              </w:tc>
              <w:tc>
                <w:tcPr>
                  <w:tcW w:w="1997" w:type="dxa"/>
                  <w:gridSpan w:val="4"/>
                  <w:vAlign w:val="center"/>
                </w:tcPr>
                <w:p w14:paraId="3D41CD9A">
                  <w:pPr>
                    <w:pStyle w:val="9"/>
                    <w:ind w:firstLine="0"/>
                    <w:jc w:val="center"/>
                    <w:rPr>
                      <w:rFonts w:hint="eastAsia" w:eastAsia="宋体"/>
                      <w:color w:val="auto"/>
                      <w:szCs w:val="21"/>
                      <w:lang w:val="en-US" w:eastAsia="zh-CN"/>
                    </w:rPr>
                  </w:pPr>
                </w:p>
              </w:tc>
              <w:tc>
                <w:tcPr>
                  <w:tcW w:w="1202" w:type="dxa"/>
                  <w:shd w:val="clear" w:color="auto" w:fill="auto"/>
                  <w:vAlign w:val="center"/>
                </w:tcPr>
                <w:p w14:paraId="0F84292A">
                  <w:pPr>
                    <w:pStyle w:val="9"/>
                    <w:ind w:firstLine="0" w:firstLineChars="0"/>
                    <w:jc w:val="center"/>
                    <w:rPr>
                      <w:rFonts w:hint="eastAsia"/>
                      <w:color w:val="auto"/>
                      <w:szCs w:val="21"/>
                      <w:lang w:val="en-US" w:eastAsia="zh-CN"/>
                    </w:rPr>
                  </w:pPr>
                </w:p>
              </w:tc>
              <w:tc>
                <w:tcPr>
                  <w:tcW w:w="1151" w:type="dxa"/>
                  <w:vAlign w:val="center"/>
                </w:tcPr>
                <w:p w14:paraId="4E2D0869">
                  <w:pPr>
                    <w:pStyle w:val="9"/>
                    <w:ind w:firstLine="0"/>
                    <w:jc w:val="center"/>
                    <w:rPr>
                      <w:rFonts w:hint="eastAsia" w:eastAsia="宋体"/>
                      <w:color w:val="auto"/>
                      <w:szCs w:val="21"/>
                      <w:lang w:val="en-US" w:eastAsia="zh-CN"/>
                    </w:rPr>
                  </w:pPr>
                  <w:r>
                    <w:rPr>
                      <w:rFonts w:hint="eastAsia"/>
                      <w:color w:val="auto"/>
                      <w:szCs w:val="21"/>
                      <w:lang w:val="en-US" w:eastAsia="zh-CN"/>
                    </w:rPr>
                    <w:t>废气</w:t>
                  </w:r>
                </w:p>
              </w:tc>
              <w:tc>
                <w:tcPr>
                  <w:tcW w:w="1813" w:type="dxa"/>
                  <w:vAlign w:val="center"/>
                </w:tcPr>
                <w:p w14:paraId="076A040B">
                  <w:pPr>
                    <w:pStyle w:val="9"/>
                    <w:ind w:firstLine="0"/>
                    <w:jc w:val="center"/>
                    <w:rPr>
                      <w:rFonts w:hint="eastAsia" w:eastAsia="宋体"/>
                      <w:color w:val="auto"/>
                      <w:szCs w:val="21"/>
                      <w:lang w:val="en-US" w:eastAsia="zh-CN"/>
                    </w:rPr>
                  </w:pPr>
                  <w:r>
                    <w:rPr>
                      <w:rFonts w:hint="eastAsia"/>
                      <w:color w:val="auto"/>
                      <w:szCs w:val="21"/>
                      <w:lang w:val="en-US" w:eastAsia="zh-CN"/>
                    </w:rPr>
                    <w:t>水</w:t>
                  </w:r>
                </w:p>
              </w:tc>
              <w:tc>
                <w:tcPr>
                  <w:tcW w:w="1052" w:type="dxa"/>
                  <w:vAlign w:val="center"/>
                </w:tcPr>
                <w:p w14:paraId="14A2D074">
                  <w:pPr>
                    <w:pStyle w:val="9"/>
                    <w:ind w:firstLine="0"/>
                    <w:jc w:val="center"/>
                    <w:rPr>
                      <w:rFonts w:hint="eastAsia" w:eastAsia="宋体"/>
                      <w:color w:val="auto"/>
                      <w:szCs w:val="21"/>
                      <w:lang w:val="en-US" w:eastAsia="zh-CN"/>
                    </w:rPr>
                  </w:pPr>
                  <w:r>
                    <w:rPr>
                      <w:rFonts w:hint="eastAsia"/>
                      <w:color w:val="auto"/>
                      <w:szCs w:val="21"/>
                      <w:lang w:val="en-US" w:eastAsia="zh-CN"/>
                    </w:rPr>
                    <w:t>5</w:t>
                  </w:r>
                </w:p>
              </w:tc>
            </w:tr>
            <w:tr w14:paraId="4EA74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3D71D30D">
                  <w:pPr>
                    <w:pStyle w:val="9"/>
                    <w:ind w:firstLine="0"/>
                    <w:jc w:val="center"/>
                    <w:rPr>
                      <w:rFonts w:hint="eastAsia"/>
                      <w:color w:val="auto"/>
                      <w:szCs w:val="21"/>
                    </w:rPr>
                  </w:pPr>
                </w:p>
              </w:tc>
              <w:tc>
                <w:tcPr>
                  <w:tcW w:w="1997" w:type="dxa"/>
                  <w:gridSpan w:val="4"/>
                  <w:vAlign w:val="center"/>
                </w:tcPr>
                <w:p w14:paraId="0C8D02AB">
                  <w:pPr>
                    <w:pStyle w:val="9"/>
                    <w:ind w:firstLine="0"/>
                    <w:jc w:val="center"/>
                    <w:rPr>
                      <w:rFonts w:hint="eastAsia"/>
                      <w:color w:val="auto"/>
                      <w:szCs w:val="21"/>
                    </w:rPr>
                  </w:pPr>
                </w:p>
              </w:tc>
              <w:tc>
                <w:tcPr>
                  <w:tcW w:w="1202" w:type="dxa"/>
                  <w:shd w:val="clear" w:color="auto" w:fill="auto"/>
                  <w:vAlign w:val="center"/>
                </w:tcPr>
                <w:p w14:paraId="18C77772">
                  <w:pPr>
                    <w:pStyle w:val="9"/>
                    <w:ind w:firstLine="0" w:firstLineChars="0"/>
                    <w:jc w:val="center"/>
                    <w:rPr>
                      <w:rFonts w:hint="eastAsia"/>
                      <w:color w:val="auto"/>
                      <w:szCs w:val="21"/>
                      <w:lang w:val="en-US" w:eastAsia="zh-CN"/>
                    </w:rPr>
                  </w:pPr>
                </w:p>
              </w:tc>
              <w:tc>
                <w:tcPr>
                  <w:tcW w:w="1151" w:type="dxa"/>
                  <w:shd w:val="clear" w:color="auto" w:fill="auto"/>
                  <w:vAlign w:val="center"/>
                </w:tcPr>
                <w:p w14:paraId="35D100E5">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固废</w:t>
                  </w:r>
                </w:p>
              </w:tc>
              <w:tc>
                <w:tcPr>
                  <w:tcW w:w="1813" w:type="dxa"/>
                  <w:shd w:val="clear" w:color="auto" w:fill="auto"/>
                  <w:vAlign w:val="center"/>
                </w:tcPr>
                <w:p w14:paraId="415BCFE0">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废渣S1</w:t>
                  </w:r>
                </w:p>
              </w:tc>
              <w:tc>
                <w:tcPr>
                  <w:tcW w:w="1052" w:type="dxa"/>
                  <w:shd w:val="clear" w:color="auto" w:fill="auto"/>
                  <w:vAlign w:val="center"/>
                </w:tcPr>
                <w:p w14:paraId="6A903708">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10</w:t>
                  </w:r>
                </w:p>
              </w:tc>
            </w:tr>
            <w:tr w14:paraId="32ABE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0FA664D">
                  <w:pPr>
                    <w:pStyle w:val="9"/>
                    <w:ind w:firstLine="0"/>
                    <w:jc w:val="center"/>
                    <w:rPr>
                      <w:rFonts w:hint="eastAsia"/>
                      <w:color w:val="auto"/>
                      <w:szCs w:val="21"/>
                    </w:rPr>
                  </w:pPr>
                </w:p>
              </w:tc>
              <w:tc>
                <w:tcPr>
                  <w:tcW w:w="1997" w:type="dxa"/>
                  <w:gridSpan w:val="4"/>
                  <w:shd w:val="clear" w:color="auto" w:fill="auto"/>
                  <w:vAlign w:val="center"/>
                </w:tcPr>
                <w:p w14:paraId="1C1E2C01">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653C5947">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2113.663</w:t>
                  </w:r>
                </w:p>
              </w:tc>
              <w:tc>
                <w:tcPr>
                  <w:tcW w:w="2964" w:type="dxa"/>
                  <w:gridSpan w:val="2"/>
                  <w:shd w:val="clear" w:color="auto" w:fill="auto"/>
                  <w:vAlign w:val="center"/>
                </w:tcPr>
                <w:p w14:paraId="78096B11">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shd w:val="clear" w:color="auto" w:fill="auto"/>
                  <w:vAlign w:val="center"/>
                </w:tcPr>
                <w:p w14:paraId="0246A406">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2113.663</w:t>
                  </w:r>
                </w:p>
              </w:tc>
            </w:tr>
            <w:tr w14:paraId="1AFF4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8" w:type="dxa"/>
                  <w:gridSpan w:val="9"/>
                  <w:vAlign w:val="center"/>
                </w:tcPr>
                <w:p w14:paraId="62F1B556">
                  <w:pPr>
                    <w:pStyle w:val="9"/>
                    <w:ind w:firstLine="0"/>
                    <w:jc w:val="left"/>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注：部分水进入固废内，下同。</w:t>
                  </w:r>
                </w:p>
              </w:tc>
            </w:tr>
            <w:tr w14:paraId="0FC0E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604DD92C">
                  <w:pPr>
                    <w:pStyle w:val="9"/>
                    <w:ind w:firstLine="0"/>
                    <w:jc w:val="center"/>
                    <w:rPr>
                      <w:rFonts w:hint="eastAsia"/>
                      <w:color w:val="auto"/>
                      <w:szCs w:val="21"/>
                    </w:rPr>
                  </w:pPr>
                </w:p>
              </w:tc>
              <w:tc>
                <w:tcPr>
                  <w:tcW w:w="1997" w:type="dxa"/>
                  <w:gridSpan w:val="4"/>
                  <w:vAlign w:val="center"/>
                </w:tcPr>
                <w:p w14:paraId="6E8BEA72">
                  <w:pPr>
                    <w:pStyle w:val="9"/>
                    <w:ind w:firstLine="0"/>
                    <w:jc w:val="center"/>
                    <w:rPr>
                      <w:rFonts w:hint="eastAsia"/>
                      <w:color w:val="auto"/>
                      <w:szCs w:val="21"/>
                    </w:rPr>
                  </w:pPr>
                </w:p>
              </w:tc>
              <w:tc>
                <w:tcPr>
                  <w:tcW w:w="1202" w:type="dxa"/>
                  <w:shd w:val="clear" w:color="auto" w:fill="auto"/>
                  <w:vAlign w:val="center"/>
                </w:tcPr>
                <w:p w14:paraId="688593EE">
                  <w:pPr>
                    <w:pStyle w:val="9"/>
                    <w:ind w:firstLine="0" w:firstLineChars="0"/>
                    <w:jc w:val="center"/>
                    <w:rPr>
                      <w:rFonts w:hint="eastAsia"/>
                      <w:color w:val="auto"/>
                      <w:szCs w:val="21"/>
                      <w:lang w:val="en-US" w:eastAsia="zh-CN"/>
                    </w:rPr>
                  </w:pPr>
                </w:p>
              </w:tc>
              <w:tc>
                <w:tcPr>
                  <w:tcW w:w="1151" w:type="dxa"/>
                  <w:vAlign w:val="center"/>
                </w:tcPr>
                <w:p w14:paraId="47DE3975">
                  <w:pPr>
                    <w:pStyle w:val="9"/>
                    <w:ind w:firstLine="0"/>
                    <w:jc w:val="center"/>
                    <w:rPr>
                      <w:rFonts w:hint="eastAsia"/>
                      <w:color w:val="auto"/>
                      <w:szCs w:val="21"/>
                    </w:rPr>
                  </w:pPr>
                </w:p>
              </w:tc>
              <w:tc>
                <w:tcPr>
                  <w:tcW w:w="1813" w:type="dxa"/>
                  <w:vAlign w:val="center"/>
                </w:tcPr>
                <w:p w14:paraId="38C86AAA">
                  <w:pPr>
                    <w:pStyle w:val="9"/>
                    <w:ind w:firstLine="0"/>
                    <w:jc w:val="center"/>
                    <w:rPr>
                      <w:rFonts w:hint="eastAsia"/>
                      <w:color w:val="auto"/>
                      <w:szCs w:val="21"/>
                    </w:rPr>
                  </w:pPr>
                </w:p>
              </w:tc>
              <w:tc>
                <w:tcPr>
                  <w:tcW w:w="1052" w:type="dxa"/>
                  <w:vAlign w:val="center"/>
                </w:tcPr>
                <w:p w14:paraId="59A070AE">
                  <w:pPr>
                    <w:pStyle w:val="9"/>
                    <w:ind w:firstLine="0"/>
                    <w:jc w:val="center"/>
                    <w:rPr>
                      <w:rFonts w:hint="eastAsia"/>
                      <w:color w:val="auto"/>
                      <w:szCs w:val="21"/>
                    </w:rPr>
                  </w:pPr>
                </w:p>
              </w:tc>
            </w:tr>
            <w:tr w14:paraId="76787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shd w:val="clear" w:color="auto" w:fill="auto"/>
                  <w:vAlign w:val="center"/>
                </w:tcPr>
                <w:p w14:paraId="322B3425">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5%干法制砂</w:t>
                  </w:r>
                  <w:r>
                    <w:rPr>
                      <w:rFonts w:hint="eastAsia"/>
                      <w:color w:val="auto"/>
                      <w:szCs w:val="21"/>
                      <w:lang w:val="en-US" w:eastAsia="zh-CN"/>
                    </w:rPr>
                    <w:t>/</w:t>
                  </w:r>
                  <w:r>
                    <w:rPr>
                      <w:rFonts w:hint="eastAsia"/>
                      <w:color w:val="auto"/>
                      <w:szCs w:val="21"/>
                    </w:rPr>
                    <w:t>95%湿法制砂</w:t>
                  </w:r>
                </w:p>
              </w:tc>
              <w:tc>
                <w:tcPr>
                  <w:tcW w:w="1997" w:type="dxa"/>
                  <w:gridSpan w:val="4"/>
                  <w:vAlign w:val="center"/>
                </w:tcPr>
                <w:p w14:paraId="4058CEE3">
                  <w:pPr>
                    <w:pStyle w:val="9"/>
                    <w:ind w:firstLine="0"/>
                    <w:jc w:val="center"/>
                    <w:rPr>
                      <w:rFonts w:hint="eastAsia" w:eastAsia="宋体"/>
                      <w:color w:val="auto"/>
                      <w:szCs w:val="21"/>
                      <w:lang w:val="en-US" w:eastAsia="zh-CN"/>
                    </w:rPr>
                  </w:pPr>
                  <w:r>
                    <w:rPr>
                      <w:rFonts w:hint="eastAsia"/>
                      <w:color w:val="auto"/>
                      <w:szCs w:val="21"/>
                      <w:lang w:val="en-US" w:eastAsia="zh-CN"/>
                    </w:rPr>
                    <w:t>水</w:t>
                  </w:r>
                </w:p>
              </w:tc>
              <w:tc>
                <w:tcPr>
                  <w:tcW w:w="1202" w:type="dxa"/>
                  <w:vAlign w:val="center"/>
                </w:tcPr>
                <w:p w14:paraId="2923449C">
                  <w:pPr>
                    <w:pStyle w:val="9"/>
                    <w:ind w:firstLine="0"/>
                    <w:jc w:val="center"/>
                    <w:rPr>
                      <w:rFonts w:hint="default" w:eastAsia="宋体"/>
                      <w:color w:val="auto"/>
                      <w:szCs w:val="21"/>
                      <w:lang w:val="en-US" w:eastAsia="zh-CN"/>
                    </w:rPr>
                  </w:pPr>
                  <w:r>
                    <w:rPr>
                      <w:rFonts w:hint="eastAsia"/>
                      <w:color w:val="auto"/>
                      <w:szCs w:val="21"/>
                      <w:lang w:val="en-US" w:eastAsia="zh-CN"/>
                    </w:rPr>
                    <w:t>38.003</w:t>
                  </w:r>
                </w:p>
              </w:tc>
              <w:tc>
                <w:tcPr>
                  <w:tcW w:w="1151" w:type="dxa"/>
                  <w:vMerge w:val="restart"/>
                  <w:vAlign w:val="center"/>
                </w:tcPr>
                <w:p w14:paraId="0BC9668E">
                  <w:pPr>
                    <w:pStyle w:val="9"/>
                    <w:ind w:firstLine="0"/>
                    <w:jc w:val="center"/>
                    <w:rPr>
                      <w:rFonts w:hint="default" w:eastAsia="宋体"/>
                      <w:color w:val="auto"/>
                      <w:szCs w:val="21"/>
                      <w:lang w:val="en-US" w:eastAsia="zh-CN"/>
                    </w:rPr>
                  </w:pPr>
                  <w:r>
                    <w:rPr>
                      <w:rFonts w:hint="eastAsia"/>
                      <w:color w:val="auto"/>
                      <w:szCs w:val="21"/>
                      <w:lang w:val="en-US" w:eastAsia="zh-CN"/>
                    </w:rPr>
                    <w:t>石英砂3</w:t>
                  </w:r>
                </w:p>
              </w:tc>
              <w:tc>
                <w:tcPr>
                  <w:tcW w:w="1813" w:type="dxa"/>
                  <w:shd w:val="clear" w:color="auto" w:fill="auto"/>
                  <w:vAlign w:val="center"/>
                </w:tcPr>
                <w:p w14:paraId="2475C17C">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石英砂3</w:t>
                  </w:r>
                </w:p>
              </w:tc>
              <w:tc>
                <w:tcPr>
                  <w:tcW w:w="1052" w:type="dxa"/>
                  <w:shd w:val="clear" w:color="auto" w:fill="auto"/>
                  <w:vAlign w:val="center"/>
                </w:tcPr>
                <w:p w14:paraId="130C5A88">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2026.591</w:t>
                  </w:r>
                </w:p>
              </w:tc>
            </w:tr>
            <w:tr w14:paraId="2D213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43289C7">
                  <w:pPr>
                    <w:pStyle w:val="9"/>
                    <w:ind w:firstLine="0"/>
                    <w:jc w:val="center"/>
                    <w:rPr>
                      <w:rFonts w:hint="eastAsia"/>
                      <w:color w:val="auto"/>
                      <w:szCs w:val="21"/>
                      <w:lang w:val="en-US" w:eastAsia="zh-CN"/>
                    </w:rPr>
                  </w:pPr>
                </w:p>
              </w:tc>
              <w:tc>
                <w:tcPr>
                  <w:tcW w:w="893" w:type="dxa"/>
                  <w:vMerge w:val="restart"/>
                  <w:vAlign w:val="center"/>
                </w:tcPr>
                <w:p w14:paraId="7C769D98">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石英砂2</w:t>
                  </w:r>
                </w:p>
              </w:tc>
              <w:tc>
                <w:tcPr>
                  <w:tcW w:w="1104" w:type="dxa"/>
                  <w:gridSpan w:val="3"/>
                  <w:shd w:val="clear" w:color="auto" w:fill="auto"/>
                  <w:vAlign w:val="center"/>
                </w:tcPr>
                <w:p w14:paraId="6ECD616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石英砂2</w:t>
                  </w:r>
                </w:p>
              </w:tc>
              <w:tc>
                <w:tcPr>
                  <w:tcW w:w="1202" w:type="dxa"/>
                  <w:shd w:val="clear" w:color="auto" w:fill="auto"/>
                  <w:vAlign w:val="center"/>
                </w:tcPr>
                <w:p w14:paraId="3747598B">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2038.663</w:t>
                  </w:r>
                </w:p>
              </w:tc>
              <w:tc>
                <w:tcPr>
                  <w:tcW w:w="1151" w:type="dxa"/>
                  <w:vMerge w:val="continue"/>
                  <w:vAlign w:val="center"/>
                </w:tcPr>
                <w:p w14:paraId="4F05C1AB">
                  <w:pPr>
                    <w:pStyle w:val="9"/>
                    <w:ind w:firstLine="0"/>
                    <w:jc w:val="center"/>
                    <w:rPr>
                      <w:rFonts w:hint="eastAsia"/>
                      <w:color w:val="auto"/>
                      <w:szCs w:val="21"/>
                      <w:lang w:val="en-US" w:eastAsia="zh-CN"/>
                    </w:rPr>
                  </w:pPr>
                </w:p>
              </w:tc>
              <w:tc>
                <w:tcPr>
                  <w:tcW w:w="1813" w:type="dxa"/>
                  <w:vAlign w:val="center"/>
                </w:tcPr>
                <w:p w14:paraId="7C1ECDFD">
                  <w:pPr>
                    <w:pStyle w:val="9"/>
                    <w:ind w:firstLine="0"/>
                    <w:jc w:val="center"/>
                    <w:rPr>
                      <w:rFonts w:hint="eastAsia"/>
                      <w:color w:val="auto"/>
                      <w:szCs w:val="21"/>
                      <w:lang w:val="en-US" w:eastAsia="zh-CN"/>
                    </w:rPr>
                  </w:pPr>
                  <w:r>
                    <w:rPr>
                      <w:rFonts w:hint="eastAsia"/>
                      <w:color w:val="auto"/>
                      <w:szCs w:val="21"/>
                      <w:lang w:val="en-US" w:eastAsia="zh-CN"/>
                    </w:rPr>
                    <w:t>水</w:t>
                  </w:r>
                </w:p>
              </w:tc>
              <w:tc>
                <w:tcPr>
                  <w:tcW w:w="1052" w:type="dxa"/>
                  <w:shd w:val="clear" w:color="auto" w:fill="auto"/>
                  <w:vAlign w:val="center"/>
                </w:tcPr>
                <w:p w14:paraId="4421410D">
                  <w:pPr>
                    <w:pStyle w:val="9"/>
                    <w:ind w:firstLine="0" w:firstLineChars="0"/>
                    <w:jc w:val="center"/>
                    <w:rPr>
                      <w:rFonts w:hint="default"/>
                      <w:color w:val="auto"/>
                      <w:szCs w:val="21"/>
                      <w:lang w:val="en-US" w:eastAsia="zh-CN"/>
                    </w:rPr>
                  </w:pPr>
                  <w:r>
                    <w:rPr>
                      <w:rFonts w:hint="eastAsia"/>
                      <w:color w:val="auto"/>
                      <w:szCs w:val="21"/>
                      <w:lang w:val="en-US" w:eastAsia="zh-CN"/>
                    </w:rPr>
                    <w:t>60</w:t>
                  </w:r>
                </w:p>
              </w:tc>
            </w:tr>
            <w:tr w14:paraId="304CE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F5BBDE4">
                  <w:pPr>
                    <w:pStyle w:val="9"/>
                    <w:ind w:firstLine="0"/>
                    <w:jc w:val="center"/>
                    <w:rPr>
                      <w:rFonts w:hint="eastAsia"/>
                      <w:color w:val="auto"/>
                      <w:szCs w:val="21"/>
                    </w:rPr>
                  </w:pPr>
                </w:p>
              </w:tc>
              <w:tc>
                <w:tcPr>
                  <w:tcW w:w="893" w:type="dxa"/>
                  <w:vMerge w:val="continue"/>
                  <w:shd w:val="clear" w:color="auto" w:fill="auto"/>
                  <w:vAlign w:val="center"/>
                </w:tcPr>
                <w:p w14:paraId="158F665C">
                  <w:pPr>
                    <w:pStyle w:val="9"/>
                    <w:ind w:firstLine="0" w:firstLineChars="0"/>
                    <w:jc w:val="center"/>
                    <w:rPr>
                      <w:rFonts w:hint="default" w:ascii="Times New Roman" w:hAnsi="Times New Roman" w:eastAsia="宋体" w:cs="Times New Roman"/>
                      <w:color w:val="auto"/>
                      <w:kern w:val="2"/>
                      <w:sz w:val="21"/>
                      <w:szCs w:val="21"/>
                      <w:lang w:val="en-US" w:eastAsia="zh-CN" w:bidi="ar-SA"/>
                    </w:rPr>
                  </w:pPr>
                </w:p>
              </w:tc>
              <w:tc>
                <w:tcPr>
                  <w:tcW w:w="1104" w:type="dxa"/>
                  <w:gridSpan w:val="3"/>
                  <w:shd w:val="clear" w:color="auto" w:fill="auto"/>
                  <w:vAlign w:val="center"/>
                </w:tcPr>
                <w:p w14:paraId="3C07CE42">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202" w:type="dxa"/>
                  <w:shd w:val="clear" w:color="auto" w:fill="auto"/>
                  <w:vAlign w:val="center"/>
                </w:tcPr>
                <w:p w14:paraId="146D0C83">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60</w:t>
                  </w:r>
                </w:p>
              </w:tc>
              <w:tc>
                <w:tcPr>
                  <w:tcW w:w="1151" w:type="dxa"/>
                  <w:vMerge w:val="restart"/>
                  <w:shd w:val="clear" w:color="auto" w:fill="auto"/>
                  <w:vAlign w:val="center"/>
                </w:tcPr>
                <w:p w14:paraId="590FAA19">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废气</w:t>
                  </w:r>
                </w:p>
              </w:tc>
              <w:tc>
                <w:tcPr>
                  <w:tcW w:w="1813" w:type="dxa"/>
                  <w:shd w:val="clear" w:color="auto" w:fill="auto"/>
                  <w:vAlign w:val="center"/>
                </w:tcPr>
                <w:p w14:paraId="58D63339">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052" w:type="dxa"/>
                  <w:shd w:val="clear" w:color="auto" w:fill="auto"/>
                  <w:vAlign w:val="center"/>
                </w:tcPr>
                <w:p w14:paraId="2CF03E92">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w:t>
                  </w:r>
                </w:p>
              </w:tc>
            </w:tr>
            <w:tr w14:paraId="1BFA1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19E8163">
                  <w:pPr>
                    <w:pStyle w:val="9"/>
                    <w:ind w:firstLine="0"/>
                    <w:jc w:val="center"/>
                    <w:rPr>
                      <w:rFonts w:hint="eastAsia"/>
                      <w:color w:val="auto"/>
                      <w:szCs w:val="21"/>
                    </w:rPr>
                  </w:pPr>
                </w:p>
              </w:tc>
              <w:tc>
                <w:tcPr>
                  <w:tcW w:w="1997" w:type="dxa"/>
                  <w:gridSpan w:val="4"/>
                  <w:vAlign w:val="center"/>
                </w:tcPr>
                <w:p w14:paraId="45843114">
                  <w:pPr>
                    <w:pStyle w:val="9"/>
                    <w:ind w:firstLine="0"/>
                    <w:jc w:val="center"/>
                    <w:rPr>
                      <w:rFonts w:hint="eastAsia"/>
                      <w:color w:val="auto"/>
                      <w:szCs w:val="21"/>
                      <w:lang w:val="en-US" w:eastAsia="zh-CN"/>
                    </w:rPr>
                  </w:pPr>
                </w:p>
              </w:tc>
              <w:tc>
                <w:tcPr>
                  <w:tcW w:w="1202" w:type="dxa"/>
                  <w:shd w:val="clear" w:color="auto" w:fill="auto"/>
                  <w:vAlign w:val="center"/>
                </w:tcPr>
                <w:p w14:paraId="35E4A9DC">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151" w:type="dxa"/>
                  <w:vMerge w:val="continue"/>
                  <w:shd w:val="clear" w:color="auto" w:fill="auto"/>
                  <w:vAlign w:val="center"/>
                </w:tcPr>
                <w:p w14:paraId="5320D084">
                  <w:pPr>
                    <w:pStyle w:val="9"/>
                    <w:ind w:firstLine="0" w:firstLineChars="0"/>
                    <w:jc w:val="center"/>
                    <w:rPr>
                      <w:rFonts w:hint="eastAsia"/>
                      <w:color w:val="auto"/>
                      <w:szCs w:val="21"/>
                      <w:lang w:val="en-US" w:eastAsia="zh-CN"/>
                    </w:rPr>
                  </w:pPr>
                </w:p>
              </w:tc>
              <w:tc>
                <w:tcPr>
                  <w:tcW w:w="1813" w:type="dxa"/>
                  <w:shd w:val="clear" w:color="auto" w:fill="auto"/>
                  <w:vAlign w:val="center"/>
                </w:tcPr>
                <w:p w14:paraId="5D400C34">
                  <w:pPr>
                    <w:pStyle w:val="9"/>
                    <w:ind w:firstLine="0" w:firstLineChars="0"/>
                    <w:jc w:val="center"/>
                    <w:rPr>
                      <w:rFonts w:hint="eastAsia" w:eastAsia="宋体"/>
                      <w:color w:val="auto"/>
                      <w:szCs w:val="21"/>
                      <w:lang w:val="en-US" w:eastAsia="zh-CN"/>
                    </w:rPr>
                  </w:pPr>
                  <w:r>
                    <w:rPr>
                      <w:rFonts w:hint="eastAsia"/>
                      <w:color w:val="auto"/>
                      <w:szCs w:val="21"/>
                      <w:lang w:val="en-US" w:eastAsia="zh-CN"/>
                    </w:rPr>
                    <w:t>干法制砂</w:t>
                  </w:r>
                  <w:r>
                    <w:rPr>
                      <w:color w:val="auto"/>
                      <w:szCs w:val="21"/>
                    </w:rPr>
                    <w:t>粉尘G</w:t>
                  </w:r>
                  <w:r>
                    <w:rPr>
                      <w:rFonts w:hint="eastAsia"/>
                      <w:color w:val="auto"/>
                      <w:szCs w:val="21"/>
                      <w:lang w:val="en-US" w:eastAsia="zh-CN"/>
                    </w:rPr>
                    <w:t>3</w:t>
                  </w:r>
                </w:p>
              </w:tc>
              <w:tc>
                <w:tcPr>
                  <w:tcW w:w="1052" w:type="dxa"/>
                  <w:shd w:val="clear" w:color="auto" w:fill="auto"/>
                  <w:vAlign w:val="center"/>
                </w:tcPr>
                <w:p w14:paraId="3BAA7AD4">
                  <w:pPr>
                    <w:pStyle w:val="9"/>
                    <w:ind w:firstLine="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0.075</w:t>
                  </w:r>
                </w:p>
              </w:tc>
            </w:tr>
            <w:tr w14:paraId="5BA6E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0CD24117">
                  <w:pPr>
                    <w:pStyle w:val="9"/>
                    <w:ind w:firstLine="0"/>
                    <w:jc w:val="center"/>
                    <w:rPr>
                      <w:rFonts w:hint="eastAsia"/>
                      <w:color w:val="auto"/>
                      <w:szCs w:val="21"/>
                    </w:rPr>
                  </w:pPr>
                </w:p>
              </w:tc>
              <w:tc>
                <w:tcPr>
                  <w:tcW w:w="1997" w:type="dxa"/>
                  <w:gridSpan w:val="4"/>
                  <w:vAlign w:val="center"/>
                </w:tcPr>
                <w:p w14:paraId="183F088A">
                  <w:pPr>
                    <w:pStyle w:val="9"/>
                    <w:ind w:firstLine="0"/>
                    <w:jc w:val="center"/>
                    <w:rPr>
                      <w:rFonts w:hint="eastAsia"/>
                      <w:color w:val="auto"/>
                      <w:szCs w:val="21"/>
                    </w:rPr>
                  </w:pPr>
                </w:p>
              </w:tc>
              <w:tc>
                <w:tcPr>
                  <w:tcW w:w="1202" w:type="dxa"/>
                  <w:vAlign w:val="center"/>
                </w:tcPr>
                <w:p w14:paraId="28ED9E04">
                  <w:pPr>
                    <w:pStyle w:val="9"/>
                    <w:ind w:firstLine="0"/>
                    <w:jc w:val="center"/>
                    <w:rPr>
                      <w:rFonts w:hint="eastAsia"/>
                      <w:color w:val="auto"/>
                      <w:szCs w:val="21"/>
                    </w:rPr>
                  </w:pPr>
                </w:p>
              </w:tc>
              <w:tc>
                <w:tcPr>
                  <w:tcW w:w="1151" w:type="dxa"/>
                  <w:shd w:val="clear" w:color="auto" w:fill="auto"/>
                  <w:vAlign w:val="center"/>
                </w:tcPr>
                <w:p w14:paraId="25F78052">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固废</w:t>
                  </w:r>
                </w:p>
              </w:tc>
              <w:tc>
                <w:tcPr>
                  <w:tcW w:w="1813" w:type="dxa"/>
                  <w:shd w:val="clear" w:color="auto" w:fill="auto"/>
                  <w:vAlign w:val="center"/>
                </w:tcPr>
                <w:p w14:paraId="58CDDD5B">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废渣S2</w:t>
                  </w:r>
                </w:p>
              </w:tc>
              <w:tc>
                <w:tcPr>
                  <w:tcW w:w="1052" w:type="dxa"/>
                  <w:shd w:val="clear" w:color="auto" w:fill="auto"/>
                  <w:vAlign w:val="center"/>
                </w:tcPr>
                <w:p w14:paraId="16860DD9">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30</w:t>
                  </w:r>
                </w:p>
              </w:tc>
            </w:tr>
            <w:tr w14:paraId="175D7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7FF17F79">
                  <w:pPr>
                    <w:pStyle w:val="9"/>
                    <w:ind w:firstLine="0"/>
                    <w:jc w:val="center"/>
                    <w:rPr>
                      <w:rFonts w:hint="eastAsia"/>
                      <w:color w:val="auto"/>
                      <w:szCs w:val="21"/>
                    </w:rPr>
                  </w:pPr>
                </w:p>
              </w:tc>
              <w:tc>
                <w:tcPr>
                  <w:tcW w:w="1997" w:type="dxa"/>
                  <w:gridSpan w:val="4"/>
                  <w:shd w:val="clear" w:color="auto" w:fill="auto"/>
                  <w:vAlign w:val="center"/>
                </w:tcPr>
                <w:p w14:paraId="7A437034">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6BE10347">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2136.666</w:t>
                  </w:r>
                </w:p>
              </w:tc>
              <w:tc>
                <w:tcPr>
                  <w:tcW w:w="2964" w:type="dxa"/>
                  <w:gridSpan w:val="2"/>
                  <w:shd w:val="clear" w:color="auto" w:fill="auto"/>
                  <w:vAlign w:val="center"/>
                </w:tcPr>
                <w:p w14:paraId="63F80234">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shd w:val="clear" w:color="auto" w:fill="auto"/>
                  <w:vAlign w:val="center"/>
                </w:tcPr>
                <w:p w14:paraId="46A898AB">
                  <w:pPr>
                    <w:pStyle w:val="9"/>
                    <w:ind w:firstLine="0" w:firstLineChars="0"/>
                    <w:jc w:val="center"/>
                    <w:rPr>
                      <w:rFonts w:hint="default"/>
                      <w:b/>
                      <w:bCs/>
                      <w:color w:val="auto"/>
                      <w:szCs w:val="21"/>
                      <w:lang w:val="en-US" w:eastAsia="zh-CN"/>
                    </w:rPr>
                  </w:pPr>
                  <w:r>
                    <w:rPr>
                      <w:rFonts w:hint="eastAsia"/>
                      <w:b/>
                      <w:bCs/>
                      <w:color w:val="auto"/>
                      <w:szCs w:val="21"/>
                      <w:lang w:val="en-US" w:eastAsia="zh-CN"/>
                    </w:rPr>
                    <w:t>2136.666</w:t>
                  </w:r>
                </w:p>
              </w:tc>
            </w:tr>
            <w:tr w14:paraId="4A489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72F2DCCC">
                  <w:pPr>
                    <w:pStyle w:val="9"/>
                    <w:ind w:firstLine="0"/>
                    <w:jc w:val="center"/>
                    <w:rPr>
                      <w:rFonts w:hint="eastAsia"/>
                      <w:color w:val="auto"/>
                      <w:szCs w:val="21"/>
                    </w:rPr>
                  </w:pPr>
                </w:p>
              </w:tc>
              <w:tc>
                <w:tcPr>
                  <w:tcW w:w="1997" w:type="dxa"/>
                  <w:gridSpan w:val="4"/>
                  <w:vAlign w:val="center"/>
                </w:tcPr>
                <w:p w14:paraId="52358175">
                  <w:pPr>
                    <w:pStyle w:val="9"/>
                    <w:ind w:firstLine="0"/>
                    <w:jc w:val="center"/>
                    <w:rPr>
                      <w:rFonts w:hint="eastAsia"/>
                      <w:color w:val="auto"/>
                      <w:szCs w:val="21"/>
                    </w:rPr>
                  </w:pPr>
                </w:p>
              </w:tc>
              <w:tc>
                <w:tcPr>
                  <w:tcW w:w="1202" w:type="dxa"/>
                  <w:vAlign w:val="center"/>
                </w:tcPr>
                <w:p w14:paraId="670EC665">
                  <w:pPr>
                    <w:pStyle w:val="9"/>
                    <w:ind w:firstLine="0"/>
                    <w:jc w:val="center"/>
                    <w:rPr>
                      <w:rFonts w:hint="eastAsia"/>
                      <w:color w:val="auto"/>
                      <w:szCs w:val="21"/>
                    </w:rPr>
                  </w:pPr>
                </w:p>
              </w:tc>
              <w:tc>
                <w:tcPr>
                  <w:tcW w:w="1151" w:type="dxa"/>
                  <w:vAlign w:val="center"/>
                </w:tcPr>
                <w:p w14:paraId="101158AF">
                  <w:pPr>
                    <w:pStyle w:val="9"/>
                    <w:ind w:firstLine="0"/>
                    <w:jc w:val="center"/>
                    <w:rPr>
                      <w:rFonts w:hint="eastAsia"/>
                      <w:color w:val="auto"/>
                      <w:szCs w:val="21"/>
                    </w:rPr>
                  </w:pPr>
                </w:p>
              </w:tc>
              <w:tc>
                <w:tcPr>
                  <w:tcW w:w="1813" w:type="dxa"/>
                  <w:vAlign w:val="center"/>
                </w:tcPr>
                <w:p w14:paraId="764F8815">
                  <w:pPr>
                    <w:pStyle w:val="9"/>
                    <w:ind w:firstLine="0"/>
                    <w:jc w:val="center"/>
                    <w:rPr>
                      <w:rFonts w:hint="eastAsia"/>
                      <w:color w:val="auto"/>
                      <w:szCs w:val="21"/>
                    </w:rPr>
                  </w:pPr>
                </w:p>
              </w:tc>
              <w:tc>
                <w:tcPr>
                  <w:tcW w:w="1052" w:type="dxa"/>
                  <w:vAlign w:val="center"/>
                </w:tcPr>
                <w:p w14:paraId="37287B81">
                  <w:pPr>
                    <w:pStyle w:val="9"/>
                    <w:ind w:firstLine="0"/>
                    <w:jc w:val="center"/>
                    <w:rPr>
                      <w:rFonts w:hint="eastAsia"/>
                      <w:color w:val="auto"/>
                      <w:szCs w:val="21"/>
                    </w:rPr>
                  </w:pPr>
                </w:p>
              </w:tc>
            </w:tr>
            <w:tr w14:paraId="4338D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53981FEB">
                  <w:pPr>
                    <w:pStyle w:val="9"/>
                    <w:ind w:firstLine="0"/>
                    <w:jc w:val="center"/>
                    <w:rPr>
                      <w:rFonts w:hint="default" w:eastAsia="宋体"/>
                      <w:color w:val="auto"/>
                      <w:szCs w:val="21"/>
                      <w:lang w:val="en-US" w:eastAsia="zh-CN"/>
                    </w:rPr>
                  </w:pPr>
                  <w:r>
                    <w:rPr>
                      <w:rFonts w:hint="eastAsia"/>
                      <w:color w:val="auto"/>
                      <w:szCs w:val="21"/>
                      <w:lang w:val="en-US" w:eastAsia="zh-CN"/>
                    </w:rPr>
                    <w:t>筛分、磁选</w:t>
                  </w:r>
                </w:p>
              </w:tc>
              <w:tc>
                <w:tcPr>
                  <w:tcW w:w="893" w:type="dxa"/>
                  <w:vMerge w:val="restart"/>
                  <w:vAlign w:val="center"/>
                </w:tcPr>
                <w:p w14:paraId="751524CF">
                  <w:pPr>
                    <w:pStyle w:val="9"/>
                    <w:ind w:firstLine="0"/>
                    <w:jc w:val="center"/>
                    <w:rPr>
                      <w:rFonts w:hint="default"/>
                      <w:color w:val="auto"/>
                      <w:szCs w:val="21"/>
                      <w:lang w:val="en-US"/>
                    </w:rPr>
                  </w:pPr>
                  <w:r>
                    <w:rPr>
                      <w:rFonts w:hint="eastAsia"/>
                      <w:color w:val="auto"/>
                      <w:szCs w:val="21"/>
                      <w:lang w:val="en-US" w:eastAsia="zh-CN"/>
                    </w:rPr>
                    <w:t>石英砂3</w:t>
                  </w:r>
                </w:p>
              </w:tc>
              <w:tc>
                <w:tcPr>
                  <w:tcW w:w="1104" w:type="dxa"/>
                  <w:gridSpan w:val="3"/>
                  <w:shd w:val="clear" w:color="auto" w:fill="auto"/>
                  <w:vAlign w:val="center"/>
                </w:tcPr>
                <w:p w14:paraId="427CA52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石英砂3</w:t>
                  </w:r>
                </w:p>
              </w:tc>
              <w:tc>
                <w:tcPr>
                  <w:tcW w:w="1202" w:type="dxa"/>
                  <w:shd w:val="clear" w:color="auto" w:fill="auto"/>
                  <w:vAlign w:val="center"/>
                </w:tcPr>
                <w:p w14:paraId="256E5C66">
                  <w:pPr>
                    <w:pStyle w:val="9"/>
                    <w:ind w:firstLine="0" w:firstLineChars="0"/>
                    <w:jc w:val="center"/>
                    <w:rPr>
                      <w:rFonts w:hint="default"/>
                      <w:color w:val="auto"/>
                      <w:szCs w:val="21"/>
                      <w:lang w:val="en-US" w:eastAsia="zh-CN"/>
                    </w:rPr>
                  </w:pPr>
                  <w:r>
                    <w:rPr>
                      <w:rFonts w:hint="eastAsia"/>
                      <w:color w:val="auto"/>
                      <w:szCs w:val="21"/>
                      <w:lang w:val="en-US" w:eastAsia="zh-CN"/>
                    </w:rPr>
                    <w:t>2026.591</w:t>
                  </w:r>
                </w:p>
              </w:tc>
              <w:tc>
                <w:tcPr>
                  <w:tcW w:w="1151" w:type="dxa"/>
                  <w:vMerge w:val="restart"/>
                  <w:vAlign w:val="center"/>
                </w:tcPr>
                <w:p w14:paraId="4A1CDF50">
                  <w:pPr>
                    <w:pStyle w:val="9"/>
                    <w:ind w:firstLine="0"/>
                    <w:jc w:val="center"/>
                    <w:rPr>
                      <w:rFonts w:hint="default"/>
                      <w:color w:val="auto"/>
                      <w:szCs w:val="21"/>
                      <w:lang w:val="en-US"/>
                    </w:rPr>
                  </w:pPr>
                  <w:r>
                    <w:rPr>
                      <w:rFonts w:hint="eastAsia"/>
                      <w:color w:val="auto"/>
                      <w:szCs w:val="21"/>
                      <w:lang w:val="en-US" w:eastAsia="zh-CN"/>
                    </w:rPr>
                    <w:t>石英砂4</w:t>
                  </w:r>
                </w:p>
              </w:tc>
              <w:tc>
                <w:tcPr>
                  <w:tcW w:w="1813" w:type="dxa"/>
                  <w:shd w:val="clear" w:color="auto" w:fill="auto"/>
                  <w:vAlign w:val="center"/>
                </w:tcPr>
                <w:p w14:paraId="0563C5E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石英砂4</w:t>
                  </w:r>
                </w:p>
              </w:tc>
              <w:tc>
                <w:tcPr>
                  <w:tcW w:w="1052" w:type="dxa"/>
                  <w:shd w:val="clear" w:color="auto" w:fill="auto"/>
                  <w:vAlign w:val="center"/>
                </w:tcPr>
                <w:p w14:paraId="1DCC3EE1">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2025.888</w:t>
                  </w:r>
                </w:p>
              </w:tc>
            </w:tr>
            <w:tr w14:paraId="73E10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4D3384D4">
                  <w:pPr>
                    <w:pStyle w:val="9"/>
                    <w:ind w:firstLine="0"/>
                    <w:jc w:val="center"/>
                    <w:rPr>
                      <w:rFonts w:hint="eastAsia"/>
                      <w:color w:val="auto"/>
                      <w:szCs w:val="21"/>
                    </w:rPr>
                  </w:pPr>
                </w:p>
              </w:tc>
              <w:tc>
                <w:tcPr>
                  <w:tcW w:w="893" w:type="dxa"/>
                  <w:vMerge w:val="continue"/>
                  <w:vAlign w:val="center"/>
                </w:tcPr>
                <w:p w14:paraId="2B0455AE">
                  <w:pPr>
                    <w:pStyle w:val="9"/>
                    <w:ind w:firstLine="0"/>
                    <w:jc w:val="center"/>
                    <w:rPr>
                      <w:rFonts w:hint="eastAsia" w:eastAsia="宋体"/>
                      <w:color w:val="auto"/>
                      <w:szCs w:val="21"/>
                      <w:lang w:val="en-US" w:eastAsia="zh-CN"/>
                    </w:rPr>
                  </w:pPr>
                </w:p>
              </w:tc>
              <w:tc>
                <w:tcPr>
                  <w:tcW w:w="1104" w:type="dxa"/>
                  <w:gridSpan w:val="3"/>
                  <w:shd w:val="clear" w:color="auto" w:fill="auto"/>
                  <w:vAlign w:val="center"/>
                </w:tcPr>
                <w:p w14:paraId="3DE44BED">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202" w:type="dxa"/>
                  <w:vAlign w:val="center"/>
                </w:tcPr>
                <w:p w14:paraId="14B2AC1E">
                  <w:pPr>
                    <w:pStyle w:val="9"/>
                    <w:ind w:firstLine="0"/>
                    <w:jc w:val="center"/>
                    <w:rPr>
                      <w:rFonts w:hint="default" w:eastAsia="宋体"/>
                      <w:color w:val="auto"/>
                      <w:szCs w:val="21"/>
                      <w:lang w:val="en-US" w:eastAsia="zh-CN"/>
                    </w:rPr>
                  </w:pPr>
                  <w:r>
                    <w:rPr>
                      <w:rFonts w:hint="eastAsia"/>
                      <w:color w:val="auto"/>
                      <w:szCs w:val="21"/>
                      <w:lang w:val="en-US" w:eastAsia="zh-CN"/>
                    </w:rPr>
                    <w:t>60</w:t>
                  </w:r>
                </w:p>
              </w:tc>
              <w:tc>
                <w:tcPr>
                  <w:tcW w:w="1151" w:type="dxa"/>
                  <w:vMerge w:val="continue"/>
                  <w:shd w:val="clear" w:color="auto" w:fill="auto"/>
                  <w:vAlign w:val="center"/>
                </w:tcPr>
                <w:p w14:paraId="69531108">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813" w:type="dxa"/>
                  <w:vAlign w:val="center"/>
                </w:tcPr>
                <w:p w14:paraId="07CFF98C">
                  <w:pPr>
                    <w:pStyle w:val="9"/>
                    <w:ind w:firstLine="0"/>
                    <w:jc w:val="center"/>
                    <w:rPr>
                      <w:rFonts w:hint="eastAsia"/>
                      <w:color w:val="auto"/>
                      <w:szCs w:val="21"/>
                    </w:rPr>
                  </w:pPr>
                  <w:r>
                    <w:rPr>
                      <w:rFonts w:hint="eastAsia"/>
                      <w:color w:val="auto"/>
                      <w:szCs w:val="21"/>
                      <w:lang w:val="en-US" w:eastAsia="zh-CN"/>
                    </w:rPr>
                    <w:t>水</w:t>
                  </w:r>
                </w:p>
              </w:tc>
              <w:tc>
                <w:tcPr>
                  <w:tcW w:w="1052" w:type="dxa"/>
                  <w:shd w:val="clear" w:color="auto" w:fill="auto"/>
                  <w:vAlign w:val="center"/>
                </w:tcPr>
                <w:p w14:paraId="5FF4E0EF">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60</w:t>
                  </w:r>
                </w:p>
              </w:tc>
            </w:tr>
            <w:tr w14:paraId="14521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AB95206">
                  <w:pPr>
                    <w:pStyle w:val="9"/>
                    <w:ind w:firstLine="0"/>
                    <w:jc w:val="center"/>
                    <w:rPr>
                      <w:rFonts w:hint="eastAsia"/>
                      <w:color w:val="auto"/>
                      <w:szCs w:val="21"/>
                    </w:rPr>
                  </w:pPr>
                </w:p>
              </w:tc>
              <w:tc>
                <w:tcPr>
                  <w:tcW w:w="1997" w:type="dxa"/>
                  <w:gridSpan w:val="4"/>
                  <w:shd w:val="clear" w:color="auto" w:fill="auto"/>
                  <w:vAlign w:val="center"/>
                </w:tcPr>
                <w:p w14:paraId="2EBEE62A">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202" w:type="dxa"/>
                  <w:vAlign w:val="center"/>
                </w:tcPr>
                <w:p w14:paraId="5E232153">
                  <w:pPr>
                    <w:pStyle w:val="9"/>
                    <w:ind w:firstLine="0"/>
                    <w:jc w:val="center"/>
                    <w:rPr>
                      <w:rFonts w:hint="default" w:eastAsia="宋体"/>
                      <w:color w:val="auto"/>
                      <w:szCs w:val="21"/>
                      <w:lang w:val="en-US" w:eastAsia="zh-CN"/>
                    </w:rPr>
                  </w:pPr>
                </w:p>
              </w:tc>
              <w:tc>
                <w:tcPr>
                  <w:tcW w:w="1151" w:type="dxa"/>
                  <w:shd w:val="clear" w:color="auto" w:fill="auto"/>
                  <w:vAlign w:val="center"/>
                </w:tcPr>
                <w:p w14:paraId="2C4A51B7">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废气</w:t>
                  </w:r>
                </w:p>
              </w:tc>
              <w:tc>
                <w:tcPr>
                  <w:tcW w:w="1813" w:type="dxa"/>
                  <w:vAlign w:val="center"/>
                </w:tcPr>
                <w:p w14:paraId="38DFB5AE">
                  <w:pPr>
                    <w:pStyle w:val="9"/>
                    <w:ind w:firstLine="0" w:firstLineChars="0"/>
                    <w:jc w:val="center"/>
                    <w:rPr>
                      <w:rFonts w:hint="eastAsia" w:eastAsia="宋体"/>
                      <w:color w:val="auto"/>
                      <w:szCs w:val="21"/>
                      <w:lang w:val="en-US" w:eastAsia="zh-CN"/>
                    </w:rPr>
                  </w:pPr>
                  <w:r>
                    <w:rPr>
                      <w:rFonts w:hint="eastAsia"/>
                      <w:color w:val="auto"/>
                      <w:szCs w:val="21"/>
                      <w:lang w:val="en-US" w:eastAsia="zh-CN"/>
                    </w:rPr>
                    <w:t>磁选</w:t>
                  </w:r>
                  <w:r>
                    <w:rPr>
                      <w:color w:val="auto"/>
                      <w:szCs w:val="21"/>
                    </w:rPr>
                    <w:t>粉尘G</w:t>
                  </w:r>
                  <w:r>
                    <w:rPr>
                      <w:rFonts w:hint="eastAsia"/>
                      <w:color w:val="auto"/>
                      <w:szCs w:val="21"/>
                      <w:lang w:val="en-US" w:eastAsia="zh-CN"/>
                    </w:rPr>
                    <w:t>4</w:t>
                  </w:r>
                </w:p>
              </w:tc>
              <w:tc>
                <w:tcPr>
                  <w:tcW w:w="1052" w:type="dxa"/>
                  <w:vAlign w:val="center"/>
                </w:tcPr>
                <w:p w14:paraId="000D0C6B">
                  <w:pPr>
                    <w:pStyle w:val="9"/>
                    <w:ind w:firstLine="0"/>
                    <w:jc w:val="center"/>
                    <w:rPr>
                      <w:rFonts w:hint="default" w:eastAsia="宋体"/>
                      <w:color w:val="auto"/>
                      <w:szCs w:val="21"/>
                      <w:lang w:val="en-US" w:eastAsia="zh-CN"/>
                    </w:rPr>
                  </w:pPr>
                  <w:r>
                    <w:rPr>
                      <w:rFonts w:hint="eastAsia"/>
                      <w:color w:val="auto"/>
                      <w:szCs w:val="21"/>
                      <w:lang w:val="en-US" w:eastAsia="zh-CN"/>
                    </w:rPr>
                    <w:t>0.503</w:t>
                  </w:r>
                </w:p>
              </w:tc>
            </w:tr>
            <w:tr w14:paraId="6484E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792E012A">
                  <w:pPr>
                    <w:pStyle w:val="9"/>
                    <w:ind w:firstLine="0"/>
                    <w:jc w:val="center"/>
                    <w:rPr>
                      <w:rFonts w:hint="eastAsia"/>
                      <w:color w:val="auto"/>
                      <w:szCs w:val="21"/>
                    </w:rPr>
                  </w:pPr>
                </w:p>
              </w:tc>
              <w:tc>
                <w:tcPr>
                  <w:tcW w:w="1997" w:type="dxa"/>
                  <w:gridSpan w:val="4"/>
                  <w:vAlign w:val="center"/>
                </w:tcPr>
                <w:p w14:paraId="63FBE25D">
                  <w:pPr>
                    <w:pStyle w:val="9"/>
                    <w:ind w:firstLine="0"/>
                    <w:jc w:val="center"/>
                    <w:rPr>
                      <w:rFonts w:hint="eastAsia"/>
                      <w:color w:val="auto"/>
                      <w:szCs w:val="21"/>
                    </w:rPr>
                  </w:pPr>
                </w:p>
              </w:tc>
              <w:tc>
                <w:tcPr>
                  <w:tcW w:w="1202" w:type="dxa"/>
                  <w:vAlign w:val="center"/>
                </w:tcPr>
                <w:p w14:paraId="3561BF9E">
                  <w:pPr>
                    <w:pStyle w:val="9"/>
                    <w:ind w:firstLine="0"/>
                    <w:jc w:val="center"/>
                    <w:rPr>
                      <w:rFonts w:hint="eastAsia"/>
                      <w:color w:val="auto"/>
                      <w:szCs w:val="21"/>
                    </w:rPr>
                  </w:pPr>
                </w:p>
              </w:tc>
              <w:tc>
                <w:tcPr>
                  <w:tcW w:w="1151" w:type="dxa"/>
                  <w:shd w:val="clear" w:color="auto" w:fill="auto"/>
                  <w:vAlign w:val="center"/>
                </w:tcPr>
                <w:p w14:paraId="326FE3B1">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固废</w:t>
                  </w:r>
                </w:p>
              </w:tc>
              <w:tc>
                <w:tcPr>
                  <w:tcW w:w="1813" w:type="dxa"/>
                  <w:vAlign w:val="center"/>
                </w:tcPr>
                <w:p w14:paraId="1FE29950">
                  <w:pPr>
                    <w:pStyle w:val="9"/>
                    <w:ind w:firstLine="0"/>
                    <w:jc w:val="center"/>
                    <w:rPr>
                      <w:rFonts w:hint="eastAsia" w:eastAsia="宋体"/>
                      <w:color w:val="auto"/>
                      <w:szCs w:val="21"/>
                      <w:lang w:val="en-US" w:eastAsia="zh-CN"/>
                    </w:rPr>
                  </w:pPr>
                  <w:r>
                    <w:rPr>
                      <w:color w:val="auto"/>
                      <w:szCs w:val="21"/>
                    </w:rPr>
                    <w:t>磁性物料S</w:t>
                  </w:r>
                  <w:r>
                    <w:rPr>
                      <w:rFonts w:hint="eastAsia"/>
                      <w:color w:val="auto"/>
                      <w:szCs w:val="21"/>
                      <w:lang w:val="en-US" w:eastAsia="zh-CN"/>
                    </w:rPr>
                    <w:t>3</w:t>
                  </w:r>
                </w:p>
              </w:tc>
              <w:tc>
                <w:tcPr>
                  <w:tcW w:w="1052" w:type="dxa"/>
                  <w:vAlign w:val="center"/>
                </w:tcPr>
                <w:p w14:paraId="189946B3">
                  <w:pPr>
                    <w:pStyle w:val="9"/>
                    <w:ind w:firstLine="0"/>
                    <w:jc w:val="center"/>
                    <w:rPr>
                      <w:rFonts w:hint="default" w:eastAsia="宋体"/>
                      <w:color w:val="auto"/>
                      <w:szCs w:val="21"/>
                      <w:lang w:val="en-US" w:eastAsia="zh-CN"/>
                    </w:rPr>
                  </w:pPr>
                  <w:r>
                    <w:rPr>
                      <w:rFonts w:hint="eastAsia"/>
                      <w:color w:val="auto"/>
                      <w:szCs w:val="21"/>
                      <w:lang w:val="en-US" w:eastAsia="zh-CN"/>
                    </w:rPr>
                    <w:t>0.2</w:t>
                  </w:r>
                </w:p>
              </w:tc>
            </w:tr>
            <w:tr w14:paraId="76934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4AAB4B3B">
                  <w:pPr>
                    <w:pStyle w:val="9"/>
                    <w:ind w:firstLine="0"/>
                    <w:jc w:val="center"/>
                    <w:rPr>
                      <w:rFonts w:hint="eastAsia"/>
                      <w:color w:val="auto"/>
                      <w:szCs w:val="21"/>
                    </w:rPr>
                  </w:pPr>
                </w:p>
              </w:tc>
              <w:tc>
                <w:tcPr>
                  <w:tcW w:w="1997" w:type="dxa"/>
                  <w:gridSpan w:val="4"/>
                  <w:shd w:val="clear" w:color="auto" w:fill="auto"/>
                  <w:vAlign w:val="center"/>
                </w:tcPr>
                <w:p w14:paraId="2B3DC00A">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1948388C">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2086.591</w:t>
                  </w:r>
                </w:p>
              </w:tc>
              <w:tc>
                <w:tcPr>
                  <w:tcW w:w="2964" w:type="dxa"/>
                  <w:gridSpan w:val="2"/>
                  <w:shd w:val="clear" w:color="auto" w:fill="auto"/>
                  <w:vAlign w:val="center"/>
                </w:tcPr>
                <w:p w14:paraId="72329CDF">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shd w:val="clear" w:color="auto" w:fill="auto"/>
                  <w:vAlign w:val="center"/>
                </w:tcPr>
                <w:p w14:paraId="3B20FDF4">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2086.591</w:t>
                  </w:r>
                </w:p>
              </w:tc>
            </w:tr>
            <w:tr w14:paraId="49BAD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5BD7BFD3">
                  <w:pPr>
                    <w:pStyle w:val="9"/>
                    <w:ind w:firstLine="0"/>
                    <w:jc w:val="center"/>
                    <w:rPr>
                      <w:rFonts w:hint="eastAsia"/>
                      <w:color w:val="auto"/>
                      <w:szCs w:val="21"/>
                    </w:rPr>
                  </w:pPr>
                </w:p>
              </w:tc>
              <w:tc>
                <w:tcPr>
                  <w:tcW w:w="1997" w:type="dxa"/>
                  <w:gridSpan w:val="4"/>
                  <w:vAlign w:val="center"/>
                </w:tcPr>
                <w:p w14:paraId="48D79E1F">
                  <w:pPr>
                    <w:pStyle w:val="9"/>
                    <w:ind w:firstLine="0"/>
                    <w:jc w:val="center"/>
                    <w:rPr>
                      <w:rFonts w:hint="eastAsia"/>
                      <w:color w:val="auto"/>
                      <w:szCs w:val="21"/>
                    </w:rPr>
                  </w:pPr>
                </w:p>
              </w:tc>
              <w:tc>
                <w:tcPr>
                  <w:tcW w:w="1202" w:type="dxa"/>
                  <w:vAlign w:val="center"/>
                </w:tcPr>
                <w:p w14:paraId="71F1F702">
                  <w:pPr>
                    <w:pStyle w:val="9"/>
                    <w:ind w:firstLine="0"/>
                    <w:jc w:val="center"/>
                    <w:rPr>
                      <w:rFonts w:hint="eastAsia"/>
                      <w:color w:val="auto"/>
                      <w:szCs w:val="21"/>
                    </w:rPr>
                  </w:pPr>
                </w:p>
              </w:tc>
              <w:tc>
                <w:tcPr>
                  <w:tcW w:w="1151" w:type="dxa"/>
                  <w:vAlign w:val="center"/>
                </w:tcPr>
                <w:p w14:paraId="5F1488D5">
                  <w:pPr>
                    <w:pStyle w:val="9"/>
                    <w:ind w:firstLine="0"/>
                    <w:jc w:val="center"/>
                    <w:rPr>
                      <w:rFonts w:hint="eastAsia"/>
                      <w:color w:val="auto"/>
                      <w:szCs w:val="21"/>
                    </w:rPr>
                  </w:pPr>
                </w:p>
              </w:tc>
              <w:tc>
                <w:tcPr>
                  <w:tcW w:w="1813" w:type="dxa"/>
                  <w:vAlign w:val="center"/>
                </w:tcPr>
                <w:p w14:paraId="3CA857CB">
                  <w:pPr>
                    <w:pStyle w:val="9"/>
                    <w:ind w:firstLine="0"/>
                    <w:jc w:val="center"/>
                    <w:rPr>
                      <w:rFonts w:hint="eastAsia"/>
                      <w:color w:val="auto"/>
                      <w:szCs w:val="21"/>
                    </w:rPr>
                  </w:pPr>
                </w:p>
              </w:tc>
              <w:tc>
                <w:tcPr>
                  <w:tcW w:w="1052" w:type="dxa"/>
                  <w:vAlign w:val="center"/>
                </w:tcPr>
                <w:p w14:paraId="2BEF9010">
                  <w:pPr>
                    <w:pStyle w:val="9"/>
                    <w:ind w:firstLine="0"/>
                    <w:jc w:val="center"/>
                    <w:rPr>
                      <w:rFonts w:hint="eastAsia"/>
                      <w:color w:val="auto"/>
                      <w:szCs w:val="21"/>
                    </w:rPr>
                  </w:pPr>
                </w:p>
              </w:tc>
            </w:tr>
            <w:tr w14:paraId="64C66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4AFCDC40">
                  <w:pPr>
                    <w:pStyle w:val="9"/>
                    <w:ind w:firstLine="0"/>
                    <w:jc w:val="center"/>
                    <w:rPr>
                      <w:rFonts w:hint="eastAsia" w:eastAsia="宋体"/>
                      <w:color w:val="auto"/>
                      <w:szCs w:val="21"/>
                      <w:lang w:val="en-US" w:eastAsia="zh-CN"/>
                    </w:rPr>
                  </w:pPr>
                  <w:r>
                    <w:rPr>
                      <w:rFonts w:hint="eastAsia"/>
                      <w:color w:val="auto"/>
                      <w:szCs w:val="21"/>
                      <w:lang w:val="en-US" w:eastAsia="zh-CN"/>
                    </w:rPr>
                    <w:t>水洗</w:t>
                  </w:r>
                </w:p>
              </w:tc>
              <w:tc>
                <w:tcPr>
                  <w:tcW w:w="893" w:type="dxa"/>
                  <w:vMerge w:val="restart"/>
                  <w:shd w:val="clear" w:color="auto" w:fill="auto"/>
                  <w:vAlign w:val="center"/>
                </w:tcPr>
                <w:p w14:paraId="13B25F94">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石英砂4</w:t>
                  </w:r>
                </w:p>
              </w:tc>
              <w:tc>
                <w:tcPr>
                  <w:tcW w:w="1104" w:type="dxa"/>
                  <w:gridSpan w:val="3"/>
                  <w:shd w:val="clear" w:color="auto" w:fill="auto"/>
                  <w:vAlign w:val="center"/>
                </w:tcPr>
                <w:p w14:paraId="7ED735B1">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石英砂4</w:t>
                  </w:r>
                </w:p>
              </w:tc>
              <w:tc>
                <w:tcPr>
                  <w:tcW w:w="1202" w:type="dxa"/>
                  <w:vAlign w:val="center"/>
                </w:tcPr>
                <w:p w14:paraId="2A52F579">
                  <w:pPr>
                    <w:pStyle w:val="9"/>
                    <w:ind w:firstLine="0"/>
                    <w:jc w:val="center"/>
                    <w:rPr>
                      <w:rFonts w:hint="default" w:eastAsia="宋体"/>
                      <w:color w:val="auto"/>
                      <w:szCs w:val="21"/>
                      <w:lang w:val="en-US" w:eastAsia="zh-CN"/>
                    </w:rPr>
                  </w:pPr>
                  <w:r>
                    <w:rPr>
                      <w:rFonts w:hint="eastAsia"/>
                      <w:color w:val="auto"/>
                      <w:szCs w:val="21"/>
                      <w:lang w:val="en-US" w:eastAsia="zh-CN"/>
                    </w:rPr>
                    <w:t>2025.888</w:t>
                  </w:r>
                </w:p>
              </w:tc>
              <w:tc>
                <w:tcPr>
                  <w:tcW w:w="1151" w:type="dxa"/>
                  <w:vMerge w:val="restart"/>
                  <w:shd w:val="clear" w:color="auto" w:fill="auto"/>
                  <w:vAlign w:val="center"/>
                </w:tcPr>
                <w:p w14:paraId="4A122CA9">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石英砂5</w:t>
                  </w:r>
                </w:p>
              </w:tc>
              <w:tc>
                <w:tcPr>
                  <w:tcW w:w="1813" w:type="dxa"/>
                  <w:shd w:val="clear" w:color="auto" w:fill="auto"/>
                  <w:vAlign w:val="center"/>
                </w:tcPr>
                <w:p w14:paraId="58FBB0C2">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石英砂5</w:t>
                  </w:r>
                </w:p>
              </w:tc>
              <w:tc>
                <w:tcPr>
                  <w:tcW w:w="1052" w:type="dxa"/>
                  <w:shd w:val="clear" w:color="auto" w:fill="auto"/>
                  <w:vAlign w:val="center"/>
                </w:tcPr>
                <w:p w14:paraId="664181A1">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2017.888</w:t>
                  </w:r>
                </w:p>
              </w:tc>
            </w:tr>
            <w:tr w14:paraId="0DE32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5D952298">
                  <w:pPr>
                    <w:pStyle w:val="9"/>
                    <w:ind w:firstLine="0"/>
                    <w:jc w:val="center"/>
                    <w:rPr>
                      <w:rFonts w:hint="eastAsia"/>
                      <w:color w:val="auto"/>
                      <w:szCs w:val="21"/>
                    </w:rPr>
                  </w:pPr>
                </w:p>
              </w:tc>
              <w:tc>
                <w:tcPr>
                  <w:tcW w:w="893" w:type="dxa"/>
                  <w:vMerge w:val="continue"/>
                  <w:vAlign w:val="center"/>
                </w:tcPr>
                <w:p w14:paraId="7F244726">
                  <w:pPr>
                    <w:pStyle w:val="9"/>
                    <w:ind w:firstLine="0"/>
                    <w:jc w:val="center"/>
                    <w:rPr>
                      <w:rFonts w:hint="eastAsia"/>
                      <w:color w:val="auto"/>
                      <w:szCs w:val="21"/>
                    </w:rPr>
                  </w:pPr>
                </w:p>
              </w:tc>
              <w:tc>
                <w:tcPr>
                  <w:tcW w:w="1104" w:type="dxa"/>
                  <w:gridSpan w:val="3"/>
                  <w:shd w:val="clear" w:color="auto" w:fill="auto"/>
                  <w:vAlign w:val="center"/>
                </w:tcPr>
                <w:p w14:paraId="43249AF4">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202" w:type="dxa"/>
                  <w:vAlign w:val="center"/>
                </w:tcPr>
                <w:p w14:paraId="3CC0E6DA">
                  <w:pPr>
                    <w:pStyle w:val="9"/>
                    <w:ind w:firstLine="0"/>
                    <w:jc w:val="center"/>
                    <w:rPr>
                      <w:rFonts w:hint="default" w:eastAsia="宋体"/>
                      <w:color w:val="auto"/>
                      <w:szCs w:val="21"/>
                      <w:lang w:val="en-US" w:eastAsia="zh-CN"/>
                    </w:rPr>
                  </w:pPr>
                  <w:r>
                    <w:rPr>
                      <w:rFonts w:hint="eastAsia"/>
                      <w:color w:val="auto"/>
                      <w:szCs w:val="21"/>
                      <w:lang w:val="en-US" w:eastAsia="zh-CN"/>
                    </w:rPr>
                    <w:t>60</w:t>
                  </w:r>
                </w:p>
              </w:tc>
              <w:tc>
                <w:tcPr>
                  <w:tcW w:w="1151" w:type="dxa"/>
                  <w:vMerge w:val="continue"/>
                  <w:vAlign w:val="center"/>
                </w:tcPr>
                <w:p w14:paraId="00DBCC78">
                  <w:pPr>
                    <w:pStyle w:val="9"/>
                    <w:ind w:firstLine="0"/>
                    <w:jc w:val="center"/>
                    <w:rPr>
                      <w:rFonts w:hint="eastAsia"/>
                      <w:color w:val="auto"/>
                      <w:szCs w:val="21"/>
                    </w:rPr>
                  </w:pPr>
                </w:p>
              </w:tc>
              <w:tc>
                <w:tcPr>
                  <w:tcW w:w="1813" w:type="dxa"/>
                  <w:shd w:val="clear" w:color="auto" w:fill="auto"/>
                  <w:vAlign w:val="center"/>
                </w:tcPr>
                <w:p w14:paraId="21F0BB1F">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052" w:type="dxa"/>
                  <w:shd w:val="clear" w:color="auto" w:fill="auto"/>
                  <w:vAlign w:val="center"/>
                </w:tcPr>
                <w:p w14:paraId="705D8D55">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90</w:t>
                  </w:r>
                </w:p>
              </w:tc>
            </w:tr>
            <w:tr w14:paraId="4B449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5FF03753">
                  <w:pPr>
                    <w:pStyle w:val="9"/>
                    <w:ind w:firstLine="0"/>
                    <w:jc w:val="center"/>
                    <w:rPr>
                      <w:rFonts w:hint="eastAsia"/>
                      <w:color w:val="auto"/>
                      <w:szCs w:val="21"/>
                    </w:rPr>
                  </w:pPr>
                </w:p>
              </w:tc>
              <w:tc>
                <w:tcPr>
                  <w:tcW w:w="1997" w:type="dxa"/>
                  <w:gridSpan w:val="4"/>
                  <w:shd w:val="clear" w:color="auto" w:fill="auto"/>
                  <w:vAlign w:val="center"/>
                </w:tcPr>
                <w:p w14:paraId="4C58D85E">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纯水</w:t>
                  </w:r>
                </w:p>
              </w:tc>
              <w:tc>
                <w:tcPr>
                  <w:tcW w:w="1202" w:type="dxa"/>
                  <w:vAlign w:val="center"/>
                </w:tcPr>
                <w:p w14:paraId="45595405">
                  <w:pPr>
                    <w:pStyle w:val="9"/>
                    <w:ind w:firstLine="0"/>
                    <w:jc w:val="center"/>
                    <w:rPr>
                      <w:rFonts w:hint="default" w:eastAsia="宋体"/>
                      <w:color w:val="auto"/>
                      <w:szCs w:val="21"/>
                      <w:lang w:val="en-US" w:eastAsia="zh-CN"/>
                    </w:rPr>
                  </w:pPr>
                  <w:r>
                    <w:rPr>
                      <w:rFonts w:hint="eastAsia"/>
                      <w:color w:val="auto"/>
                      <w:szCs w:val="21"/>
                      <w:lang w:val="en-US" w:eastAsia="zh-CN"/>
                    </w:rPr>
                    <w:t>42</w:t>
                  </w:r>
                </w:p>
              </w:tc>
              <w:tc>
                <w:tcPr>
                  <w:tcW w:w="1151" w:type="dxa"/>
                  <w:shd w:val="clear" w:color="auto" w:fill="auto"/>
                  <w:vAlign w:val="center"/>
                </w:tcPr>
                <w:p w14:paraId="5F98840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固废</w:t>
                  </w:r>
                </w:p>
              </w:tc>
              <w:tc>
                <w:tcPr>
                  <w:tcW w:w="1813" w:type="dxa"/>
                  <w:shd w:val="clear" w:color="auto" w:fill="auto"/>
                  <w:vAlign w:val="center"/>
                </w:tcPr>
                <w:p w14:paraId="2CA26356">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废渣</w:t>
                  </w:r>
                  <w:r>
                    <w:rPr>
                      <w:color w:val="auto"/>
                      <w:szCs w:val="21"/>
                    </w:rPr>
                    <w:t>S</w:t>
                  </w:r>
                  <w:r>
                    <w:rPr>
                      <w:rFonts w:hint="eastAsia"/>
                      <w:color w:val="auto"/>
                      <w:szCs w:val="21"/>
                      <w:lang w:val="en-US" w:eastAsia="zh-CN"/>
                    </w:rPr>
                    <w:t>4</w:t>
                  </w:r>
                </w:p>
              </w:tc>
              <w:tc>
                <w:tcPr>
                  <w:tcW w:w="1052" w:type="dxa"/>
                  <w:shd w:val="clear" w:color="auto" w:fill="auto"/>
                  <w:vAlign w:val="center"/>
                </w:tcPr>
                <w:p w14:paraId="68D5890B">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w:t>
                  </w:r>
                </w:p>
              </w:tc>
            </w:tr>
            <w:tr w14:paraId="6A9EF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6D5519A">
                  <w:pPr>
                    <w:pStyle w:val="9"/>
                    <w:ind w:firstLine="0"/>
                    <w:jc w:val="center"/>
                    <w:rPr>
                      <w:rFonts w:hint="eastAsia"/>
                      <w:color w:val="auto"/>
                      <w:szCs w:val="21"/>
                    </w:rPr>
                  </w:pPr>
                </w:p>
              </w:tc>
              <w:tc>
                <w:tcPr>
                  <w:tcW w:w="1997" w:type="dxa"/>
                  <w:gridSpan w:val="4"/>
                  <w:vAlign w:val="center"/>
                </w:tcPr>
                <w:p w14:paraId="3AC30646">
                  <w:pPr>
                    <w:pStyle w:val="9"/>
                    <w:ind w:firstLine="0"/>
                    <w:jc w:val="center"/>
                    <w:rPr>
                      <w:rFonts w:hint="eastAsia" w:eastAsia="宋体"/>
                      <w:b/>
                      <w:bCs/>
                      <w:color w:val="auto"/>
                      <w:szCs w:val="21"/>
                      <w:lang w:val="en-US" w:eastAsia="zh-CN"/>
                    </w:rPr>
                  </w:pPr>
                  <w:r>
                    <w:rPr>
                      <w:rFonts w:hint="eastAsia"/>
                      <w:b/>
                      <w:bCs/>
                      <w:color w:val="auto"/>
                      <w:szCs w:val="21"/>
                      <w:lang w:val="en-US" w:eastAsia="zh-CN"/>
                    </w:rPr>
                    <w:t>合计</w:t>
                  </w:r>
                </w:p>
              </w:tc>
              <w:tc>
                <w:tcPr>
                  <w:tcW w:w="1202" w:type="dxa"/>
                  <w:shd w:val="clear" w:color="auto" w:fill="auto"/>
                  <w:vAlign w:val="center"/>
                </w:tcPr>
                <w:p w14:paraId="74825A9B">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2127.888</w:t>
                  </w:r>
                </w:p>
              </w:tc>
              <w:tc>
                <w:tcPr>
                  <w:tcW w:w="2964" w:type="dxa"/>
                  <w:gridSpan w:val="2"/>
                  <w:vAlign w:val="center"/>
                </w:tcPr>
                <w:p w14:paraId="1ACBC5CB">
                  <w:pPr>
                    <w:pStyle w:val="9"/>
                    <w:ind w:firstLine="0"/>
                    <w:jc w:val="center"/>
                    <w:rPr>
                      <w:rFonts w:hint="eastAsia" w:eastAsia="宋体"/>
                      <w:b/>
                      <w:bCs/>
                      <w:color w:val="auto"/>
                      <w:szCs w:val="21"/>
                      <w:lang w:val="en-US" w:eastAsia="zh-CN"/>
                    </w:rPr>
                  </w:pPr>
                  <w:r>
                    <w:rPr>
                      <w:rFonts w:hint="eastAsia"/>
                      <w:b/>
                      <w:bCs/>
                      <w:color w:val="auto"/>
                      <w:szCs w:val="21"/>
                      <w:lang w:val="en-US" w:eastAsia="zh-CN"/>
                    </w:rPr>
                    <w:t>合计</w:t>
                  </w:r>
                </w:p>
              </w:tc>
              <w:tc>
                <w:tcPr>
                  <w:tcW w:w="1052" w:type="dxa"/>
                  <w:vAlign w:val="center"/>
                </w:tcPr>
                <w:p w14:paraId="3712D7E8">
                  <w:pPr>
                    <w:pStyle w:val="9"/>
                    <w:ind w:firstLine="0"/>
                    <w:jc w:val="center"/>
                    <w:rPr>
                      <w:rFonts w:hint="default" w:eastAsia="宋体"/>
                      <w:b/>
                      <w:bCs/>
                      <w:color w:val="auto"/>
                      <w:szCs w:val="21"/>
                      <w:lang w:val="en-US" w:eastAsia="zh-CN"/>
                    </w:rPr>
                  </w:pPr>
                  <w:r>
                    <w:rPr>
                      <w:rFonts w:hint="eastAsia"/>
                      <w:b/>
                      <w:bCs/>
                      <w:color w:val="auto"/>
                      <w:szCs w:val="21"/>
                      <w:lang w:val="en-US" w:eastAsia="zh-CN"/>
                    </w:rPr>
                    <w:t>2127.888</w:t>
                  </w:r>
                </w:p>
              </w:tc>
            </w:tr>
            <w:tr w14:paraId="4A234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7A56B658">
                  <w:pPr>
                    <w:pStyle w:val="9"/>
                    <w:ind w:firstLine="0"/>
                    <w:jc w:val="center"/>
                    <w:rPr>
                      <w:rFonts w:hint="eastAsia"/>
                      <w:color w:val="auto"/>
                      <w:szCs w:val="21"/>
                    </w:rPr>
                  </w:pPr>
                </w:p>
              </w:tc>
              <w:tc>
                <w:tcPr>
                  <w:tcW w:w="1997" w:type="dxa"/>
                  <w:gridSpan w:val="4"/>
                  <w:vAlign w:val="center"/>
                </w:tcPr>
                <w:p w14:paraId="4D9113B7">
                  <w:pPr>
                    <w:pStyle w:val="9"/>
                    <w:ind w:firstLine="0"/>
                    <w:jc w:val="center"/>
                    <w:rPr>
                      <w:rFonts w:hint="eastAsia"/>
                      <w:color w:val="auto"/>
                      <w:szCs w:val="21"/>
                    </w:rPr>
                  </w:pPr>
                </w:p>
              </w:tc>
              <w:tc>
                <w:tcPr>
                  <w:tcW w:w="1202" w:type="dxa"/>
                  <w:vAlign w:val="center"/>
                </w:tcPr>
                <w:p w14:paraId="080C29D2">
                  <w:pPr>
                    <w:pStyle w:val="9"/>
                    <w:ind w:firstLine="0"/>
                    <w:jc w:val="center"/>
                    <w:rPr>
                      <w:rFonts w:hint="eastAsia"/>
                      <w:color w:val="auto"/>
                      <w:szCs w:val="21"/>
                    </w:rPr>
                  </w:pPr>
                </w:p>
              </w:tc>
              <w:tc>
                <w:tcPr>
                  <w:tcW w:w="1151" w:type="dxa"/>
                  <w:vAlign w:val="center"/>
                </w:tcPr>
                <w:p w14:paraId="0C98BAF3">
                  <w:pPr>
                    <w:pStyle w:val="9"/>
                    <w:ind w:firstLine="0"/>
                    <w:jc w:val="center"/>
                    <w:rPr>
                      <w:rFonts w:hint="eastAsia"/>
                      <w:color w:val="auto"/>
                      <w:szCs w:val="21"/>
                    </w:rPr>
                  </w:pPr>
                </w:p>
              </w:tc>
              <w:tc>
                <w:tcPr>
                  <w:tcW w:w="1813" w:type="dxa"/>
                  <w:vAlign w:val="center"/>
                </w:tcPr>
                <w:p w14:paraId="0FF5D472">
                  <w:pPr>
                    <w:pStyle w:val="9"/>
                    <w:ind w:firstLine="0"/>
                    <w:jc w:val="center"/>
                    <w:rPr>
                      <w:rFonts w:hint="eastAsia"/>
                      <w:color w:val="auto"/>
                      <w:szCs w:val="21"/>
                    </w:rPr>
                  </w:pPr>
                </w:p>
              </w:tc>
              <w:tc>
                <w:tcPr>
                  <w:tcW w:w="1052" w:type="dxa"/>
                  <w:vAlign w:val="center"/>
                </w:tcPr>
                <w:p w14:paraId="019B7501">
                  <w:pPr>
                    <w:pStyle w:val="9"/>
                    <w:ind w:firstLine="0"/>
                    <w:jc w:val="center"/>
                    <w:rPr>
                      <w:rFonts w:hint="eastAsia"/>
                      <w:color w:val="auto"/>
                      <w:szCs w:val="21"/>
                    </w:rPr>
                  </w:pPr>
                </w:p>
              </w:tc>
            </w:tr>
            <w:tr w14:paraId="1E5DD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5A5BFD17">
                  <w:pPr>
                    <w:pStyle w:val="9"/>
                    <w:ind w:firstLine="0"/>
                    <w:jc w:val="center"/>
                    <w:rPr>
                      <w:rFonts w:hint="default" w:eastAsia="宋体"/>
                      <w:color w:val="auto"/>
                      <w:szCs w:val="21"/>
                      <w:lang w:val="en-US" w:eastAsia="zh-CN"/>
                    </w:rPr>
                  </w:pPr>
                  <w:r>
                    <w:rPr>
                      <w:rFonts w:hint="eastAsia"/>
                      <w:color w:val="auto"/>
                      <w:szCs w:val="21"/>
                      <w:lang w:val="en-US" w:eastAsia="zh-CN"/>
                    </w:rPr>
                    <w:t>浮洗</w:t>
                  </w:r>
                </w:p>
              </w:tc>
              <w:tc>
                <w:tcPr>
                  <w:tcW w:w="925" w:type="dxa"/>
                  <w:gridSpan w:val="2"/>
                  <w:vMerge w:val="restart"/>
                  <w:shd w:val="clear" w:color="auto" w:fill="auto"/>
                  <w:vAlign w:val="center"/>
                </w:tcPr>
                <w:p w14:paraId="0C46B700">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石英砂5</w:t>
                  </w:r>
                </w:p>
              </w:tc>
              <w:tc>
                <w:tcPr>
                  <w:tcW w:w="1072" w:type="dxa"/>
                  <w:gridSpan w:val="2"/>
                  <w:shd w:val="clear" w:color="auto" w:fill="auto"/>
                  <w:vAlign w:val="center"/>
                </w:tcPr>
                <w:p w14:paraId="2720DD4A">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石英砂5</w:t>
                  </w:r>
                </w:p>
              </w:tc>
              <w:tc>
                <w:tcPr>
                  <w:tcW w:w="1202" w:type="dxa"/>
                  <w:vAlign w:val="center"/>
                </w:tcPr>
                <w:p w14:paraId="74CC6B64">
                  <w:pPr>
                    <w:pStyle w:val="9"/>
                    <w:ind w:firstLine="0"/>
                    <w:jc w:val="center"/>
                    <w:rPr>
                      <w:rFonts w:hint="default" w:eastAsia="宋体"/>
                      <w:color w:val="auto"/>
                      <w:szCs w:val="21"/>
                      <w:lang w:val="en-US" w:eastAsia="zh-CN"/>
                    </w:rPr>
                  </w:pPr>
                  <w:r>
                    <w:rPr>
                      <w:rFonts w:hint="eastAsia"/>
                      <w:color w:val="auto"/>
                      <w:szCs w:val="21"/>
                      <w:lang w:val="en-US" w:eastAsia="zh-CN"/>
                    </w:rPr>
                    <w:t>2017.888</w:t>
                  </w:r>
                </w:p>
              </w:tc>
              <w:tc>
                <w:tcPr>
                  <w:tcW w:w="1151" w:type="dxa"/>
                  <w:vMerge w:val="restart"/>
                  <w:shd w:val="clear" w:color="auto" w:fill="auto"/>
                  <w:vAlign w:val="center"/>
                </w:tcPr>
                <w:p w14:paraId="4B0C47B5">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石英砂6</w:t>
                  </w:r>
                </w:p>
              </w:tc>
              <w:tc>
                <w:tcPr>
                  <w:tcW w:w="1813" w:type="dxa"/>
                  <w:shd w:val="clear" w:color="auto" w:fill="auto"/>
                  <w:vAlign w:val="center"/>
                </w:tcPr>
                <w:p w14:paraId="03BC51A8">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石英砂6</w:t>
                  </w:r>
                </w:p>
              </w:tc>
              <w:tc>
                <w:tcPr>
                  <w:tcW w:w="1052" w:type="dxa"/>
                  <w:shd w:val="clear" w:color="auto" w:fill="auto"/>
                  <w:vAlign w:val="center"/>
                </w:tcPr>
                <w:p w14:paraId="7A494BCE">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2009.888</w:t>
                  </w:r>
                </w:p>
              </w:tc>
            </w:tr>
            <w:tr w14:paraId="15693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6AA0932">
                  <w:pPr>
                    <w:pStyle w:val="9"/>
                    <w:ind w:firstLine="0"/>
                    <w:jc w:val="center"/>
                    <w:rPr>
                      <w:rFonts w:hint="eastAsia"/>
                      <w:color w:val="auto"/>
                      <w:szCs w:val="21"/>
                    </w:rPr>
                  </w:pPr>
                </w:p>
              </w:tc>
              <w:tc>
                <w:tcPr>
                  <w:tcW w:w="925" w:type="dxa"/>
                  <w:gridSpan w:val="2"/>
                  <w:vMerge w:val="continue"/>
                  <w:vAlign w:val="center"/>
                </w:tcPr>
                <w:p w14:paraId="083BFB5E">
                  <w:pPr>
                    <w:pStyle w:val="9"/>
                    <w:ind w:firstLine="0"/>
                    <w:jc w:val="center"/>
                    <w:rPr>
                      <w:rFonts w:hint="eastAsia"/>
                      <w:color w:val="auto"/>
                      <w:szCs w:val="21"/>
                    </w:rPr>
                  </w:pPr>
                </w:p>
              </w:tc>
              <w:tc>
                <w:tcPr>
                  <w:tcW w:w="1072" w:type="dxa"/>
                  <w:gridSpan w:val="2"/>
                  <w:shd w:val="clear" w:color="auto" w:fill="auto"/>
                  <w:vAlign w:val="center"/>
                </w:tcPr>
                <w:p w14:paraId="660FF37D">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202" w:type="dxa"/>
                  <w:vAlign w:val="center"/>
                </w:tcPr>
                <w:p w14:paraId="05D1E842">
                  <w:pPr>
                    <w:pStyle w:val="9"/>
                    <w:ind w:firstLine="0"/>
                    <w:jc w:val="center"/>
                    <w:rPr>
                      <w:rFonts w:hint="default" w:eastAsia="宋体"/>
                      <w:color w:val="auto"/>
                      <w:szCs w:val="21"/>
                      <w:lang w:val="en-US" w:eastAsia="zh-CN"/>
                    </w:rPr>
                  </w:pPr>
                  <w:r>
                    <w:rPr>
                      <w:rFonts w:hint="eastAsia"/>
                      <w:color w:val="auto"/>
                      <w:szCs w:val="21"/>
                      <w:lang w:val="en-US" w:eastAsia="zh-CN"/>
                    </w:rPr>
                    <w:t>90</w:t>
                  </w:r>
                </w:p>
              </w:tc>
              <w:tc>
                <w:tcPr>
                  <w:tcW w:w="1151" w:type="dxa"/>
                  <w:vMerge w:val="continue"/>
                  <w:vAlign w:val="center"/>
                </w:tcPr>
                <w:p w14:paraId="13DBA9B7">
                  <w:pPr>
                    <w:pStyle w:val="9"/>
                    <w:ind w:firstLine="0"/>
                    <w:jc w:val="center"/>
                    <w:rPr>
                      <w:rFonts w:hint="eastAsia"/>
                      <w:color w:val="auto"/>
                      <w:szCs w:val="21"/>
                    </w:rPr>
                  </w:pPr>
                </w:p>
              </w:tc>
              <w:tc>
                <w:tcPr>
                  <w:tcW w:w="1813" w:type="dxa"/>
                  <w:shd w:val="clear" w:color="auto" w:fill="auto"/>
                  <w:vAlign w:val="center"/>
                </w:tcPr>
                <w:p w14:paraId="6D9484B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052" w:type="dxa"/>
                  <w:shd w:val="clear" w:color="auto" w:fill="auto"/>
                  <w:vAlign w:val="center"/>
                </w:tcPr>
                <w:p w14:paraId="2EB5F771">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80</w:t>
                  </w:r>
                </w:p>
              </w:tc>
            </w:tr>
            <w:tr w14:paraId="51A26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40A201C">
                  <w:pPr>
                    <w:pStyle w:val="9"/>
                    <w:ind w:firstLine="0"/>
                    <w:jc w:val="center"/>
                    <w:rPr>
                      <w:rFonts w:hint="eastAsia"/>
                      <w:color w:val="auto"/>
                      <w:szCs w:val="21"/>
                    </w:rPr>
                  </w:pPr>
                </w:p>
              </w:tc>
              <w:tc>
                <w:tcPr>
                  <w:tcW w:w="1997" w:type="dxa"/>
                  <w:gridSpan w:val="4"/>
                  <w:vAlign w:val="center"/>
                </w:tcPr>
                <w:p w14:paraId="4B292E4E">
                  <w:pPr>
                    <w:pStyle w:val="9"/>
                    <w:ind w:firstLine="0"/>
                    <w:jc w:val="center"/>
                    <w:rPr>
                      <w:rFonts w:hint="default" w:eastAsia="宋体"/>
                      <w:color w:val="auto"/>
                      <w:szCs w:val="21"/>
                      <w:lang w:val="en-US" w:eastAsia="zh-CN"/>
                    </w:rPr>
                  </w:pPr>
                  <w:r>
                    <w:rPr>
                      <w:rFonts w:hint="eastAsia"/>
                      <w:color w:val="auto"/>
                      <w:szCs w:val="21"/>
                      <w:lang w:val="en-US" w:eastAsia="zh-CN"/>
                    </w:rPr>
                    <w:t>浮选剂</w:t>
                  </w:r>
                </w:p>
              </w:tc>
              <w:tc>
                <w:tcPr>
                  <w:tcW w:w="1202" w:type="dxa"/>
                  <w:vAlign w:val="center"/>
                </w:tcPr>
                <w:p w14:paraId="7A996C8A">
                  <w:pPr>
                    <w:pStyle w:val="9"/>
                    <w:ind w:firstLine="0"/>
                    <w:jc w:val="center"/>
                    <w:rPr>
                      <w:rFonts w:hint="eastAsia" w:eastAsia="宋体"/>
                      <w:color w:val="auto"/>
                      <w:szCs w:val="21"/>
                      <w:lang w:val="en-US" w:eastAsia="zh-CN"/>
                    </w:rPr>
                  </w:pPr>
                  <w:r>
                    <w:rPr>
                      <w:rFonts w:hint="eastAsia"/>
                      <w:color w:val="auto"/>
                      <w:szCs w:val="21"/>
                      <w:lang w:val="en-US" w:eastAsia="zh-CN"/>
                    </w:rPr>
                    <w:t>1</w:t>
                  </w:r>
                </w:p>
              </w:tc>
              <w:tc>
                <w:tcPr>
                  <w:tcW w:w="1151" w:type="dxa"/>
                  <w:shd w:val="clear" w:color="auto" w:fill="auto"/>
                  <w:vAlign w:val="center"/>
                </w:tcPr>
                <w:p w14:paraId="3A6225C4">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废气</w:t>
                  </w:r>
                </w:p>
              </w:tc>
              <w:tc>
                <w:tcPr>
                  <w:tcW w:w="1813" w:type="dxa"/>
                  <w:shd w:val="clear" w:color="auto" w:fill="auto"/>
                  <w:vAlign w:val="center"/>
                </w:tcPr>
                <w:p w14:paraId="0D86BAFC">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水</w:t>
                  </w:r>
                </w:p>
              </w:tc>
              <w:tc>
                <w:tcPr>
                  <w:tcW w:w="1052" w:type="dxa"/>
                  <w:vAlign w:val="center"/>
                </w:tcPr>
                <w:p w14:paraId="5E2ED234">
                  <w:pPr>
                    <w:pStyle w:val="9"/>
                    <w:ind w:firstLine="0"/>
                    <w:jc w:val="center"/>
                    <w:rPr>
                      <w:rFonts w:hint="default" w:eastAsia="宋体"/>
                      <w:color w:val="auto"/>
                      <w:szCs w:val="21"/>
                      <w:lang w:val="en-US" w:eastAsia="zh-CN"/>
                    </w:rPr>
                  </w:pPr>
                  <w:r>
                    <w:rPr>
                      <w:rFonts w:hint="eastAsia"/>
                      <w:color w:val="auto"/>
                      <w:szCs w:val="21"/>
                      <w:lang w:val="en-US" w:eastAsia="zh-CN"/>
                    </w:rPr>
                    <w:t>30</w:t>
                  </w:r>
                </w:p>
              </w:tc>
            </w:tr>
            <w:tr w14:paraId="46781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5D3E16BF">
                  <w:pPr>
                    <w:pStyle w:val="9"/>
                    <w:ind w:firstLine="0"/>
                    <w:jc w:val="center"/>
                    <w:rPr>
                      <w:rFonts w:hint="eastAsia"/>
                      <w:color w:val="auto"/>
                      <w:szCs w:val="21"/>
                    </w:rPr>
                  </w:pPr>
                </w:p>
              </w:tc>
              <w:tc>
                <w:tcPr>
                  <w:tcW w:w="1997" w:type="dxa"/>
                  <w:gridSpan w:val="4"/>
                  <w:vAlign w:val="center"/>
                </w:tcPr>
                <w:p w14:paraId="37222BB7">
                  <w:pPr>
                    <w:pStyle w:val="9"/>
                    <w:ind w:firstLine="0"/>
                    <w:jc w:val="center"/>
                    <w:rPr>
                      <w:rFonts w:hint="eastAsia" w:eastAsia="宋体"/>
                      <w:color w:val="auto"/>
                      <w:szCs w:val="21"/>
                      <w:lang w:val="en-US" w:eastAsia="zh-CN"/>
                    </w:rPr>
                  </w:pPr>
                  <w:r>
                    <w:rPr>
                      <w:rFonts w:hint="eastAsia"/>
                      <w:color w:val="auto"/>
                      <w:szCs w:val="21"/>
                      <w:lang w:val="en-US" w:eastAsia="zh-CN"/>
                    </w:rPr>
                    <w:t>纯水</w:t>
                  </w:r>
                </w:p>
              </w:tc>
              <w:tc>
                <w:tcPr>
                  <w:tcW w:w="1202" w:type="dxa"/>
                  <w:vAlign w:val="center"/>
                </w:tcPr>
                <w:p w14:paraId="2A78DCF6">
                  <w:pPr>
                    <w:pStyle w:val="9"/>
                    <w:ind w:firstLine="0"/>
                    <w:jc w:val="center"/>
                    <w:rPr>
                      <w:rFonts w:hint="default" w:eastAsia="宋体"/>
                      <w:color w:val="auto"/>
                      <w:szCs w:val="21"/>
                      <w:lang w:val="en-US" w:eastAsia="zh-CN"/>
                    </w:rPr>
                  </w:pPr>
                  <w:r>
                    <w:rPr>
                      <w:rFonts w:hint="eastAsia"/>
                      <w:color w:val="auto"/>
                      <w:szCs w:val="21"/>
                      <w:lang w:val="en-US" w:eastAsia="zh-CN"/>
                    </w:rPr>
                    <w:t>5031</w:t>
                  </w:r>
                </w:p>
              </w:tc>
              <w:tc>
                <w:tcPr>
                  <w:tcW w:w="1151" w:type="dxa"/>
                  <w:shd w:val="clear" w:color="auto" w:fill="auto"/>
                  <w:vAlign w:val="center"/>
                </w:tcPr>
                <w:p w14:paraId="538AEAFD">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固废</w:t>
                  </w:r>
                </w:p>
              </w:tc>
              <w:tc>
                <w:tcPr>
                  <w:tcW w:w="1813" w:type="dxa"/>
                  <w:shd w:val="clear" w:color="auto" w:fill="auto"/>
                  <w:vAlign w:val="center"/>
                </w:tcPr>
                <w:p w14:paraId="4477E09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废矿砂</w:t>
                  </w:r>
                  <w:r>
                    <w:rPr>
                      <w:color w:val="auto"/>
                      <w:szCs w:val="21"/>
                    </w:rPr>
                    <w:t>S</w:t>
                  </w:r>
                  <w:r>
                    <w:rPr>
                      <w:rFonts w:hint="eastAsia"/>
                      <w:color w:val="auto"/>
                      <w:szCs w:val="21"/>
                      <w:lang w:val="en-US" w:eastAsia="zh-CN"/>
                    </w:rPr>
                    <w:t>5</w:t>
                  </w:r>
                </w:p>
              </w:tc>
              <w:tc>
                <w:tcPr>
                  <w:tcW w:w="1052" w:type="dxa"/>
                  <w:vAlign w:val="center"/>
                </w:tcPr>
                <w:p w14:paraId="096E5CA5">
                  <w:pPr>
                    <w:pStyle w:val="9"/>
                    <w:ind w:firstLine="0"/>
                    <w:jc w:val="center"/>
                    <w:rPr>
                      <w:rFonts w:hint="default" w:eastAsia="宋体"/>
                      <w:color w:val="auto"/>
                      <w:szCs w:val="21"/>
                      <w:lang w:val="en-US" w:eastAsia="zh-CN"/>
                    </w:rPr>
                  </w:pPr>
                  <w:r>
                    <w:rPr>
                      <w:rFonts w:hint="eastAsia"/>
                      <w:color w:val="auto"/>
                      <w:szCs w:val="21"/>
                      <w:lang w:val="en-US" w:eastAsia="zh-CN"/>
                    </w:rPr>
                    <w:t>20</w:t>
                  </w:r>
                </w:p>
              </w:tc>
            </w:tr>
            <w:tr w14:paraId="057B8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755BB829">
                  <w:pPr>
                    <w:pStyle w:val="9"/>
                    <w:ind w:firstLine="0"/>
                    <w:jc w:val="center"/>
                    <w:rPr>
                      <w:rFonts w:hint="eastAsia"/>
                      <w:color w:val="auto"/>
                      <w:szCs w:val="21"/>
                    </w:rPr>
                  </w:pPr>
                </w:p>
              </w:tc>
              <w:tc>
                <w:tcPr>
                  <w:tcW w:w="1997" w:type="dxa"/>
                  <w:gridSpan w:val="4"/>
                  <w:vAlign w:val="center"/>
                </w:tcPr>
                <w:p w14:paraId="7583C38C">
                  <w:pPr>
                    <w:pStyle w:val="9"/>
                    <w:ind w:firstLine="0"/>
                    <w:jc w:val="center"/>
                    <w:rPr>
                      <w:rFonts w:hint="eastAsia"/>
                      <w:color w:val="auto"/>
                      <w:szCs w:val="21"/>
                    </w:rPr>
                  </w:pPr>
                </w:p>
              </w:tc>
              <w:tc>
                <w:tcPr>
                  <w:tcW w:w="1202" w:type="dxa"/>
                  <w:vAlign w:val="center"/>
                </w:tcPr>
                <w:p w14:paraId="503544D7">
                  <w:pPr>
                    <w:pStyle w:val="9"/>
                    <w:ind w:firstLine="0"/>
                    <w:jc w:val="center"/>
                    <w:rPr>
                      <w:rFonts w:hint="eastAsia"/>
                      <w:color w:val="auto"/>
                      <w:szCs w:val="21"/>
                    </w:rPr>
                  </w:pPr>
                </w:p>
              </w:tc>
              <w:tc>
                <w:tcPr>
                  <w:tcW w:w="1151" w:type="dxa"/>
                  <w:vAlign w:val="center"/>
                </w:tcPr>
                <w:p w14:paraId="1602004E">
                  <w:pPr>
                    <w:pStyle w:val="9"/>
                    <w:ind w:firstLine="0"/>
                    <w:jc w:val="center"/>
                    <w:rPr>
                      <w:rFonts w:hint="default" w:eastAsia="宋体"/>
                      <w:color w:val="auto"/>
                      <w:szCs w:val="21"/>
                      <w:lang w:val="en-US" w:eastAsia="zh-CN"/>
                    </w:rPr>
                  </w:pPr>
                  <w:r>
                    <w:rPr>
                      <w:rFonts w:hint="eastAsia"/>
                      <w:color w:val="auto"/>
                      <w:szCs w:val="21"/>
                      <w:lang w:val="en-US" w:eastAsia="zh-CN"/>
                    </w:rPr>
                    <w:t>废水含浮选剂</w:t>
                  </w:r>
                </w:p>
              </w:tc>
              <w:tc>
                <w:tcPr>
                  <w:tcW w:w="1813" w:type="dxa"/>
                  <w:vAlign w:val="center"/>
                </w:tcPr>
                <w:p w14:paraId="466F7C47">
                  <w:pPr>
                    <w:pStyle w:val="9"/>
                    <w:ind w:firstLine="0"/>
                    <w:jc w:val="center"/>
                    <w:rPr>
                      <w:rFonts w:hint="default"/>
                      <w:color w:val="auto"/>
                      <w:lang w:val="en-US" w:eastAsia="zh-CN"/>
                    </w:rPr>
                  </w:pPr>
                  <w:r>
                    <w:rPr>
                      <w:rFonts w:hint="eastAsia"/>
                      <w:color w:val="auto"/>
                      <w:szCs w:val="21"/>
                      <w:lang w:val="en-US" w:eastAsia="zh-CN"/>
                    </w:rPr>
                    <w:t>浮选废水W1</w:t>
                  </w:r>
                </w:p>
              </w:tc>
              <w:tc>
                <w:tcPr>
                  <w:tcW w:w="1052" w:type="dxa"/>
                  <w:vAlign w:val="center"/>
                </w:tcPr>
                <w:p w14:paraId="14C5CBDB">
                  <w:pPr>
                    <w:pStyle w:val="9"/>
                    <w:ind w:firstLine="0"/>
                    <w:jc w:val="center"/>
                    <w:rPr>
                      <w:rFonts w:hint="default" w:eastAsia="宋体"/>
                      <w:color w:val="auto"/>
                      <w:szCs w:val="21"/>
                      <w:lang w:val="en-US" w:eastAsia="zh-CN"/>
                    </w:rPr>
                  </w:pPr>
                  <w:r>
                    <w:rPr>
                      <w:rFonts w:hint="eastAsia"/>
                      <w:color w:val="auto"/>
                      <w:szCs w:val="21"/>
                      <w:lang w:val="en-US" w:eastAsia="zh-CN"/>
                    </w:rPr>
                    <w:t>5000</w:t>
                  </w:r>
                </w:p>
              </w:tc>
            </w:tr>
            <w:tr w14:paraId="59624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5CB4CC09">
                  <w:pPr>
                    <w:pStyle w:val="9"/>
                    <w:ind w:firstLine="0"/>
                    <w:jc w:val="center"/>
                    <w:rPr>
                      <w:rFonts w:hint="eastAsia"/>
                      <w:color w:val="auto"/>
                      <w:szCs w:val="21"/>
                    </w:rPr>
                  </w:pPr>
                </w:p>
              </w:tc>
              <w:tc>
                <w:tcPr>
                  <w:tcW w:w="1997" w:type="dxa"/>
                  <w:gridSpan w:val="4"/>
                  <w:vAlign w:val="center"/>
                </w:tcPr>
                <w:p w14:paraId="7C637ED1">
                  <w:pPr>
                    <w:pStyle w:val="9"/>
                    <w:ind w:firstLine="0"/>
                    <w:jc w:val="center"/>
                    <w:rPr>
                      <w:rFonts w:hint="eastAsia" w:eastAsia="宋体"/>
                      <w:b/>
                      <w:bCs/>
                      <w:color w:val="auto"/>
                      <w:szCs w:val="21"/>
                      <w:lang w:val="en-US" w:eastAsia="zh-CN"/>
                    </w:rPr>
                  </w:pPr>
                  <w:r>
                    <w:rPr>
                      <w:rFonts w:hint="eastAsia"/>
                      <w:b/>
                      <w:bCs/>
                      <w:color w:val="auto"/>
                      <w:szCs w:val="21"/>
                      <w:lang w:val="en-US" w:eastAsia="zh-CN"/>
                    </w:rPr>
                    <w:t>合计</w:t>
                  </w:r>
                </w:p>
              </w:tc>
              <w:tc>
                <w:tcPr>
                  <w:tcW w:w="1202" w:type="dxa"/>
                  <w:shd w:val="clear" w:color="auto" w:fill="auto"/>
                  <w:vAlign w:val="center"/>
                </w:tcPr>
                <w:p w14:paraId="398CE0A4">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7139.888</w:t>
                  </w:r>
                </w:p>
              </w:tc>
              <w:tc>
                <w:tcPr>
                  <w:tcW w:w="2964" w:type="dxa"/>
                  <w:gridSpan w:val="2"/>
                  <w:vAlign w:val="center"/>
                </w:tcPr>
                <w:p w14:paraId="75710716">
                  <w:pPr>
                    <w:pStyle w:val="9"/>
                    <w:ind w:firstLine="0"/>
                    <w:jc w:val="center"/>
                    <w:rPr>
                      <w:rFonts w:hint="default"/>
                      <w:b/>
                      <w:bCs/>
                      <w:color w:val="auto"/>
                      <w:szCs w:val="21"/>
                      <w:lang w:val="en-US" w:eastAsia="zh-CN"/>
                    </w:rPr>
                  </w:pPr>
                  <w:r>
                    <w:rPr>
                      <w:rFonts w:hint="eastAsia"/>
                      <w:b/>
                      <w:bCs/>
                      <w:color w:val="auto"/>
                      <w:szCs w:val="21"/>
                      <w:lang w:val="en-US" w:eastAsia="zh-CN"/>
                    </w:rPr>
                    <w:t>合计</w:t>
                  </w:r>
                </w:p>
              </w:tc>
              <w:tc>
                <w:tcPr>
                  <w:tcW w:w="1052" w:type="dxa"/>
                  <w:vAlign w:val="center"/>
                </w:tcPr>
                <w:p w14:paraId="3B17D314">
                  <w:pPr>
                    <w:pStyle w:val="9"/>
                    <w:ind w:firstLine="0"/>
                    <w:jc w:val="center"/>
                    <w:rPr>
                      <w:rFonts w:hint="default" w:eastAsia="宋体"/>
                      <w:b/>
                      <w:bCs/>
                      <w:color w:val="auto"/>
                      <w:szCs w:val="21"/>
                      <w:lang w:val="en-US" w:eastAsia="zh-CN"/>
                    </w:rPr>
                  </w:pPr>
                  <w:r>
                    <w:rPr>
                      <w:rFonts w:hint="eastAsia"/>
                      <w:b/>
                      <w:bCs/>
                      <w:color w:val="auto"/>
                      <w:szCs w:val="21"/>
                      <w:lang w:val="en-US" w:eastAsia="zh-CN"/>
                    </w:rPr>
                    <w:t>7139.888</w:t>
                  </w:r>
                </w:p>
              </w:tc>
            </w:tr>
            <w:tr w14:paraId="586BE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7D1C3336">
                  <w:pPr>
                    <w:pStyle w:val="9"/>
                    <w:ind w:firstLine="0"/>
                    <w:jc w:val="center"/>
                    <w:rPr>
                      <w:rFonts w:hint="eastAsia"/>
                      <w:color w:val="auto"/>
                      <w:szCs w:val="21"/>
                    </w:rPr>
                  </w:pPr>
                </w:p>
              </w:tc>
              <w:tc>
                <w:tcPr>
                  <w:tcW w:w="1997" w:type="dxa"/>
                  <w:gridSpan w:val="4"/>
                  <w:vAlign w:val="center"/>
                </w:tcPr>
                <w:p w14:paraId="27B103AD">
                  <w:pPr>
                    <w:pStyle w:val="9"/>
                    <w:ind w:firstLine="0"/>
                    <w:jc w:val="center"/>
                    <w:rPr>
                      <w:rFonts w:hint="eastAsia"/>
                      <w:color w:val="auto"/>
                      <w:szCs w:val="21"/>
                    </w:rPr>
                  </w:pPr>
                </w:p>
              </w:tc>
              <w:tc>
                <w:tcPr>
                  <w:tcW w:w="1202" w:type="dxa"/>
                  <w:vAlign w:val="center"/>
                </w:tcPr>
                <w:p w14:paraId="4A4EF4DB">
                  <w:pPr>
                    <w:pStyle w:val="9"/>
                    <w:ind w:firstLine="0"/>
                    <w:jc w:val="center"/>
                    <w:rPr>
                      <w:rFonts w:hint="eastAsia"/>
                      <w:color w:val="auto"/>
                      <w:szCs w:val="21"/>
                    </w:rPr>
                  </w:pPr>
                </w:p>
              </w:tc>
              <w:tc>
                <w:tcPr>
                  <w:tcW w:w="1151" w:type="dxa"/>
                  <w:vAlign w:val="center"/>
                </w:tcPr>
                <w:p w14:paraId="6C2D2B9F">
                  <w:pPr>
                    <w:pStyle w:val="9"/>
                    <w:ind w:firstLine="0"/>
                    <w:jc w:val="center"/>
                    <w:rPr>
                      <w:rFonts w:hint="eastAsia"/>
                      <w:color w:val="auto"/>
                      <w:szCs w:val="21"/>
                      <w:lang w:val="en-US" w:eastAsia="zh-CN"/>
                    </w:rPr>
                  </w:pPr>
                </w:p>
              </w:tc>
              <w:tc>
                <w:tcPr>
                  <w:tcW w:w="1813" w:type="dxa"/>
                  <w:vAlign w:val="center"/>
                </w:tcPr>
                <w:p w14:paraId="7D401CDD">
                  <w:pPr>
                    <w:pStyle w:val="9"/>
                    <w:ind w:firstLine="0"/>
                    <w:jc w:val="center"/>
                    <w:rPr>
                      <w:rFonts w:hint="eastAsia"/>
                      <w:color w:val="auto"/>
                      <w:szCs w:val="21"/>
                      <w:lang w:val="en-US" w:eastAsia="zh-CN"/>
                    </w:rPr>
                  </w:pPr>
                </w:p>
              </w:tc>
              <w:tc>
                <w:tcPr>
                  <w:tcW w:w="1052" w:type="dxa"/>
                  <w:vAlign w:val="center"/>
                </w:tcPr>
                <w:p w14:paraId="7CC7918F">
                  <w:pPr>
                    <w:pStyle w:val="9"/>
                    <w:ind w:firstLine="0"/>
                    <w:jc w:val="center"/>
                    <w:rPr>
                      <w:rFonts w:hint="eastAsia"/>
                      <w:color w:val="auto"/>
                      <w:szCs w:val="21"/>
                    </w:rPr>
                  </w:pPr>
                </w:p>
              </w:tc>
            </w:tr>
            <w:tr w14:paraId="41084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6BE14A33">
                  <w:pPr>
                    <w:pStyle w:val="9"/>
                    <w:ind w:firstLine="0"/>
                    <w:jc w:val="center"/>
                    <w:rPr>
                      <w:rFonts w:hint="eastAsia" w:eastAsia="宋体"/>
                      <w:color w:val="auto"/>
                      <w:szCs w:val="21"/>
                      <w:lang w:val="en-US" w:eastAsia="zh-CN"/>
                    </w:rPr>
                  </w:pPr>
                  <w:r>
                    <w:rPr>
                      <w:rFonts w:hint="eastAsia"/>
                      <w:color w:val="auto"/>
                      <w:szCs w:val="21"/>
                      <w:lang w:val="en-US" w:eastAsia="zh-CN"/>
                    </w:rPr>
                    <w:t>水洗</w:t>
                  </w:r>
                </w:p>
              </w:tc>
              <w:tc>
                <w:tcPr>
                  <w:tcW w:w="925" w:type="dxa"/>
                  <w:gridSpan w:val="2"/>
                  <w:vMerge w:val="restart"/>
                  <w:shd w:val="clear" w:color="auto" w:fill="auto"/>
                  <w:vAlign w:val="center"/>
                </w:tcPr>
                <w:p w14:paraId="5BC09FB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石英砂6</w:t>
                  </w:r>
                </w:p>
              </w:tc>
              <w:tc>
                <w:tcPr>
                  <w:tcW w:w="1072" w:type="dxa"/>
                  <w:gridSpan w:val="2"/>
                  <w:shd w:val="clear" w:color="auto" w:fill="auto"/>
                  <w:vAlign w:val="center"/>
                </w:tcPr>
                <w:p w14:paraId="40B64385">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石英砂6</w:t>
                  </w:r>
                </w:p>
              </w:tc>
              <w:tc>
                <w:tcPr>
                  <w:tcW w:w="1202" w:type="dxa"/>
                  <w:vAlign w:val="center"/>
                </w:tcPr>
                <w:p w14:paraId="3BBE9AA1">
                  <w:pPr>
                    <w:pStyle w:val="9"/>
                    <w:ind w:firstLine="0"/>
                    <w:jc w:val="center"/>
                    <w:rPr>
                      <w:rFonts w:hint="default" w:eastAsia="宋体"/>
                      <w:color w:val="auto"/>
                      <w:szCs w:val="21"/>
                      <w:lang w:val="en-US" w:eastAsia="zh-CN"/>
                    </w:rPr>
                  </w:pPr>
                  <w:r>
                    <w:rPr>
                      <w:rFonts w:hint="eastAsia"/>
                      <w:color w:val="auto"/>
                      <w:szCs w:val="21"/>
                      <w:lang w:val="en-US" w:eastAsia="zh-CN"/>
                    </w:rPr>
                    <w:t>2009.888</w:t>
                  </w:r>
                </w:p>
              </w:tc>
              <w:tc>
                <w:tcPr>
                  <w:tcW w:w="1151" w:type="dxa"/>
                  <w:vMerge w:val="restart"/>
                  <w:shd w:val="clear" w:color="auto" w:fill="auto"/>
                  <w:vAlign w:val="center"/>
                </w:tcPr>
                <w:p w14:paraId="4D8585CE">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石英砂7</w:t>
                  </w:r>
                </w:p>
              </w:tc>
              <w:tc>
                <w:tcPr>
                  <w:tcW w:w="1813" w:type="dxa"/>
                  <w:shd w:val="clear" w:color="auto" w:fill="auto"/>
                  <w:vAlign w:val="center"/>
                </w:tcPr>
                <w:p w14:paraId="03B9D8E0">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石英砂7</w:t>
                  </w:r>
                </w:p>
              </w:tc>
              <w:tc>
                <w:tcPr>
                  <w:tcW w:w="1052" w:type="dxa"/>
                  <w:shd w:val="clear" w:color="auto" w:fill="auto"/>
                  <w:vAlign w:val="center"/>
                </w:tcPr>
                <w:p w14:paraId="53160494">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2005.888</w:t>
                  </w:r>
                </w:p>
              </w:tc>
            </w:tr>
            <w:tr w14:paraId="19602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55B1CE32">
                  <w:pPr>
                    <w:pStyle w:val="9"/>
                    <w:ind w:firstLine="0"/>
                    <w:jc w:val="center"/>
                    <w:rPr>
                      <w:rFonts w:hint="eastAsia"/>
                      <w:color w:val="auto"/>
                      <w:szCs w:val="21"/>
                    </w:rPr>
                  </w:pPr>
                </w:p>
              </w:tc>
              <w:tc>
                <w:tcPr>
                  <w:tcW w:w="925" w:type="dxa"/>
                  <w:gridSpan w:val="2"/>
                  <w:vMerge w:val="continue"/>
                  <w:vAlign w:val="center"/>
                </w:tcPr>
                <w:p w14:paraId="112AE4F2">
                  <w:pPr>
                    <w:pStyle w:val="9"/>
                    <w:ind w:firstLine="0"/>
                    <w:jc w:val="center"/>
                    <w:rPr>
                      <w:rFonts w:hint="eastAsia"/>
                      <w:color w:val="auto"/>
                      <w:szCs w:val="21"/>
                    </w:rPr>
                  </w:pPr>
                </w:p>
              </w:tc>
              <w:tc>
                <w:tcPr>
                  <w:tcW w:w="1072" w:type="dxa"/>
                  <w:gridSpan w:val="2"/>
                  <w:shd w:val="clear" w:color="auto" w:fill="auto"/>
                  <w:vAlign w:val="center"/>
                </w:tcPr>
                <w:p w14:paraId="0062972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202" w:type="dxa"/>
                  <w:vAlign w:val="center"/>
                </w:tcPr>
                <w:p w14:paraId="794E29B2">
                  <w:pPr>
                    <w:pStyle w:val="9"/>
                    <w:ind w:firstLine="0"/>
                    <w:jc w:val="center"/>
                    <w:rPr>
                      <w:rFonts w:hint="default" w:eastAsia="宋体"/>
                      <w:color w:val="auto"/>
                      <w:szCs w:val="21"/>
                      <w:lang w:val="en-US" w:eastAsia="zh-CN"/>
                    </w:rPr>
                  </w:pPr>
                  <w:r>
                    <w:rPr>
                      <w:rFonts w:hint="eastAsia"/>
                      <w:color w:val="auto"/>
                      <w:szCs w:val="21"/>
                      <w:lang w:val="en-US" w:eastAsia="zh-CN"/>
                    </w:rPr>
                    <w:t>80</w:t>
                  </w:r>
                </w:p>
              </w:tc>
              <w:tc>
                <w:tcPr>
                  <w:tcW w:w="1151" w:type="dxa"/>
                  <w:vMerge w:val="continue"/>
                  <w:vAlign w:val="center"/>
                </w:tcPr>
                <w:p w14:paraId="5B54D31C">
                  <w:pPr>
                    <w:pStyle w:val="9"/>
                    <w:ind w:firstLine="0"/>
                    <w:jc w:val="center"/>
                    <w:rPr>
                      <w:rFonts w:hint="eastAsia"/>
                      <w:color w:val="auto"/>
                      <w:szCs w:val="21"/>
                      <w:lang w:val="en-US" w:eastAsia="zh-CN"/>
                    </w:rPr>
                  </w:pPr>
                </w:p>
              </w:tc>
              <w:tc>
                <w:tcPr>
                  <w:tcW w:w="1813" w:type="dxa"/>
                  <w:shd w:val="clear" w:color="auto" w:fill="auto"/>
                  <w:vAlign w:val="center"/>
                </w:tcPr>
                <w:p w14:paraId="068F6E2C">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052" w:type="dxa"/>
                  <w:shd w:val="clear" w:color="auto" w:fill="auto"/>
                  <w:vAlign w:val="center"/>
                </w:tcPr>
                <w:p w14:paraId="7206E7F2">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115</w:t>
                  </w:r>
                </w:p>
              </w:tc>
            </w:tr>
            <w:tr w14:paraId="1A136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3D8943FA">
                  <w:pPr>
                    <w:pStyle w:val="9"/>
                    <w:ind w:firstLine="0"/>
                    <w:jc w:val="center"/>
                    <w:rPr>
                      <w:rFonts w:hint="eastAsia"/>
                      <w:color w:val="auto"/>
                      <w:szCs w:val="21"/>
                    </w:rPr>
                  </w:pPr>
                </w:p>
              </w:tc>
              <w:tc>
                <w:tcPr>
                  <w:tcW w:w="1997" w:type="dxa"/>
                  <w:gridSpan w:val="4"/>
                  <w:vAlign w:val="center"/>
                </w:tcPr>
                <w:p w14:paraId="7103A247">
                  <w:pPr>
                    <w:pStyle w:val="9"/>
                    <w:ind w:firstLine="0"/>
                    <w:jc w:val="center"/>
                    <w:rPr>
                      <w:rFonts w:hint="eastAsia" w:eastAsia="宋体"/>
                      <w:color w:val="auto"/>
                      <w:szCs w:val="21"/>
                      <w:lang w:val="en-US" w:eastAsia="zh-CN"/>
                    </w:rPr>
                  </w:pPr>
                  <w:r>
                    <w:rPr>
                      <w:rFonts w:hint="eastAsia"/>
                      <w:color w:val="auto"/>
                      <w:szCs w:val="21"/>
                      <w:lang w:val="en-US" w:eastAsia="zh-CN"/>
                    </w:rPr>
                    <w:t>纯水</w:t>
                  </w:r>
                </w:p>
              </w:tc>
              <w:tc>
                <w:tcPr>
                  <w:tcW w:w="1202" w:type="dxa"/>
                  <w:vAlign w:val="center"/>
                </w:tcPr>
                <w:p w14:paraId="5974CBF7">
                  <w:pPr>
                    <w:pStyle w:val="9"/>
                    <w:ind w:firstLine="0"/>
                    <w:jc w:val="center"/>
                    <w:rPr>
                      <w:rFonts w:hint="default" w:eastAsia="宋体"/>
                      <w:color w:val="auto"/>
                      <w:szCs w:val="21"/>
                      <w:lang w:val="en-US" w:eastAsia="zh-CN"/>
                    </w:rPr>
                  </w:pPr>
                  <w:r>
                    <w:rPr>
                      <w:rFonts w:hint="eastAsia"/>
                      <w:color w:val="auto"/>
                      <w:szCs w:val="21"/>
                      <w:lang w:val="en-US" w:eastAsia="zh-CN"/>
                    </w:rPr>
                    <w:t>4041</w:t>
                  </w:r>
                </w:p>
              </w:tc>
              <w:tc>
                <w:tcPr>
                  <w:tcW w:w="1151" w:type="dxa"/>
                  <w:shd w:val="clear" w:color="auto" w:fill="auto"/>
                  <w:vAlign w:val="center"/>
                </w:tcPr>
                <w:p w14:paraId="6B0AEC7D">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固废</w:t>
                  </w:r>
                </w:p>
              </w:tc>
              <w:tc>
                <w:tcPr>
                  <w:tcW w:w="1813" w:type="dxa"/>
                  <w:shd w:val="clear" w:color="auto" w:fill="auto"/>
                  <w:vAlign w:val="center"/>
                </w:tcPr>
                <w:p w14:paraId="4453856C">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废渣</w:t>
                  </w:r>
                  <w:r>
                    <w:rPr>
                      <w:color w:val="auto"/>
                      <w:szCs w:val="21"/>
                    </w:rPr>
                    <w:t>S</w:t>
                  </w:r>
                  <w:r>
                    <w:rPr>
                      <w:rFonts w:hint="eastAsia"/>
                      <w:color w:val="auto"/>
                      <w:szCs w:val="21"/>
                      <w:lang w:val="en-US" w:eastAsia="zh-CN"/>
                    </w:rPr>
                    <w:t>6</w:t>
                  </w:r>
                </w:p>
              </w:tc>
              <w:tc>
                <w:tcPr>
                  <w:tcW w:w="1052" w:type="dxa"/>
                  <w:shd w:val="clear" w:color="auto" w:fill="auto"/>
                  <w:vAlign w:val="center"/>
                </w:tcPr>
                <w:p w14:paraId="2CAD4B72">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10</w:t>
                  </w:r>
                </w:p>
              </w:tc>
            </w:tr>
            <w:tr w14:paraId="2CA5D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5385A96">
                  <w:pPr>
                    <w:pStyle w:val="9"/>
                    <w:ind w:firstLine="0"/>
                    <w:jc w:val="center"/>
                    <w:rPr>
                      <w:rFonts w:hint="eastAsia"/>
                      <w:color w:val="auto"/>
                      <w:szCs w:val="21"/>
                    </w:rPr>
                  </w:pPr>
                </w:p>
              </w:tc>
              <w:tc>
                <w:tcPr>
                  <w:tcW w:w="1997" w:type="dxa"/>
                  <w:gridSpan w:val="4"/>
                  <w:vAlign w:val="center"/>
                </w:tcPr>
                <w:p w14:paraId="20BA568D">
                  <w:pPr>
                    <w:pStyle w:val="9"/>
                    <w:ind w:firstLine="0"/>
                    <w:jc w:val="center"/>
                    <w:rPr>
                      <w:rFonts w:hint="eastAsia"/>
                      <w:color w:val="auto"/>
                      <w:szCs w:val="21"/>
                    </w:rPr>
                  </w:pPr>
                </w:p>
              </w:tc>
              <w:tc>
                <w:tcPr>
                  <w:tcW w:w="1202" w:type="dxa"/>
                  <w:vAlign w:val="center"/>
                </w:tcPr>
                <w:p w14:paraId="067896E7">
                  <w:pPr>
                    <w:pStyle w:val="9"/>
                    <w:ind w:firstLine="0"/>
                    <w:jc w:val="center"/>
                    <w:rPr>
                      <w:rFonts w:hint="eastAsia"/>
                      <w:color w:val="auto"/>
                      <w:szCs w:val="21"/>
                    </w:rPr>
                  </w:pPr>
                </w:p>
              </w:tc>
              <w:tc>
                <w:tcPr>
                  <w:tcW w:w="1151" w:type="dxa"/>
                  <w:shd w:val="clear" w:color="auto" w:fill="auto"/>
                  <w:vAlign w:val="center"/>
                </w:tcPr>
                <w:p w14:paraId="56041A5C">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废水</w:t>
                  </w:r>
                </w:p>
              </w:tc>
              <w:tc>
                <w:tcPr>
                  <w:tcW w:w="1813" w:type="dxa"/>
                  <w:shd w:val="clear" w:color="auto" w:fill="auto"/>
                  <w:vAlign w:val="center"/>
                </w:tcPr>
                <w:p w14:paraId="270CD655">
                  <w:pPr>
                    <w:pStyle w:val="9"/>
                    <w:ind w:firstLine="0" w:firstLineChars="0"/>
                    <w:jc w:val="center"/>
                    <w:rPr>
                      <w:rFonts w:hint="eastAsia" w:ascii="Times New Roman" w:hAnsi="Times New Roman" w:eastAsia="宋体" w:cs="Times New Roman"/>
                      <w:color w:val="auto"/>
                      <w:kern w:val="2"/>
                      <w:sz w:val="21"/>
                      <w:szCs w:val="20"/>
                      <w:lang w:val="en-US" w:eastAsia="zh-CN" w:bidi="ar-SA"/>
                    </w:rPr>
                  </w:pPr>
                  <w:r>
                    <w:rPr>
                      <w:rFonts w:hint="eastAsia"/>
                      <w:color w:val="auto"/>
                      <w:szCs w:val="21"/>
                      <w:lang w:val="en-US" w:eastAsia="zh-CN"/>
                    </w:rPr>
                    <w:t>水洗废水W2</w:t>
                  </w:r>
                </w:p>
              </w:tc>
              <w:tc>
                <w:tcPr>
                  <w:tcW w:w="1052" w:type="dxa"/>
                  <w:shd w:val="clear" w:color="auto" w:fill="auto"/>
                  <w:vAlign w:val="center"/>
                </w:tcPr>
                <w:p w14:paraId="756BB760">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4000</w:t>
                  </w:r>
                </w:p>
              </w:tc>
            </w:tr>
            <w:tr w14:paraId="6FF45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402C1820">
                  <w:pPr>
                    <w:pStyle w:val="9"/>
                    <w:ind w:firstLine="0"/>
                    <w:jc w:val="center"/>
                    <w:rPr>
                      <w:rFonts w:hint="eastAsia"/>
                      <w:color w:val="auto"/>
                      <w:szCs w:val="21"/>
                    </w:rPr>
                  </w:pPr>
                </w:p>
              </w:tc>
              <w:tc>
                <w:tcPr>
                  <w:tcW w:w="1997" w:type="dxa"/>
                  <w:gridSpan w:val="4"/>
                  <w:vAlign w:val="center"/>
                </w:tcPr>
                <w:p w14:paraId="5D794EAF">
                  <w:pPr>
                    <w:pStyle w:val="9"/>
                    <w:ind w:firstLine="0"/>
                    <w:jc w:val="center"/>
                    <w:rPr>
                      <w:rFonts w:hint="eastAsia"/>
                      <w:color w:val="auto"/>
                      <w:szCs w:val="21"/>
                    </w:rPr>
                  </w:pPr>
                </w:p>
              </w:tc>
              <w:tc>
                <w:tcPr>
                  <w:tcW w:w="1202" w:type="dxa"/>
                  <w:vAlign w:val="center"/>
                </w:tcPr>
                <w:p w14:paraId="59C757B3">
                  <w:pPr>
                    <w:pStyle w:val="9"/>
                    <w:ind w:firstLine="0"/>
                    <w:jc w:val="center"/>
                    <w:rPr>
                      <w:rFonts w:hint="eastAsia"/>
                      <w:color w:val="auto"/>
                      <w:szCs w:val="21"/>
                    </w:rPr>
                  </w:pPr>
                </w:p>
              </w:tc>
              <w:tc>
                <w:tcPr>
                  <w:tcW w:w="1151" w:type="dxa"/>
                  <w:shd w:val="clear" w:color="auto" w:fill="auto"/>
                  <w:vAlign w:val="center"/>
                </w:tcPr>
                <w:p w14:paraId="13F3A693">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813" w:type="dxa"/>
                  <w:shd w:val="clear" w:color="auto" w:fill="auto"/>
                  <w:vAlign w:val="center"/>
                </w:tcPr>
                <w:p w14:paraId="064E9BD5">
                  <w:pPr>
                    <w:pStyle w:val="9"/>
                    <w:ind w:firstLine="0" w:firstLineChars="0"/>
                    <w:jc w:val="center"/>
                    <w:rPr>
                      <w:rFonts w:hint="default" w:ascii="Times New Roman" w:hAnsi="Times New Roman" w:eastAsia="宋体" w:cs="Times New Roman"/>
                      <w:color w:val="auto"/>
                      <w:kern w:val="2"/>
                      <w:sz w:val="21"/>
                      <w:szCs w:val="20"/>
                      <w:lang w:val="en-US" w:eastAsia="zh-CN" w:bidi="ar-SA"/>
                    </w:rPr>
                  </w:pPr>
                </w:p>
              </w:tc>
              <w:tc>
                <w:tcPr>
                  <w:tcW w:w="1052" w:type="dxa"/>
                  <w:vAlign w:val="center"/>
                </w:tcPr>
                <w:p w14:paraId="1618E4CC">
                  <w:pPr>
                    <w:pStyle w:val="9"/>
                    <w:ind w:firstLine="0"/>
                    <w:jc w:val="center"/>
                    <w:rPr>
                      <w:rFonts w:hint="default" w:eastAsia="宋体"/>
                      <w:color w:val="auto"/>
                      <w:szCs w:val="21"/>
                      <w:lang w:val="en-US" w:eastAsia="zh-CN"/>
                    </w:rPr>
                  </w:pPr>
                </w:p>
              </w:tc>
            </w:tr>
            <w:tr w14:paraId="5414A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26A83FC2">
                  <w:pPr>
                    <w:pStyle w:val="9"/>
                    <w:ind w:firstLine="0"/>
                    <w:jc w:val="center"/>
                    <w:rPr>
                      <w:rFonts w:hint="eastAsia"/>
                      <w:color w:val="auto"/>
                      <w:szCs w:val="21"/>
                    </w:rPr>
                  </w:pPr>
                </w:p>
              </w:tc>
              <w:tc>
                <w:tcPr>
                  <w:tcW w:w="1997" w:type="dxa"/>
                  <w:gridSpan w:val="4"/>
                  <w:shd w:val="clear" w:color="auto" w:fill="auto"/>
                  <w:vAlign w:val="center"/>
                </w:tcPr>
                <w:p w14:paraId="1444053A">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6857FD4B">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6130.888</w:t>
                  </w:r>
                </w:p>
              </w:tc>
              <w:tc>
                <w:tcPr>
                  <w:tcW w:w="2964" w:type="dxa"/>
                  <w:gridSpan w:val="2"/>
                  <w:shd w:val="clear" w:color="auto" w:fill="auto"/>
                  <w:vAlign w:val="center"/>
                </w:tcPr>
                <w:p w14:paraId="1120F66E">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vAlign w:val="center"/>
                </w:tcPr>
                <w:p w14:paraId="268B10D8">
                  <w:pPr>
                    <w:pStyle w:val="9"/>
                    <w:ind w:firstLine="0"/>
                    <w:jc w:val="center"/>
                    <w:rPr>
                      <w:rFonts w:hint="default" w:eastAsia="宋体"/>
                      <w:b/>
                      <w:bCs/>
                      <w:color w:val="auto"/>
                      <w:szCs w:val="21"/>
                      <w:lang w:val="en-US" w:eastAsia="zh-CN"/>
                    </w:rPr>
                  </w:pPr>
                  <w:r>
                    <w:rPr>
                      <w:rFonts w:hint="eastAsia"/>
                      <w:b/>
                      <w:bCs/>
                      <w:color w:val="auto"/>
                      <w:szCs w:val="21"/>
                      <w:lang w:val="en-US" w:eastAsia="zh-CN"/>
                    </w:rPr>
                    <w:t>6130.888</w:t>
                  </w:r>
                </w:p>
              </w:tc>
            </w:tr>
            <w:tr w14:paraId="61B74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01ACB17C">
                  <w:pPr>
                    <w:pStyle w:val="9"/>
                    <w:ind w:firstLine="0"/>
                    <w:jc w:val="center"/>
                    <w:rPr>
                      <w:rFonts w:hint="eastAsia"/>
                      <w:color w:val="auto"/>
                      <w:szCs w:val="21"/>
                    </w:rPr>
                  </w:pPr>
                </w:p>
              </w:tc>
              <w:tc>
                <w:tcPr>
                  <w:tcW w:w="1997" w:type="dxa"/>
                  <w:gridSpan w:val="4"/>
                  <w:vAlign w:val="center"/>
                </w:tcPr>
                <w:p w14:paraId="430E8386">
                  <w:pPr>
                    <w:pStyle w:val="9"/>
                    <w:ind w:firstLine="0"/>
                    <w:jc w:val="center"/>
                    <w:rPr>
                      <w:rFonts w:hint="eastAsia"/>
                      <w:color w:val="auto"/>
                      <w:szCs w:val="21"/>
                    </w:rPr>
                  </w:pPr>
                </w:p>
              </w:tc>
              <w:tc>
                <w:tcPr>
                  <w:tcW w:w="1202" w:type="dxa"/>
                  <w:vAlign w:val="center"/>
                </w:tcPr>
                <w:p w14:paraId="223E6B8A">
                  <w:pPr>
                    <w:pStyle w:val="9"/>
                    <w:ind w:firstLine="0"/>
                    <w:jc w:val="center"/>
                    <w:rPr>
                      <w:rFonts w:hint="eastAsia"/>
                      <w:color w:val="auto"/>
                      <w:szCs w:val="21"/>
                    </w:rPr>
                  </w:pPr>
                </w:p>
              </w:tc>
              <w:tc>
                <w:tcPr>
                  <w:tcW w:w="1151" w:type="dxa"/>
                  <w:vAlign w:val="center"/>
                </w:tcPr>
                <w:p w14:paraId="2B3B3EF8">
                  <w:pPr>
                    <w:pStyle w:val="9"/>
                    <w:ind w:firstLine="0"/>
                    <w:jc w:val="center"/>
                    <w:rPr>
                      <w:rFonts w:hint="eastAsia"/>
                      <w:color w:val="auto"/>
                      <w:szCs w:val="21"/>
                      <w:lang w:val="en-US" w:eastAsia="zh-CN"/>
                    </w:rPr>
                  </w:pPr>
                </w:p>
              </w:tc>
              <w:tc>
                <w:tcPr>
                  <w:tcW w:w="1813" w:type="dxa"/>
                  <w:vAlign w:val="center"/>
                </w:tcPr>
                <w:p w14:paraId="05BEEAA0">
                  <w:pPr>
                    <w:pStyle w:val="9"/>
                    <w:ind w:firstLine="0"/>
                    <w:jc w:val="center"/>
                    <w:rPr>
                      <w:rFonts w:hint="eastAsia"/>
                      <w:color w:val="auto"/>
                      <w:szCs w:val="21"/>
                      <w:lang w:val="en-US" w:eastAsia="zh-CN"/>
                    </w:rPr>
                  </w:pPr>
                </w:p>
              </w:tc>
              <w:tc>
                <w:tcPr>
                  <w:tcW w:w="1052" w:type="dxa"/>
                  <w:vAlign w:val="center"/>
                </w:tcPr>
                <w:p w14:paraId="05B08F9D">
                  <w:pPr>
                    <w:pStyle w:val="9"/>
                    <w:ind w:firstLine="0"/>
                    <w:jc w:val="center"/>
                    <w:rPr>
                      <w:rFonts w:hint="eastAsia"/>
                      <w:color w:val="auto"/>
                      <w:szCs w:val="21"/>
                    </w:rPr>
                  </w:pPr>
                </w:p>
              </w:tc>
            </w:tr>
            <w:tr w14:paraId="4B967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23" w:type="dxa"/>
                  <w:vMerge w:val="restart"/>
                  <w:vAlign w:val="center"/>
                </w:tcPr>
                <w:p w14:paraId="76B296B5">
                  <w:pPr>
                    <w:pStyle w:val="9"/>
                    <w:ind w:firstLine="0"/>
                    <w:jc w:val="center"/>
                    <w:rPr>
                      <w:rFonts w:hint="eastAsia" w:eastAsia="宋体"/>
                      <w:color w:val="auto"/>
                      <w:szCs w:val="21"/>
                      <w:lang w:val="en-US" w:eastAsia="zh-CN"/>
                    </w:rPr>
                  </w:pPr>
                  <w:r>
                    <w:rPr>
                      <w:rFonts w:hint="eastAsia"/>
                      <w:color w:val="auto"/>
                      <w:szCs w:val="21"/>
                      <w:lang w:val="en-US" w:eastAsia="zh-CN"/>
                    </w:rPr>
                    <w:t>酸洗</w:t>
                  </w:r>
                </w:p>
              </w:tc>
              <w:tc>
                <w:tcPr>
                  <w:tcW w:w="925" w:type="dxa"/>
                  <w:gridSpan w:val="2"/>
                  <w:vMerge w:val="restart"/>
                  <w:shd w:val="clear" w:color="auto" w:fill="auto"/>
                  <w:vAlign w:val="center"/>
                </w:tcPr>
                <w:p w14:paraId="3748D04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石英砂7</w:t>
                  </w:r>
                </w:p>
              </w:tc>
              <w:tc>
                <w:tcPr>
                  <w:tcW w:w="1072" w:type="dxa"/>
                  <w:gridSpan w:val="2"/>
                  <w:shd w:val="clear" w:color="auto" w:fill="auto"/>
                  <w:vAlign w:val="center"/>
                </w:tcPr>
                <w:p w14:paraId="542047C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石英砂7</w:t>
                  </w:r>
                </w:p>
              </w:tc>
              <w:tc>
                <w:tcPr>
                  <w:tcW w:w="1202" w:type="dxa"/>
                  <w:shd w:val="clear" w:color="auto" w:fill="auto"/>
                  <w:vAlign w:val="center"/>
                </w:tcPr>
                <w:p w14:paraId="351785BE">
                  <w:pPr>
                    <w:pStyle w:val="9"/>
                    <w:ind w:firstLine="0" w:firstLineChars="0"/>
                    <w:jc w:val="center"/>
                    <w:rPr>
                      <w:rFonts w:hint="default"/>
                      <w:color w:val="auto"/>
                      <w:szCs w:val="21"/>
                      <w:lang w:val="en-US" w:eastAsia="zh-CN"/>
                    </w:rPr>
                  </w:pPr>
                  <w:r>
                    <w:rPr>
                      <w:rFonts w:hint="eastAsia"/>
                      <w:color w:val="auto"/>
                      <w:szCs w:val="21"/>
                      <w:lang w:val="en-US" w:eastAsia="zh-CN"/>
                    </w:rPr>
                    <w:t>2005.888</w:t>
                  </w:r>
                </w:p>
              </w:tc>
              <w:tc>
                <w:tcPr>
                  <w:tcW w:w="1151" w:type="dxa"/>
                  <w:vMerge w:val="restart"/>
                  <w:vAlign w:val="center"/>
                </w:tcPr>
                <w:p w14:paraId="734E0713">
                  <w:pPr>
                    <w:pStyle w:val="9"/>
                    <w:ind w:firstLine="0"/>
                    <w:jc w:val="center"/>
                    <w:rPr>
                      <w:rFonts w:hint="default"/>
                      <w:color w:val="auto"/>
                      <w:szCs w:val="21"/>
                      <w:lang w:val="en-US"/>
                    </w:rPr>
                  </w:pPr>
                  <w:r>
                    <w:rPr>
                      <w:rFonts w:hint="eastAsia"/>
                      <w:color w:val="auto"/>
                      <w:szCs w:val="21"/>
                      <w:lang w:val="en-US" w:eastAsia="zh-CN"/>
                    </w:rPr>
                    <w:t>石英砂8</w:t>
                  </w:r>
                </w:p>
              </w:tc>
              <w:tc>
                <w:tcPr>
                  <w:tcW w:w="1813" w:type="dxa"/>
                  <w:shd w:val="clear" w:color="auto" w:fill="auto"/>
                  <w:vAlign w:val="center"/>
                </w:tcPr>
                <w:p w14:paraId="07C7FC64">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石英砂8</w:t>
                  </w:r>
                </w:p>
              </w:tc>
              <w:tc>
                <w:tcPr>
                  <w:tcW w:w="1052" w:type="dxa"/>
                  <w:shd w:val="clear" w:color="auto" w:fill="auto"/>
                  <w:vAlign w:val="center"/>
                </w:tcPr>
                <w:p w14:paraId="698D905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2001.02</w:t>
                  </w:r>
                </w:p>
              </w:tc>
            </w:tr>
            <w:tr w14:paraId="617B0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23" w:type="dxa"/>
                  <w:vMerge w:val="continue"/>
                  <w:vAlign w:val="center"/>
                </w:tcPr>
                <w:p w14:paraId="0E0F5A6C">
                  <w:pPr>
                    <w:pStyle w:val="9"/>
                    <w:ind w:firstLine="0"/>
                    <w:jc w:val="center"/>
                    <w:rPr>
                      <w:rFonts w:hint="eastAsia"/>
                      <w:color w:val="auto"/>
                      <w:szCs w:val="21"/>
                      <w:lang w:val="en-US" w:eastAsia="zh-CN"/>
                    </w:rPr>
                  </w:pPr>
                </w:p>
              </w:tc>
              <w:tc>
                <w:tcPr>
                  <w:tcW w:w="925" w:type="dxa"/>
                  <w:gridSpan w:val="2"/>
                  <w:vMerge w:val="continue"/>
                  <w:shd w:val="clear" w:color="auto" w:fill="auto"/>
                  <w:vAlign w:val="center"/>
                </w:tcPr>
                <w:p w14:paraId="7A293D05">
                  <w:pPr>
                    <w:pStyle w:val="9"/>
                    <w:ind w:firstLine="0" w:firstLineChars="0"/>
                    <w:jc w:val="center"/>
                    <w:rPr>
                      <w:rFonts w:hint="eastAsia"/>
                      <w:color w:val="auto"/>
                      <w:szCs w:val="21"/>
                      <w:lang w:val="en-US" w:eastAsia="zh-CN"/>
                    </w:rPr>
                  </w:pPr>
                </w:p>
              </w:tc>
              <w:tc>
                <w:tcPr>
                  <w:tcW w:w="1072" w:type="dxa"/>
                  <w:gridSpan w:val="2"/>
                  <w:shd w:val="clear" w:color="auto" w:fill="auto"/>
                  <w:vAlign w:val="center"/>
                </w:tcPr>
                <w:p w14:paraId="2DE84352">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202" w:type="dxa"/>
                  <w:shd w:val="clear" w:color="auto" w:fill="auto"/>
                  <w:vAlign w:val="center"/>
                </w:tcPr>
                <w:p w14:paraId="3F7712D2">
                  <w:pPr>
                    <w:pStyle w:val="9"/>
                    <w:ind w:firstLine="0" w:firstLineChars="0"/>
                    <w:jc w:val="center"/>
                    <w:rPr>
                      <w:rFonts w:hint="default"/>
                      <w:color w:val="auto"/>
                      <w:szCs w:val="21"/>
                      <w:lang w:val="en-US" w:eastAsia="zh-CN"/>
                    </w:rPr>
                  </w:pPr>
                  <w:r>
                    <w:rPr>
                      <w:rFonts w:hint="eastAsia"/>
                      <w:color w:val="auto"/>
                      <w:szCs w:val="21"/>
                      <w:lang w:val="en-US" w:eastAsia="zh-CN"/>
                    </w:rPr>
                    <w:t>115</w:t>
                  </w:r>
                </w:p>
              </w:tc>
              <w:tc>
                <w:tcPr>
                  <w:tcW w:w="1151" w:type="dxa"/>
                  <w:vMerge w:val="continue"/>
                  <w:vAlign w:val="center"/>
                </w:tcPr>
                <w:p w14:paraId="70343D06">
                  <w:pPr>
                    <w:pStyle w:val="9"/>
                    <w:ind w:firstLine="0"/>
                    <w:jc w:val="center"/>
                    <w:rPr>
                      <w:rFonts w:hint="eastAsia"/>
                      <w:color w:val="auto"/>
                      <w:szCs w:val="21"/>
                      <w:lang w:val="en-US" w:eastAsia="zh-CN"/>
                    </w:rPr>
                  </w:pPr>
                </w:p>
              </w:tc>
              <w:tc>
                <w:tcPr>
                  <w:tcW w:w="1813" w:type="dxa"/>
                  <w:shd w:val="clear" w:color="auto" w:fill="auto"/>
                  <w:vAlign w:val="center"/>
                </w:tcPr>
                <w:p w14:paraId="71792D00">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氯化氢</w:t>
                  </w:r>
                </w:p>
              </w:tc>
              <w:tc>
                <w:tcPr>
                  <w:tcW w:w="1052" w:type="dxa"/>
                  <w:shd w:val="clear" w:color="auto" w:fill="auto"/>
                  <w:vAlign w:val="center"/>
                </w:tcPr>
                <w:p w14:paraId="514B5FD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r>
            <w:tr w14:paraId="37C03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23" w:type="dxa"/>
                  <w:vMerge w:val="continue"/>
                  <w:vAlign w:val="center"/>
                </w:tcPr>
                <w:p w14:paraId="6960E38D">
                  <w:pPr>
                    <w:pStyle w:val="9"/>
                    <w:ind w:firstLine="0"/>
                    <w:jc w:val="center"/>
                    <w:rPr>
                      <w:rFonts w:hint="eastAsia"/>
                      <w:color w:val="auto"/>
                      <w:szCs w:val="21"/>
                      <w:lang w:val="en-US" w:eastAsia="zh-CN"/>
                    </w:rPr>
                  </w:pPr>
                </w:p>
              </w:tc>
              <w:tc>
                <w:tcPr>
                  <w:tcW w:w="925" w:type="dxa"/>
                  <w:gridSpan w:val="2"/>
                  <w:vMerge w:val="restart"/>
                  <w:shd w:val="clear" w:color="auto" w:fill="auto"/>
                  <w:vAlign w:val="center"/>
                </w:tcPr>
                <w:p w14:paraId="4054727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盐酸</w:t>
                  </w:r>
                </w:p>
              </w:tc>
              <w:tc>
                <w:tcPr>
                  <w:tcW w:w="1072" w:type="dxa"/>
                  <w:gridSpan w:val="2"/>
                  <w:shd w:val="clear" w:color="auto" w:fill="auto"/>
                  <w:vAlign w:val="center"/>
                </w:tcPr>
                <w:p w14:paraId="0BE98DB0">
                  <w:pPr>
                    <w:pStyle w:val="9"/>
                    <w:ind w:firstLine="0" w:firstLineChars="0"/>
                    <w:jc w:val="center"/>
                    <w:rPr>
                      <w:rFonts w:hint="default"/>
                      <w:color w:val="auto"/>
                      <w:szCs w:val="21"/>
                      <w:lang w:val="en-US" w:eastAsia="zh-CN"/>
                    </w:rPr>
                  </w:pPr>
                  <w:r>
                    <w:rPr>
                      <w:rFonts w:hint="eastAsia"/>
                      <w:color w:val="auto"/>
                      <w:szCs w:val="21"/>
                      <w:lang w:val="en-US" w:eastAsia="zh-CN"/>
                    </w:rPr>
                    <w:t>水</w:t>
                  </w:r>
                </w:p>
              </w:tc>
              <w:tc>
                <w:tcPr>
                  <w:tcW w:w="1202" w:type="dxa"/>
                  <w:shd w:val="clear" w:color="auto" w:fill="auto"/>
                  <w:vAlign w:val="center"/>
                </w:tcPr>
                <w:p w14:paraId="320B6361">
                  <w:pPr>
                    <w:pStyle w:val="9"/>
                    <w:ind w:firstLine="0" w:firstLineChars="0"/>
                    <w:jc w:val="center"/>
                    <w:rPr>
                      <w:rFonts w:hint="default"/>
                      <w:color w:val="auto"/>
                      <w:szCs w:val="21"/>
                      <w:lang w:val="en-US" w:eastAsia="zh-CN"/>
                    </w:rPr>
                  </w:pPr>
                  <w:r>
                    <w:rPr>
                      <w:rFonts w:hint="eastAsia"/>
                      <w:color w:val="auto"/>
                      <w:szCs w:val="21"/>
                      <w:lang w:val="en-US" w:eastAsia="zh-CN"/>
                    </w:rPr>
                    <w:t>512</w:t>
                  </w:r>
                </w:p>
              </w:tc>
              <w:tc>
                <w:tcPr>
                  <w:tcW w:w="1151" w:type="dxa"/>
                  <w:vMerge w:val="continue"/>
                  <w:vAlign w:val="center"/>
                </w:tcPr>
                <w:p w14:paraId="65FA738E">
                  <w:pPr>
                    <w:pStyle w:val="9"/>
                    <w:ind w:firstLine="0"/>
                    <w:jc w:val="center"/>
                    <w:rPr>
                      <w:rFonts w:hint="eastAsia"/>
                      <w:color w:val="auto"/>
                      <w:szCs w:val="21"/>
                      <w:lang w:val="en-US" w:eastAsia="zh-CN"/>
                    </w:rPr>
                  </w:pPr>
                </w:p>
              </w:tc>
              <w:tc>
                <w:tcPr>
                  <w:tcW w:w="1813" w:type="dxa"/>
                  <w:shd w:val="clear" w:color="auto" w:fill="auto"/>
                  <w:vAlign w:val="center"/>
                </w:tcPr>
                <w:p w14:paraId="07F563F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氟化</w:t>
                  </w:r>
                  <w:r>
                    <w:rPr>
                      <w:rFonts w:hint="eastAsia"/>
                      <w:color w:val="auto"/>
                      <w:szCs w:val="21"/>
                      <w:lang w:val="en-US" w:eastAsia="zh-CN"/>
                    </w:rPr>
                    <w:t>氢</w:t>
                  </w:r>
                </w:p>
              </w:tc>
              <w:tc>
                <w:tcPr>
                  <w:tcW w:w="1052" w:type="dxa"/>
                  <w:shd w:val="clear" w:color="auto" w:fill="auto"/>
                  <w:vAlign w:val="center"/>
                </w:tcPr>
                <w:p w14:paraId="1A1C132E">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0.5</w:t>
                  </w:r>
                </w:p>
              </w:tc>
            </w:tr>
            <w:tr w14:paraId="2922B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23" w:type="dxa"/>
                  <w:vMerge w:val="continue"/>
                  <w:vAlign w:val="center"/>
                </w:tcPr>
                <w:p w14:paraId="5A224E60">
                  <w:pPr>
                    <w:pStyle w:val="9"/>
                    <w:ind w:firstLine="0"/>
                    <w:jc w:val="center"/>
                    <w:rPr>
                      <w:rFonts w:hint="eastAsia" w:eastAsia="宋体"/>
                      <w:color w:val="auto"/>
                      <w:szCs w:val="21"/>
                      <w:lang w:val="en-US" w:eastAsia="zh-CN"/>
                    </w:rPr>
                  </w:pPr>
                </w:p>
              </w:tc>
              <w:tc>
                <w:tcPr>
                  <w:tcW w:w="925" w:type="dxa"/>
                  <w:gridSpan w:val="2"/>
                  <w:vMerge w:val="continue"/>
                  <w:shd w:val="clear" w:color="auto" w:fill="auto"/>
                  <w:vAlign w:val="center"/>
                </w:tcPr>
                <w:p w14:paraId="5E8C9E16">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072" w:type="dxa"/>
                  <w:gridSpan w:val="2"/>
                  <w:shd w:val="clear" w:color="auto" w:fill="auto"/>
                  <w:vAlign w:val="center"/>
                </w:tcPr>
                <w:p w14:paraId="1F2A1CE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氯化氢</w:t>
                  </w:r>
                </w:p>
              </w:tc>
              <w:tc>
                <w:tcPr>
                  <w:tcW w:w="1202" w:type="dxa"/>
                  <w:shd w:val="clear" w:color="auto" w:fill="auto"/>
                  <w:vAlign w:val="center"/>
                </w:tcPr>
                <w:p w14:paraId="16CE4EA1">
                  <w:pPr>
                    <w:pStyle w:val="9"/>
                    <w:ind w:firstLine="0" w:firstLineChars="0"/>
                    <w:jc w:val="center"/>
                    <w:rPr>
                      <w:rFonts w:hint="default"/>
                      <w:color w:val="auto"/>
                      <w:szCs w:val="21"/>
                      <w:lang w:val="en-US" w:eastAsia="zh-CN"/>
                    </w:rPr>
                  </w:pPr>
                  <w:r>
                    <w:rPr>
                      <w:rFonts w:hint="eastAsia"/>
                      <w:color w:val="auto"/>
                      <w:szCs w:val="21"/>
                      <w:lang w:val="en-US" w:eastAsia="zh-CN"/>
                    </w:rPr>
                    <w:t>288</w:t>
                  </w:r>
                </w:p>
              </w:tc>
              <w:tc>
                <w:tcPr>
                  <w:tcW w:w="1151" w:type="dxa"/>
                  <w:vMerge w:val="continue"/>
                  <w:vAlign w:val="center"/>
                </w:tcPr>
                <w:p w14:paraId="4906F511">
                  <w:pPr>
                    <w:pStyle w:val="9"/>
                    <w:ind w:firstLine="0"/>
                    <w:jc w:val="center"/>
                    <w:rPr>
                      <w:rFonts w:hint="default"/>
                      <w:color w:val="auto"/>
                      <w:szCs w:val="21"/>
                      <w:lang w:val="en-US"/>
                    </w:rPr>
                  </w:pPr>
                </w:p>
              </w:tc>
              <w:tc>
                <w:tcPr>
                  <w:tcW w:w="1813" w:type="dxa"/>
                  <w:vAlign w:val="center"/>
                </w:tcPr>
                <w:p w14:paraId="66F63F6D">
                  <w:pPr>
                    <w:pStyle w:val="9"/>
                    <w:ind w:firstLine="0"/>
                    <w:jc w:val="center"/>
                    <w:rPr>
                      <w:rFonts w:hint="default"/>
                      <w:color w:val="auto"/>
                      <w:szCs w:val="21"/>
                      <w:lang w:val="en-US" w:eastAsia="zh-CN"/>
                    </w:rPr>
                  </w:pPr>
                  <w:r>
                    <w:rPr>
                      <w:rFonts w:hint="eastAsia"/>
                      <w:color w:val="auto"/>
                      <w:szCs w:val="21"/>
                      <w:lang w:val="en-US" w:eastAsia="zh-CN"/>
                    </w:rPr>
                    <w:t>水</w:t>
                  </w:r>
                </w:p>
              </w:tc>
              <w:tc>
                <w:tcPr>
                  <w:tcW w:w="1052" w:type="dxa"/>
                  <w:shd w:val="clear" w:color="auto" w:fill="auto"/>
                  <w:vAlign w:val="center"/>
                </w:tcPr>
                <w:p w14:paraId="5D649270">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100</w:t>
                  </w:r>
                </w:p>
              </w:tc>
            </w:tr>
            <w:tr w14:paraId="06E5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23" w:type="dxa"/>
                  <w:vMerge w:val="continue"/>
                  <w:vAlign w:val="center"/>
                </w:tcPr>
                <w:p w14:paraId="3D458DB7">
                  <w:pPr>
                    <w:pStyle w:val="9"/>
                    <w:ind w:firstLine="0"/>
                    <w:jc w:val="center"/>
                    <w:rPr>
                      <w:rFonts w:hint="eastAsia"/>
                      <w:color w:val="auto"/>
                      <w:szCs w:val="21"/>
                    </w:rPr>
                  </w:pPr>
                </w:p>
              </w:tc>
              <w:tc>
                <w:tcPr>
                  <w:tcW w:w="925" w:type="dxa"/>
                  <w:gridSpan w:val="2"/>
                  <w:vMerge w:val="restart"/>
                  <w:vAlign w:val="center"/>
                </w:tcPr>
                <w:p w14:paraId="2E6031F0">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氢氟酸</w:t>
                  </w:r>
                </w:p>
              </w:tc>
              <w:tc>
                <w:tcPr>
                  <w:tcW w:w="1072" w:type="dxa"/>
                  <w:gridSpan w:val="2"/>
                  <w:shd w:val="clear" w:color="auto" w:fill="auto"/>
                  <w:vAlign w:val="center"/>
                </w:tcPr>
                <w:p w14:paraId="4C41BFBC">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氟化</w:t>
                  </w:r>
                  <w:r>
                    <w:rPr>
                      <w:rFonts w:hint="eastAsia"/>
                      <w:color w:val="auto"/>
                      <w:szCs w:val="21"/>
                      <w:lang w:val="en-US" w:eastAsia="zh-CN"/>
                    </w:rPr>
                    <w:t>氢</w:t>
                  </w:r>
                </w:p>
              </w:tc>
              <w:tc>
                <w:tcPr>
                  <w:tcW w:w="1202" w:type="dxa"/>
                  <w:vAlign w:val="center"/>
                </w:tcPr>
                <w:p w14:paraId="4EE6AF80">
                  <w:pPr>
                    <w:pStyle w:val="9"/>
                    <w:ind w:firstLine="0"/>
                    <w:jc w:val="center"/>
                    <w:rPr>
                      <w:rFonts w:hint="default" w:eastAsia="宋体"/>
                      <w:color w:val="auto"/>
                      <w:szCs w:val="21"/>
                      <w:lang w:val="en-US" w:eastAsia="zh-CN"/>
                    </w:rPr>
                  </w:pPr>
                  <w:r>
                    <w:rPr>
                      <w:rFonts w:hint="eastAsia"/>
                      <w:color w:val="auto"/>
                      <w:szCs w:val="21"/>
                      <w:lang w:val="en-US" w:eastAsia="zh-CN"/>
                    </w:rPr>
                    <w:t>80</w:t>
                  </w:r>
                </w:p>
              </w:tc>
              <w:tc>
                <w:tcPr>
                  <w:tcW w:w="1151" w:type="dxa"/>
                  <w:vMerge w:val="restart"/>
                  <w:shd w:val="clear" w:color="auto" w:fill="auto"/>
                  <w:vAlign w:val="center"/>
                </w:tcPr>
                <w:p w14:paraId="774F10CF">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酸性废气G5</w:t>
                  </w:r>
                </w:p>
              </w:tc>
              <w:tc>
                <w:tcPr>
                  <w:tcW w:w="1813" w:type="dxa"/>
                  <w:vAlign w:val="center"/>
                </w:tcPr>
                <w:p w14:paraId="214140E7">
                  <w:pPr>
                    <w:pStyle w:val="9"/>
                    <w:ind w:firstLine="0"/>
                    <w:jc w:val="center"/>
                    <w:rPr>
                      <w:rFonts w:hint="eastAsia"/>
                      <w:color w:val="auto"/>
                      <w:szCs w:val="21"/>
                    </w:rPr>
                  </w:pPr>
                  <w:r>
                    <w:rPr>
                      <w:color w:val="auto"/>
                      <w:szCs w:val="21"/>
                    </w:rPr>
                    <w:t>氯化氢</w:t>
                  </w:r>
                </w:p>
              </w:tc>
              <w:tc>
                <w:tcPr>
                  <w:tcW w:w="1052" w:type="dxa"/>
                  <w:vAlign w:val="center"/>
                </w:tcPr>
                <w:p w14:paraId="413B78F8">
                  <w:pPr>
                    <w:pStyle w:val="9"/>
                    <w:ind w:firstLine="0"/>
                    <w:jc w:val="center"/>
                    <w:rPr>
                      <w:rFonts w:hint="default" w:eastAsia="宋体"/>
                      <w:color w:val="auto"/>
                      <w:szCs w:val="21"/>
                      <w:lang w:val="en-US" w:eastAsia="zh-CN"/>
                    </w:rPr>
                  </w:pPr>
                  <w:r>
                    <w:rPr>
                      <w:rFonts w:hint="eastAsia"/>
                      <w:color w:val="auto"/>
                      <w:szCs w:val="21"/>
                      <w:lang w:val="en-US" w:eastAsia="zh-CN"/>
                    </w:rPr>
                    <w:t>4.32</w:t>
                  </w:r>
                </w:p>
              </w:tc>
            </w:tr>
            <w:tr w14:paraId="0CBD8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9508590">
                  <w:pPr>
                    <w:pStyle w:val="9"/>
                    <w:ind w:firstLine="0"/>
                    <w:jc w:val="center"/>
                    <w:rPr>
                      <w:rFonts w:hint="eastAsia"/>
                      <w:color w:val="auto"/>
                      <w:szCs w:val="21"/>
                    </w:rPr>
                  </w:pPr>
                </w:p>
              </w:tc>
              <w:tc>
                <w:tcPr>
                  <w:tcW w:w="925" w:type="dxa"/>
                  <w:gridSpan w:val="2"/>
                  <w:vMerge w:val="continue"/>
                  <w:shd w:val="clear" w:color="auto" w:fill="auto"/>
                  <w:vAlign w:val="center"/>
                </w:tcPr>
                <w:p w14:paraId="5D69ECB4">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072" w:type="dxa"/>
                  <w:gridSpan w:val="2"/>
                  <w:shd w:val="clear" w:color="auto" w:fill="auto"/>
                  <w:vAlign w:val="center"/>
                </w:tcPr>
                <w:p w14:paraId="0F0A38A3">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水</w:t>
                  </w:r>
                </w:p>
              </w:tc>
              <w:tc>
                <w:tcPr>
                  <w:tcW w:w="1202" w:type="dxa"/>
                  <w:vAlign w:val="center"/>
                </w:tcPr>
                <w:p w14:paraId="53D38702">
                  <w:pPr>
                    <w:pStyle w:val="9"/>
                    <w:ind w:firstLine="0"/>
                    <w:jc w:val="center"/>
                    <w:rPr>
                      <w:rFonts w:hint="default" w:eastAsia="宋体"/>
                      <w:color w:val="auto"/>
                      <w:szCs w:val="21"/>
                      <w:lang w:val="en-US" w:eastAsia="zh-CN"/>
                    </w:rPr>
                  </w:pPr>
                  <w:r>
                    <w:rPr>
                      <w:rFonts w:hint="eastAsia"/>
                      <w:color w:val="auto"/>
                      <w:szCs w:val="21"/>
                      <w:lang w:val="en-US" w:eastAsia="zh-CN"/>
                    </w:rPr>
                    <w:t>120</w:t>
                  </w:r>
                </w:p>
              </w:tc>
              <w:tc>
                <w:tcPr>
                  <w:tcW w:w="1151" w:type="dxa"/>
                  <w:vMerge w:val="continue"/>
                  <w:shd w:val="clear" w:color="auto" w:fill="auto"/>
                  <w:vAlign w:val="center"/>
                </w:tcPr>
                <w:p w14:paraId="387E2289">
                  <w:pPr>
                    <w:pStyle w:val="9"/>
                    <w:ind w:firstLine="0" w:firstLineChars="0"/>
                    <w:jc w:val="center"/>
                    <w:rPr>
                      <w:rFonts w:hint="eastAsia"/>
                      <w:color w:val="auto"/>
                      <w:szCs w:val="21"/>
                      <w:lang w:val="en-US" w:eastAsia="zh-CN"/>
                    </w:rPr>
                  </w:pPr>
                </w:p>
              </w:tc>
              <w:tc>
                <w:tcPr>
                  <w:tcW w:w="1813" w:type="dxa"/>
                  <w:vAlign w:val="center"/>
                </w:tcPr>
                <w:p w14:paraId="4DF47442">
                  <w:pPr>
                    <w:pStyle w:val="9"/>
                    <w:ind w:firstLine="0"/>
                    <w:jc w:val="center"/>
                    <w:rPr>
                      <w:rFonts w:hint="eastAsia" w:eastAsia="宋体"/>
                      <w:color w:val="auto"/>
                      <w:szCs w:val="21"/>
                      <w:lang w:val="en-US" w:eastAsia="zh-CN"/>
                    </w:rPr>
                  </w:pPr>
                  <w:r>
                    <w:rPr>
                      <w:color w:val="auto"/>
                      <w:szCs w:val="21"/>
                    </w:rPr>
                    <w:t>氟化</w:t>
                  </w:r>
                  <w:r>
                    <w:rPr>
                      <w:rFonts w:hint="eastAsia"/>
                      <w:color w:val="auto"/>
                      <w:szCs w:val="21"/>
                      <w:lang w:val="en-US" w:eastAsia="zh-CN"/>
                    </w:rPr>
                    <w:t>氢</w:t>
                  </w:r>
                </w:p>
              </w:tc>
              <w:tc>
                <w:tcPr>
                  <w:tcW w:w="1052" w:type="dxa"/>
                  <w:vAlign w:val="center"/>
                </w:tcPr>
                <w:p w14:paraId="2FB69246">
                  <w:pPr>
                    <w:pStyle w:val="9"/>
                    <w:ind w:firstLine="0"/>
                    <w:jc w:val="center"/>
                    <w:rPr>
                      <w:rFonts w:hint="default" w:eastAsia="宋体"/>
                      <w:color w:val="auto"/>
                      <w:szCs w:val="21"/>
                      <w:lang w:val="en-US" w:eastAsia="zh-CN"/>
                    </w:rPr>
                  </w:pPr>
                  <w:r>
                    <w:rPr>
                      <w:rFonts w:hint="eastAsia"/>
                      <w:color w:val="auto"/>
                      <w:szCs w:val="21"/>
                      <w:lang w:val="en-US" w:eastAsia="zh-CN"/>
                    </w:rPr>
                    <w:t>0.048</w:t>
                  </w:r>
                </w:p>
              </w:tc>
            </w:tr>
            <w:tr w14:paraId="276E3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327DFAD0">
                  <w:pPr>
                    <w:pStyle w:val="9"/>
                    <w:ind w:firstLine="0"/>
                    <w:jc w:val="center"/>
                    <w:rPr>
                      <w:rFonts w:hint="eastAsia"/>
                      <w:color w:val="auto"/>
                      <w:szCs w:val="21"/>
                    </w:rPr>
                  </w:pPr>
                </w:p>
              </w:tc>
              <w:tc>
                <w:tcPr>
                  <w:tcW w:w="1997" w:type="dxa"/>
                  <w:gridSpan w:val="4"/>
                  <w:shd w:val="clear" w:color="auto" w:fill="auto"/>
                  <w:vAlign w:val="center"/>
                </w:tcPr>
                <w:p w14:paraId="2AE43A95">
                  <w:pPr>
                    <w:pStyle w:val="9"/>
                    <w:ind w:firstLine="0" w:firstLineChars="0"/>
                    <w:jc w:val="center"/>
                    <w:rPr>
                      <w:rFonts w:hint="default" w:ascii="Times New Roman" w:hAnsi="Times New Roman" w:eastAsia="宋体" w:cs="Times New Roman"/>
                      <w:color w:val="auto"/>
                      <w:kern w:val="2"/>
                      <w:sz w:val="21"/>
                      <w:szCs w:val="21"/>
                      <w:lang w:val="en-US" w:eastAsia="zh-CN" w:bidi="ar-SA"/>
                    </w:rPr>
                  </w:pPr>
                </w:p>
              </w:tc>
              <w:tc>
                <w:tcPr>
                  <w:tcW w:w="1202" w:type="dxa"/>
                  <w:vAlign w:val="center"/>
                </w:tcPr>
                <w:p w14:paraId="6E380CFB">
                  <w:pPr>
                    <w:pStyle w:val="9"/>
                    <w:ind w:firstLine="0"/>
                    <w:jc w:val="center"/>
                    <w:rPr>
                      <w:rFonts w:hint="default" w:eastAsia="宋体"/>
                      <w:color w:val="auto"/>
                      <w:szCs w:val="21"/>
                      <w:lang w:val="en-US" w:eastAsia="zh-CN"/>
                    </w:rPr>
                  </w:pPr>
                </w:p>
              </w:tc>
              <w:tc>
                <w:tcPr>
                  <w:tcW w:w="1151" w:type="dxa"/>
                  <w:vMerge w:val="continue"/>
                  <w:shd w:val="clear" w:color="auto" w:fill="auto"/>
                  <w:vAlign w:val="center"/>
                </w:tcPr>
                <w:p w14:paraId="6CD42DAC">
                  <w:pPr>
                    <w:pStyle w:val="9"/>
                    <w:ind w:firstLine="0" w:firstLineChars="0"/>
                    <w:jc w:val="center"/>
                    <w:rPr>
                      <w:rFonts w:hint="eastAsia"/>
                      <w:color w:val="auto"/>
                      <w:szCs w:val="21"/>
                      <w:lang w:val="en-US" w:eastAsia="zh-CN"/>
                    </w:rPr>
                  </w:pPr>
                </w:p>
              </w:tc>
              <w:tc>
                <w:tcPr>
                  <w:tcW w:w="1813" w:type="dxa"/>
                  <w:vAlign w:val="center"/>
                </w:tcPr>
                <w:p w14:paraId="3DD46C95">
                  <w:pPr>
                    <w:pStyle w:val="9"/>
                    <w:ind w:firstLine="0"/>
                    <w:jc w:val="center"/>
                    <w:rPr>
                      <w:rFonts w:hint="eastAsia" w:eastAsia="宋体"/>
                      <w:color w:val="auto"/>
                      <w:szCs w:val="21"/>
                      <w:lang w:val="en-US" w:eastAsia="zh-CN"/>
                    </w:rPr>
                  </w:pPr>
                  <w:r>
                    <w:rPr>
                      <w:rFonts w:hint="eastAsia"/>
                      <w:color w:val="auto"/>
                      <w:szCs w:val="21"/>
                      <w:lang w:val="en-US" w:eastAsia="zh-CN"/>
                    </w:rPr>
                    <w:t>水</w:t>
                  </w:r>
                </w:p>
              </w:tc>
              <w:tc>
                <w:tcPr>
                  <w:tcW w:w="1052" w:type="dxa"/>
                  <w:vAlign w:val="center"/>
                </w:tcPr>
                <w:p w14:paraId="18B4A570">
                  <w:pPr>
                    <w:pStyle w:val="9"/>
                    <w:ind w:firstLine="0"/>
                    <w:jc w:val="center"/>
                    <w:rPr>
                      <w:rFonts w:hint="default" w:eastAsia="宋体"/>
                      <w:color w:val="auto"/>
                      <w:szCs w:val="21"/>
                      <w:lang w:val="en-US" w:eastAsia="zh-CN"/>
                    </w:rPr>
                  </w:pPr>
                  <w:r>
                    <w:rPr>
                      <w:rFonts w:hint="eastAsia"/>
                      <w:color w:val="auto"/>
                      <w:szCs w:val="21"/>
                      <w:lang w:val="en-US" w:eastAsia="zh-CN"/>
                    </w:rPr>
                    <w:t>70</w:t>
                  </w:r>
                </w:p>
              </w:tc>
            </w:tr>
            <w:tr w14:paraId="11F5B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26CCC5EF">
                  <w:pPr>
                    <w:pStyle w:val="9"/>
                    <w:ind w:firstLine="0"/>
                    <w:jc w:val="center"/>
                    <w:rPr>
                      <w:rFonts w:hint="eastAsia"/>
                      <w:color w:val="auto"/>
                      <w:szCs w:val="21"/>
                    </w:rPr>
                  </w:pPr>
                </w:p>
              </w:tc>
              <w:tc>
                <w:tcPr>
                  <w:tcW w:w="1997" w:type="dxa"/>
                  <w:gridSpan w:val="4"/>
                  <w:vAlign w:val="center"/>
                </w:tcPr>
                <w:p w14:paraId="6BC90A6D">
                  <w:pPr>
                    <w:pStyle w:val="9"/>
                    <w:ind w:firstLine="0"/>
                    <w:jc w:val="center"/>
                    <w:rPr>
                      <w:rFonts w:hint="eastAsia"/>
                      <w:color w:val="auto"/>
                      <w:szCs w:val="21"/>
                    </w:rPr>
                  </w:pPr>
                </w:p>
              </w:tc>
              <w:tc>
                <w:tcPr>
                  <w:tcW w:w="1202" w:type="dxa"/>
                  <w:vAlign w:val="center"/>
                </w:tcPr>
                <w:p w14:paraId="31E1D771">
                  <w:pPr>
                    <w:pStyle w:val="9"/>
                    <w:ind w:firstLine="0"/>
                    <w:jc w:val="center"/>
                    <w:rPr>
                      <w:rFonts w:hint="eastAsia"/>
                      <w:color w:val="auto"/>
                      <w:szCs w:val="21"/>
                    </w:rPr>
                  </w:pPr>
                </w:p>
              </w:tc>
              <w:tc>
                <w:tcPr>
                  <w:tcW w:w="1151" w:type="dxa"/>
                  <w:vMerge w:val="restart"/>
                  <w:shd w:val="clear" w:color="auto" w:fill="auto"/>
                  <w:vAlign w:val="center"/>
                </w:tcPr>
                <w:p w14:paraId="2724C9D5">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固废</w:t>
                  </w:r>
                </w:p>
              </w:tc>
              <w:tc>
                <w:tcPr>
                  <w:tcW w:w="1813" w:type="dxa"/>
                  <w:vAlign w:val="center"/>
                </w:tcPr>
                <w:p w14:paraId="06394663">
                  <w:pPr>
                    <w:pStyle w:val="9"/>
                    <w:ind w:firstLine="0" w:firstLineChars="0"/>
                    <w:jc w:val="center"/>
                    <w:rPr>
                      <w:rFonts w:hint="default"/>
                      <w:color w:val="auto"/>
                      <w:szCs w:val="21"/>
                      <w:lang w:val="en-US"/>
                    </w:rPr>
                  </w:pPr>
                  <w:r>
                    <w:rPr>
                      <w:rFonts w:hint="eastAsia"/>
                      <w:color w:val="auto"/>
                      <w:szCs w:val="21"/>
                      <w:lang w:val="zh-CN" w:eastAsia="zh-CN"/>
                    </w:rPr>
                    <w:t>废酸</w:t>
                  </w:r>
                  <w:r>
                    <w:rPr>
                      <w:rFonts w:hint="default"/>
                      <w:color w:val="auto"/>
                      <w:szCs w:val="21"/>
                      <w:lang w:val="zh-CN" w:eastAsia="zh-CN"/>
                    </w:rPr>
                    <w:t>S</w:t>
                  </w:r>
                  <w:r>
                    <w:rPr>
                      <w:rFonts w:hint="eastAsia"/>
                      <w:color w:val="auto"/>
                      <w:szCs w:val="21"/>
                      <w:lang w:val="en-US" w:eastAsia="zh-CN"/>
                    </w:rPr>
                    <w:t>7</w:t>
                  </w:r>
                </w:p>
              </w:tc>
              <w:tc>
                <w:tcPr>
                  <w:tcW w:w="1052" w:type="dxa"/>
                  <w:vAlign w:val="center"/>
                </w:tcPr>
                <w:p w14:paraId="41385ACE">
                  <w:pPr>
                    <w:pStyle w:val="9"/>
                    <w:ind w:firstLine="0"/>
                    <w:jc w:val="center"/>
                    <w:rPr>
                      <w:rFonts w:hint="default" w:eastAsia="宋体"/>
                      <w:color w:val="auto"/>
                      <w:szCs w:val="21"/>
                      <w:lang w:val="en-US" w:eastAsia="zh-CN"/>
                    </w:rPr>
                  </w:pPr>
                  <w:r>
                    <w:rPr>
                      <w:rFonts w:hint="eastAsia"/>
                      <w:color w:val="auto"/>
                      <w:szCs w:val="21"/>
                      <w:lang w:val="en-US" w:eastAsia="zh-CN"/>
                    </w:rPr>
                    <w:t>928</w:t>
                  </w:r>
                </w:p>
              </w:tc>
            </w:tr>
            <w:tr w14:paraId="2FF1D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1BDC83D">
                  <w:pPr>
                    <w:pStyle w:val="9"/>
                    <w:ind w:firstLine="0"/>
                    <w:jc w:val="center"/>
                    <w:rPr>
                      <w:rFonts w:hint="eastAsia"/>
                      <w:color w:val="auto"/>
                      <w:szCs w:val="21"/>
                    </w:rPr>
                  </w:pPr>
                </w:p>
              </w:tc>
              <w:tc>
                <w:tcPr>
                  <w:tcW w:w="1997" w:type="dxa"/>
                  <w:gridSpan w:val="4"/>
                  <w:vAlign w:val="center"/>
                </w:tcPr>
                <w:p w14:paraId="107BDEF0">
                  <w:pPr>
                    <w:pStyle w:val="9"/>
                    <w:ind w:firstLine="0"/>
                    <w:jc w:val="center"/>
                    <w:rPr>
                      <w:rFonts w:hint="eastAsia"/>
                      <w:color w:val="auto"/>
                      <w:szCs w:val="21"/>
                    </w:rPr>
                  </w:pPr>
                </w:p>
              </w:tc>
              <w:tc>
                <w:tcPr>
                  <w:tcW w:w="1202" w:type="dxa"/>
                  <w:vAlign w:val="center"/>
                </w:tcPr>
                <w:p w14:paraId="1897F5B6">
                  <w:pPr>
                    <w:pStyle w:val="9"/>
                    <w:ind w:firstLine="0"/>
                    <w:jc w:val="center"/>
                    <w:rPr>
                      <w:rFonts w:hint="eastAsia"/>
                      <w:color w:val="auto"/>
                      <w:szCs w:val="21"/>
                    </w:rPr>
                  </w:pPr>
                </w:p>
              </w:tc>
              <w:tc>
                <w:tcPr>
                  <w:tcW w:w="1151" w:type="dxa"/>
                  <w:vMerge w:val="continue"/>
                  <w:vAlign w:val="center"/>
                </w:tcPr>
                <w:p w14:paraId="72B2D625">
                  <w:pPr>
                    <w:pStyle w:val="9"/>
                    <w:ind w:firstLine="0"/>
                    <w:jc w:val="center"/>
                    <w:rPr>
                      <w:rFonts w:hint="eastAsia"/>
                      <w:color w:val="auto"/>
                      <w:szCs w:val="21"/>
                    </w:rPr>
                  </w:pPr>
                </w:p>
              </w:tc>
              <w:tc>
                <w:tcPr>
                  <w:tcW w:w="1813" w:type="dxa"/>
                  <w:vAlign w:val="center"/>
                </w:tcPr>
                <w:p w14:paraId="4BA13EF6">
                  <w:pPr>
                    <w:pStyle w:val="9"/>
                    <w:ind w:firstLine="0"/>
                    <w:jc w:val="center"/>
                    <w:rPr>
                      <w:rFonts w:hint="default"/>
                      <w:color w:val="auto"/>
                      <w:szCs w:val="21"/>
                      <w:lang w:val="en-US"/>
                    </w:rPr>
                  </w:pPr>
                  <w:r>
                    <w:rPr>
                      <w:rFonts w:hint="eastAsia"/>
                      <w:color w:val="auto"/>
                      <w:szCs w:val="21"/>
                      <w:lang w:val="zh-CN" w:eastAsia="zh-CN"/>
                    </w:rPr>
                    <w:t>废酸渣</w:t>
                  </w:r>
                  <w:r>
                    <w:rPr>
                      <w:rFonts w:hint="default"/>
                      <w:color w:val="auto"/>
                      <w:szCs w:val="21"/>
                      <w:lang w:val="zh-CN" w:eastAsia="zh-CN"/>
                    </w:rPr>
                    <w:t>S</w:t>
                  </w:r>
                  <w:r>
                    <w:rPr>
                      <w:rFonts w:hint="eastAsia"/>
                      <w:color w:val="auto"/>
                      <w:szCs w:val="21"/>
                      <w:lang w:val="en-US" w:eastAsia="zh-CN"/>
                    </w:rPr>
                    <w:t>8</w:t>
                  </w:r>
                </w:p>
              </w:tc>
              <w:tc>
                <w:tcPr>
                  <w:tcW w:w="1052" w:type="dxa"/>
                  <w:vAlign w:val="center"/>
                </w:tcPr>
                <w:p w14:paraId="67C61FE8">
                  <w:pPr>
                    <w:pStyle w:val="9"/>
                    <w:ind w:firstLine="0"/>
                    <w:jc w:val="center"/>
                    <w:rPr>
                      <w:rFonts w:hint="default" w:eastAsia="宋体"/>
                      <w:color w:val="auto"/>
                      <w:szCs w:val="21"/>
                      <w:lang w:val="en-US" w:eastAsia="zh-CN"/>
                    </w:rPr>
                  </w:pPr>
                  <w:r>
                    <w:rPr>
                      <w:rFonts w:hint="eastAsia"/>
                      <w:color w:val="auto"/>
                      <w:szCs w:val="21"/>
                      <w:lang w:val="en-US" w:eastAsia="zh-CN"/>
                    </w:rPr>
                    <w:t>15</w:t>
                  </w:r>
                </w:p>
              </w:tc>
            </w:tr>
            <w:tr w14:paraId="1709E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0974A1E1">
                  <w:pPr>
                    <w:pStyle w:val="9"/>
                    <w:ind w:firstLine="0"/>
                    <w:jc w:val="center"/>
                    <w:rPr>
                      <w:rFonts w:hint="eastAsia"/>
                      <w:color w:val="auto"/>
                      <w:szCs w:val="21"/>
                    </w:rPr>
                  </w:pPr>
                </w:p>
              </w:tc>
              <w:tc>
                <w:tcPr>
                  <w:tcW w:w="1997" w:type="dxa"/>
                  <w:gridSpan w:val="4"/>
                  <w:shd w:val="clear" w:color="auto" w:fill="auto"/>
                  <w:vAlign w:val="center"/>
                </w:tcPr>
                <w:p w14:paraId="382EEE14">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693191E5">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3120.888</w:t>
                  </w:r>
                </w:p>
              </w:tc>
              <w:tc>
                <w:tcPr>
                  <w:tcW w:w="2964" w:type="dxa"/>
                  <w:gridSpan w:val="2"/>
                  <w:shd w:val="clear" w:color="auto" w:fill="auto"/>
                  <w:vAlign w:val="center"/>
                </w:tcPr>
                <w:p w14:paraId="01D2DCA2">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shd w:val="clear" w:color="auto" w:fill="auto"/>
                  <w:vAlign w:val="center"/>
                </w:tcPr>
                <w:p w14:paraId="31EC8B51">
                  <w:pPr>
                    <w:pStyle w:val="9"/>
                    <w:ind w:firstLine="0" w:firstLineChars="0"/>
                    <w:jc w:val="center"/>
                    <w:rPr>
                      <w:rFonts w:hint="eastAsia"/>
                      <w:b/>
                      <w:bCs/>
                      <w:color w:val="auto"/>
                      <w:szCs w:val="21"/>
                      <w:lang w:val="en-US" w:eastAsia="zh-CN"/>
                    </w:rPr>
                  </w:pPr>
                  <w:r>
                    <w:rPr>
                      <w:rFonts w:hint="eastAsia"/>
                      <w:b/>
                      <w:bCs/>
                      <w:color w:val="auto"/>
                      <w:szCs w:val="21"/>
                      <w:lang w:val="en-US" w:eastAsia="zh-CN"/>
                    </w:rPr>
                    <w:t>3120.888</w:t>
                  </w:r>
                </w:p>
              </w:tc>
            </w:tr>
            <w:tr w14:paraId="10DAA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186EB368">
                  <w:pPr>
                    <w:pStyle w:val="9"/>
                    <w:ind w:firstLine="0"/>
                    <w:jc w:val="center"/>
                    <w:rPr>
                      <w:rFonts w:hint="eastAsia"/>
                      <w:color w:val="auto"/>
                      <w:szCs w:val="21"/>
                    </w:rPr>
                  </w:pPr>
                </w:p>
              </w:tc>
              <w:tc>
                <w:tcPr>
                  <w:tcW w:w="1997" w:type="dxa"/>
                  <w:gridSpan w:val="4"/>
                  <w:vAlign w:val="center"/>
                </w:tcPr>
                <w:p w14:paraId="04D7EE48">
                  <w:pPr>
                    <w:pStyle w:val="9"/>
                    <w:ind w:firstLine="0"/>
                    <w:jc w:val="center"/>
                    <w:rPr>
                      <w:rFonts w:hint="eastAsia"/>
                      <w:color w:val="auto"/>
                      <w:szCs w:val="21"/>
                    </w:rPr>
                  </w:pPr>
                </w:p>
              </w:tc>
              <w:tc>
                <w:tcPr>
                  <w:tcW w:w="1202" w:type="dxa"/>
                  <w:vAlign w:val="center"/>
                </w:tcPr>
                <w:p w14:paraId="054F4B8C">
                  <w:pPr>
                    <w:pStyle w:val="9"/>
                    <w:ind w:firstLine="0"/>
                    <w:jc w:val="center"/>
                    <w:rPr>
                      <w:rFonts w:hint="eastAsia"/>
                      <w:color w:val="auto"/>
                      <w:szCs w:val="21"/>
                    </w:rPr>
                  </w:pPr>
                </w:p>
              </w:tc>
              <w:tc>
                <w:tcPr>
                  <w:tcW w:w="1151" w:type="dxa"/>
                  <w:vAlign w:val="center"/>
                </w:tcPr>
                <w:p w14:paraId="0ABAD45C">
                  <w:pPr>
                    <w:pStyle w:val="9"/>
                    <w:ind w:firstLine="0"/>
                    <w:jc w:val="center"/>
                    <w:rPr>
                      <w:rFonts w:hint="eastAsia"/>
                      <w:color w:val="auto"/>
                      <w:szCs w:val="21"/>
                    </w:rPr>
                  </w:pPr>
                </w:p>
              </w:tc>
              <w:tc>
                <w:tcPr>
                  <w:tcW w:w="1813" w:type="dxa"/>
                  <w:vAlign w:val="center"/>
                </w:tcPr>
                <w:p w14:paraId="25C3E609">
                  <w:pPr>
                    <w:pStyle w:val="9"/>
                    <w:ind w:firstLine="0"/>
                    <w:jc w:val="center"/>
                    <w:rPr>
                      <w:rFonts w:hint="eastAsia"/>
                      <w:color w:val="auto"/>
                      <w:szCs w:val="21"/>
                    </w:rPr>
                  </w:pPr>
                </w:p>
              </w:tc>
              <w:tc>
                <w:tcPr>
                  <w:tcW w:w="1052" w:type="dxa"/>
                  <w:vAlign w:val="center"/>
                </w:tcPr>
                <w:p w14:paraId="66E05472">
                  <w:pPr>
                    <w:pStyle w:val="9"/>
                    <w:ind w:firstLine="0"/>
                    <w:jc w:val="center"/>
                    <w:rPr>
                      <w:rFonts w:hint="eastAsia"/>
                      <w:color w:val="auto"/>
                      <w:szCs w:val="21"/>
                    </w:rPr>
                  </w:pPr>
                </w:p>
              </w:tc>
            </w:tr>
            <w:tr w14:paraId="31378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Merge w:val="restart"/>
                  <w:vAlign w:val="center"/>
                </w:tcPr>
                <w:p w14:paraId="14A2BDF1">
                  <w:pPr>
                    <w:pStyle w:val="9"/>
                    <w:ind w:firstLine="0"/>
                    <w:jc w:val="center"/>
                    <w:rPr>
                      <w:rFonts w:hint="eastAsia" w:eastAsia="宋体"/>
                      <w:color w:val="auto"/>
                      <w:szCs w:val="21"/>
                      <w:lang w:val="en-US" w:eastAsia="zh-CN"/>
                    </w:rPr>
                  </w:pPr>
                  <w:r>
                    <w:rPr>
                      <w:rFonts w:hint="eastAsia"/>
                      <w:color w:val="auto"/>
                      <w:szCs w:val="21"/>
                      <w:lang w:val="en-US" w:eastAsia="zh-CN"/>
                    </w:rPr>
                    <w:t>水洗</w:t>
                  </w:r>
                </w:p>
              </w:tc>
              <w:tc>
                <w:tcPr>
                  <w:tcW w:w="925" w:type="dxa"/>
                  <w:gridSpan w:val="2"/>
                  <w:vMerge w:val="restart"/>
                  <w:shd w:val="clear" w:color="auto" w:fill="auto"/>
                  <w:vAlign w:val="center"/>
                </w:tcPr>
                <w:p w14:paraId="55D97239">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石英砂8</w:t>
                  </w:r>
                </w:p>
              </w:tc>
              <w:tc>
                <w:tcPr>
                  <w:tcW w:w="1072" w:type="dxa"/>
                  <w:gridSpan w:val="2"/>
                  <w:shd w:val="clear" w:color="auto" w:fill="auto"/>
                  <w:vAlign w:val="center"/>
                </w:tcPr>
                <w:p w14:paraId="0D03D33D">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石英砂8</w:t>
                  </w:r>
                </w:p>
              </w:tc>
              <w:tc>
                <w:tcPr>
                  <w:tcW w:w="1202" w:type="dxa"/>
                  <w:shd w:val="clear" w:color="auto" w:fill="auto"/>
                  <w:vAlign w:val="center"/>
                </w:tcPr>
                <w:p w14:paraId="260962DF">
                  <w:pPr>
                    <w:pStyle w:val="9"/>
                    <w:ind w:firstLine="0" w:firstLineChars="0"/>
                    <w:jc w:val="center"/>
                    <w:rPr>
                      <w:rFonts w:hint="default"/>
                      <w:color w:val="auto"/>
                      <w:szCs w:val="21"/>
                      <w:lang w:val="en-US" w:eastAsia="zh-CN"/>
                    </w:rPr>
                  </w:pPr>
                  <w:r>
                    <w:rPr>
                      <w:rFonts w:hint="eastAsia"/>
                      <w:color w:val="auto"/>
                      <w:szCs w:val="21"/>
                      <w:lang w:val="en-US" w:eastAsia="zh-CN"/>
                    </w:rPr>
                    <w:t>2001.02</w:t>
                  </w:r>
                </w:p>
              </w:tc>
              <w:tc>
                <w:tcPr>
                  <w:tcW w:w="1151" w:type="dxa"/>
                  <w:vMerge w:val="restart"/>
                  <w:vAlign w:val="center"/>
                </w:tcPr>
                <w:p w14:paraId="21EA77B6">
                  <w:pPr>
                    <w:pStyle w:val="9"/>
                    <w:ind w:firstLine="0"/>
                    <w:jc w:val="center"/>
                    <w:rPr>
                      <w:rFonts w:hint="default"/>
                      <w:color w:val="auto"/>
                      <w:szCs w:val="21"/>
                      <w:lang w:val="en-US"/>
                    </w:rPr>
                  </w:pPr>
                  <w:r>
                    <w:rPr>
                      <w:rFonts w:hint="eastAsia"/>
                      <w:color w:val="auto"/>
                      <w:szCs w:val="21"/>
                      <w:lang w:val="en-US" w:eastAsia="zh-CN"/>
                    </w:rPr>
                    <w:t>石英砂9</w:t>
                  </w:r>
                </w:p>
              </w:tc>
              <w:tc>
                <w:tcPr>
                  <w:tcW w:w="1813" w:type="dxa"/>
                  <w:shd w:val="clear" w:color="auto" w:fill="auto"/>
                  <w:vAlign w:val="center"/>
                </w:tcPr>
                <w:p w14:paraId="402C89C0">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石英砂9</w:t>
                  </w:r>
                </w:p>
              </w:tc>
              <w:tc>
                <w:tcPr>
                  <w:tcW w:w="1052" w:type="dxa"/>
                  <w:shd w:val="clear" w:color="auto" w:fill="auto"/>
                  <w:vAlign w:val="center"/>
                </w:tcPr>
                <w:p w14:paraId="08621387">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2001.023</w:t>
                  </w:r>
                </w:p>
              </w:tc>
            </w:tr>
            <w:tr w14:paraId="5445A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2BFD9AC3">
                  <w:pPr>
                    <w:pStyle w:val="9"/>
                    <w:ind w:firstLine="0"/>
                    <w:jc w:val="center"/>
                    <w:rPr>
                      <w:rFonts w:hint="eastAsia"/>
                      <w:color w:val="auto"/>
                      <w:szCs w:val="21"/>
                    </w:rPr>
                  </w:pPr>
                </w:p>
              </w:tc>
              <w:tc>
                <w:tcPr>
                  <w:tcW w:w="925" w:type="dxa"/>
                  <w:gridSpan w:val="2"/>
                  <w:vMerge w:val="continue"/>
                  <w:vAlign w:val="center"/>
                </w:tcPr>
                <w:p w14:paraId="5C44EBF8">
                  <w:pPr>
                    <w:pStyle w:val="9"/>
                    <w:ind w:firstLine="0" w:firstLineChars="0"/>
                    <w:jc w:val="center"/>
                    <w:rPr>
                      <w:rFonts w:hint="eastAsia"/>
                      <w:color w:val="auto"/>
                      <w:szCs w:val="21"/>
                      <w:lang w:val="en-US" w:eastAsia="zh-CN"/>
                    </w:rPr>
                  </w:pPr>
                </w:p>
              </w:tc>
              <w:tc>
                <w:tcPr>
                  <w:tcW w:w="1072" w:type="dxa"/>
                  <w:gridSpan w:val="2"/>
                  <w:shd w:val="clear" w:color="auto" w:fill="auto"/>
                  <w:vAlign w:val="center"/>
                </w:tcPr>
                <w:p w14:paraId="4178D3BA">
                  <w:pPr>
                    <w:pStyle w:val="9"/>
                    <w:ind w:firstLine="0" w:firstLineChars="0"/>
                    <w:jc w:val="center"/>
                    <w:rPr>
                      <w:rFonts w:hint="eastAsia" w:ascii="Times New Roman" w:hAnsi="Times New Roman" w:eastAsia="宋体" w:cs="Times New Roman"/>
                      <w:color w:val="auto"/>
                      <w:kern w:val="2"/>
                      <w:sz w:val="21"/>
                      <w:szCs w:val="21"/>
                      <w:lang w:val="zh-CN" w:eastAsia="zh-CN" w:bidi="ar-SA"/>
                    </w:rPr>
                  </w:pPr>
                  <w:r>
                    <w:rPr>
                      <w:color w:val="auto"/>
                      <w:szCs w:val="21"/>
                    </w:rPr>
                    <w:t>氯化氢</w:t>
                  </w:r>
                </w:p>
              </w:tc>
              <w:tc>
                <w:tcPr>
                  <w:tcW w:w="1202" w:type="dxa"/>
                  <w:vAlign w:val="center"/>
                </w:tcPr>
                <w:p w14:paraId="3DC9708F">
                  <w:pPr>
                    <w:pStyle w:val="9"/>
                    <w:ind w:firstLine="0"/>
                    <w:jc w:val="center"/>
                    <w:rPr>
                      <w:rFonts w:hint="default" w:eastAsia="宋体"/>
                      <w:color w:val="auto"/>
                      <w:szCs w:val="21"/>
                      <w:lang w:val="en-US" w:eastAsia="zh-CN"/>
                    </w:rPr>
                  </w:pPr>
                  <w:r>
                    <w:rPr>
                      <w:rFonts w:hint="eastAsia"/>
                      <w:color w:val="auto"/>
                      <w:szCs w:val="21"/>
                      <w:lang w:val="en-US" w:eastAsia="zh-CN"/>
                    </w:rPr>
                    <w:t>2</w:t>
                  </w:r>
                </w:p>
              </w:tc>
              <w:tc>
                <w:tcPr>
                  <w:tcW w:w="1151" w:type="dxa"/>
                  <w:vMerge w:val="continue"/>
                  <w:shd w:val="clear" w:color="auto" w:fill="auto"/>
                  <w:vAlign w:val="center"/>
                </w:tcPr>
                <w:p w14:paraId="1A6AD58B">
                  <w:pPr>
                    <w:pStyle w:val="9"/>
                    <w:ind w:firstLine="0" w:firstLineChars="0"/>
                    <w:jc w:val="center"/>
                    <w:rPr>
                      <w:rFonts w:hint="default" w:ascii="Times New Roman" w:hAnsi="Times New Roman" w:eastAsia="宋体" w:cs="Times New Roman"/>
                      <w:color w:val="auto"/>
                      <w:kern w:val="2"/>
                      <w:sz w:val="21"/>
                      <w:szCs w:val="21"/>
                      <w:lang w:val="en-US" w:eastAsia="zh-CN" w:bidi="ar-SA"/>
                    </w:rPr>
                  </w:pPr>
                </w:p>
              </w:tc>
              <w:tc>
                <w:tcPr>
                  <w:tcW w:w="1813" w:type="dxa"/>
                  <w:shd w:val="clear" w:color="auto" w:fill="auto"/>
                  <w:vAlign w:val="center"/>
                </w:tcPr>
                <w:p w14:paraId="449D412F">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水</w:t>
                  </w:r>
                </w:p>
              </w:tc>
              <w:tc>
                <w:tcPr>
                  <w:tcW w:w="1052" w:type="dxa"/>
                  <w:shd w:val="clear" w:color="auto" w:fill="auto"/>
                  <w:vAlign w:val="center"/>
                </w:tcPr>
                <w:p w14:paraId="684599C3">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300</w:t>
                  </w:r>
                </w:p>
              </w:tc>
            </w:tr>
            <w:tr w14:paraId="0B5E0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6F39386">
                  <w:pPr>
                    <w:pStyle w:val="9"/>
                    <w:ind w:firstLine="0"/>
                    <w:jc w:val="center"/>
                    <w:rPr>
                      <w:rFonts w:hint="eastAsia"/>
                      <w:color w:val="auto"/>
                      <w:szCs w:val="21"/>
                    </w:rPr>
                  </w:pPr>
                </w:p>
              </w:tc>
              <w:tc>
                <w:tcPr>
                  <w:tcW w:w="925" w:type="dxa"/>
                  <w:gridSpan w:val="2"/>
                  <w:vMerge w:val="continue"/>
                  <w:vAlign w:val="center"/>
                </w:tcPr>
                <w:p w14:paraId="5AE456C0">
                  <w:pPr>
                    <w:pStyle w:val="9"/>
                    <w:ind w:firstLine="0" w:firstLineChars="0"/>
                    <w:jc w:val="center"/>
                    <w:rPr>
                      <w:rFonts w:hint="eastAsia"/>
                      <w:color w:val="auto"/>
                      <w:szCs w:val="21"/>
                      <w:lang w:val="en-US" w:eastAsia="zh-CN"/>
                    </w:rPr>
                  </w:pPr>
                </w:p>
              </w:tc>
              <w:tc>
                <w:tcPr>
                  <w:tcW w:w="1072" w:type="dxa"/>
                  <w:gridSpan w:val="2"/>
                  <w:shd w:val="clear" w:color="auto" w:fill="auto"/>
                  <w:vAlign w:val="center"/>
                </w:tcPr>
                <w:p w14:paraId="7925150B">
                  <w:pPr>
                    <w:pStyle w:val="9"/>
                    <w:ind w:firstLine="0" w:firstLineChars="0"/>
                    <w:jc w:val="center"/>
                    <w:rPr>
                      <w:rFonts w:hint="eastAsia" w:ascii="Times New Roman" w:hAnsi="Times New Roman" w:eastAsia="宋体" w:cs="Times New Roman"/>
                      <w:color w:val="auto"/>
                      <w:kern w:val="2"/>
                      <w:sz w:val="21"/>
                      <w:szCs w:val="21"/>
                      <w:lang w:val="zh-CN" w:eastAsia="zh-CN" w:bidi="ar-SA"/>
                    </w:rPr>
                  </w:pPr>
                  <w:r>
                    <w:rPr>
                      <w:color w:val="auto"/>
                      <w:szCs w:val="21"/>
                    </w:rPr>
                    <w:t>氟化</w:t>
                  </w:r>
                  <w:r>
                    <w:rPr>
                      <w:rFonts w:hint="eastAsia"/>
                      <w:color w:val="auto"/>
                      <w:szCs w:val="21"/>
                      <w:lang w:val="en-US" w:eastAsia="zh-CN"/>
                    </w:rPr>
                    <w:t>氢</w:t>
                  </w:r>
                </w:p>
              </w:tc>
              <w:tc>
                <w:tcPr>
                  <w:tcW w:w="1202" w:type="dxa"/>
                  <w:vAlign w:val="center"/>
                </w:tcPr>
                <w:p w14:paraId="64E3C37E">
                  <w:pPr>
                    <w:pStyle w:val="9"/>
                    <w:ind w:firstLine="0"/>
                    <w:jc w:val="center"/>
                    <w:rPr>
                      <w:rFonts w:hint="default" w:eastAsia="宋体"/>
                      <w:color w:val="auto"/>
                      <w:szCs w:val="21"/>
                      <w:lang w:val="en-US" w:eastAsia="zh-CN"/>
                    </w:rPr>
                  </w:pPr>
                  <w:r>
                    <w:rPr>
                      <w:rFonts w:hint="eastAsia"/>
                      <w:color w:val="auto"/>
                      <w:szCs w:val="21"/>
                      <w:lang w:val="en-US" w:eastAsia="zh-CN"/>
                    </w:rPr>
                    <w:t>0.5</w:t>
                  </w:r>
                </w:p>
              </w:tc>
              <w:tc>
                <w:tcPr>
                  <w:tcW w:w="1151" w:type="dxa"/>
                  <w:shd w:val="clear" w:color="auto" w:fill="auto"/>
                  <w:vAlign w:val="center"/>
                </w:tcPr>
                <w:p w14:paraId="4E0EEBD7">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废气</w:t>
                  </w:r>
                </w:p>
              </w:tc>
              <w:tc>
                <w:tcPr>
                  <w:tcW w:w="1813" w:type="dxa"/>
                  <w:shd w:val="clear" w:color="auto" w:fill="auto"/>
                  <w:vAlign w:val="center"/>
                </w:tcPr>
                <w:p w14:paraId="579EDD6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p>
              </w:tc>
              <w:tc>
                <w:tcPr>
                  <w:tcW w:w="1052" w:type="dxa"/>
                  <w:vAlign w:val="center"/>
                </w:tcPr>
                <w:p w14:paraId="6BF6B47E">
                  <w:pPr>
                    <w:pStyle w:val="9"/>
                    <w:ind w:firstLine="0"/>
                    <w:jc w:val="center"/>
                    <w:rPr>
                      <w:rFonts w:hint="default" w:eastAsia="宋体"/>
                      <w:color w:val="auto"/>
                      <w:szCs w:val="21"/>
                      <w:lang w:val="en-US" w:eastAsia="zh-CN"/>
                    </w:rPr>
                  </w:pPr>
                  <w:r>
                    <w:rPr>
                      <w:rFonts w:hint="eastAsia"/>
                      <w:color w:val="auto"/>
                      <w:szCs w:val="21"/>
                      <w:lang w:val="en-US" w:eastAsia="zh-CN"/>
                    </w:rPr>
                    <w:t>50</w:t>
                  </w:r>
                </w:p>
              </w:tc>
            </w:tr>
            <w:tr w14:paraId="7555E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A18575C">
                  <w:pPr>
                    <w:pStyle w:val="9"/>
                    <w:ind w:firstLine="0"/>
                    <w:jc w:val="center"/>
                    <w:rPr>
                      <w:rFonts w:hint="eastAsia"/>
                      <w:color w:val="auto"/>
                      <w:szCs w:val="21"/>
                    </w:rPr>
                  </w:pPr>
                </w:p>
              </w:tc>
              <w:tc>
                <w:tcPr>
                  <w:tcW w:w="925" w:type="dxa"/>
                  <w:gridSpan w:val="2"/>
                  <w:vMerge w:val="continue"/>
                  <w:vAlign w:val="center"/>
                </w:tcPr>
                <w:p w14:paraId="779662FA">
                  <w:pPr>
                    <w:pStyle w:val="9"/>
                    <w:ind w:firstLine="0"/>
                    <w:jc w:val="center"/>
                    <w:rPr>
                      <w:rFonts w:hint="eastAsia"/>
                      <w:color w:val="auto"/>
                      <w:szCs w:val="21"/>
                    </w:rPr>
                  </w:pPr>
                </w:p>
              </w:tc>
              <w:tc>
                <w:tcPr>
                  <w:tcW w:w="1072" w:type="dxa"/>
                  <w:gridSpan w:val="2"/>
                  <w:shd w:val="clear" w:color="auto" w:fill="auto"/>
                  <w:vAlign w:val="center"/>
                </w:tcPr>
                <w:p w14:paraId="712AE460">
                  <w:pPr>
                    <w:pStyle w:val="9"/>
                    <w:ind w:firstLine="0" w:firstLineChars="0"/>
                    <w:jc w:val="center"/>
                    <w:rPr>
                      <w:rFonts w:hint="eastAsia" w:ascii="Times New Roman" w:hAnsi="Times New Roman" w:eastAsia="宋体" w:cs="Times New Roman"/>
                      <w:color w:val="auto"/>
                      <w:kern w:val="2"/>
                      <w:sz w:val="21"/>
                      <w:szCs w:val="21"/>
                      <w:lang w:val="zh-CN" w:eastAsia="zh-CN" w:bidi="ar-SA"/>
                    </w:rPr>
                  </w:pPr>
                  <w:r>
                    <w:rPr>
                      <w:rFonts w:hint="eastAsia"/>
                      <w:color w:val="auto"/>
                      <w:szCs w:val="21"/>
                      <w:lang w:val="en-US" w:eastAsia="zh-CN"/>
                    </w:rPr>
                    <w:t>水</w:t>
                  </w:r>
                </w:p>
              </w:tc>
              <w:tc>
                <w:tcPr>
                  <w:tcW w:w="1202" w:type="dxa"/>
                  <w:vAlign w:val="center"/>
                </w:tcPr>
                <w:p w14:paraId="2C6F15B8">
                  <w:pPr>
                    <w:pStyle w:val="9"/>
                    <w:ind w:firstLine="0"/>
                    <w:jc w:val="center"/>
                    <w:rPr>
                      <w:rFonts w:hint="default" w:eastAsia="宋体"/>
                      <w:color w:val="auto"/>
                      <w:szCs w:val="21"/>
                      <w:lang w:val="en-US" w:eastAsia="zh-CN"/>
                    </w:rPr>
                  </w:pPr>
                  <w:r>
                    <w:rPr>
                      <w:rFonts w:hint="eastAsia"/>
                      <w:color w:val="auto"/>
                      <w:szCs w:val="21"/>
                      <w:lang w:val="en-US" w:eastAsia="zh-CN"/>
                    </w:rPr>
                    <w:t>100</w:t>
                  </w:r>
                </w:p>
              </w:tc>
              <w:tc>
                <w:tcPr>
                  <w:tcW w:w="1151" w:type="dxa"/>
                  <w:shd w:val="clear" w:color="auto" w:fill="auto"/>
                  <w:vAlign w:val="center"/>
                </w:tcPr>
                <w:p w14:paraId="14F98806">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含酸废水</w:t>
                  </w:r>
                </w:p>
              </w:tc>
              <w:tc>
                <w:tcPr>
                  <w:tcW w:w="1813" w:type="dxa"/>
                  <w:shd w:val="clear" w:color="auto" w:fill="auto"/>
                  <w:vAlign w:val="center"/>
                </w:tcPr>
                <w:p w14:paraId="2C14B9AF">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水</w:t>
                  </w:r>
                  <w:r>
                    <w:rPr>
                      <w:color w:val="auto"/>
                      <w:szCs w:val="21"/>
                    </w:rPr>
                    <w:t>洗废水W</w:t>
                  </w:r>
                  <w:r>
                    <w:rPr>
                      <w:rFonts w:hint="eastAsia"/>
                      <w:color w:val="auto"/>
                      <w:szCs w:val="21"/>
                      <w:lang w:val="en-US" w:eastAsia="zh-CN"/>
                    </w:rPr>
                    <w:t>3</w:t>
                  </w:r>
                </w:p>
              </w:tc>
              <w:tc>
                <w:tcPr>
                  <w:tcW w:w="1052" w:type="dxa"/>
                  <w:vAlign w:val="center"/>
                </w:tcPr>
                <w:p w14:paraId="39E01031">
                  <w:pPr>
                    <w:pStyle w:val="9"/>
                    <w:ind w:firstLine="0"/>
                    <w:jc w:val="center"/>
                    <w:rPr>
                      <w:rFonts w:hint="default" w:eastAsia="宋体"/>
                      <w:color w:val="auto"/>
                      <w:szCs w:val="21"/>
                      <w:lang w:val="en-US" w:eastAsia="zh-CN"/>
                    </w:rPr>
                  </w:pPr>
                  <w:r>
                    <w:rPr>
                      <w:rFonts w:hint="eastAsia"/>
                      <w:color w:val="auto"/>
                      <w:szCs w:val="21"/>
                      <w:lang w:val="en-US" w:eastAsia="zh-CN"/>
                    </w:rPr>
                    <w:t>5000</w:t>
                  </w:r>
                </w:p>
              </w:tc>
            </w:tr>
            <w:tr w14:paraId="2D1F9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6B952A2B">
                  <w:pPr>
                    <w:pStyle w:val="9"/>
                    <w:ind w:firstLine="0"/>
                    <w:jc w:val="center"/>
                    <w:rPr>
                      <w:rFonts w:hint="eastAsia"/>
                      <w:color w:val="auto"/>
                      <w:szCs w:val="21"/>
                    </w:rPr>
                  </w:pPr>
                </w:p>
              </w:tc>
              <w:tc>
                <w:tcPr>
                  <w:tcW w:w="1997" w:type="dxa"/>
                  <w:gridSpan w:val="4"/>
                  <w:vAlign w:val="center"/>
                </w:tcPr>
                <w:p w14:paraId="4FF40157">
                  <w:pPr>
                    <w:pStyle w:val="9"/>
                    <w:ind w:firstLine="0"/>
                    <w:jc w:val="center"/>
                    <w:rPr>
                      <w:rFonts w:hint="eastAsia" w:eastAsia="宋体"/>
                      <w:color w:val="auto"/>
                      <w:szCs w:val="21"/>
                      <w:lang w:val="en-US" w:eastAsia="zh-CN"/>
                    </w:rPr>
                  </w:pPr>
                  <w:r>
                    <w:rPr>
                      <w:rFonts w:hint="eastAsia"/>
                      <w:color w:val="auto"/>
                      <w:szCs w:val="21"/>
                      <w:lang w:val="en-US" w:eastAsia="zh-CN"/>
                    </w:rPr>
                    <w:t>纯水</w:t>
                  </w:r>
                </w:p>
              </w:tc>
              <w:tc>
                <w:tcPr>
                  <w:tcW w:w="1202" w:type="dxa"/>
                  <w:vAlign w:val="center"/>
                </w:tcPr>
                <w:p w14:paraId="180705AF">
                  <w:pPr>
                    <w:pStyle w:val="9"/>
                    <w:ind w:firstLine="0"/>
                    <w:jc w:val="center"/>
                    <w:rPr>
                      <w:rFonts w:hint="default" w:eastAsia="宋体"/>
                      <w:color w:val="auto"/>
                      <w:szCs w:val="21"/>
                      <w:lang w:val="en-US" w:eastAsia="zh-CN"/>
                    </w:rPr>
                  </w:pPr>
                  <w:r>
                    <w:rPr>
                      <w:rFonts w:hint="eastAsia"/>
                      <w:color w:val="auto"/>
                      <w:szCs w:val="21"/>
                      <w:lang w:val="en-US" w:eastAsia="zh-CN"/>
                    </w:rPr>
                    <w:t>5247.503</w:t>
                  </w:r>
                </w:p>
              </w:tc>
              <w:tc>
                <w:tcPr>
                  <w:tcW w:w="1151" w:type="dxa"/>
                  <w:shd w:val="clear" w:color="auto" w:fill="auto"/>
                  <w:vAlign w:val="center"/>
                </w:tcPr>
                <w:p w14:paraId="6D867790">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813" w:type="dxa"/>
                  <w:shd w:val="clear" w:color="auto" w:fill="auto"/>
                  <w:vAlign w:val="center"/>
                </w:tcPr>
                <w:p w14:paraId="54567F25">
                  <w:pPr>
                    <w:pStyle w:val="9"/>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1052" w:type="dxa"/>
                  <w:vAlign w:val="center"/>
                </w:tcPr>
                <w:p w14:paraId="4B7C395E">
                  <w:pPr>
                    <w:pStyle w:val="9"/>
                    <w:ind w:firstLine="0"/>
                    <w:jc w:val="center"/>
                    <w:rPr>
                      <w:rFonts w:hint="default" w:eastAsia="宋体"/>
                      <w:color w:val="auto"/>
                      <w:szCs w:val="21"/>
                      <w:lang w:val="en-US" w:eastAsia="zh-CN"/>
                    </w:rPr>
                  </w:pPr>
                </w:p>
              </w:tc>
            </w:tr>
            <w:tr w14:paraId="4538B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37D297B1">
                  <w:pPr>
                    <w:pStyle w:val="9"/>
                    <w:ind w:firstLine="0"/>
                    <w:jc w:val="center"/>
                    <w:rPr>
                      <w:rFonts w:hint="eastAsia"/>
                      <w:color w:val="auto"/>
                      <w:szCs w:val="21"/>
                    </w:rPr>
                  </w:pPr>
                </w:p>
              </w:tc>
              <w:tc>
                <w:tcPr>
                  <w:tcW w:w="1997" w:type="dxa"/>
                  <w:gridSpan w:val="4"/>
                  <w:shd w:val="clear" w:color="auto" w:fill="auto"/>
                  <w:vAlign w:val="center"/>
                </w:tcPr>
                <w:p w14:paraId="2FB5797F">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428D348D">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7351.023</w:t>
                  </w:r>
                </w:p>
              </w:tc>
              <w:tc>
                <w:tcPr>
                  <w:tcW w:w="2964" w:type="dxa"/>
                  <w:gridSpan w:val="2"/>
                  <w:shd w:val="clear" w:color="auto" w:fill="auto"/>
                  <w:vAlign w:val="center"/>
                </w:tcPr>
                <w:p w14:paraId="595382C4">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shd w:val="clear" w:color="auto" w:fill="auto"/>
                  <w:vAlign w:val="center"/>
                </w:tcPr>
                <w:p w14:paraId="152A7FDB">
                  <w:pPr>
                    <w:pStyle w:val="9"/>
                    <w:ind w:firstLine="0" w:firstLineChars="0"/>
                    <w:jc w:val="center"/>
                    <w:rPr>
                      <w:rFonts w:hint="default"/>
                      <w:b/>
                      <w:bCs/>
                      <w:color w:val="auto"/>
                      <w:szCs w:val="21"/>
                      <w:lang w:val="en-US" w:eastAsia="zh-CN"/>
                    </w:rPr>
                  </w:pPr>
                  <w:r>
                    <w:rPr>
                      <w:rFonts w:hint="eastAsia" w:cs="Times New Roman"/>
                      <w:b/>
                      <w:bCs/>
                      <w:color w:val="auto"/>
                      <w:kern w:val="2"/>
                      <w:sz w:val="21"/>
                      <w:szCs w:val="21"/>
                      <w:lang w:val="en-US" w:eastAsia="zh-CN" w:bidi="ar-SA"/>
                    </w:rPr>
                    <w:t>7351.023</w:t>
                  </w:r>
                </w:p>
              </w:tc>
            </w:tr>
            <w:tr w14:paraId="724B5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6C496E7E">
                  <w:pPr>
                    <w:pStyle w:val="9"/>
                    <w:ind w:firstLine="0"/>
                    <w:jc w:val="center"/>
                    <w:rPr>
                      <w:rFonts w:hint="eastAsia"/>
                      <w:color w:val="auto"/>
                      <w:szCs w:val="21"/>
                    </w:rPr>
                  </w:pPr>
                </w:p>
              </w:tc>
              <w:tc>
                <w:tcPr>
                  <w:tcW w:w="1997" w:type="dxa"/>
                  <w:gridSpan w:val="4"/>
                  <w:vAlign w:val="center"/>
                </w:tcPr>
                <w:p w14:paraId="086069EE">
                  <w:pPr>
                    <w:pStyle w:val="9"/>
                    <w:ind w:firstLine="0"/>
                    <w:jc w:val="center"/>
                    <w:rPr>
                      <w:rFonts w:hint="eastAsia"/>
                      <w:color w:val="auto"/>
                      <w:szCs w:val="21"/>
                    </w:rPr>
                  </w:pPr>
                </w:p>
              </w:tc>
              <w:tc>
                <w:tcPr>
                  <w:tcW w:w="1202" w:type="dxa"/>
                  <w:vAlign w:val="center"/>
                </w:tcPr>
                <w:p w14:paraId="40513F1B">
                  <w:pPr>
                    <w:pStyle w:val="9"/>
                    <w:ind w:firstLine="0"/>
                    <w:jc w:val="center"/>
                    <w:rPr>
                      <w:rFonts w:hint="eastAsia"/>
                      <w:color w:val="auto"/>
                      <w:szCs w:val="21"/>
                    </w:rPr>
                  </w:pPr>
                </w:p>
              </w:tc>
              <w:tc>
                <w:tcPr>
                  <w:tcW w:w="1151" w:type="dxa"/>
                  <w:vAlign w:val="center"/>
                </w:tcPr>
                <w:p w14:paraId="2B666C95">
                  <w:pPr>
                    <w:pStyle w:val="9"/>
                    <w:ind w:firstLine="0"/>
                    <w:jc w:val="center"/>
                    <w:rPr>
                      <w:rFonts w:hint="eastAsia"/>
                      <w:color w:val="auto"/>
                      <w:szCs w:val="21"/>
                    </w:rPr>
                  </w:pPr>
                </w:p>
              </w:tc>
              <w:tc>
                <w:tcPr>
                  <w:tcW w:w="1813" w:type="dxa"/>
                  <w:vAlign w:val="center"/>
                </w:tcPr>
                <w:p w14:paraId="6C23F4E5">
                  <w:pPr>
                    <w:pStyle w:val="9"/>
                    <w:ind w:firstLine="0"/>
                    <w:jc w:val="center"/>
                    <w:rPr>
                      <w:rFonts w:hint="eastAsia"/>
                      <w:color w:val="auto"/>
                      <w:szCs w:val="21"/>
                    </w:rPr>
                  </w:pPr>
                </w:p>
              </w:tc>
              <w:tc>
                <w:tcPr>
                  <w:tcW w:w="1052" w:type="dxa"/>
                  <w:vAlign w:val="center"/>
                </w:tcPr>
                <w:p w14:paraId="79E5E286">
                  <w:pPr>
                    <w:pStyle w:val="9"/>
                    <w:ind w:firstLine="0"/>
                    <w:jc w:val="center"/>
                    <w:rPr>
                      <w:rFonts w:hint="eastAsia"/>
                      <w:color w:val="auto"/>
                      <w:szCs w:val="21"/>
                    </w:rPr>
                  </w:pPr>
                </w:p>
              </w:tc>
            </w:tr>
            <w:tr w14:paraId="51668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0A9EF1F8">
                  <w:pPr>
                    <w:pStyle w:val="9"/>
                    <w:ind w:firstLine="0"/>
                    <w:jc w:val="center"/>
                    <w:rPr>
                      <w:rFonts w:hint="default" w:eastAsia="宋体"/>
                      <w:color w:val="auto"/>
                      <w:szCs w:val="21"/>
                      <w:lang w:val="en-US" w:eastAsia="zh-CN"/>
                    </w:rPr>
                  </w:pPr>
                  <w:r>
                    <w:rPr>
                      <w:rFonts w:hint="eastAsia"/>
                      <w:color w:val="auto"/>
                      <w:szCs w:val="21"/>
                      <w:lang w:val="en-US" w:eastAsia="zh-CN"/>
                    </w:rPr>
                    <w:t>烤砂、磁选</w:t>
                  </w:r>
                </w:p>
              </w:tc>
              <w:tc>
                <w:tcPr>
                  <w:tcW w:w="986" w:type="dxa"/>
                  <w:gridSpan w:val="3"/>
                  <w:vMerge w:val="restart"/>
                  <w:shd w:val="clear" w:color="auto" w:fill="auto"/>
                  <w:vAlign w:val="center"/>
                </w:tcPr>
                <w:p w14:paraId="6781BFE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石英砂9</w:t>
                  </w:r>
                </w:p>
              </w:tc>
              <w:tc>
                <w:tcPr>
                  <w:tcW w:w="1011" w:type="dxa"/>
                  <w:shd w:val="clear" w:color="auto" w:fill="auto"/>
                  <w:vAlign w:val="center"/>
                </w:tcPr>
                <w:p w14:paraId="260529E8">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石英砂9</w:t>
                  </w:r>
                </w:p>
              </w:tc>
              <w:tc>
                <w:tcPr>
                  <w:tcW w:w="1202" w:type="dxa"/>
                  <w:shd w:val="clear" w:color="auto" w:fill="auto"/>
                  <w:vAlign w:val="center"/>
                </w:tcPr>
                <w:p w14:paraId="0DAB0D55">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2001.023</w:t>
                  </w:r>
                </w:p>
              </w:tc>
              <w:tc>
                <w:tcPr>
                  <w:tcW w:w="2964" w:type="dxa"/>
                  <w:gridSpan w:val="2"/>
                  <w:vAlign w:val="center"/>
                </w:tcPr>
                <w:p w14:paraId="64A02CF3">
                  <w:pPr>
                    <w:pStyle w:val="9"/>
                    <w:ind w:firstLine="0"/>
                    <w:jc w:val="center"/>
                    <w:rPr>
                      <w:rFonts w:hint="default"/>
                      <w:color w:val="auto"/>
                      <w:szCs w:val="21"/>
                      <w:lang w:val="en-US"/>
                    </w:rPr>
                  </w:pPr>
                  <w:r>
                    <w:rPr>
                      <w:rFonts w:hint="eastAsia"/>
                      <w:color w:val="auto"/>
                      <w:szCs w:val="21"/>
                      <w:lang w:val="en-US" w:eastAsia="zh-CN"/>
                    </w:rPr>
                    <w:t>石英砂10</w:t>
                  </w:r>
                </w:p>
              </w:tc>
              <w:tc>
                <w:tcPr>
                  <w:tcW w:w="1052" w:type="dxa"/>
                  <w:vAlign w:val="center"/>
                </w:tcPr>
                <w:p w14:paraId="4EA5FB66">
                  <w:pPr>
                    <w:pStyle w:val="9"/>
                    <w:ind w:firstLine="0"/>
                    <w:jc w:val="center"/>
                    <w:rPr>
                      <w:rFonts w:hint="default" w:eastAsia="宋体"/>
                      <w:color w:val="auto"/>
                      <w:szCs w:val="21"/>
                      <w:lang w:val="en-US" w:eastAsia="zh-CN"/>
                    </w:rPr>
                  </w:pPr>
                  <w:r>
                    <w:rPr>
                      <w:rFonts w:hint="eastAsia"/>
                      <w:color w:val="auto"/>
                      <w:szCs w:val="21"/>
                      <w:lang w:val="en-US" w:eastAsia="zh-CN"/>
                    </w:rPr>
                    <w:t>2000.3</w:t>
                  </w:r>
                </w:p>
              </w:tc>
            </w:tr>
            <w:tr w14:paraId="45603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D761C23">
                  <w:pPr>
                    <w:pStyle w:val="9"/>
                    <w:ind w:firstLine="0"/>
                    <w:jc w:val="center"/>
                    <w:rPr>
                      <w:rFonts w:hint="eastAsia"/>
                      <w:color w:val="auto"/>
                      <w:szCs w:val="21"/>
                    </w:rPr>
                  </w:pPr>
                </w:p>
              </w:tc>
              <w:tc>
                <w:tcPr>
                  <w:tcW w:w="986" w:type="dxa"/>
                  <w:gridSpan w:val="3"/>
                  <w:vMerge w:val="continue"/>
                  <w:vAlign w:val="center"/>
                </w:tcPr>
                <w:p w14:paraId="44171FF2">
                  <w:pPr>
                    <w:pStyle w:val="9"/>
                    <w:ind w:firstLine="0"/>
                    <w:jc w:val="center"/>
                    <w:rPr>
                      <w:rFonts w:hint="eastAsia"/>
                      <w:color w:val="auto"/>
                      <w:szCs w:val="21"/>
                    </w:rPr>
                  </w:pPr>
                </w:p>
              </w:tc>
              <w:tc>
                <w:tcPr>
                  <w:tcW w:w="1011" w:type="dxa"/>
                  <w:shd w:val="clear" w:color="auto" w:fill="auto"/>
                  <w:vAlign w:val="center"/>
                </w:tcPr>
                <w:p w14:paraId="411D944E">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水</w:t>
                  </w:r>
                </w:p>
              </w:tc>
              <w:tc>
                <w:tcPr>
                  <w:tcW w:w="1202" w:type="dxa"/>
                  <w:vAlign w:val="center"/>
                </w:tcPr>
                <w:p w14:paraId="6D3EF8B6">
                  <w:pPr>
                    <w:pStyle w:val="9"/>
                    <w:ind w:firstLine="0"/>
                    <w:jc w:val="center"/>
                    <w:rPr>
                      <w:rFonts w:hint="default" w:eastAsia="宋体"/>
                      <w:color w:val="auto"/>
                      <w:szCs w:val="21"/>
                      <w:lang w:val="en-US" w:eastAsia="zh-CN"/>
                    </w:rPr>
                  </w:pPr>
                  <w:r>
                    <w:rPr>
                      <w:rFonts w:hint="eastAsia"/>
                      <w:color w:val="auto"/>
                      <w:szCs w:val="21"/>
                      <w:lang w:val="en-US" w:eastAsia="zh-CN"/>
                    </w:rPr>
                    <w:t>300</w:t>
                  </w:r>
                </w:p>
              </w:tc>
              <w:tc>
                <w:tcPr>
                  <w:tcW w:w="1151" w:type="dxa"/>
                  <w:vMerge w:val="restart"/>
                  <w:vAlign w:val="center"/>
                </w:tcPr>
                <w:p w14:paraId="62411BE6">
                  <w:pPr>
                    <w:pStyle w:val="9"/>
                    <w:ind w:firstLine="0"/>
                    <w:jc w:val="center"/>
                    <w:rPr>
                      <w:rFonts w:hint="eastAsia" w:eastAsia="宋体"/>
                      <w:color w:val="auto"/>
                      <w:szCs w:val="21"/>
                      <w:lang w:val="en-US" w:eastAsia="zh-CN"/>
                    </w:rPr>
                  </w:pPr>
                  <w:r>
                    <w:rPr>
                      <w:rFonts w:hint="eastAsia"/>
                      <w:color w:val="auto"/>
                      <w:szCs w:val="21"/>
                      <w:lang w:val="en-US" w:eastAsia="zh-CN"/>
                    </w:rPr>
                    <w:t>废气</w:t>
                  </w:r>
                </w:p>
              </w:tc>
              <w:tc>
                <w:tcPr>
                  <w:tcW w:w="1813" w:type="dxa"/>
                  <w:vAlign w:val="center"/>
                </w:tcPr>
                <w:p w14:paraId="18389F7B">
                  <w:pPr>
                    <w:pStyle w:val="9"/>
                    <w:ind w:firstLine="0"/>
                    <w:jc w:val="center"/>
                    <w:rPr>
                      <w:rFonts w:hint="eastAsia" w:eastAsia="宋体"/>
                      <w:color w:val="auto"/>
                      <w:szCs w:val="21"/>
                      <w:lang w:val="en-US" w:eastAsia="zh-CN"/>
                    </w:rPr>
                  </w:pPr>
                  <w:r>
                    <w:rPr>
                      <w:rFonts w:hint="eastAsia"/>
                      <w:color w:val="auto"/>
                      <w:szCs w:val="21"/>
                      <w:lang w:val="en-US" w:eastAsia="zh-CN"/>
                    </w:rPr>
                    <w:t>水</w:t>
                  </w:r>
                </w:p>
              </w:tc>
              <w:tc>
                <w:tcPr>
                  <w:tcW w:w="1052" w:type="dxa"/>
                  <w:vAlign w:val="center"/>
                </w:tcPr>
                <w:p w14:paraId="6FF280C5">
                  <w:pPr>
                    <w:pStyle w:val="9"/>
                    <w:ind w:firstLine="0"/>
                    <w:jc w:val="center"/>
                    <w:rPr>
                      <w:rFonts w:hint="default" w:eastAsia="宋体"/>
                      <w:color w:val="auto"/>
                      <w:szCs w:val="21"/>
                      <w:lang w:val="en-US" w:eastAsia="zh-CN"/>
                    </w:rPr>
                  </w:pPr>
                  <w:r>
                    <w:rPr>
                      <w:rFonts w:hint="eastAsia"/>
                      <w:color w:val="auto"/>
                      <w:szCs w:val="21"/>
                      <w:lang w:val="en-US" w:eastAsia="zh-CN"/>
                    </w:rPr>
                    <w:t>300</w:t>
                  </w:r>
                </w:p>
              </w:tc>
            </w:tr>
            <w:tr w14:paraId="2C33B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9C6455B">
                  <w:pPr>
                    <w:pStyle w:val="9"/>
                    <w:ind w:firstLine="0"/>
                    <w:jc w:val="center"/>
                    <w:rPr>
                      <w:rFonts w:hint="eastAsia"/>
                      <w:color w:val="auto"/>
                      <w:szCs w:val="21"/>
                    </w:rPr>
                  </w:pPr>
                </w:p>
              </w:tc>
              <w:tc>
                <w:tcPr>
                  <w:tcW w:w="1997" w:type="dxa"/>
                  <w:gridSpan w:val="4"/>
                  <w:vAlign w:val="center"/>
                </w:tcPr>
                <w:p w14:paraId="179FDF0F">
                  <w:pPr>
                    <w:pStyle w:val="9"/>
                    <w:ind w:firstLine="0"/>
                    <w:jc w:val="center"/>
                    <w:rPr>
                      <w:rFonts w:hint="eastAsia"/>
                      <w:color w:val="auto"/>
                      <w:szCs w:val="21"/>
                    </w:rPr>
                  </w:pPr>
                </w:p>
              </w:tc>
              <w:tc>
                <w:tcPr>
                  <w:tcW w:w="1202" w:type="dxa"/>
                  <w:vAlign w:val="center"/>
                </w:tcPr>
                <w:p w14:paraId="73314829">
                  <w:pPr>
                    <w:pStyle w:val="9"/>
                    <w:ind w:firstLine="0"/>
                    <w:jc w:val="center"/>
                    <w:rPr>
                      <w:rFonts w:hint="eastAsia"/>
                      <w:color w:val="auto"/>
                      <w:szCs w:val="21"/>
                    </w:rPr>
                  </w:pPr>
                </w:p>
              </w:tc>
              <w:tc>
                <w:tcPr>
                  <w:tcW w:w="1151" w:type="dxa"/>
                  <w:vMerge w:val="continue"/>
                  <w:vAlign w:val="center"/>
                </w:tcPr>
                <w:p w14:paraId="0C38B6B8">
                  <w:pPr>
                    <w:pStyle w:val="9"/>
                    <w:ind w:firstLine="0"/>
                    <w:jc w:val="center"/>
                    <w:rPr>
                      <w:rFonts w:hint="eastAsia"/>
                      <w:color w:val="auto"/>
                      <w:szCs w:val="21"/>
                    </w:rPr>
                  </w:pPr>
                </w:p>
              </w:tc>
              <w:tc>
                <w:tcPr>
                  <w:tcW w:w="1813" w:type="dxa"/>
                  <w:shd w:val="clear" w:color="auto" w:fill="auto"/>
                  <w:vAlign w:val="center"/>
                </w:tcPr>
                <w:p w14:paraId="1343FC29">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磁选废气G</w:t>
                  </w:r>
                  <w:r>
                    <w:rPr>
                      <w:rFonts w:hint="eastAsia"/>
                      <w:color w:val="auto"/>
                      <w:szCs w:val="21"/>
                      <w:lang w:val="en-US" w:eastAsia="zh-CN"/>
                    </w:rPr>
                    <w:t>7</w:t>
                  </w:r>
                </w:p>
              </w:tc>
              <w:tc>
                <w:tcPr>
                  <w:tcW w:w="1052" w:type="dxa"/>
                  <w:vAlign w:val="center"/>
                </w:tcPr>
                <w:p w14:paraId="2E9DA79D">
                  <w:pPr>
                    <w:pStyle w:val="9"/>
                    <w:ind w:firstLine="0"/>
                    <w:jc w:val="center"/>
                    <w:rPr>
                      <w:rFonts w:hint="default" w:eastAsia="宋体"/>
                      <w:color w:val="auto"/>
                      <w:szCs w:val="21"/>
                      <w:lang w:val="en-US" w:eastAsia="zh-CN"/>
                    </w:rPr>
                  </w:pPr>
                  <w:r>
                    <w:rPr>
                      <w:rFonts w:hint="eastAsia"/>
                      <w:color w:val="auto"/>
                      <w:szCs w:val="21"/>
                      <w:lang w:val="en-US" w:eastAsia="zh-CN"/>
                    </w:rPr>
                    <w:t>0.503</w:t>
                  </w:r>
                </w:p>
              </w:tc>
            </w:tr>
            <w:tr w14:paraId="2F9A2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094D276C">
                  <w:pPr>
                    <w:pStyle w:val="9"/>
                    <w:ind w:firstLine="0"/>
                    <w:jc w:val="center"/>
                    <w:rPr>
                      <w:rFonts w:hint="eastAsia"/>
                      <w:color w:val="auto"/>
                      <w:szCs w:val="21"/>
                    </w:rPr>
                  </w:pPr>
                </w:p>
              </w:tc>
              <w:tc>
                <w:tcPr>
                  <w:tcW w:w="1997" w:type="dxa"/>
                  <w:gridSpan w:val="4"/>
                  <w:vAlign w:val="center"/>
                </w:tcPr>
                <w:p w14:paraId="706F96AD">
                  <w:pPr>
                    <w:pStyle w:val="9"/>
                    <w:ind w:firstLine="0"/>
                    <w:jc w:val="center"/>
                    <w:rPr>
                      <w:rFonts w:hint="eastAsia"/>
                      <w:color w:val="auto"/>
                      <w:szCs w:val="21"/>
                    </w:rPr>
                  </w:pPr>
                </w:p>
              </w:tc>
              <w:tc>
                <w:tcPr>
                  <w:tcW w:w="1202" w:type="dxa"/>
                  <w:vAlign w:val="center"/>
                </w:tcPr>
                <w:p w14:paraId="26DBDBC1">
                  <w:pPr>
                    <w:pStyle w:val="9"/>
                    <w:ind w:firstLine="0"/>
                    <w:jc w:val="center"/>
                    <w:rPr>
                      <w:rFonts w:hint="eastAsia"/>
                      <w:color w:val="auto"/>
                      <w:szCs w:val="21"/>
                    </w:rPr>
                  </w:pPr>
                </w:p>
              </w:tc>
              <w:tc>
                <w:tcPr>
                  <w:tcW w:w="1151" w:type="dxa"/>
                  <w:vMerge w:val="continue"/>
                  <w:vAlign w:val="center"/>
                </w:tcPr>
                <w:p w14:paraId="13767B6B">
                  <w:pPr>
                    <w:pStyle w:val="9"/>
                    <w:ind w:firstLine="0"/>
                    <w:jc w:val="center"/>
                    <w:rPr>
                      <w:rFonts w:hint="eastAsia"/>
                      <w:color w:val="auto"/>
                      <w:szCs w:val="21"/>
                    </w:rPr>
                  </w:pPr>
                </w:p>
              </w:tc>
              <w:tc>
                <w:tcPr>
                  <w:tcW w:w="1813" w:type="dxa"/>
                  <w:vAlign w:val="center"/>
                </w:tcPr>
                <w:p w14:paraId="061EEEC7">
                  <w:pPr>
                    <w:pStyle w:val="9"/>
                    <w:ind w:firstLine="0"/>
                    <w:jc w:val="center"/>
                    <w:rPr>
                      <w:rFonts w:hint="eastAsia" w:eastAsia="宋体"/>
                      <w:color w:val="auto"/>
                      <w:szCs w:val="21"/>
                      <w:lang w:val="en-US" w:eastAsia="zh-CN"/>
                    </w:rPr>
                  </w:pPr>
                  <w:r>
                    <w:rPr>
                      <w:rFonts w:hint="eastAsia"/>
                      <w:color w:val="auto"/>
                      <w:szCs w:val="21"/>
                      <w:lang w:val="en-US" w:eastAsia="zh-CN"/>
                    </w:rPr>
                    <w:t>烤砂</w:t>
                  </w:r>
                  <w:r>
                    <w:rPr>
                      <w:color w:val="auto"/>
                      <w:szCs w:val="21"/>
                    </w:rPr>
                    <w:t>废气G</w:t>
                  </w:r>
                  <w:r>
                    <w:rPr>
                      <w:rFonts w:hint="eastAsia"/>
                      <w:color w:val="auto"/>
                      <w:szCs w:val="21"/>
                      <w:lang w:val="en-US" w:eastAsia="zh-CN"/>
                    </w:rPr>
                    <w:t>6</w:t>
                  </w:r>
                </w:p>
              </w:tc>
              <w:tc>
                <w:tcPr>
                  <w:tcW w:w="1052" w:type="dxa"/>
                  <w:vAlign w:val="center"/>
                </w:tcPr>
                <w:p w14:paraId="0A98E75F">
                  <w:pPr>
                    <w:pStyle w:val="9"/>
                    <w:ind w:firstLine="0"/>
                    <w:jc w:val="center"/>
                    <w:rPr>
                      <w:rFonts w:hint="default" w:eastAsia="宋体"/>
                      <w:color w:val="auto"/>
                      <w:szCs w:val="21"/>
                      <w:lang w:val="en-US" w:eastAsia="zh-CN"/>
                    </w:rPr>
                  </w:pPr>
                  <w:r>
                    <w:rPr>
                      <w:rFonts w:hint="eastAsia"/>
                      <w:color w:val="auto"/>
                      <w:szCs w:val="21"/>
                      <w:lang w:val="en-US" w:eastAsia="zh-CN"/>
                    </w:rPr>
                    <w:t>0.02</w:t>
                  </w:r>
                </w:p>
              </w:tc>
            </w:tr>
            <w:tr w14:paraId="4B284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377E3208">
                  <w:pPr>
                    <w:pStyle w:val="9"/>
                    <w:ind w:firstLine="0"/>
                    <w:jc w:val="center"/>
                    <w:rPr>
                      <w:rFonts w:hint="eastAsia"/>
                      <w:color w:val="auto"/>
                      <w:szCs w:val="21"/>
                    </w:rPr>
                  </w:pPr>
                </w:p>
              </w:tc>
              <w:tc>
                <w:tcPr>
                  <w:tcW w:w="1997" w:type="dxa"/>
                  <w:gridSpan w:val="4"/>
                  <w:vAlign w:val="center"/>
                </w:tcPr>
                <w:p w14:paraId="1FB794F2">
                  <w:pPr>
                    <w:pStyle w:val="9"/>
                    <w:ind w:firstLine="0"/>
                    <w:jc w:val="center"/>
                    <w:rPr>
                      <w:rFonts w:hint="eastAsia"/>
                      <w:color w:val="auto"/>
                      <w:szCs w:val="21"/>
                    </w:rPr>
                  </w:pPr>
                </w:p>
              </w:tc>
              <w:tc>
                <w:tcPr>
                  <w:tcW w:w="1202" w:type="dxa"/>
                  <w:vAlign w:val="center"/>
                </w:tcPr>
                <w:p w14:paraId="5F2B7D6B">
                  <w:pPr>
                    <w:pStyle w:val="9"/>
                    <w:ind w:firstLine="0"/>
                    <w:jc w:val="center"/>
                    <w:rPr>
                      <w:rFonts w:hint="eastAsia"/>
                      <w:color w:val="auto"/>
                      <w:szCs w:val="21"/>
                    </w:rPr>
                  </w:pPr>
                </w:p>
              </w:tc>
              <w:tc>
                <w:tcPr>
                  <w:tcW w:w="1151" w:type="dxa"/>
                  <w:vAlign w:val="center"/>
                </w:tcPr>
                <w:p w14:paraId="756D8BBC">
                  <w:pPr>
                    <w:pStyle w:val="9"/>
                    <w:ind w:firstLine="0"/>
                    <w:jc w:val="center"/>
                    <w:rPr>
                      <w:rFonts w:hint="eastAsia" w:eastAsia="宋体"/>
                      <w:color w:val="auto"/>
                      <w:szCs w:val="21"/>
                      <w:lang w:val="en-US" w:eastAsia="zh-CN"/>
                    </w:rPr>
                  </w:pPr>
                  <w:r>
                    <w:rPr>
                      <w:rFonts w:hint="eastAsia"/>
                      <w:color w:val="auto"/>
                      <w:szCs w:val="21"/>
                      <w:lang w:val="en-US" w:eastAsia="zh-CN"/>
                    </w:rPr>
                    <w:t>固废</w:t>
                  </w:r>
                </w:p>
              </w:tc>
              <w:tc>
                <w:tcPr>
                  <w:tcW w:w="1813" w:type="dxa"/>
                  <w:vAlign w:val="center"/>
                </w:tcPr>
                <w:p w14:paraId="6CB67328">
                  <w:pPr>
                    <w:pStyle w:val="9"/>
                    <w:ind w:firstLine="0"/>
                    <w:jc w:val="center"/>
                    <w:rPr>
                      <w:rFonts w:hint="eastAsia" w:eastAsia="宋体"/>
                      <w:color w:val="auto"/>
                      <w:szCs w:val="21"/>
                      <w:lang w:val="en-US" w:eastAsia="zh-CN"/>
                    </w:rPr>
                  </w:pPr>
                  <w:r>
                    <w:rPr>
                      <w:color w:val="auto"/>
                      <w:szCs w:val="21"/>
                    </w:rPr>
                    <w:t>磁性物料S</w:t>
                  </w:r>
                  <w:r>
                    <w:rPr>
                      <w:rFonts w:hint="eastAsia"/>
                      <w:color w:val="auto"/>
                      <w:szCs w:val="21"/>
                      <w:lang w:val="en-US" w:eastAsia="zh-CN"/>
                    </w:rPr>
                    <w:t>9</w:t>
                  </w:r>
                </w:p>
              </w:tc>
              <w:tc>
                <w:tcPr>
                  <w:tcW w:w="1052" w:type="dxa"/>
                  <w:vAlign w:val="center"/>
                </w:tcPr>
                <w:p w14:paraId="3D60D0B0">
                  <w:pPr>
                    <w:pStyle w:val="9"/>
                    <w:ind w:firstLine="0"/>
                    <w:jc w:val="center"/>
                    <w:rPr>
                      <w:rFonts w:hint="default" w:eastAsia="宋体"/>
                      <w:color w:val="auto"/>
                      <w:szCs w:val="21"/>
                      <w:lang w:val="en-US" w:eastAsia="zh-CN"/>
                    </w:rPr>
                  </w:pPr>
                  <w:r>
                    <w:rPr>
                      <w:rFonts w:hint="eastAsia"/>
                      <w:color w:val="auto"/>
                      <w:szCs w:val="21"/>
                      <w:lang w:val="en-US" w:eastAsia="zh-CN"/>
                    </w:rPr>
                    <w:t>0.2</w:t>
                  </w:r>
                </w:p>
              </w:tc>
            </w:tr>
            <w:tr w14:paraId="1E739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7A5FA372">
                  <w:pPr>
                    <w:pStyle w:val="9"/>
                    <w:ind w:firstLine="0"/>
                    <w:jc w:val="center"/>
                    <w:rPr>
                      <w:rFonts w:hint="eastAsia"/>
                      <w:b/>
                      <w:bCs/>
                      <w:color w:val="auto"/>
                      <w:szCs w:val="21"/>
                    </w:rPr>
                  </w:pPr>
                </w:p>
              </w:tc>
              <w:tc>
                <w:tcPr>
                  <w:tcW w:w="1997" w:type="dxa"/>
                  <w:gridSpan w:val="4"/>
                  <w:shd w:val="clear" w:color="auto" w:fill="auto"/>
                  <w:vAlign w:val="center"/>
                </w:tcPr>
                <w:p w14:paraId="779579D1">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295C6D8F">
                  <w:pPr>
                    <w:pStyle w:val="9"/>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bCs/>
                      <w:color w:val="auto"/>
                      <w:kern w:val="2"/>
                      <w:sz w:val="21"/>
                      <w:szCs w:val="21"/>
                      <w:lang w:val="en-US" w:eastAsia="zh-CN" w:bidi="ar-SA"/>
                    </w:rPr>
                    <w:t>2301.023</w:t>
                  </w:r>
                </w:p>
              </w:tc>
              <w:tc>
                <w:tcPr>
                  <w:tcW w:w="2964" w:type="dxa"/>
                  <w:gridSpan w:val="2"/>
                  <w:shd w:val="clear" w:color="auto" w:fill="auto"/>
                  <w:vAlign w:val="center"/>
                </w:tcPr>
                <w:p w14:paraId="5D80A710">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shd w:val="clear" w:color="auto" w:fill="auto"/>
                  <w:vAlign w:val="center"/>
                </w:tcPr>
                <w:p w14:paraId="29ED6F33">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2301.023</w:t>
                  </w:r>
                </w:p>
              </w:tc>
            </w:tr>
            <w:tr w14:paraId="32E12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42C4B38F">
                  <w:pPr>
                    <w:pStyle w:val="9"/>
                    <w:ind w:firstLine="0"/>
                    <w:jc w:val="center"/>
                    <w:rPr>
                      <w:rFonts w:hint="eastAsia"/>
                      <w:color w:val="auto"/>
                      <w:szCs w:val="21"/>
                    </w:rPr>
                  </w:pPr>
                </w:p>
              </w:tc>
              <w:tc>
                <w:tcPr>
                  <w:tcW w:w="1997" w:type="dxa"/>
                  <w:gridSpan w:val="4"/>
                  <w:vAlign w:val="center"/>
                </w:tcPr>
                <w:p w14:paraId="3933CEAE">
                  <w:pPr>
                    <w:pStyle w:val="9"/>
                    <w:ind w:firstLine="0"/>
                    <w:jc w:val="center"/>
                    <w:rPr>
                      <w:rFonts w:hint="eastAsia"/>
                      <w:color w:val="auto"/>
                      <w:szCs w:val="21"/>
                    </w:rPr>
                  </w:pPr>
                </w:p>
              </w:tc>
              <w:tc>
                <w:tcPr>
                  <w:tcW w:w="1202" w:type="dxa"/>
                  <w:vAlign w:val="center"/>
                </w:tcPr>
                <w:p w14:paraId="3D02B059">
                  <w:pPr>
                    <w:pStyle w:val="9"/>
                    <w:ind w:firstLine="0"/>
                    <w:jc w:val="center"/>
                    <w:rPr>
                      <w:rFonts w:hint="eastAsia"/>
                      <w:color w:val="auto"/>
                      <w:szCs w:val="21"/>
                    </w:rPr>
                  </w:pPr>
                </w:p>
              </w:tc>
              <w:tc>
                <w:tcPr>
                  <w:tcW w:w="1151" w:type="dxa"/>
                  <w:vAlign w:val="center"/>
                </w:tcPr>
                <w:p w14:paraId="1958562F">
                  <w:pPr>
                    <w:pStyle w:val="9"/>
                    <w:ind w:firstLine="0"/>
                    <w:jc w:val="center"/>
                    <w:rPr>
                      <w:rFonts w:hint="eastAsia"/>
                      <w:color w:val="auto"/>
                      <w:szCs w:val="21"/>
                    </w:rPr>
                  </w:pPr>
                </w:p>
              </w:tc>
              <w:tc>
                <w:tcPr>
                  <w:tcW w:w="1813" w:type="dxa"/>
                  <w:vAlign w:val="center"/>
                </w:tcPr>
                <w:p w14:paraId="6A92E9C9">
                  <w:pPr>
                    <w:pStyle w:val="9"/>
                    <w:ind w:firstLine="0"/>
                    <w:jc w:val="center"/>
                    <w:rPr>
                      <w:rFonts w:hint="eastAsia"/>
                      <w:color w:val="auto"/>
                      <w:szCs w:val="21"/>
                    </w:rPr>
                  </w:pPr>
                </w:p>
              </w:tc>
              <w:tc>
                <w:tcPr>
                  <w:tcW w:w="1052" w:type="dxa"/>
                  <w:vAlign w:val="center"/>
                </w:tcPr>
                <w:p w14:paraId="39541D74">
                  <w:pPr>
                    <w:pStyle w:val="9"/>
                    <w:ind w:firstLine="0"/>
                    <w:jc w:val="center"/>
                    <w:rPr>
                      <w:rFonts w:hint="eastAsia"/>
                      <w:color w:val="auto"/>
                      <w:szCs w:val="21"/>
                    </w:rPr>
                  </w:pPr>
                </w:p>
              </w:tc>
            </w:tr>
            <w:tr w14:paraId="6922F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Merge w:val="restart"/>
                  <w:vAlign w:val="center"/>
                </w:tcPr>
                <w:p w14:paraId="0FEE4482">
                  <w:pPr>
                    <w:pStyle w:val="9"/>
                    <w:ind w:firstLine="0"/>
                    <w:jc w:val="center"/>
                    <w:rPr>
                      <w:rFonts w:hint="eastAsia" w:eastAsia="宋体"/>
                      <w:color w:val="auto"/>
                      <w:szCs w:val="21"/>
                      <w:lang w:val="en-US" w:eastAsia="zh-CN"/>
                    </w:rPr>
                  </w:pPr>
                  <w:r>
                    <w:rPr>
                      <w:rFonts w:hint="eastAsia"/>
                      <w:color w:val="auto"/>
                      <w:szCs w:val="21"/>
                      <w:lang w:val="en-US" w:eastAsia="zh-CN"/>
                    </w:rPr>
                    <w:t>纯化</w:t>
                  </w:r>
                </w:p>
              </w:tc>
              <w:tc>
                <w:tcPr>
                  <w:tcW w:w="1997" w:type="dxa"/>
                  <w:gridSpan w:val="4"/>
                  <w:vAlign w:val="center"/>
                </w:tcPr>
                <w:p w14:paraId="2C7FD458">
                  <w:pPr>
                    <w:pStyle w:val="9"/>
                    <w:ind w:firstLine="0"/>
                    <w:jc w:val="center"/>
                    <w:rPr>
                      <w:rFonts w:hint="default"/>
                      <w:color w:val="auto"/>
                      <w:szCs w:val="21"/>
                      <w:lang w:val="en-US"/>
                    </w:rPr>
                  </w:pPr>
                  <w:r>
                    <w:rPr>
                      <w:rFonts w:hint="eastAsia"/>
                      <w:color w:val="auto"/>
                      <w:szCs w:val="21"/>
                      <w:lang w:val="en-US" w:eastAsia="zh-CN"/>
                    </w:rPr>
                    <w:t>石英砂10</w:t>
                  </w:r>
                </w:p>
              </w:tc>
              <w:tc>
                <w:tcPr>
                  <w:tcW w:w="1202" w:type="dxa"/>
                  <w:vAlign w:val="center"/>
                </w:tcPr>
                <w:p w14:paraId="237C0A87">
                  <w:pPr>
                    <w:pStyle w:val="9"/>
                    <w:ind w:firstLine="0"/>
                    <w:jc w:val="center"/>
                    <w:rPr>
                      <w:rFonts w:hint="default" w:eastAsia="宋体"/>
                      <w:color w:val="auto"/>
                      <w:szCs w:val="21"/>
                      <w:lang w:val="en-US" w:eastAsia="zh-CN"/>
                    </w:rPr>
                  </w:pPr>
                  <w:r>
                    <w:rPr>
                      <w:rFonts w:hint="eastAsia"/>
                      <w:color w:val="auto"/>
                      <w:szCs w:val="21"/>
                      <w:lang w:val="en-US" w:eastAsia="zh-CN"/>
                    </w:rPr>
                    <w:t>2000.3</w:t>
                  </w:r>
                </w:p>
              </w:tc>
              <w:tc>
                <w:tcPr>
                  <w:tcW w:w="2964" w:type="dxa"/>
                  <w:gridSpan w:val="2"/>
                  <w:vAlign w:val="center"/>
                </w:tcPr>
                <w:p w14:paraId="5FD6F023">
                  <w:pPr>
                    <w:pStyle w:val="9"/>
                    <w:ind w:firstLine="0"/>
                    <w:jc w:val="center"/>
                    <w:rPr>
                      <w:rFonts w:hint="default"/>
                      <w:color w:val="auto"/>
                      <w:szCs w:val="21"/>
                      <w:lang w:val="en-US"/>
                    </w:rPr>
                  </w:pPr>
                  <w:r>
                    <w:rPr>
                      <w:rFonts w:hint="eastAsia"/>
                      <w:color w:val="auto"/>
                      <w:szCs w:val="21"/>
                      <w:lang w:val="en-US" w:eastAsia="zh-CN"/>
                    </w:rPr>
                    <w:t>石英砂11</w:t>
                  </w:r>
                </w:p>
              </w:tc>
              <w:tc>
                <w:tcPr>
                  <w:tcW w:w="1052" w:type="dxa"/>
                  <w:vAlign w:val="center"/>
                </w:tcPr>
                <w:p w14:paraId="34E49CF0">
                  <w:pPr>
                    <w:pStyle w:val="9"/>
                    <w:ind w:firstLine="0"/>
                    <w:jc w:val="center"/>
                    <w:rPr>
                      <w:rFonts w:hint="default" w:eastAsia="宋体"/>
                      <w:color w:val="auto"/>
                      <w:szCs w:val="21"/>
                      <w:lang w:val="en-US" w:eastAsia="zh-CN"/>
                    </w:rPr>
                  </w:pPr>
                  <w:r>
                    <w:rPr>
                      <w:rFonts w:hint="eastAsia"/>
                      <w:color w:val="auto"/>
                      <w:szCs w:val="21"/>
                      <w:lang w:val="en-US" w:eastAsia="zh-CN"/>
                    </w:rPr>
                    <w:t>2000.2</w:t>
                  </w:r>
                </w:p>
              </w:tc>
            </w:tr>
            <w:tr w14:paraId="6F62A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39E4F3F1">
                  <w:pPr>
                    <w:pStyle w:val="9"/>
                    <w:ind w:firstLine="0"/>
                    <w:jc w:val="center"/>
                    <w:rPr>
                      <w:rFonts w:hint="eastAsia"/>
                      <w:color w:val="auto"/>
                      <w:szCs w:val="21"/>
                    </w:rPr>
                  </w:pPr>
                </w:p>
              </w:tc>
              <w:tc>
                <w:tcPr>
                  <w:tcW w:w="1997" w:type="dxa"/>
                  <w:gridSpan w:val="4"/>
                  <w:vAlign w:val="center"/>
                </w:tcPr>
                <w:p w14:paraId="356561FE">
                  <w:pPr>
                    <w:pStyle w:val="9"/>
                    <w:ind w:firstLine="0"/>
                    <w:jc w:val="center"/>
                    <w:rPr>
                      <w:rFonts w:hint="eastAsia" w:eastAsia="宋体"/>
                      <w:color w:val="auto"/>
                      <w:szCs w:val="21"/>
                      <w:lang w:val="en-US" w:eastAsia="zh-CN"/>
                    </w:rPr>
                  </w:pPr>
                  <w:r>
                    <w:rPr>
                      <w:rFonts w:hint="eastAsia"/>
                      <w:color w:val="auto"/>
                      <w:szCs w:val="21"/>
                      <w:lang w:val="en-US" w:eastAsia="zh-CN"/>
                    </w:rPr>
                    <w:t>氯化氢</w:t>
                  </w:r>
                </w:p>
              </w:tc>
              <w:tc>
                <w:tcPr>
                  <w:tcW w:w="1202" w:type="dxa"/>
                  <w:vAlign w:val="center"/>
                </w:tcPr>
                <w:p w14:paraId="78C0ABE7">
                  <w:pPr>
                    <w:pStyle w:val="9"/>
                    <w:ind w:firstLine="0"/>
                    <w:jc w:val="center"/>
                    <w:rPr>
                      <w:rFonts w:hint="default" w:eastAsia="宋体"/>
                      <w:color w:val="auto"/>
                      <w:szCs w:val="21"/>
                      <w:lang w:val="en-US" w:eastAsia="zh-CN"/>
                    </w:rPr>
                  </w:pPr>
                  <w:r>
                    <w:rPr>
                      <w:rFonts w:hint="eastAsia"/>
                      <w:color w:val="auto"/>
                      <w:szCs w:val="21"/>
                      <w:lang w:val="en-US" w:eastAsia="zh-CN"/>
                    </w:rPr>
                    <w:t>10.8</w:t>
                  </w:r>
                </w:p>
              </w:tc>
              <w:tc>
                <w:tcPr>
                  <w:tcW w:w="1151" w:type="dxa"/>
                  <w:vMerge w:val="restart"/>
                  <w:vAlign w:val="center"/>
                </w:tcPr>
                <w:p w14:paraId="39F1F432">
                  <w:pPr>
                    <w:pStyle w:val="9"/>
                    <w:ind w:firstLine="0"/>
                    <w:jc w:val="center"/>
                    <w:rPr>
                      <w:rFonts w:hint="eastAsia"/>
                      <w:color w:val="auto"/>
                      <w:szCs w:val="21"/>
                    </w:rPr>
                  </w:pPr>
                  <w:r>
                    <w:rPr>
                      <w:rFonts w:hint="eastAsia"/>
                      <w:color w:val="auto"/>
                      <w:szCs w:val="21"/>
                      <w:lang w:eastAsia="zh-CN"/>
                    </w:rPr>
                    <w:t>纯化</w:t>
                  </w:r>
                  <w:r>
                    <w:rPr>
                      <w:color w:val="auto"/>
                      <w:szCs w:val="21"/>
                    </w:rPr>
                    <w:t>废气G7</w:t>
                  </w:r>
                </w:p>
              </w:tc>
              <w:tc>
                <w:tcPr>
                  <w:tcW w:w="1813" w:type="dxa"/>
                  <w:vAlign w:val="center"/>
                </w:tcPr>
                <w:p w14:paraId="453CDEC9">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氯化氢</w:t>
                  </w:r>
                </w:p>
              </w:tc>
              <w:tc>
                <w:tcPr>
                  <w:tcW w:w="1052" w:type="dxa"/>
                  <w:vAlign w:val="center"/>
                </w:tcPr>
                <w:p w14:paraId="3EE198A0">
                  <w:pPr>
                    <w:pStyle w:val="9"/>
                    <w:ind w:firstLine="0"/>
                    <w:jc w:val="center"/>
                    <w:rPr>
                      <w:rFonts w:hint="default" w:eastAsia="宋体"/>
                      <w:color w:val="auto"/>
                      <w:szCs w:val="21"/>
                      <w:lang w:val="en-US" w:eastAsia="zh-CN"/>
                    </w:rPr>
                  </w:pPr>
                  <w:r>
                    <w:rPr>
                      <w:rFonts w:hint="eastAsia"/>
                      <w:color w:val="auto"/>
                      <w:szCs w:val="21"/>
                      <w:lang w:val="en-US" w:eastAsia="zh-CN"/>
                    </w:rPr>
                    <w:t>10.5</w:t>
                  </w:r>
                </w:p>
              </w:tc>
            </w:tr>
            <w:tr w14:paraId="03C39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Merge w:val="continue"/>
                  <w:vAlign w:val="center"/>
                </w:tcPr>
                <w:p w14:paraId="27AB31B8">
                  <w:pPr>
                    <w:pStyle w:val="9"/>
                    <w:ind w:firstLine="0"/>
                    <w:jc w:val="center"/>
                    <w:rPr>
                      <w:rFonts w:hint="eastAsia"/>
                      <w:color w:val="auto"/>
                      <w:szCs w:val="21"/>
                    </w:rPr>
                  </w:pPr>
                </w:p>
              </w:tc>
              <w:tc>
                <w:tcPr>
                  <w:tcW w:w="1997" w:type="dxa"/>
                  <w:gridSpan w:val="4"/>
                  <w:vAlign w:val="center"/>
                </w:tcPr>
                <w:p w14:paraId="3851D56C">
                  <w:pPr>
                    <w:pStyle w:val="9"/>
                    <w:ind w:firstLine="0"/>
                    <w:jc w:val="center"/>
                    <w:rPr>
                      <w:rFonts w:hint="eastAsia"/>
                      <w:color w:val="auto"/>
                      <w:szCs w:val="21"/>
                    </w:rPr>
                  </w:pPr>
                </w:p>
              </w:tc>
              <w:tc>
                <w:tcPr>
                  <w:tcW w:w="1202" w:type="dxa"/>
                  <w:vAlign w:val="center"/>
                </w:tcPr>
                <w:p w14:paraId="2DE8192D">
                  <w:pPr>
                    <w:pStyle w:val="9"/>
                    <w:ind w:firstLine="0"/>
                    <w:jc w:val="center"/>
                    <w:rPr>
                      <w:rFonts w:hint="eastAsia"/>
                      <w:color w:val="auto"/>
                      <w:szCs w:val="21"/>
                    </w:rPr>
                  </w:pPr>
                </w:p>
              </w:tc>
              <w:tc>
                <w:tcPr>
                  <w:tcW w:w="1151" w:type="dxa"/>
                  <w:vMerge w:val="continue"/>
                  <w:vAlign w:val="center"/>
                </w:tcPr>
                <w:p w14:paraId="511689AE">
                  <w:pPr>
                    <w:pStyle w:val="9"/>
                    <w:ind w:firstLine="0"/>
                    <w:jc w:val="center"/>
                    <w:rPr>
                      <w:rFonts w:hint="eastAsia"/>
                      <w:color w:val="auto"/>
                      <w:szCs w:val="21"/>
                    </w:rPr>
                  </w:pPr>
                </w:p>
              </w:tc>
              <w:tc>
                <w:tcPr>
                  <w:tcW w:w="1813" w:type="dxa"/>
                  <w:vAlign w:val="center"/>
                </w:tcPr>
                <w:p w14:paraId="3E190DC0">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粉尘</w:t>
                  </w:r>
                </w:p>
              </w:tc>
              <w:tc>
                <w:tcPr>
                  <w:tcW w:w="1052" w:type="dxa"/>
                  <w:vAlign w:val="center"/>
                </w:tcPr>
                <w:p w14:paraId="489BBE93">
                  <w:pPr>
                    <w:pStyle w:val="9"/>
                    <w:ind w:firstLine="0"/>
                    <w:jc w:val="center"/>
                    <w:rPr>
                      <w:rFonts w:hint="default" w:eastAsia="宋体"/>
                      <w:color w:val="auto"/>
                      <w:szCs w:val="21"/>
                      <w:lang w:val="en-US" w:eastAsia="zh-CN"/>
                    </w:rPr>
                  </w:pPr>
                  <w:r>
                    <w:rPr>
                      <w:rFonts w:hint="eastAsia"/>
                      <w:color w:val="auto"/>
                      <w:szCs w:val="21"/>
                      <w:lang w:val="en-US" w:eastAsia="zh-CN"/>
                    </w:rPr>
                    <w:t>0.4</w:t>
                  </w:r>
                </w:p>
              </w:tc>
            </w:tr>
            <w:tr w14:paraId="5C566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5E10F0E6">
                  <w:pPr>
                    <w:pStyle w:val="9"/>
                    <w:ind w:firstLine="0"/>
                    <w:jc w:val="center"/>
                    <w:rPr>
                      <w:rFonts w:hint="eastAsia"/>
                      <w:color w:val="auto"/>
                      <w:szCs w:val="21"/>
                    </w:rPr>
                  </w:pPr>
                </w:p>
              </w:tc>
              <w:tc>
                <w:tcPr>
                  <w:tcW w:w="1997" w:type="dxa"/>
                  <w:gridSpan w:val="4"/>
                  <w:shd w:val="clear" w:color="auto" w:fill="auto"/>
                  <w:vAlign w:val="center"/>
                </w:tcPr>
                <w:p w14:paraId="229F2CF3">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202" w:type="dxa"/>
                  <w:shd w:val="clear" w:color="auto" w:fill="auto"/>
                  <w:vAlign w:val="center"/>
                </w:tcPr>
                <w:p w14:paraId="2F249C3D">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2011.1</w:t>
                  </w:r>
                </w:p>
              </w:tc>
              <w:tc>
                <w:tcPr>
                  <w:tcW w:w="2964" w:type="dxa"/>
                  <w:gridSpan w:val="2"/>
                  <w:shd w:val="clear" w:color="auto" w:fill="auto"/>
                  <w:vAlign w:val="center"/>
                </w:tcPr>
                <w:p w14:paraId="029C992F">
                  <w:pPr>
                    <w:pStyle w:val="9"/>
                    <w:ind w:firstLine="0" w:firstLineChars="0"/>
                    <w:jc w:val="center"/>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合计</w:t>
                  </w:r>
                </w:p>
              </w:tc>
              <w:tc>
                <w:tcPr>
                  <w:tcW w:w="1052" w:type="dxa"/>
                  <w:shd w:val="clear" w:color="auto" w:fill="auto"/>
                  <w:vAlign w:val="center"/>
                </w:tcPr>
                <w:p w14:paraId="21A7A414">
                  <w:pPr>
                    <w:pStyle w:val="9"/>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2011.1</w:t>
                  </w:r>
                </w:p>
              </w:tc>
            </w:tr>
            <w:tr w14:paraId="675DF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0EB6838D">
                  <w:pPr>
                    <w:pStyle w:val="9"/>
                    <w:ind w:firstLine="0"/>
                    <w:jc w:val="center"/>
                    <w:rPr>
                      <w:rFonts w:hint="eastAsia"/>
                      <w:color w:val="auto"/>
                      <w:szCs w:val="21"/>
                    </w:rPr>
                  </w:pPr>
                </w:p>
              </w:tc>
              <w:tc>
                <w:tcPr>
                  <w:tcW w:w="1997" w:type="dxa"/>
                  <w:gridSpan w:val="4"/>
                  <w:vAlign w:val="center"/>
                </w:tcPr>
                <w:p w14:paraId="2BDAED07">
                  <w:pPr>
                    <w:pStyle w:val="9"/>
                    <w:ind w:firstLine="0"/>
                    <w:jc w:val="center"/>
                    <w:rPr>
                      <w:rFonts w:hint="eastAsia"/>
                      <w:color w:val="auto"/>
                      <w:szCs w:val="21"/>
                    </w:rPr>
                  </w:pPr>
                </w:p>
              </w:tc>
              <w:tc>
                <w:tcPr>
                  <w:tcW w:w="1202" w:type="dxa"/>
                  <w:vAlign w:val="center"/>
                </w:tcPr>
                <w:p w14:paraId="3ABF003E">
                  <w:pPr>
                    <w:pStyle w:val="9"/>
                    <w:ind w:firstLine="0"/>
                    <w:jc w:val="center"/>
                    <w:rPr>
                      <w:rFonts w:hint="eastAsia"/>
                      <w:color w:val="auto"/>
                      <w:szCs w:val="21"/>
                    </w:rPr>
                  </w:pPr>
                </w:p>
              </w:tc>
              <w:tc>
                <w:tcPr>
                  <w:tcW w:w="1151" w:type="dxa"/>
                  <w:vAlign w:val="center"/>
                </w:tcPr>
                <w:p w14:paraId="505E6092">
                  <w:pPr>
                    <w:pStyle w:val="9"/>
                    <w:ind w:firstLine="0"/>
                    <w:jc w:val="center"/>
                    <w:rPr>
                      <w:rFonts w:hint="eastAsia"/>
                      <w:color w:val="auto"/>
                      <w:szCs w:val="21"/>
                    </w:rPr>
                  </w:pPr>
                </w:p>
              </w:tc>
              <w:tc>
                <w:tcPr>
                  <w:tcW w:w="1813" w:type="dxa"/>
                  <w:vAlign w:val="center"/>
                </w:tcPr>
                <w:p w14:paraId="7F0E28A3">
                  <w:pPr>
                    <w:pStyle w:val="9"/>
                    <w:ind w:firstLine="0"/>
                    <w:jc w:val="center"/>
                    <w:rPr>
                      <w:rFonts w:hint="eastAsia"/>
                      <w:color w:val="auto"/>
                      <w:szCs w:val="21"/>
                    </w:rPr>
                  </w:pPr>
                </w:p>
              </w:tc>
              <w:tc>
                <w:tcPr>
                  <w:tcW w:w="1052" w:type="dxa"/>
                  <w:vAlign w:val="center"/>
                </w:tcPr>
                <w:p w14:paraId="7D91E05E">
                  <w:pPr>
                    <w:pStyle w:val="9"/>
                    <w:ind w:firstLine="0"/>
                    <w:jc w:val="center"/>
                    <w:rPr>
                      <w:rFonts w:hint="eastAsia"/>
                      <w:color w:val="auto"/>
                      <w:szCs w:val="21"/>
                    </w:rPr>
                  </w:pPr>
                </w:p>
              </w:tc>
            </w:tr>
            <w:tr w14:paraId="1BEF1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restart"/>
                  <w:vAlign w:val="center"/>
                </w:tcPr>
                <w:p w14:paraId="62F013D4">
                  <w:pPr>
                    <w:pStyle w:val="9"/>
                    <w:ind w:firstLine="0"/>
                    <w:jc w:val="center"/>
                    <w:rPr>
                      <w:rFonts w:hint="default" w:eastAsia="宋体"/>
                      <w:color w:val="auto"/>
                      <w:szCs w:val="21"/>
                      <w:lang w:val="en-US" w:eastAsia="zh-CN"/>
                    </w:rPr>
                  </w:pPr>
                  <w:r>
                    <w:rPr>
                      <w:rFonts w:hint="eastAsia"/>
                      <w:color w:val="auto"/>
                      <w:szCs w:val="21"/>
                      <w:lang w:val="en-US" w:eastAsia="zh-CN"/>
                    </w:rPr>
                    <w:t>包装</w:t>
                  </w:r>
                </w:p>
              </w:tc>
              <w:tc>
                <w:tcPr>
                  <w:tcW w:w="1997" w:type="dxa"/>
                  <w:gridSpan w:val="4"/>
                  <w:vAlign w:val="center"/>
                </w:tcPr>
                <w:p w14:paraId="47266671">
                  <w:pPr>
                    <w:pStyle w:val="9"/>
                    <w:ind w:firstLine="0"/>
                    <w:jc w:val="center"/>
                    <w:rPr>
                      <w:rFonts w:hint="default"/>
                      <w:color w:val="auto"/>
                      <w:szCs w:val="21"/>
                      <w:lang w:val="en-US"/>
                    </w:rPr>
                  </w:pPr>
                  <w:r>
                    <w:rPr>
                      <w:rFonts w:hint="eastAsia"/>
                      <w:color w:val="auto"/>
                      <w:szCs w:val="21"/>
                      <w:lang w:val="en-US" w:eastAsia="zh-CN"/>
                    </w:rPr>
                    <w:t>石英砂11</w:t>
                  </w:r>
                </w:p>
              </w:tc>
              <w:tc>
                <w:tcPr>
                  <w:tcW w:w="1202" w:type="dxa"/>
                  <w:vAlign w:val="center"/>
                </w:tcPr>
                <w:p w14:paraId="6C322397">
                  <w:pPr>
                    <w:pStyle w:val="9"/>
                    <w:ind w:firstLine="0"/>
                    <w:jc w:val="center"/>
                    <w:rPr>
                      <w:rFonts w:hint="eastAsia"/>
                      <w:color w:val="auto"/>
                      <w:szCs w:val="21"/>
                    </w:rPr>
                  </w:pPr>
                  <w:r>
                    <w:rPr>
                      <w:rFonts w:hint="eastAsia"/>
                      <w:color w:val="auto"/>
                      <w:szCs w:val="21"/>
                      <w:lang w:val="en-US" w:eastAsia="zh-CN"/>
                    </w:rPr>
                    <w:t>2000.02</w:t>
                  </w:r>
                </w:p>
              </w:tc>
              <w:tc>
                <w:tcPr>
                  <w:tcW w:w="2964" w:type="dxa"/>
                  <w:gridSpan w:val="2"/>
                  <w:vAlign w:val="center"/>
                </w:tcPr>
                <w:p w14:paraId="3FA26610">
                  <w:pPr>
                    <w:pStyle w:val="9"/>
                    <w:ind w:firstLine="0"/>
                    <w:jc w:val="center"/>
                    <w:rPr>
                      <w:rFonts w:hint="eastAsia" w:eastAsia="宋体"/>
                      <w:color w:val="auto"/>
                      <w:szCs w:val="21"/>
                      <w:lang w:val="en-US" w:eastAsia="zh-CN"/>
                    </w:rPr>
                  </w:pPr>
                  <w:r>
                    <w:rPr>
                      <w:rFonts w:hint="eastAsia"/>
                      <w:color w:val="auto"/>
                      <w:szCs w:val="21"/>
                      <w:lang w:val="en-US" w:eastAsia="zh-CN"/>
                    </w:rPr>
                    <w:t>成品</w:t>
                  </w:r>
                </w:p>
              </w:tc>
              <w:tc>
                <w:tcPr>
                  <w:tcW w:w="1052" w:type="dxa"/>
                  <w:vAlign w:val="center"/>
                </w:tcPr>
                <w:p w14:paraId="7C981E70">
                  <w:pPr>
                    <w:pStyle w:val="9"/>
                    <w:ind w:firstLine="0"/>
                    <w:jc w:val="center"/>
                    <w:rPr>
                      <w:rFonts w:hint="default" w:eastAsia="宋体"/>
                      <w:color w:val="auto"/>
                      <w:szCs w:val="21"/>
                      <w:lang w:val="en-US" w:eastAsia="zh-CN"/>
                    </w:rPr>
                  </w:pPr>
                  <w:r>
                    <w:rPr>
                      <w:rFonts w:hint="eastAsia"/>
                      <w:color w:val="auto"/>
                      <w:szCs w:val="21"/>
                      <w:lang w:val="en-US" w:eastAsia="zh-CN"/>
                    </w:rPr>
                    <w:t>2000</w:t>
                  </w:r>
                </w:p>
              </w:tc>
            </w:tr>
            <w:tr w14:paraId="08D80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13D35F31">
                  <w:pPr>
                    <w:pStyle w:val="9"/>
                    <w:ind w:firstLine="0"/>
                    <w:jc w:val="center"/>
                    <w:rPr>
                      <w:rFonts w:hint="eastAsia"/>
                      <w:color w:val="auto"/>
                      <w:szCs w:val="21"/>
                    </w:rPr>
                  </w:pPr>
                </w:p>
              </w:tc>
              <w:tc>
                <w:tcPr>
                  <w:tcW w:w="1997" w:type="dxa"/>
                  <w:gridSpan w:val="4"/>
                  <w:vAlign w:val="center"/>
                </w:tcPr>
                <w:p w14:paraId="151FAFCD">
                  <w:pPr>
                    <w:pStyle w:val="9"/>
                    <w:ind w:firstLine="0"/>
                    <w:jc w:val="center"/>
                    <w:rPr>
                      <w:rFonts w:hint="eastAsia"/>
                      <w:color w:val="auto"/>
                      <w:szCs w:val="21"/>
                    </w:rPr>
                  </w:pPr>
                </w:p>
              </w:tc>
              <w:tc>
                <w:tcPr>
                  <w:tcW w:w="1202" w:type="dxa"/>
                  <w:vAlign w:val="center"/>
                </w:tcPr>
                <w:p w14:paraId="569B5A47">
                  <w:pPr>
                    <w:pStyle w:val="9"/>
                    <w:ind w:firstLine="0"/>
                    <w:jc w:val="center"/>
                    <w:rPr>
                      <w:rFonts w:hint="eastAsia"/>
                      <w:color w:val="auto"/>
                      <w:szCs w:val="21"/>
                    </w:rPr>
                  </w:pPr>
                </w:p>
              </w:tc>
              <w:tc>
                <w:tcPr>
                  <w:tcW w:w="1151" w:type="dxa"/>
                  <w:vAlign w:val="center"/>
                </w:tcPr>
                <w:p w14:paraId="7B6DF08C">
                  <w:pPr>
                    <w:pStyle w:val="9"/>
                    <w:ind w:firstLine="0"/>
                    <w:jc w:val="center"/>
                    <w:rPr>
                      <w:rFonts w:hint="eastAsia" w:eastAsia="宋体"/>
                      <w:color w:val="auto"/>
                      <w:szCs w:val="21"/>
                      <w:lang w:val="en-US" w:eastAsia="zh-CN"/>
                    </w:rPr>
                  </w:pPr>
                  <w:r>
                    <w:rPr>
                      <w:rFonts w:hint="eastAsia"/>
                      <w:color w:val="auto"/>
                      <w:szCs w:val="21"/>
                      <w:lang w:val="en-US" w:eastAsia="zh-CN"/>
                    </w:rPr>
                    <w:t>废气</w:t>
                  </w:r>
                </w:p>
              </w:tc>
              <w:tc>
                <w:tcPr>
                  <w:tcW w:w="1813" w:type="dxa"/>
                  <w:vAlign w:val="center"/>
                </w:tcPr>
                <w:p w14:paraId="3C19AB7E">
                  <w:pPr>
                    <w:pStyle w:val="9"/>
                    <w:ind w:firstLine="0"/>
                    <w:jc w:val="center"/>
                    <w:rPr>
                      <w:rFonts w:hint="eastAsia" w:eastAsia="宋体"/>
                      <w:color w:val="auto"/>
                      <w:szCs w:val="21"/>
                      <w:lang w:val="en-US" w:eastAsia="zh-CN"/>
                    </w:rPr>
                  </w:pPr>
                  <w:r>
                    <w:rPr>
                      <w:color w:val="auto"/>
                      <w:szCs w:val="21"/>
                    </w:rPr>
                    <w:t>包装废气G</w:t>
                  </w:r>
                  <w:r>
                    <w:rPr>
                      <w:rFonts w:hint="eastAsia"/>
                      <w:color w:val="auto"/>
                      <w:szCs w:val="21"/>
                      <w:lang w:val="en-US" w:eastAsia="zh-CN"/>
                    </w:rPr>
                    <w:t>9</w:t>
                  </w:r>
                </w:p>
              </w:tc>
              <w:tc>
                <w:tcPr>
                  <w:tcW w:w="1052" w:type="dxa"/>
                  <w:vAlign w:val="center"/>
                </w:tcPr>
                <w:p w14:paraId="7921A3F1">
                  <w:pPr>
                    <w:pStyle w:val="9"/>
                    <w:ind w:firstLine="0"/>
                    <w:jc w:val="center"/>
                    <w:rPr>
                      <w:rFonts w:hint="default" w:eastAsia="宋体"/>
                      <w:color w:val="auto"/>
                      <w:szCs w:val="21"/>
                      <w:lang w:val="en-US" w:eastAsia="zh-CN"/>
                    </w:rPr>
                  </w:pPr>
                  <w:r>
                    <w:rPr>
                      <w:rFonts w:hint="eastAsia"/>
                      <w:color w:val="auto"/>
                      <w:szCs w:val="21"/>
                      <w:lang w:val="en-US" w:eastAsia="zh-CN"/>
                    </w:rPr>
                    <w:t>0.02</w:t>
                  </w:r>
                </w:p>
              </w:tc>
            </w:tr>
            <w:tr w14:paraId="5FE31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Merge w:val="continue"/>
                  <w:vAlign w:val="center"/>
                </w:tcPr>
                <w:p w14:paraId="4C78CDC5">
                  <w:pPr>
                    <w:pStyle w:val="9"/>
                    <w:ind w:firstLine="0"/>
                    <w:jc w:val="center"/>
                    <w:rPr>
                      <w:color w:val="auto"/>
                      <w:szCs w:val="21"/>
                    </w:rPr>
                  </w:pPr>
                </w:p>
              </w:tc>
              <w:tc>
                <w:tcPr>
                  <w:tcW w:w="1997" w:type="dxa"/>
                  <w:gridSpan w:val="4"/>
                  <w:vAlign w:val="center"/>
                </w:tcPr>
                <w:p w14:paraId="72101F17">
                  <w:pPr>
                    <w:pStyle w:val="9"/>
                    <w:ind w:firstLine="0"/>
                    <w:jc w:val="center"/>
                    <w:rPr>
                      <w:rFonts w:hint="eastAsia"/>
                      <w:b/>
                      <w:bCs/>
                      <w:color w:val="auto"/>
                      <w:szCs w:val="21"/>
                    </w:rPr>
                  </w:pPr>
                  <w:r>
                    <w:rPr>
                      <w:rFonts w:hint="eastAsia"/>
                      <w:b/>
                      <w:bCs/>
                      <w:color w:val="auto"/>
                      <w:szCs w:val="21"/>
                    </w:rPr>
                    <w:t>合计</w:t>
                  </w:r>
                </w:p>
              </w:tc>
              <w:tc>
                <w:tcPr>
                  <w:tcW w:w="1202" w:type="dxa"/>
                  <w:vAlign w:val="center"/>
                </w:tcPr>
                <w:p w14:paraId="47A3D2D9">
                  <w:pPr>
                    <w:pStyle w:val="9"/>
                    <w:ind w:firstLine="0"/>
                    <w:jc w:val="center"/>
                    <w:rPr>
                      <w:b/>
                      <w:bCs/>
                      <w:color w:val="auto"/>
                      <w:szCs w:val="21"/>
                    </w:rPr>
                  </w:pPr>
                  <w:r>
                    <w:rPr>
                      <w:rFonts w:hint="eastAsia"/>
                      <w:b/>
                      <w:bCs/>
                      <w:color w:val="auto"/>
                      <w:szCs w:val="21"/>
                      <w:lang w:val="en-US" w:eastAsia="zh-CN"/>
                    </w:rPr>
                    <w:t>2000.02</w:t>
                  </w:r>
                </w:p>
              </w:tc>
              <w:tc>
                <w:tcPr>
                  <w:tcW w:w="2964" w:type="dxa"/>
                  <w:gridSpan w:val="2"/>
                  <w:vAlign w:val="center"/>
                </w:tcPr>
                <w:p w14:paraId="4980318B">
                  <w:pPr>
                    <w:pStyle w:val="9"/>
                    <w:ind w:firstLine="0"/>
                    <w:jc w:val="center"/>
                    <w:rPr>
                      <w:rFonts w:hint="eastAsia"/>
                      <w:b/>
                      <w:bCs/>
                      <w:color w:val="auto"/>
                      <w:szCs w:val="21"/>
                    </w:rPr>
                  </w:pPr>
                  <w:r>
                    <w:rPr>
                      <w:rFonts w:hint="eastAsia"/>
                      <w:b/>
                      <w:bCs/>
                      <w:color w:val="auto"/>
                      <w:szCs w:val="21"/>
                      <w:lang w:val="en-US" w:eastAsia="zh-CN"/>
                    </w:rPr>
                    <w:t>合计</w:t>
                  </w:r>
                </w:p>
              </w:tc>
              <w:tc>
                <w:tcPr>
                  <w:tcW w:w="1052" w:type="dxa"/>
                  <w:vAlign w:val="center"/>
                </w:tcPr>
                <w:p w14:paraId="60F32C9A">
                  <w:pPr>
                    <w:pStyle w:val="9"/>
                    <w:ind w:firstLine="0"/>
                    <w:jc w:val="center"/>
                    <w:rPr>
                      <w:rFonts w:hint="default" w:eastAsia="宋体"/>
                      <w:b/>
                      <w:bCs/>
                      <w:color w:val="auto"/>
                      <w:szCs w:val="21"/>
                      <w:lang w:val="en-US" w:eastAsia="zh-CN"/>
                    </w:rPr>
                  </w:pPr>
                  <w:r>
                    <w:rPr>
                      <w:rFonts w:hint="eastAsia"/>
                      <w:b/>
                      <w:bCs/>
                      <w:color w:val="auto"/>
                      <w:szCs w:val="21"/>
                      <w:lang w:val="en-US" w:eastAsia="zh-CN"/>
                    </w:rPr>
                    <w:t>2000.02</w:t>
                  </w:r>
                </w:p>
              </w:tc>
            </w:tr>
            <w:tr w14:paraId="6CD2B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8" w:type="dxa"/>
                  <w:gridSpan w:val="9"/>
                  <w:shd w:val="clear" w:color="auto" w:fill="auto"/>
                  <w:vAlign w:val="center"/>
                </w:tcPr>
                <w:p w14:paraId="676D2A39">
                  <w:pPr>
                    <w:pStyle w:val="116"/>
                    <w:widowControl/>
                    <w:kinsoku w:val="0"/>
                    <w:autoSpaceDE w:val="0"/>
                    <w:autoSpaceDN w:val="0"/>
                    <w:adjustRightInd w:val="0"/>
                    <w:snapToGrid w:val="0"/>
                    <w:jc w:val="left"/>
                    <w:textAlignment w:val="baseline"/>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kern w:val="0"/>
                      <w:sz w:val="18"/>
                      <w:szCs w:val="18"/>
                      <w:lang w:val="en-US" w:eastAsia="zh-CN"/>
                    </w:rPr>
                    <w:t>注：各类废气废水产生情况见工艺分析章节及第四章4.2章节</w:t>
                  </w:r>
                  <w:r>
                    <w:rPr>
                      <w:rFonts w:hint="eastAsia" w:ascii="Times New Roman" w:hAnsi="Times New Roman" w:cs="Times New Roman"/>
                      <w:color w:val="auto"/>
                      <w:kern w:val="0"/>
                      <w:sz w:val="18"/>
                      <w:szCs w:val="18"/>
                      <w:lang w:eastAsia="zh-CN"/>
                    </w:rPr>
                    <w:t>。</w:t>
                  </w:r>
                </w:p>
              </w:tc>
            </w:tr>
          </w:tbl>
          <w:p w14:paraId="1258D7CD">
            <w:pPr>
              <w:spacing w:line="400" w:lineRule="exact"/>
              <w:jc w:val="center"/>
              <w:rPr>
                <w:rFonts w:hint="eastAsia"/>
                <w:b/>
                <w:bCs/>
                <w:color w:val="auto"/>
                <w:szCs w:val="21"/>
              </w:rPr>
            </w:pPr>
            <w:r>
              <w:rPr>
                <w:b/>
                <w:bCs/>
                <w:color w:val="auto"/>
                <w:szCs w:val="21"/>
              </w:rPr>
              <w:t>表2-</w:t>
            </w:r>
            <w:r>
              <w:rPr>
                <w:rFonts w:hint="eastAsia"/>
                <w:b/>
                <w:bCs/>
                <w:color w:val="auto"/>
                <w:szCs w:val="21"/>
                <w:lang w:val="en-US" w:eastAsia="zh-CN"/>
              </w:rPr>
              <w:t>10</w:t>
            </w:r>
            <w:r>
              <w:rPr>
                <w:b/>
                <w:bCs/>
                <w:color w:val="auto"/>
                <w:szCs w:val="21"/>
              </w:rPr>
              <w:t xml:space="preserve">  </w:t>
            </w:r>
            <w:r>
              <w:rPr>
                <w:rFonts w:hint="eastAsia"/>
                <w:b/>
                <w:bCs/>
                <w:color w:val="auto"/>
                <w:szCs w:val="21"/>
                <w:lang w:val="en-US" w:eastAsia="zh-CN"/>
              </w:rPr>
              <w:t>氟元素</w:t>
            </w:r>
            <w:r>
              <w:rPr>
                <w:rFonts w:hint="eastAsia"/>
                <w:b/>
                <w:bCs/>
                <w:color w:val="auto"/>
                <w:szCs w:val="21"/>
              </w:rPr>
              <w:t>全年物料平衡</w:t>
            </w:r>
          </w:p>
          <w:tbl>
            <w:tblPr>
              <w:tblStyle w:val="33"/>
              <w:tblW w:w="80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1626"/>
              <w:gridCol w:w="754"/>
              <w:gridCol w:w="2131"/>
              <w:gridCol w:w="1525"/>
            </w:tblGrid>
            <w:tr w14:paraId="318DB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38" w:type="dxa"/>
                  <w:gridSpan w:val="2"/>
                </w:tcPr>
                <w:p w14:paraId="4430C188">
                  <w:pPr>
                    <w:pStyle w:val="9"/>
                    <w:ind w:firstLine="0"/>
                    <w:jc w:val="center"/>
                    <w:rPr>
                      <w:color w:val="auto"/>
                      <w:szCs w:val="21"/>
                    </w:rPr>
                  </w:pPr>
                  <w:r>
                    <w:rPr>
                      <w:rFonts w:hint="eastAsia"/>
                      <w:color w:val="auto"/>
                      <w:szCs w:val="21"/>
                    </w:rPr>
                    <w:t>投入量（t/a）</w:t>
                  </w:r>
                </w:p>
              </w:tc>
              <w:tc>
                <w:tcPr>
                  <w:tcW w:w="4410" w:type="dxa"/>
                  <w:gridSpan w:val="3"/>
                </w:tcPr>
                <w:p w14:paraId="68185262">
                  <w:pPr>
                    <w:pStyle w:val="9"/>
                    <w:ind w:firstLine="0"/>
                    <w:jc w:val="center"/>
                    <w:rPr>
                      <w:color w:val="auto"/>
                      <w:szCs w:val="21"/>
                    </w:rPr>
                  </w:pPr>
                  <w:r>
                    <w:rPr>
                      <w:rFonts w:hint="eastAsia"/>
                      <w:color w:val="auto"/>
                      <w:szCs w:val="21"/>
                    </w:rPr>
                    <w:t>产出量（t/a）</w:t>
                  </w:r>
                </w:p>
              </w:tc>
            </w:tr>
            <w:tr w14:paraId="2F346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tcPr>
                <w:p w14:paraId="3CE91E2A">
                  <w:pPr>
                    <w:pStyle w:val="9"/>
                    <w:ind w:firstLine="0"/>
                    <w:jc w:val="center"/>
                    <w:rPr>
                      <w:color w:val="auto"/>
                      <w:szCs w:val="21"/>
                    </w:rPr>
                  </w:pPr>
                  <w:r>
                    <w:rPr>
                      <w:rFonts w:hint="eastAsia"/>
                      <w:color w:val="auto"/>
                      <w:szCs w:val="21"/>
                    </w:rPr>
                    <w:t>物质名称</w:t>
                  </w:r>
                </w:p>
              </w:tc>
              <w:tc>
                <w:tcPr>
                  <w:tcW w:w="1626" w:type="dxa"/>
                </w:tcPr>
                <w:p w14:paraId="016F2370">
                  <w:pPr>
                    <w:pStyle w:val="9"/>
                    <w:ind w:firstLine="0"/>
                    <w:jc w:val="center"/>
                    <w:rPr>
                      <w:color w:val="auto"/>
                      <w:szCs w:val="21"/>
                    </w:rPr>
                  </w:pPr>
                  <w:r>
                    <w:rPr>
                      <w:rFonts w:hint="eastAsia"/>
                      <w:color w:val="auto"/>
                      <w:szCs w:val="21"/>
                    </w:rPr>
                    <w:t>数量</w:t>
                  </w:r>
                </w:p>
              </w:tc>
              <w:tc>
                <w:tcPr>
                  <w:tcW w:w="2885" w:type="dxa"/>
                  <w:gridSpan w:val="2"/>
                </w:tcPr>
                <w:p w14:paraId="48883C1D">
                  <w:pPr>
                    <w:pStyle w:val="9"/>
                    <w:ind w:firstLine="0"/>
                    <w:jc w:val="center"/>
                    <w:rPr>
                      <w:rFonts w:hint="eastAsia"/>
                      <w:color w:val="auto"/>
                      <w:szCs w:val="21"/>
                    </w:rPr>
                  </w:pPr>
                  <w:r>
                    <w:rPr>
                      <w:rFonts w:hint="eastAsia"/>
                      <w:color w:val="auto"/>
                      <w:szCs w:val="21"/>
                    </w:rPr>
                    <w:t>物质名称</w:t>
                  </w:r>
                </w:p>
              </w:tc>
              <w:tc>
                <w:tcPr>
                  <w:tcW w:w="1525" w:type="dxa"/>
                </w:tcPr>
                <w:p w14:paraId="42AEEB2E">
                  <w:pPr>
                    <w:pStyle w:val="9"/>
                    <w:ind w:firstLine="0"/>
                    <w:jc w:val="center"/>
                    <w:rPr>
                      <w:rFonts w:hint="eastAsia"/>
                      <w:color w:val="auto"/>
                      <w:szCs w:val="21"/>
                    </w:rPr>
                  </w:pPr>
                  <w:r>
                    <w:rPr>
                      <w:rFonts w:hint="eastAsia"/>
                      <w:color w:val="auto"/>
                      <w:szCs w:val="21"/>
                    </w:rPr>
                    <w:t>数量</w:t>
                  </w:r>
                </w:p>
              </w:tc>
            </w:tr>
            <w:tr w14:paraId="02441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tcPr>
                <w:p w14:paraId="66AD8053">
                  <w:pPr>
                    <w:pStyle w:val="9"/>
                    <w:ind w:firstLine="0"/>
                    <w:jc w:val="center"/>
                    <w:rPr>
                      <w:color w:val="auto"/>
                      <w:szCs w:val="21"/>
                    </w:rPr>
                  </w:pPr>
                  <w:r>
                    <w:rPr>
                      <w:rFonts w:hint="eastAsia"/>
                      <w:color w:val="auto"/>
                      <w:szCs w:val="21"/>
                    </w:rPr>
                    <w:t>氟化氢</w:t>
                  </w:r>
                </w:p>
              </w:tc>
              <w:tc>
                <w:tcPr>
                  <w:tcW w:w="1626" w:type="dxa"/>
                </w:tcPr>
                <w:p w14:paraId="1FBC8063">
                  <w:pPr>
                    <w:pStyle w:val="9"/>
                    <w:ind w:firstLine="0"/>
                    <w:jc w:val="center"/>
                    <w:rPr>
                      <w:rFonts w:hint="default" w:eastAsia="宋体"/>
                      <w:color w:val="auto"/>
                      <w:szCs w:val="21"/>
                      <w:lang w:val="en-US" w:eastAsia="zh-CN"/>
                    </w:rPr>
                  </w:pPr>
                  <w:r>
                    <w:rPr>
                      <w:rFonts w:hint="eastAsia"/>
                      <w:color w:val="auto"/>
                      <w:szCs w:val="21"/>
                      <w:lang w:val="en-US" w:eastAsia="zh-CN"/>
                    </w:rPr>
                    <w:t>76</w:t>
                  </w:r>
                </w:p>
              </w:tc>
              <w:tc>
                <w:tcPr>
                  <w:tcW w:w="754" w:type="dxa"/>
                  <w:vMerge w:val="restart"/>
                  <w:vAlign w:val="center"/>
                </w:tcPr>
                <w:p w14:paraId="0B8C6408">
                  <w:pPr>
                    <w:pStyle w:val="9"/>
                    <w:ind w:firstLine="0"/>
                    <w:jc w:val="center"/>
                    <w:rPr>
                      <w:color w:val="auto"/>
                      <w:szCs w:val="21"/>
                    </w:rPr>
                  </w:pPr>
                  <w:r>
                    <w:rPr>
                      <w:rFonts w:hint="eastAsia"/>
                      <w:color w:val="auto"/>
                      <w:szCs w:val="21"/>
                    </w:rPr>
                    <w:t>废气</w:t>
                  </w:r>
                </w:p>
              </w:tc>
              <w:tc>
                <w:tcPr>
                  <w:tcW w:w="2131" w:type="dxa"/>
                </w:tcPr>
                <w:p w14:paraId="6EC50186">
                  <w:pPr>
                    <w:pStyle w:val="9"/>
                    <w:ind w:firstLine="0"/>
                    <w:jc w:val="center"/>
                    <w:rPr>
                      <w:color w:val="auto"/>
                      <w:szCs w:val="21"/>
                    </w:rPr>
                  </w:pPr>
                  <w:r>
                    <w:rPr>
                      <w:rFonts w:hint="eastAsia"/>
                      <w:color w:val="auto"/>
                      <w:szCs w:val="21"/>
                    </w:rPr>
                    <w:t>进入储罐废气</w:t>
                  </w:r>
                </w:p>
              </w:tc>
              <w:tc>
                <w:tcPr>
                  <w:tcW w:w="1525" w:type="dxa"/>
                </w:tcPr>
                <w:p w14:paraId="54E25E1E">
                  <w:pPr>
                    <w:pStyle w:val="9"/>
                    <w:ind w:firstLine="0"/>
                    <w:jc w:val="center"/>
                    <w:rPr>
                      <w:rFonts w:hint="default" w:eastAsia="宋体"/>
                      <w:color w:val="auto"/>
                      <w:szCs w:val="21"/>
                      <w:lang w:val="en-US" w:eastAsia="zh-CN"/>
                    </w:rPr>
                  </w:pPr>
                  <w:r>
                    <w:rPr>
                      <w:rFonts w:hint="eastAsia"/>
                      <w:color w:val="auto"/>
                      <w:szCs w:val="21"/>
                    </w:rPr>
                    <w:t>0.00</w:t>
                  </w:r>
                  <w:r>
                    <w:rPr>
                      <w:rFonts w:hint="eastAsia"/>
                      <w:color w:val="auto"/>
                      <w:szCs w:val="21"/>
                      <w:lang w:val="en-US" w:eastAsia="zh-CN"/>
                    </w:rPr>
                    <w:t>76</w:t>
                  </w:r>
                </w:p>
              </w:tc>
            </w:tr>
            <w:tr w14:paraId="6085E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tcPr>
                <w:p w14:paraId="1E4484B2">
                  <w:pPr>
                    <w:pStyle w:val="9"/>
                    <w:ind w:firstLine="0"/>
                    <w:jc w:val="center"/>
                    <w:rPr>
                      <w:rFonts w:hint="eastAsia"/>
                      <w:color w:val="auto"/>
                      <w:szCs w:val="21"/>
                    </w:rPr>
                  </w:pPr>
                </w:p>
              </w:tc>
              <w:tc>
                <w:tcPr>
                  <w:tcW w:w="1626" w:type="dxa"/>
                </w:tcPr>
                <w:p w14:paraId="35939488">
                  <w:pPr>
                    <w:pStyle w:val="9"/>
                    <w:ind w:firstLine="0"/>
                    <w:jc w:val="center"/>
                    <w:rPr>
                      <w:rFonts w:hint="eastAsia"/>
                      <w:color w:val="auto"/>
                      <w:szCs w:val="21"/>
                    </w:rPr>
                  </w:pPr>
                </w:p>
              </w:tc>
              <w:tc>
                <w:tcPr>
                  <w:tcW w:w="754" w:type="dxa"/>
                  <w:vMerge w:val="continue"/>
                </w:tcPr>
                <w:p w14:paraId="0A5669B2">
                  <w:pPr>
                    <w:pStyle w:val="9"/>
                    <w:ind w:firstLine="0"/>
                    <w:jc w:val="center"/>
                    <w:rPr>
                      <w:rFonts w:hint="eastAsia"/>
                      <w:color w:val="auto"/>
                      <w:szCs w:val="21"/>
                    </w:rPr>
                  </w:pPr>
                </w:p>
              </w:tc>
              <w:tc>
                <w:tcPr>
                  <w:tcW w:w="2131" w:type="dxa"/>
                </w:tcPr>
                <w:p w14:paraId="2DBF94B4">
                  <w:pPr>
                    <w:pStyle w:val="9"/>
                    <w:ind w:firstLine="0"/>
                    <w:jc w:val="center"/>
                    <w:rPr>
                      <w:color w:val="auto"/>
                      <w:szCs w:val="21"/>
                    </w:rPr>
                  </w:pPr>
                  <w:r>
                    <w:rPr>
                      <w:rFonts w:hint="eastAsia"/>
                      <w:color w:val="auto"/>
                      <w:szCs w:val="21"/>
                    </w:rPr>
                    <w:t>进入酸洗废气</w:t>
                  </w:r>
                </w:p>
              </w:tc>
              <w:tc>
                <w:tcPr>
                  <w:tcW w:w="1525" w:type="dxa"/>
                </w:tcPr>
                <w:p w14:paraId="61D548F9">
                  <w:pPr>
                    <w:pStyle w:val="9"/>
                    <w:ind w:firstLine="0"/>
                    <w:jc w:val="center"/>
                    <w:rPr>
                      <w:rFonts w:hint="default" w:eastAsia="宋体"/>
                      <w:color w:val="auto"/>
                      <w:szCs w:val="21"/>
                      <w:lang w:val="en-US" w:eastAsia="zh-CN"/>
                    </w:rPr>
                  </w:pPr>
                  <w:r>
                    <w:rPr>
                      <w:rFonts w:hint="eastAsia"/>
                      <w:color w:val="auto"/>
                      <w:szCs w:val="21"/>
                    </w:rPr>
                    <w:t>0.0</w:t>
                  </w:r>
                  <w:r>
                    <w:rPr>
                      <w:rFonts w:hint="eastAsia"/>
                      <w:color w:val="auto"/>
                      <w:szCs w:val="21"/>
                      <w:lang w:val="en-US" w:eastAsia="zh-CN"/>
                    </w:rPr>
                    <w:t>456</w:t>
                  </w:r>
                </w:p>
              </w:tc>
            </w:tr>
            <w:tr w14:paraId="0231E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tcPr>
                <w:p w14:paraId="5970122E">
                  <w:pPr>
                    <w:pStyle w:val="9"/>
                    <w:ind w:firstLine="0"/>
                    <w:jc w:val="center"/>
                    <w:rPr>
                      <w:rFonts w:hint="eastAsia"/>
                      <w:color w:val="auto"/>
                      <w:szCs w:val="21"/>
                    </w:rPr>
                  </w:pPr>
                </w:p>
              </w:tc>
              <w:tc>
                <w:tcPr>
                  <w:tcW w:w="1626" w:type="dxa"/>
                </w:tcPr>
                <w:p w14:paraId="10E60161">
                  <w:pPr>
                    <w:pStyle w:val="9"/>
                    <w:ind w:firstLine="0"/>
                    <w:jc w:val="center"/>
                    <w:rPr>
                      <w:rFonts w:hint="eastAsia"/>
                      <w:color w:val="auto"/>
                      <w:szCs w:val="21"/>
                    </w:rPr>
                  </w:pPr>
                </w:p>
              </w:tc>
              <w:tc>
                <w:tcPr>
                  <w:tcW w:w="754" w:type="dxa"/>
                </w:tcPr>
                <w:p w14:paraId="5B502976">
                  <w:pPr>
                    <w:pStyle w:val="9"/>
                    <w:ind w:firstLine="0"/>
                    <w:jc w:val="center"/>
                    <w:rPr>
                      <w:color w:val="auto"/>
                      <w:szCs w:val="21"/>
                    </w:rPr>
                  </w:pPr>
                  <w:r>
                    <w:rPr>
                      <w:rFonts w:hint="eastAsia"/>
                      <w:color w:val="auto"/>
                      <w:szCs w:val="21"/>
                    </w:rPr>
                    <w:t>废水</w:t>
                  </w:r>
                </w:p>
              </w:tc>
              <w:tc>
                <w:tcPr>
                  <w:tcW w:w="2131" w:type="dxa"/>
                </w:tcPr>
                <w:p w14:paraId="065CDEFA">
                  <w:pPr>
                    <w:pStyle w:val="9"/>
                    <w:ind w:firstLine="0"/>
                    <w:jc w:val="center"/>
                    <w:rPr>
                      <w:color w:val="auto"/>
                      <w:szCs w:val="21"/>
                    </w:rPr>
                  </w:pPr>
                  <w:r>
                    <w:rPr>
                      <w:rFonts w:hint="eastAsia"/>
                      <w:color w:val="auto"/>
                      <w:szCs w:val="21"/>
                    </w:rPr>
                    <w:t>进入清洗</w:t>
                  </w:r>
                  <w:r>
                    <w:rPr>
                      <w:rFonts w:hint="eastAsia"/>
                      <w:color w:val="auto"/>
                      <w:szCs w:val="21"/>
                      <w:lang w:eastAsia="zh-CN"/>
                    </w:rPr>
                    <w:t>、</w:t>
                  </w:r>
                  <w:r>
                    <w:rPr>
                      <w:rFonts w:hint="eastAsia"/>
                      <w:color w:val="auto"/>
                      <w:szCs w:val="21"/>
                      <w:lang w:val="en-US" w:eastAsia="zh-CN"/>
                    </w:rPr>
                    <w:t>喷淋</w:t>
                  </w:r>
                  <w:r>
                    <w:rPr>
                      <w:rFonts w:hint="eastAsia"/>
                      <w:color w:val="auto"/>
                      <w:szCs w:val="21"/>
                    </w:rPr>
                    <w:t>废水</w:t>
                  </w:r>
                </w:p>
              </w:tc>
              <w:tc>
                <w:tcPr>
                  <w:tcW w:w="1525" w:type="dxa"/>
                </w:tcPr>
                <w:p w14:paraId="72F1BD2A">
                  <w:pPr>
                    <w:pStyle w:val="9"/>
                    <w:ind w:firstLine="0"/>
                    <w:jc w:val="center"/>
                    <w:rPr>
                      <w:rFonts w:hint="default" w:eastAsia="宋体"/>
                      <w:color w:val="auto"/>
                      <w:szCs w:val="21"/>
                      <w:lang w:val="en-US" w:eastAsia="zh-CN"/>
                    </w:rPr>
                  </w:pPr>
                  <w:r>
                    <w:rPr>
                      <w:rFonts w:hint="eastAsia"/>
                      <w:color w:val="auto"/>
                      <w:szCs w:val="21"/>
                      <w:lang w:val="en-US" w:eastAsia="zh-CN"/>
                    </w:rPr>
                    <w:t>1.8133</w:t>
                  </w:r>
                </w:p>
              </w:tc>
            </w:tr>
            <w:tr w14:paraId="54BC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12" w:type="dxa"/>
                </w:tcPr>
                <w:p w14:paraId="6F0AC454">
                  <w:pPr>
                    <w:pStyle w:val="9"/>
                    <w:ind w:firstLine="0"/>
                    <w:jc w:val="center"/>
                    <w:rPr>
                      <w:rFonts w:hint="eastAsia"/>
                      <w:color w:val="auto"/>
                      <w:szCs w:val="21"/>
                    </w:rPr>
                  </w:pPr>
                </w:p>
              </w:tc>
              <w:tc>
                <w:tcPr>
                  <w:tcW w:w="1626" w:type="dxa"/>
                </w:tcPr>
                <w:p w14:paraId="14B82025">
                  <w:pPr>
                    <w:pStyle w:val="9"/>
                    <w:ind w:firstLine="0"/>
                    <w:jc w:val="center"/>
                    <w:rPr>
                      <w:rFonts w:hint="eastAsia"/>
                      <w:color w:val="auto"/>
                      <w:szCs w:val="21"/>
                    </w:rPr>
                  </w:pPr>
                </w:p>
              </w:tc>
              <w:tc>
                <w:tcPr>
                  <w:tcW w:w="754" w:type="dxa"/>
                  <w:vMerge w:val="restart"/>
                  <w:vAlign w:val="center"/>
                </w:tcPr>
                <w:p w14:paraId="662B982C">
                  <w:pPr>
                    <w:pStyle w:val="9"/>
                    <w:ind w:firstLine="0"/>
                    <w:jc w:val="center"/>
                    <w:rPr>
                      <w:color w:val="auto"/>
                      <w:szCs w:val="21"/>
                    </w:rPr>
                  </w:pPr>
                  <w:r>
                    <w:rPr>
                      <w:rFonts w:hint="eastAsia"/>
                      <w:color w:val="auto"/>
                      <w:szCs w:val="21"/>
                    </w:rPr>
                    <w:t>固废</w:t>
                  </w:r>
                </w:p>
              </w:tc>
              <w:tc>
                <w:tcPr>
                  <w:tcW w:w="2131" w:type="dxa"/>
                </w:tcPr>
                <w:p w14:paraId="183B4074">
                  <w:pPr>
                    <w:pStyle w:val="9"/>
                    <w:ind w:firstLine="0"/>
                    <w:jc w:val="center"/>
                    <w:rPr>
                      <w:color w:val="auto"/>
                      <w:szCs w:val="21"/>
                    </w:rPr>
                  </w:pPr>
                  <w:r>
                    <w:rPr>
                      <w:rFonts w:hint="eastAsia"/>
                      <w:color w:val="auto"/>
                      <w:szCs w:val="21"/>
                    </w:rPr>
                    <w:t>进入废酸</w:t>
                  </w:r>
                </w:p>
              </w:tc>
              <w:tc>
                <w:tcPr>
                  <w:tcW w:w="1525" w:type="dxa"/>
                </w:tcPr>
                <w:p w14:paraId="7FB06BB0">
                  <w:pPr>
                    <w:pStyle w:val="9"/>
                    <w:ind w:firstLine="0"/>
                    <w:jc w:val="center"/>
                    <w:rPr>
                      <w:rFonts w:hint="default" w:eastAsia="宋体"/>
                      <w:color w:val="auto"/>
                      <w:szCs w:val="21"/>
                      <w:lang w:val="en-US" w:eastAsia="zh-CN"/>
                    </w:rPr>
                  </w:pPr>
                  <w:r>
                    <w:rPr>
                      <w:rFonts w:hint="eastAsia"/>
                      <w:color w:val="auto"/>
                      <w:lang w:val="en-US" w:eastAsia="zh-CN"/>
                    </w:rPr>
                    <w:t>72.804</w:t>
                  </w:r>
                </w:p>
              </w:tc>
            </w:tr>
            <w:tr w14:paraId="1326E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12" w:type="dxa"/>
                </w:tcPr>
                <w:p w14:paraId="4616A672">
                  <w:pPr>
                    <w:pStyle w:val="9"/>
                    <w:ind w:firstLine="0"/>
                    <w:jc w:val="center"/>
                    <w:rPr>
                      <w:rFonts w:hint="eastAsia"/>
                      <w:color w:val="auto"/>
                      <w:szCs w:val="21"/>
                    </w:rPr>
                  </w:pPr>
                </w:p>
              </w:tc>
              <w:tc>
                <w:tcPr>
                  <w:tcW w:w="1626" w:type="dxa"/>
                </w:tcPr>
                <w:p w14:paraId="7E48B07F">
                  <w:pPr>
                    <w:pStyle w:val="9"/>
                    <w:ind w:firstLine="0"/>
                    <w:jc w:val="center"/>
                    <w:rPr>
                      <w:rFonts w:hint="eastAsia"/>
                      <w:color w:val="auto"/>
                      <w:szCs w:val="21"/>
                    </w:rPr>
                  </w:pPr>
                </w:p>
              </w:tc>
              <w:tc>
                <w:tcPr>
                  <w:tcW w:w="754" w:type="dxa"/>
                  <w:vMerge w:val="continue"/>
                </w:tcPr>
                <w:p w14:paraId="69F70D2C">
                  <w:pPr>
                    <w:pStyle w:val="9"/>
                    <w:ind w:firstLine="0"/>
                    <w:jc w:val="center"/>
                    <w:rPr>
                      <w:rFonts w:hint="eastAsia"/>
                      <w:color w:val="auto"/>
                      <w:szCs w:val="21"/>
                    </w:rPr>
                  </w:pPr>
                </w:p>
              </w:tc>
              <w:tc>
                <w:tcPr>
                  <w:tcW w:w="2131" w:type="dxa"/>
                </w:tcPr>
                <w:p w14:paraId="2F8FF99E">
                  <w:pPr>
                    <w:pStyle w:val="9"/>
                    <w:ind w:firstLine="0"/>
                    <w:jc w:val="center"/>
                    <w:rPr>
                      <w:rFonts w:hint="default" w:eastAsia="宋体"/>
                      <w:color w:val="auto"/>
                      <w:szCs w:val="21"/>
                      <w:lang w:val="en-US" w:eastAsia="zh-CN"/>
                    </w:rPr>
                  </w:pPr>
                  <w:r>
                    <w:rPr>
                      <w:rFonts w:hint="eastAsia"/>
                      <w:color w:val="auto"/>
                      <w:szCs w:val="21"/>
                      <w:lang w:val="en-US" w:eastAsia="zh-CN"/>
                    </w:rPr>
                    <w:t>进入废酸渣</w:t>
                  </w:r>
                </w:p>
              </w:tc>
              <w:tc>
                <w:tcPr>
                  <w:tcW w:w="1525" w:type="dxa"/>
                </w:tcPr>
                <w:p w14:paraId="2F794985">
                  <w:pPr>
                    <w:pStyle w:val="9"/>
                    <w:ind w:firstLine="0"/>
                    <w:jc w:val="center"/>
                    <w:rPr>
                      <w:rFonts w:hint="default" w:eastAsia="宋体"/>
                      <w:color w:val="auto"/>
                      <w:szCs w:val="21"/>
                      <w:lang w:val="en-US" w:eastAsia="zh-CN"/>
                    </w:rPr>
                  </w:pPr>
                  <w:r>
                    <w:rPr>
                      <w:rFonts w:hint="eastAsia"/>
                      <w:color w:val="auto"/>
                      <w:szCs w:val="21"/>
                      <w:lang w:val="en-US" w:eastAsia="zh-CN"/>
                    </w:rPr>
                    <w:t>1.38</w:t>
                  </w:r>
                </w:p>
              </w:tc>
            </w:tr>
            <w:tr w14:paraId="6B47C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tcPr>
                <w:p w14:paraId="5C9597D9">
                  <w:pPr>
                    <w:pStyle w:val="9"/>
                    <w:ind w:firstLine="0"/>
                    <w:jc w:val="center"/>
                    <w:rPr>
                      <w:rFonts w:hint="eastAsia"/>
                      <w:color w:val="auto"/>
                      <w:szCs w:val="21"/>
                    </w:rPr>
                  </w:pPr>
                  <w:r>
                    <w:rPr>
                      <w:rFonts w:hint="eastAsia"/>
                      <w:color w:val="auto"/>
                      <w:szCs w:val="21"/>
                    </w:rPr>
                    <w:t>合计</w:t>
                  </w:r>
                </w:p>
              </w:tc>
              <w:tc>
                <w:tcPr>
                  <w:tcW w:w="1626" w:type="dxa"/>
                </w:tcPr>
                <w:p w14:paraId="1241AD1D">
                  <w:pPr>
                    <w:pStyle w:val="9"/>
                    <w:ind w:firstLine="0"/>
                    <w:jc w:val="center"/>
                    <w:rPr>
                      <w:rFonts w:hint="default" w:eastAsia="宋体"/>
                      <w:color w:val="auto"/>
                      <w:szCs w:val="21"/>
                      <w:lang w:val="en-US" w:eastAsia="zh-CN"/>
                    </w:rPr>
                  </w:pPr>
                  <w:r>
                    <w:rPr>
                      <w:rFonts w:hint="eastAsia"/>
                      <w:color w:val="auto"/>
                      <w:szCs w:val="21"/>
                      <w:lang w:val="en-US" w:eastAsia="zh-CN"/>
                    </w:rPr>
                    <w:t>76</w:t>
                  </w:r>
                </w:p>
              </w:tc>
              <w:tc>
                <w:tcPr>
                  <w:tcW w:w="2885" w:type="dxa"/>
                  <w:gridSpan w:val="2"/>
                </w:tcPr>
                <w:p w14:paraId="2E2417E6">
                  <w:pPr>
                    <w:pStyle w:val="9"/>
                    <w:ind w:firstLine="0"/>
                    <w:jc w:val="center"/>
                    <w:rPr>
                      <w:color w:val="auto"/>
                      <w:szCs w:val="21"/>
                    </w:rPr>
                  </w:pPr>
                  <w:r>
                    <w:rPr>
                      <w:rFonts w:hint="eastAsia"/>
                      <w:color w:val="auto"/>
                      <w:szCs w:val="21"/>
                    </w:rPr>
                    <w:t>合计</w:t>
                  </w:r>
                </w:p>
              </w:tc>
              <w:tc>
                <w:tcPr>
                  <w:tcW w:w="1525" w:type="dxa"/>
                </w:tcPr>
                <w:p w14:paraId="6BE54E8B">
                  <w:pPr>
                    <w:pStyle w:val="9"/>
                    <w:ind w:firstLine="0"/>
                    <w:jc w:val="center"/>
                    <w:rPr>
                      <w:rFonts w:hint="default" w:eastAsia="宋体"/>
                      <w:color w:val="auto"/>
                      <w:szCs w:val="21"/>
                      <w:lang w:val="en-US" w:eastAsia="zh-CN"/>
                    </w:rPr>
                  </w:pPr>
                  <w:r>
                    <w:rPr>
                      <w:rFonts w:hint="eastAsia"/>
                      <w:color w:val="auto"/>
                      <w:szCs w:val="21"/>
                      <w:lang w:val="en-US" w:eastAsia="zh-CN"/>
                    </w:rPr>
                    <w:t>76</w:t>
                  </w:r>
                </w:p>
              </w:tc>
            </w:tr>
          </w:tbl>
          <w:p w14:paraId="16DF241E">
            <w:pPr>
              <w:spacing w:line="400" w:lineRule="exact"/>
              <w:jc w:val="center"/>
              <w:rPr>
                <w:rFonts w:hint="eastAsia"/>
                <w:b/>
                <w:bCs/>
                <w:color w:val="auto"/>
                <w:szCs w:val="21"/>
              </w:rPr>
            </w:pPr>
            <w:r>
              <w:rPr>
                <w:b/>
                <w:bCs/>
                <w:color w:val="auto"/>
                <w:szCs w:val="21"/>
              </w:rPr>
              <w:t>表2-</w:t>
            </w:r>
            <w:r>
              <w:rPr>
                <w:rFonts w:hint="eastAsia"/>
                <w:b/>
                <w:bCs/>
                <w:color w:val="auto"/>
                <w:szCs w:val="21"/>
                <w:lang w:val="en-US" w:eastAsia="zh-CN"/>
              </w:rPr>
              <w:t>11</w:t>
            </w:r>
            <w:r>
              <w:rPr>
                <w:b/>
                <w:bCs/>
                <w:color w:val="auto"/>
                <w:szCs w:val="21"/>
              </w:rPr>
              <w:t xml:space="preserve">  </w:t>
            </w:r>
            <w:r>
              <w:rPr>
                <w:rFonts w:hint="eastAsia"/>
                <w:b/>
                <w:bCs/>
                <w:color w:val="auto"/>
                <w:szCs w:val="21"/>
              </w:rPr>
              <w:t>氯</w:t>
            </w:r>
            <w:r>
              <w:rPr>
                <w:rFonts w:hint="eastAsia"/>
                <w:b/>
                <w:bCs/>
                <w:color w:val="auto"/>
                <w:szCs w:val="21"/>
                <w:lang w:val="en-US" w:eastAsia="zh-CN"/>
              </w:rPr>
              <w:t>元素</w:t>
            </w:r>
            <w:r>
              <w:rPr>
                <w:rFonts w:hint="eastAsia"/>
                <w:b/>
                <w:bCs/>
                <w:color w:val="auto"/>
                <w:szCs w:val="21"/>
              </w:rPr>
              <w:t>全年物料平衡</w:t>
            </w:r>
          </w:p>
          <w:tbl>
            <w:tblPr>
              <w:tblStyle w:val="33"/>
              <w:tblW w:w="80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1696"/>
              <w:gridCol w:w="663"/>
              <w:gridCol w:w="2643"/>
              <w:gridCol w:w="1034"/>
            </w:tblGrid>
            <w:tr w14:paraId="2177C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8" w:type="dxa"/>
                  <w:gridSpan w:val="2"/>
                  <w:vAlign w:val="center"/>
                </w:tcPr>
                <w:p w14:paraId="020794A5">
                  <w:pPr>
                    <w:pStyle w:val="9"/>
                    <w:ind w:firstLine="0"/>
                    <w:jc w:val="center"/>
                    <w:rPr>
                      <w:color w:val="auto"/>
                      <w:szCs w:val="21"/>
                    </w:rPr>
                  </w:pPr>
                  <w:r>
                    <w:rPr>
                      <w:rFonts w:hint="eastAsia"/>
                      <w:color w:val="auto"/>
                      <w:szCs w:val="21"/>
                    </w:rPr>
                    <w:t>投入量（t/a）</w:t>
                  </w:r>
                </w:p>
              </w:tc>
              <w:tc>
                <w:tcPr>
                  <w:tcW w:w="4340" w:type="dxa"/>
                  <w:gridSpan w:val="3"/>
                  <w:vAlign w:val="center"/>
                </w:tcPr>
                <w:p w14:paraId="41B2B5AE">
                  <w:pPr>
                    <w:pStyle w:val="9"/>
                    <w:ind w:firstLine="0"/>
                    <w:jc w:val="center"/>
                    <w:rPr>
                      <w:color w:val="auto"/>
                      <w:szCs w:val="21"/>
                    </w:rPr>
                  </w:pPr>
                  <w:r>
                    <w:rPr>
                      <w:rFonts w:hint="eastAsia"/>
                      <w:color w:val="auto"/>
                      <w:szCs w:val="21"/>
                    </w:rPr>
                    <w:t>产出量（t/a）</w:t>
                  </w:r>
                </w:p>
              </w:tc>
            </w:tr>
            <w:tr w14:paraId="01DFA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0363D2A5">
                  <w:pPr>
                    <w:pStyle w:val="9"/>
                    <w:ind w:firstLine="0"/>
                    <w:jc w:val="center"/>
                    <w:rPr>
                      <w:color w:val="auto"/>
                      <w:szCs w:val="21"/>
                    </w:rPr>
                  </w:pPr>
                  <w:r>
                    <w:rPr>
                      <w:rFonts w:hint="eastAsia"/>
                      <w:color w:val="auto"/>
                      <w:szCs w:val="21"/>
                    </w:rPr>
                    <w:t>物质名称</w:t>
                  </w:r>
                </w:p>
              </w:tc>
              <w:tc>
                <w:tcPr>
                  <w:tcW w:w="1696" w:type="dxa"/>
                  <w:vAlign w:val="center"/>
                </w:tcPr>
                <w:p w14:paraId="5CDBCF8A">
                  <w:pPr>
                    <w:pStyle w:val="9"/>
                    <w:ind w:firstLine="0"/>
                    <w:jc w:val="center"/>
                    <w:rPr>
                      <w:color w:val="auto"/>
                      <w:szCs w:val="21"/>
                    </w:rPr>
                  </w:pPr>
                  <w:r>
                    <w:rPr>
                      <w:rFonts w:hint="eastAsia"/>
                      <w:color w:val="auto"/>
                      <w:szCs w:val="21"/>
                    </w:rPr>
                    <w:t>数量</w:t>
                  </w:r>
                </w:p>
              </w:tc>
              <w:tc>
                <w:tcPr>
                  <w:tcW w:w="3306" w:type="dxa"/>
                  <w:gridSpan w:val="2"/>
                  <w:vAlign w:val="center"/>
                </w:tcPr>
                <w:p w14:paraId="6E43CE40">
                  <w:pPr>
                    <w:pStyle w:val="9"/>
                    <w:ind w:firstLine="0"/>
                    <w:jc w:val="center"/>
                    <w:rPr>
                      <w:rFonts w:hint="eastAsia"/>
                      <w:color w:val="auto"/>
                      <w:szCs w:val="21"/>
                    </w:rPr>
                  </w:pPr>
                  <w:r>
                    <w:rPr>
                      <w:rFonts w:hint="eastAsia"/>
                      <w:color w:val="auto"/>
                      <w:szCs w:val="21"/>
                    </w:rPr>
                    <w:t>物质名称</w:t>
                  </w:r>
                </w:p>
              </w:tc>
              <w:tc>
                <w:tcPr>
                  <w:tcW w:w="1034" w:type="dxa"/>
                  <w:vAlign w:val="center"/>
                </w:tcPr>
                <w:p w14:paraId="2E4A18D8">
                  <w:pPr>
                    <w:pStyle w:val="9"/>
                    <w:ind w:firstLine="0"/>
                    <w:jc w:val="center"/>
                    <w:rPr>
                      <w:rFonts w:hint="eastAsia"/>
                      <w:color w:val="auto"/>
                      <w:szCs w:val="21"/>
                    </w:rPr>
                  </w:pPr>
                  <w:r>
                    <w:rPr>
                      <w:rFonts w:hint="eastAsia"/>
                      <w:color w:val="auto"/>
                      <w:szCs w:val="21"/>
                    </w:rPr>
                    <w:t>数量</w:t>
                  </w:r>
                </w:p>
              </w:tc>
            </w:tr>
            <w:tr w14:paraId="7457F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2020E12E">
                  <w:pPr>
                    <w:pStyle w:val="9"/>
                    <w:ind w:firstLine="0"/>
                    <w:jc w:val="center"/>
                    <w:rPr>
                      <w:rFonts w:hint="eastAsia"/>
                      <w:color w:val="auto"/>
                      <w:szCs w:val="21"/>
                    </w:rPr>
                  </w:pPr>
                  <w:r>
                    <w:rPr>
                      <w:rFonts w:hint="eastAsia"/>
                      <w:color w:val="auto"/>
                      <w:szCs w:val="21"/>
                    </w:rPr>
                    <w:t>氯化氢</w:t>
                  </w:r>
                </w:p>
              </w:tc>
              <w:tc>
                <w:tcPr>
                  <w:tcW w:w="1696" w:type="dxa"/>
                  <w:vAlign w:val="center"/>
                </w:tcPr>
                <w:p w14:paraId="5DBCAC66">
                  <w:pPr>
                    <w:pStyle w:val="9"/>
                    <w:ind w:firstLine="0"/>
                    <w:jc w:val="center"/>
                    <w:rPr>
                      <w:rFonts w:hint="default" w:eastAsia="宋体"/>
                      <w:color w:val="auto"/>
                      <w:szCs w:val="21"/>
                      <w:lang w:val="en-US" w:eastAsia="zh-CN"/>
                    </w:rPr>
                  </w:pPr>
                  <w:r>
                    <w:rPr>
                      <w:rFonts w:hint="eastAsia"/>
                      <w:color w:val="auto"/>
                      <w:szCs w:val="21"/>
                    </w:rPr>
                    <w:t>1</w:t>
                  </w:r>
                  <w:r>
                    <w:rPr>
                      <w:rFonts w:hint="eastAsia"/>
                      <w:color w:val="auto"/>
                      <w:szCs w:val="21"/>
                      <w:lang w:val="en-US" w:eastAsia="zh-CN"/>
                    </w:rPr>
                    <w:t>0.5041</w:t>
                  </w:r>
                </w:p>
              </w:tc>
              <w:tc>
                <w:tcPr>
                  <w:tcW w:w="663" w:type="dxa"/>
                  <w:vMerge w:val="restart"/>
                  <w:vAlign w:val="center"/>
                </w:tcPr>
                <w:p w14:paraId="1FC1DE20">
                  <w:pPr>
                    <w:pStyle w:val="9"/>
                    <w:ind w:firstLine="0"/>
                    <w:jc w:val="center"/>
                    <w:rPr>
                      <w:color w:val="auto"/>
                      <w:szCs w:val="21"/>
                    </w:rPr>
                  </w:pPr>
                  <w:r>
                    <w:rPr>
                      <w:rFonts w:hint="eastAsia"/>
                      <w:color w:val="auto"/>
                      <w:szCs w:val="21"/>
                    </w:rPr>
                    <w:t>废气</w:t>
                  </w:r>
                </w:p>
              </w:tc>
              <w:tc>
                <w:tcPr>
                  <w:tcW w:w="2643" w:type="dxa"/>
                  <w:vAlign w:val="center"/>
                </w:tcPr>
                <w:p w14:paraId="7367FA8B">
                  <w:pPr>
                    <w:pStyle w:val="9"/>
                    <w:ind w:firstLine="0"/>
                    <w:jc w:val="center"/>
                    <w:rPr>
                      <w:color w:val="auto"/>
                      <w:szCs w:val="21"/>
                    </w:rPr>
                  </w:pPr>
                  <w:r>
                    <w:rPr>
                      <w:rFonts w:hint="eastAsia"/>
                      <w:color w:val="auto"/>
                      <w:szCs w:val="21"/>
                    </w:rPr>
                    <w:t>进入储罐废气</w:t>
                  </w:r>
                </w:p>
              </w:tc>
              <w:tc>
                <w:tcPr>
                  <w:tcW w:w="1034" w:type="dxa"/>
                  <w:vAlign w:val="center"/>
                </w:tcPr>
                <w:p w14:paraId="7040BE0A">
                  <w:pPr>
                    <w:pStyle w:val="9"/>
                    <w:ind w:firstLine="0"/>
                    <w:jc w:val="center"/>
                    <w:rPr>
                      <w:rFonts w:hint="default" w:eastAsia="宋体"/>
                      <w:color w:val="auto"/>
                      <w:szCs w:val="21"/>
                      <w:lang w:val="en-US" w:eastAsia="zh-CN"/>
                    </w:rPr>
                  </w:pPr>
                  <w:r>
                    <w:rPr>
                      <w:rFonts w:hint="eastAsia"/>
                      <w:color w:val="auto"/>
                      <w:szCs w:val="21"/>
                      <w:lang w:val="en-US" w:eastAsia="zh-CN"/>
                    </w:rPr>
                    <w:t>0.003</w:t>
                  </w:r>
                </w:p>
              </w:tc>
            </w:tr>
            <w:tr w14:paraId="6C2ED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17B533ED">
                  <w:pPr>
                    <w:pStyle w:val="9"/>
                    <w:ind w:firstLine="0"/>
                    <w:jc w:val="center"/>
                    <w:rPr>
                      <w:rFonts w:hint="eastAsia"/>
                      <w:color w:val="auto"/>
                      <w:szCs w:val="21"/>
                    </w:rPr>
                  </w:pPr>
                  <w:r>
                    <w:rPr>
                      <w:rFonts w:hint="eastAsia"/>
                      <w:color w:val="auto"/>
                      <w:szCs w:val="21"/>
                    </w:rPr>
                    <w:t>盐酸中的氯化氢</w:t>
                  </w:r>
                </w:p>
              </w:tc>
              <w:tc>
                <w:tcPr>
                  <w:tcW w:w="1696" w:type="dxa"/>
                  <w:vAlign w:val="center"/>
                </w:tcPr>
                <w:p w14:paraId="15FC63D0">
                  <w:pPr>
                    <w:pStyle w:val="9"/>
                    <w:ind w:firstLine="0"/>
                    <w:jc w:val="center"/>
                    <w:rPr>
                      <w:rFonts w:hint="default" w:eastAsia="宋体"/>
                      <w:color w:val="auto"/>
                      <w:szCs w:val="21"/>
                      <w:lang w:val="en-US" w:eastAsia="zh-CN"/>
                    </w:rPr>
                  </w:pPr>
                  <w:r>
                    <w:rPr>
                      <w:rFonts w:hint="eastAsia"/>
                      <w:color w:val="auto"/>
                      <w:szCs w:val="21"/>
                      <w:lang w:val="en-US" w:eastAsia="zh-CN"/>
                    </w:rPr>
                    <w:t>280.1096</w:t>
                  </w:r>
                </w:p>
              </w:tc>
              <w:tc>
                <w:tcPr>
                  <w:tcW w:w="663" w:type="dxa"/>
                  <w:vMerge w:val="continue"/>
                  <w:vAlign w:val="center"/>
                </w:tcPr>
                <w:p w14:paraId="2AE87695">
                  <w:pPr>
                    <w:pStyle w:val="9"/>
                    <w:ind w:firstLine="0"/>
                    <w:jc w:val="center"/>
                    <w:rPr>
                      <w:rFonts w:hint="eastAsia"/>
                      <w:color w:val="auto"/>
                      <w:szCs w:val="21"/>
                    </w:rPr>
                  </w:pPr>
                </w:p>
              </w:tc>
              <w:tc>
                <w:tcPr>
                  <w:tcW w:w="2643" w:type="dxa"/>
                  <w:vAlign w:val="center"/>
                </w:tcPr>
                <w:p w14:paraId="2755D261">
                  <w:pPr>
                    <w:pStyle w:val="9"/>
                    <w:ind w:firstLine="0"/>
                    <w:jc w:val="center"/>
                    <w:rPr>
                      <w:color w:val="auto"/>
                      <w:szCs w:val="21"/>
                    </w:rPr>
                  </w:pPr>
                  <w:r>
                    <w:rPr>
                      <w:rFonts w:hint="eastAsia"/>
                      <w:color w:val="auto"/>
                      <w:szCs w:val="21"/>
                    </w:rPr>
                    <w:t>进入</w:t>
                  </w:r>
                  <w:r>
                    <w:rPr>
                      <w:rFonts w:hint="eastAsia"/>
                      <w:color w:val="auto"/>
                      <w:szCs w:val="21"/>
                      <w:lang w:val="en-US" w:eastAsia="zh-CN"/>
                    </w:rPr>
                    <w:t>纯化</w:t>
                  </w:r>
                  <w:r>
                    <w:rPr>
                      <w:rFonts w:hint="eastAsia"/>
                      <w:color w:val="auto"/>
                      <w:szCs w:val="21"/>
                    </w:rPr>
                    <w:t>废气</w:t>
                  </w:r>
                </w:p>
              </w:tc>
              <w:tc>
                <w:tcPr>
                  <w:tcW w:w="1034" w:type="dxa"/>
                  <w:vAlign w:val="center"/>
                </w:tcPr>
                <w:p w14:paraId="119DAA32">
                  <w:pPr>
                    <w:pStyle w:val="9"/>
                    <w:ind w:firstLine="0"/>
                    <w:jc w:val="center"/>
                    <w:rPr>
                      <w:rFonts w:hint="default" w:eastAsia="宋体"/>
                      <w:color w:val="auto"/>
                      <w:szCs w:val="21"/>
                      <w:lang w:val="en-US" w:eastAsia="zh-CN"/>
                    </w:rPr>
                  </w:pPr>
                  <w:r>
                    <w:rPr>
                      <w:rFonts w:hint="eastAsia"/>
                      <w:color w:val="auto"/>
                      <w:szCs w:val="21"/>
                      <w:lang w:val="en-US" w:eastAsia="zh-CN"/>
                    </w:rPr>
                    <w:t>10.2123</w:t>
                  </w:r>
                </w:p>
              </w:tc>
            </w:tr>
            <w:tr w14:paraId="23827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0B94FF11">
                  <w:pPr>
                    <w:pStyle w:val="9"/>
                    <w:ind w:firstLine="0"/>
                    <w:jc w:val="center"/>
                    <w:rPr>
                      <w:rFonts w:hint="eastAsia"/>
                      <w:color w:val="auto"/>
                      <w:szCs w:val="21"/>
                    </w:rPr>
                  </w:pPr>
                </w:p>
              </w:tc>
              <w:tc>
                <w:tcPr>
                  <w:tcW w:w="1696" w:type="dxa"/>
                  <w:vAlign w:val="center"/>
                </w:tcPr>
                <w:p w14:paraId="694C5D23">
                  <w:pPr>
                    <w:pStyle w:val="9"/>
                    <w:ind w:firstLine="0"/>
                    <w:jc w:val="center"/>
                    <w:rPr>
                      <w:rFonts w:hint="eastAsia"/>
                      <w:color w:val="auto"/>
                      <w:szCs w:val="21"/>
                    </w:rPr>
                  </w:pPr>
                </w:p>
              </w:tc>
              <w:tc>
                <w:tcPr>
                  <w:tcW w:w="663" w:type="dxa"/>
                  <w:vMerge w:val="continue"/>
                  <w:vAlign w:val="center"/>
                </w:tcPr>
                <w:p w14:paraId="715FEDB9">
                  <w:pPr>
                    <w:pStyle w:val="9"/>
                    <w:ind w:firstLine="0"/>
                    <w:jc w:val="center"/>
                    <w:rPr>
                      <w:rFonts w:hint="eastAsia"/>
                      <w:color w:val="auto"/>
                      <w:szCs w:val="21"/>
                    </w:rPr>
                  </w:pPr>
                </w:p>
              </w:tc>
              <w:tc>
                <w:tcPr>
                  <w:tcW w:w="2643" w:type="dxa"/>
                  <w:vAlign w:val="center"/>
                </w:tcPr>
                <w:p w14:paraId="11A31005">
                  <w:pPr>
                    <w:pStyle w:val="9"/>
                    <w:ind w:firstLine="0"/>
                    <w:jc w:val="center"/>
                    <w:rPr>
                      <w:color w:val="auto"/>
                      <w:szCs w:val="21"/>
                    </w:rPr>
                  </w:pPr>
                  <w:r>
                    <w:rPr>
                      <w:rFonts w:hint="eastAsia"/>
                      <w:color w:val="auto"/>
                      <w:szCs w:val="21"/>
                    </w:rPr>
                    <w:t>进入颗粒物（</w:t>
                  </w:r>
                  <w:r>
                    <w:rPr>
                      <w:rFonts w:hint="eastAsia"/>
                      <w:color w:val="auto"/>
                      <w:szCs w:val="21"/>
                      <w:lang w:val="en-US" w:eastAsia="zh-CN"/>
                    </w:rPr>
                    <w:t>生成</w:t>
                  </w:r>
                  <w:r>
                    <w:rPr>
                      <w:rFonts w:hint="eastAsia"/>
                      <w:color w:val="auto"/>
                      <w:szCs w:val="21"/>
                    </w:rPr>
                    <w:t>氯化物）</w:t>
                  </w:r>
                </w:p>
              </w:tc>
              <w:tc>
                <w:tcPr>
                  <w:tcW w:w="1034" w:type="dxa"/>
                  <w:vAlign w:val="center"/>
                </w:tcPr>
                <w:p w14:paraId="166F4A21">
                  <w:pPr>
                    <w:pStyle w:val="9"/>
                    <w:ind w:firstLine="0"/>
                    <w:jc w:val="center"/>
                    <w:rPr>
                      <w:rFonts w:hint="default" w:eastAsia="宋体"/>
                      <w:color w:val="auto"/>
                      <w:szCs w:val="21"/>
                      <w:lang w:val="en-US" w:eastAsia="zh-CN"/>
                    </w:rPr>
                  </w:pPr>
                  <w:r>
                    <w:rPr>
                      <w:rFonts w:hint="eastAsia"/>
                      <w:color w:val="auto"/>
                      <w:szCs w:val="21"/>
                      <w:lang w:val="en-US" w:eastAsia="zh-CN"/>
                    </w:rPr>
                    <w:t>0.2918</w:t>
                  </w:r>
                </w:p>
              </w:tc>
            </w:tr>
            <w:tr w14:paraId="07193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253A1435">
                  <w:pPr>
                    <w:pStyle w:val="9"/>
                    <w:ind w:firstLine="0"/>
                    <w:jc w:val="center"/>
                    <w:rPr>
                      <w:rFonts w:hint="eastAsia"/>
                      <w:color w:val="auto"/>
                      <w:szCs w:val="21"/>
                    </w:rPr>
                  </w:pPr>
                </w:p>
              </w:tc>
              <w:tc>
                <w:tcPr>
                  <w:tcW w:w="1696" w:type="dxa"/>
                  <w:vAlign w:val="center"/>
                </w:tcPr>
                <w:p w14:paraId="69C819F5">
                  <w:pPr>
                    <w:pStyle w:val="9"/>
                    <w:ind w:firstLine="0"/>
                    <w:jc w:val="center"/>
                    <w:rPr>
                      <w:rFonts w:hint="eastAsia"/>
                      <w:color w:val="auto"/>
                      <w:szCs w:val="21"/>
                    </w:rPr>
                  </w:pPr>
                </w:p>
              </w:tc>
              <w:tc>
                <w:tcPr>
                  <w:tcW w:w="663" w:type="dxa"/>
                  <w:vMerge w:val="continue"/>
                  <w:vAlign w:val="center"/>
                </w:tcPr>
                <w:p w14:paraId="5FCBDFCD">
                  <w:pPr>
                    <w:pStyle w:val="9"/>
                    <w:ind w:firstLine="0"/>
                    <w:jc w:val="center"/>
                    <w:rPr>
                      <w:rFonts w:hint="eastAsia"/>
                      <w:color w:val="auto"/>
                      <w:szCs w:val="21"/>
                    </w:rPr>
                  </w:pPr>
                </w:p>
              </w:tc>
              <w:tc>
                <w:tcPr>
                  <w:tcW w:w="2643" w:type="dxa"/>
                  <w:vAlign w:val="center"/>
                </w:tcPr>
                <w:p w14:paraId="1A10DD3C">
                  <w:pPr>
                    <w:pStyle w:val="9"/>
                    <w:ind w:firstLine="0"/>
                    <w:jc w:val="center"/>
                    <w:rPr>
                      <w:color w:val="auto"/>
                      <w:szCs w:val="21"/>
                    </w:rPr>
                  </w:pPr>
                  <w:r>
                    <w:rPr>
                      <w:rFonts w:hint="eastAsia"/>
                      <w:color w:val="auto"/>
                      <w:szCs w:val="21"/>
                    </w:rPr>
                    <w:t>进入酸洗废气</w:t>
                  </w:r>
                </w:p>
              </w:tc>
              <w:tc>
                <w:tcPr>
                  <w:tcW w:w="1034" w:type="dxa"/>
                  <w:vAlign w:val="center"/>
                </w:tcPr>
                <w:p w14:paraId="342F14A1">
                  <w:pPr>
                    <w:pStyle w:val="9"/>
                    <w:ind w:firstLine="0"/>
                    <w:jc w:val="center"/>
                    <w:rPr>
                      <w:rFonts w:hint="default" w:eastAsia="宋体"/>
                      <w:color w:val="auto"/>
                      <w:szCs w:val="21"/>
                      <w:lang w:val="en-US" w:eastAsia="zh-CN"/>
                    </w:rPr>
                  </w:pPr>
                  <w:r>
                    <w:rPr>
                      <w:rFonts w:hint="eastAsia"/>
                      <w:color w:val="auto"/>
                      <w:szCs w:val="21"/>
                      <w:lang w:val="en-US" w:eastAsia="zh-CN"/>
                    </w:rPr>
                    <w:t>4.202</w:t>
                  </w:r>
                </w:p>
              </w:tc>
            </w:tr>
            <w:tr w14:paraId="71409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5D9C7466">
                  <w:pPr>
                    <w:pStyle w:val="9"/>
                    <w:ind w:firstLine="0"/>
                    <w:jc w:val="center"/>
                    <w:rPr>
                      <w:rFonts w:hint="eastAsia"/>
                      <w:color w:val="auto"/>
                      <w:szCs w:val="21"/>
                    </w:rPr>
                  </w:pPr>
                </w:p>
              </w:tc>
              <w:tc>
                <w:tcPr>
                  <w:tcW w:w="1696" w:type="dxa"/>
                  <w:vAlign w:val="center"/>
                </w:tcPr>
                <w:p w14:paraId="23A3F62F">
                  <w:pPr>
                    <w:pStyle w:val="9"/>
                    <w:ind w:firstLine="0"/>
                    <w:jc w:val="center"/>
                    <w:rPr>
                      <w:rFonts w:hint="eastAsia"/>
                      <w:color w:val="auto"/>
                      <w:szCs w:val="21"/>
                    </w:rPr>
                  </w:pPr>
                </w:p>
              </w:tc>
              <w:tc>
                <w:tcPr>
                  <w:tcW w:w="663" w:type="dxa"/>
                  <w:vAlign w:val="center"/>
                </w:tcPr>
                <w:p w14:paraId="193B1024">
                  <w:pPr>
                    <w:pStyle w:val="9"/>
                    <w:ind w:firstLine="0"/>
                    <w:jc w:val="center"/>
                    <w:rPr>
                      <w:color w:val="auto"/>
                      <w:szCs w:val="21"/>
                    </w:rPr>
                  </w:pPr>
                  <w:r>
                    <w:rPr>
                      <w:rFonts w:hint="eastAsia"/>
                      <w:color w:val="auto"/>
                      <w:szCs w:val="21"/>
                    </w:rPr>
                    <w:t>废水</w:t>
                  </w:r>
                </w:p>
              </w:tc>
              <w:tc>
                <w:tcPr>
                  <w:tcW w:w="2643" w:type="dxa"/>
                  <w:vAlign w:val="center"/>
                </w:tcPr>
                <w:p w14:paraId="75A72F0E">
                  <w:pPr>
                    <w:pStyle w:val="9"/>
                    <w:ind w:firstLine="0"/>
                    <w:jc w:val="center"/>
                    <w:rPr>
                      <w:color w:val="auto"/>
                      <w:szCs w:val="21"/>
                    </w:rPr>
                  </w:pPr>
                  <w:r>
                    <w:rPr>
                      <w:rFonts w:hint="eastAsia"/>
                      <w:color w:val="auto"/>
                      <w:szCs w:val="21"/>
                    </w:rPr>
                    <w:t>进入清洗</w:t>
                  </w:r>
                  <w:r>
                    <w:rPr>
                      <w:rFonts w:hint="eastAsia"/>
                      <w:color w:val="auto"/>
                      <w:szCs w:val="21"/>
                      <w:lang w:eastAsia="zh-CN"/>
                    </w:rPr>
                    <w:t>、</w:t>
                  </w:r>
                  <w:r>
                    <w:rPr>
                      <w:rFonts w:hint="eastAsia"/>
                      <w:color w:val="auto"/>
                      <w:szCs w:val="21"/>
                      <w:lang w:val="en-US" w:eastAsia="zh-CN"/>
                    </w:rPr>
                    <w:t>喷淋</w:t>
                  </w:r>
                  <w:r>
                    <w:rPr>
                      <w:rFonts w:hint="eastAsia"/>
                      <w:color w:val="auto"/>
                      <w:szCs w:val="21"/>
                    </w:rPr>
                    <w:t>废水</w:t>
                  </w:r>
                </w:p>
              </w:tc>
              <w:tc>
                <w:tcPr>
                  <w:tcW w:w="1034" w:type="dxa"/>
                  <w:vAlign w:val="center"/>
                </w:tcPr>
                <w:p w14:paraId="0187EFE8">
                  <w:pPr>
                    <w:pStyle w:val="9"/>
                    <w:ind w:firstLine="0"/>
                    <w:jc w:val="center"/>
                    <w:rPr>
                      <w:rFonts w:hint="default" w:eastAsia="宋体"/>
                      <w:color w:val="auto"/>
                      <w:szCs w:val="21"/>
                      <w:lang w:val="en-US" w:eastAsia="zh-CN"/>
                    </w:rPr>
                  </w:pPr>
                  <w:r>
                    <w:rPr>
                      <w:rFonts w:hint="eastAsia"/>
                      <w:color w:val="auto"/>
                      <w:szCs w:val="21"/>
                      <w:lang w:val="en-US" w:eastAsia="zh-CN"/>
                    </w:rPr>
                    <w:t>20.0318</w:t>
                  </w:r>
                </w:p>
              </w:tc>
            </w:tr>
            <w:tr w14:paraId="6DEF9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5C337918">
                  <w:pPr>
                    <w:pStyle w:val="9"/>
                    <w:ind w:firstLine="0"/>
                    <w:jc w:val="center"/>
                    <w:rPr>
                      <w:rFonts w:hint="eastAsia"/>
                      <w:color w:val="auto"/>
                      <w:szCs w:val="21"/>
                    </w:rPr>
                  </w:pPr>
                </w:p>
              </w:tc>
              <w:tc>
                <w:tcPr>
                  <w:tcW w:w="1696" w:type="dxa"/>
                  <w:vAlign w:val="center"/>
                </w:tcPr>
                <w:p w14:paraId="28BA9B3D">
                  <w:pPr>
                    <w:pStyle w:val="9"/>
                    <w:ind w:firstLine="0"/>
                    <w:jc w:val="center"/>
                    <w:rPr>
                      <w:rFonts w:hint="eastAsia"/>
                      <w:color w:val="auto"/>
                      <w:szCs w:val="21"/>
                    </w:rPr>
                  </w:pPr>
                </w:p>
              </w:tc>
              <w:tc>
                <w:tcPr>
                  <w:tcW w:w="663" w:type="dxa"/>
                  <w:vMerge w:val="restart"/>
                  <w:vAlign w:val="center"/>
                </w:tcPr>
                <w:p w14:paraId="061A1852">
                  <w:pPr>
                    <w:pStyle w:val="9"/>
                    <w:ind w:firstLine="0"/>
                    <w:jc w:val="center"/>
                    <w:rPr>
                      <w:color w:val="auto"/>
                      <w:szCs w:val="21"/>
                    </w:rPr>
                  </w:pPr>
                  <w:r>
                    <w:rPr>
                      <w:rFonts w:hint="eastAsia"/>
                      <w:color w:val="auto"/>
                      <w:szCs w:val="21"/>
                    </w:rPr>
                    <w:t>固废</w:t>
                  </w:r>
                </w:p>
              </w:tc>
              <w:tc>
                <w:tcPr>
                  <w:tcW w:w="2643" w:type="dxa"/>
                  <w:vAlign w:val="center"/>
                </w:tcPr>
                <w:p w14:paraId="24B185AB">
                  <w:pPr>
                    <w:pStyle w:val="9"/>
                    <w:ind w:firstLine="0"/>
                    <w:jc w:val="center"/>
                    <w:rPr>
                      <w:color w:val="auto"/>
                      <w:szCs w:val="21"/>
                    </w:rPr>
                  </w:pPr>
                  <w:r>
                    <w:rPr>
                      <w:rFonts w:hint="eastAsia"/>
                      <w:color w:val="auto"/>
                      <w:szCs w:val="21"/>
                    </w:rPr>
                    <w:t>进入废酸</w:t>
                  </w:r>
                </w:p>
              </w:tc>
              <w:tc>
                <w:tcPr>
                  <w:tcW w:w="1034" w:type="dxa"/>
                  <w:vAlign w:val="center"/>
                </w:tcPr>
                <w:p w14:paraId="72349D81">
                  <w:pPr>
                    <w:pStyle w:val="9"/>
                    <w:ind w:firstLine="0"/>
                    <w:jc w:val="center"/>
                    <w:rPr>
                      <w:rFonts w:hint="default" w:eastAsia="宋体"/>
                      <w:color w:val="auto"/>
                      <w:szCs w:val="21"/>
                      <w:lang w:val="en-US" w:eastAsia="zh-CN"/>
                    </w:rPr>
                  </w:pPr>
                  <w:r>
                    <w:rPr>
                      <w:rFonts w:hint="eastAsia"/>
                      <w:color w:val="auto"/>
                      <w:szCs w:val="21"/>
                      <w:lang w:val="en-US" w:eastAsia="zh-CN"/>
                    </w:rPr>
                    <w:t>263.8555</w:t>
                  </w:r>
                </w:p>
              </w:tc>
            </w:tr>
            <w:tr w14:paraId="5BED0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7FA93356">
                  <w:pPr>
                    <w:pStyle w:val="9"/>
                    <w:ind w:firstLine="0"/>
                    <w:jc w:val="center"/>
                    <w:rPr>
                      <w:rFonts w:hint="eastAsia"/>
                      <w:color w:val="auto"/>
                      <w:szCs w:val="21"/>
                    </w:rPr>
                  </w:pPr>
                </w:p>
              </w:tc>
              <w:tc>
                <w:tcPr>
                  <w:tcW w:w="1696" w:type="dxa"/>
                  <w:vAlign w:val="center"/>
                </w:tcPr>
                <w:p w14:paraId="23709DC6">
                  <w:pPr>
                    <w:pStyle w:val="9"/>
                    <w:ind w:firstLine="0"/>
                    <w:jc w:val="center"/>
                    <w:rPr>
                      <w:rFonts w:hint="eastAsia"/>
                      <w:color w:val="auto"/>
                      <w:szCs w:val="21"/>
                    </w:rPr>
                  </w:pPr>
                </w:p>
              </w:tc>
              <w:tc>
                <w:tcPr>
                  <w:tcW w:w="663" w:type="dxa"/>
                  <w:vMerge w:val="continue"/>
                  <w:vAlign w:val="center"/>
                </w:tcPr>
                <w:p w14:paraId="16DC3B52">
                  <w:pPr>
                    <w:pStyle w:val="9"/>
                    <w:ind w:firstLine="0"/>
                    <w:jc w:val="center"/>
                    <w:rPr>
                      <w:rFonts w:hint="eastAsia"/>
                      <w:color w:val="auto"/>
                      <w:szCs w:val="21"/>
                    </w:rPr>
                  </w:pPr>
                </w:p>
              </w:tc>
              <w:tc>
                <w:tcPr>
                  <w:tcW w:w="2643" w:type="dxa"/>
                  <w:vAlign w:val="center"/>
                </w:tcPr>
                <w:p w14:paraId="4EB215F0">
                  <w:pPr>
                    <w:pStyle w:val="9"/>
                    <w:ind w:firstLine="0"/>
                    <w:jc w:val="center"/>
                    <w:rPr>
                      <w:color w:val="auto"/>
                      <w:szCs w:val="21"/>
                    </w:rPr>
                  </w:pPr>
                  <w:r>
                    <w:rPr>
                      <w:rFonts w:hint="eastAsia"/>
                      <w:color w:val="auto"/>
                      <w:szCs w:val="21"/>
                    </w:rPr>
                    <w:t>进入</w:t>
                  </w:r>
                  <w:r>
                    <w:rPr>
                      <w:rFonts w:hint="eastAsia"/>
                      <w:color w:val="auto"/>
                      <w:szCs w:val="21"/>
                      <w:lang w:val="en-US" w:eastAsia="zh-CN"/>
                    </w:rPr>
                    <w:t>废酸渣</w:t>
                  </w:r>
                </w:p>
              </w:tc>
              <w:tc>
                <w:tcPr>
                  <w:tcW w:w="1034" w:type="dxa"/>
                  <w:shd w:val="clear" w:color="auto" w:fill="auto"/>
                  <w:vAlign w:val="center"/>
                </w:tcPr>
                <w:p w14:paraId="4F3AB308">
                  <w:pPr>
                    <w:pStyle w:val="9"/>
                    <w:ind w:firstLine="0"/>
                    <w:jc w:val="center"/>
                    <w:rPr>
                      <w:rFonts w:hint="default"/>
                      <w:color w:val="auto"/>
                      <w:szCs w:val="21"/>
                      <w:lang w:val="en-US" w:eastAsia="zh-CN"/>
                    </w:rPr>
                  </w:pPr>
                  <w:r>
                    <w:rPr>
                      <w:rFonts w:hint="eastAsia"/>
                      <w:color w:val="auto"/>
                      <w:szCs w:val="21"/>
                      <w:lang w:val="en-US" w:eastAsia="zh-CN"/>
                    </w:rPr>
                    <w:t>5.9677</w:t>
                  </w:r>
                </w:p>
              </w:tc>
            </w:tr>
            <w:tr w14:paraId="5E5ED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14:paraId="0B7DD6E8">
                  <w:pPr>
                    <w:pStyle w:val="9"/>
                    <w:ind w:firstLine="0"/>
                    <w:jc w:val="center"/>
                    <w:rPr>
                      <w:color w:val="auto"/>
                      <w:szCs w:val="21"/>
                    </w:rPr>
                  </w:pPr>
                  <w:r>
                    <w:rPr>
                      <w:rFonts w:hint="eastAsia"/>
                      <w:color w:val="auto"/>
                      <w:szCs w:val="21"/>
                    </w:rPr>
                    <w:t>合计</w:t>
                  </w:r>
                </w:p>
              </w:tc>
              <w:tc>
                <w:tcPr>
                  <w:tcW w:w="1696" w:type="dxa"/>
                  <w:vAlign w:val="center"/>
                </w:tcPr>
                <w:p w14:paraId="11126038">
                  <w:pPr>
                    <w:pStyle w:val="9"/>
                    <w:ind w:firstLine="0" w:firstLineChars="0"/>
                    <w:jc w:val="center"/>
                    <w:rPr>
                      <w:rFonts w:hint="default" w:eastAsia="宋体"/>
                      <w:color w:val="auto"/>
                      <w:szCs w:val="21"/>
                      <w:lang w:val="en-US" w:eastAsia="zh-CN"/>
                    </w:rPr>
                  </w:pPr>
                  <w:r>
                    <w:rPr>
                      <w:rFonts w:hint="eastAsia"/>
                      <w:color w:val="auto"/>
                      <w:szCs w:val="21"/>
                      <w:lang w:val="en-US" w:eastAsia="zh-CN"/>
                    </w:rPr>
                    <w:t>290.6137</w:t>
                  </w:r>
                </w:p>
              </w:tc>
              <w:tc>
                <w:tcPr>
                  <w:tcW w:w="3306" w:type="dxa"/>
                  <w:gridSpan w:val="2"/>
                  <w:vAlign w:val="center"/>
                </w:tcPr>
                <w:p w14:paraId="62D263A7">
                  <w:pPr>
                    <w:pStyle w:val="9"/>
                    <w:ind w:firstLine="0"/>
                    <w:jc w:val="center"/>
                    <w:rPr>
                      <w:rFonts w:hint="eastAsia"/>
                      <w:color w:val="auto"/>
                      <w:szCs w:val="21"/>
                    </w:rPr>
                  </w:pPr>
                  <w:r>
                    <w:rPr>
                      <w:rFonts w:hint="eastAsia"/>
                      <w:color w:val="auto"/>
                      <w:szCs w:val="21"/>
                    </w:rPr>
                    <w:t>合计</w:t>
                  </w:r>
                </w:p>
              </w:tc>
              <w:tc>
                <w:tcPr>
                  <w:tcW w:w="1034" w:type="dxa"/>
                  <w:vAlign w:val="center"/>
                </w:tcPr>
                <w:p w14:paraId="1988BDA0">
                  <w:pPr>
                    <w:pStyle w:val="9"/>
                    <w:ind w:firstLine="0"/>
                    <w:jc w:val="center"/>
                    <w:rPr>
                      <w:rFonts w:hint="default" w:eastAsia="宋体"/>
                      <w:color w:val="auto"/>
                      <w:szCs w:val="21"/>
                      <w:lang w:val="en-US" w:eastAsia="zh-CN"/>
                    </w:rPr>
                  </w:pPr>
                  <w:r>
                    <w:rPr>
                      <w:rFonts w:hint="eastAsia"/>
                      <w:color w:val="auto"/>
                      <w:szCs w:val="21"/>
                      <w:lang w:val="en-US" w:eastAsia="zh-CN"/>
                    </w:rPr>
                    <w:t>290.6137</w:t>
                  </w:r>
                </w:p>
              </w:tc>
            </w:tr>
          </w:tbl>
          <w:p w14:paraId="770B0DCC">
            <w:pPr>
              <w:spacing w:line="360" w:lineRule="auto"/>
              <w:rPr>
                <w:b/>
                <w:bCs/>
                <w:color w:val="auto"/>
                <w:sz w:val="24"/>
              </w:rPr>
            </w:pPr>
            <w:r>
              <w:rPr>
                <w:b/>
                <w:bCs/>
                <w:color w:val="auto"/>
                <w:sz w:val="24"/>
              </w:rPr>
              <w:t>2.1.11营运期污染因子分析</w:t>
            </w:r>
          </w:p>
          <w:p w14:paraId="756B6891">
            <w:pPr>
              <w:snapToGrid w:val="0"/>
              <w:spacing w:line="400" w:lineRule="exact"/>
              <w:ind w:firstLine="480" w:firstLineChars="200"/>
              <w:textAlignment w:val="baseline"/>
              <w:rPr>
                <w:color w:val="auto"/>
                <w:sz w:val="24"/>
              </w:rPr>
            </w:pPr>
            <w:r>
              <w:rPr>
                <w:color w:val="auto"/>
                <w:sz w:val="24"/>
              </w:rPr>
              <w:t>本项目营运期主要污染工序及污染因子见表2-</w:t>
            </w:r>
            <w:r>
              <w:rPr>
                <w:rFonts w:hint="eastAsia"/>
                <w:color w:val="auto"/>
                <w:sz w:val="24"/>
                <w:lang w:val="en-US" w:eastAsia="zh-CN"/>
              </w:rPr>
              <w:t>12</w:t>
            </w:r>
            <w:r>
              <w:rPr>
                <w:color w:val="auto"/>
                <w:sz w:val="24"/>
              </w:rPr>
              <w:t>。</w:t>
            </w:r>
          </w:p>
          <w:p w14:paraId="701736C7">
            <w:pPr>
              <w:spacing w:line="400" w:lineRule="exact"/>
              <w:jc w:val="center"/>
              <w:rPr>
                <w:b/>
                <w:bCs/>
                <w:color w:val="auto"/>
                <w:sz w:val="24"/>
              </w:rPr>
            </w:pPr>
            <w:r>
              <w:rPr>
                <w:b/>
                <w:bCs/>
                <w:color w:val="auto"/>
                <w:szCs w:val="21"/>
              </w:rPr>
              <w:t>表2-</w:t>
            </w:r>
            <w:r>
              <w:rPr>
                <w:rFonts w:hint="eastAsia"/>
                <w:b/>
                <w:bCs/>
                <w:color w:val="auto"/>
                <w:szCs w:val="21"/>
              </w:rPr>
              <w:t>1</w:t>
            </w:r>
            <w:r>
              <w:rPr>
                <w:rFonts w:hint="eastAsia"/>
                <w:b/>
                <w:bCs/>
                <w:color w:val="auto"/>
                <w:szCs w:val="21"/>
                <w:lang w:val="en-US" w:eastAsia="zh-CN"/>
              </w:rPr>
              <w:t>2</w:t>
            </w:r>
            <w:r>
              <w:rPr>
                <w:b/>
                <w:bCs/>
                <w:color w:val="auto"/>
                <w:szCs w:val="21"/>
              </w:rPr>
              <w:t xml:space="preserve">  本项目主要污染工序及污染因子一览表</w:t>
            </w:r>
          </w:p>
          <w:tbl>
            <w:tblPr>
              <w:tblStyle w:val="32"/>
              <w:tblW w:w="8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896"/>
              <w:gridCol w:w="2036"/>
              <w:gridCol w:w="3448"/>
            </w:tblGrid>
            <w:tr w14:paraId="42807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Align w:val="center"/>
                </w:tcPr>
                <w:p w14:paraId="44E42AE8">
                  <w:pPr>
                    <w:pStyle w:val="9"/>
                    <w:ind w:firstLine="0"/>
                    <w:jc w:val="center"/>
                    <w:rPr>
                      <w:color w:val="auto"/>
                      <w:szCs w:val="21"/>
                    </w:rPr>
                  </w:pPr>
                  <w:r>
                    <w:rPr>
                      <w:color w:val="auto"/>
                      <w:szCs w:val="21"/>
                    </w:rPr>
                    <w:t>项目</w:t>
                  </w:r>
                </w:p>
              </w:tc>
              <w:tc>
                <w:tcPr>
                  <w:tcW w:w="1896" w:type="dxa"/>
                  <w:vAlign w:val="center"/>
                </w:tcPr>
                <w:p w14:paraId="1EF4D9D9">
                  <w:pPr>
                    <w:pStyle w:val="9"/>
                    <w:ind w:firstLine="0"/>
                    <w:jc w:val="center"/>
                    <w:rPr>
                      <w:color w:val="auto"/>
                      <w:szCs w:val="21"/>
                    </w:rPr>
                  </w:pPr>
                  <w:r>
                    <w:rPr>
                      <w:color w:val="auto"/>
                      <w:szCs w:val="21"/>
                    </w:rPr>
                    <w:t>种类</w:t>
                  </w:r>
                </w:p>
              </w:tc>
              <w:tc>
                <w:tcPr>
                  <w:tcW w:w="2036" w:type="dxa"/>
                  <w:vAlign w:val="center"/>
                </w:tcPr>
                <w:p w14:paraId="579F34E2">
                  <w:pPr>
                    <w:pStyle w:val="9"/>
                    <w:ind w:firstLine="0"/>
                    <w:jc w:val="center"/>
                    <w:rPr>
                      <w:color w:val="auto"/>
                      <w:szCs w:val="21"/>
                    </w:rPr>
                  </w:pPr>
                  <w:r>
                    <w:rPr>
                      <w:color w:val="auto"/>
                      <w:szCs w:val="21"/>
                    </w:rPr>
                    <w:t>污染名称</w:t>
                  </w:r>
                </w:p>
              </w:tc>
              <w:tc>
                <w:tcPr>
                  <w:tcW w:w="3448" w:type="dxa"/>
                  <w:vAlign w:val="center"/>
                </w:tcPr>
                <w:p w14:paraId="78F3F136">
                  <w:pPr>
                    <w:pStyle w:val="9"/>
                    <w:ind w:firstLine="0"/>
                    <w:jc w:val="center"/>
                    <w:rPr>
                      <w:color w:val="auto"/>
                      <w:szCs w:val="21"/>
                    </w:rPr>
                  </w:pPr>
                  <w:r>
                    <w:rPr>
                      <w:color w:val="auto"/>
                      <w:szCs w:val="21"/>
                    </w:rPr>
                    <w:t>主要污染因子</w:t>
                  </w:r>
                </w:p>
              </w:tc>
            </w:tr>
            <w:tr w14:paraId="1C7282A9">
              <w:tblPrEx>
                <w:tblCellMar>
                  <w:top w:w="0" w:type="dxa"/>
                  <w:left w:w="108" w:type="dxa"/>
                  <w:bottom w:w="0" w:type="dxa"/>
                  <w:right w:w="108" w:type="dxa"/>
                </w:tblCellMar>
              </w:tblPrEx>
              <w:trPr>
                <w:trHeight w:val="227" w:hRule="atLeast"/>
                <w:jc w:val="center"/>
              </w:trPr>
              <w:tc>
                <w:tcPr>
                  <w:tcW w:w="659" w:type="dxa"/>
                  <w:vMerge w:val="restart"/>
                  <w:vAlign w:val="center"/>
                </w:tcPr>
                <w:p w14:paraId="4671F643">
                  <w:pPr>
                    <w:pStyle w:val="9"/>
                    <w:ind w:firstLine="0"/>
                    <w:jc w:val="center"/>
                    <w:rPr>
                      <w:color w:val="auto"/>
                      <w:szCs w:val="21"/>
                    </w:rPr>
                  </w:pPr>
                  <w:r>
                    <w:rPr>
                      <w:color w:val="auto"/>
                      <w:szCs w:val="21"/>
                    </w:rPr>
                    <w:t>废气</w:t>
                  </w:r>
                </w:p>
              </w:tc>
              <w:tc>
                <w:tcPr>
                  <w:tcW w:w="1896" w:type="dxa"/>
                  <w:vAlign w:val="center"/>
                </w:tcPr>
                <w:p w14:paraId="4D1C9245">
                  <w:pPr>
                    <w:pStyle w:val="9"/>
                    <w:ind w:firstLine="0"/>
                    <w:jc w:val="center"/>
                    <w:rPr>
                      <w:color w:val="auto"/>
                      <w:szCs w:val="21"/>
                    </w:rPr>
                  </w:pPr>
                  <w:r>
                    <w:rPr>
                      <w:color w:val="auto"/>
                      <w:szCs w:val="21"/>
                    </w:rPr>
                    <w:t>粉尘</w:t>
                  </w:r>
                </w:p>
              </w:tc>
              <w:tc>
                <w:tcPr>
                  <w:tcW w:w="2036" w:type="dxa"/>
                  <w:vAlign w:val="center"/>
                </w:tcPr>
                <w:p w14:paraId="551C952F">
                  <w:pPr>
                    <w:pStyle w:val="9"/>
                    <w:ind w:firstLine="0"/>
                    <w:jc w:val="center"/>
                    <w:rPr>
                      <w:color w:val="auto"/>
                      <w:szCs w:val="21"/>
                    </w:rPr>
                  </w:pPr>
                  <w:r>
                    <w:rPr>
                      <w:color w:val="auto"/>
                      <w:szCs w:val="21"/>
                    </w:rPr>
                    <w:t>破碎粉尘G1</w:t>
                  </w:r>
                </w:p>
              </w:tc>
              <w:tc>
                <w:tcPr>
                  <w:tcW w:w="3448" w:type="dxa"/>
                  <w:vAlign w:val="center"/>
                </w:tcPr>
                <w:p w14:paraId="13FE90DC">
                  <w:pPr>
                    <w:pStyle w:val="9"/>
                    <w:ind w:firstLine="0"/>
                    <w:jc w:val="center"/>
                    <w:rPr>
                      <w:color w:val="auto"/>
                      <w:szCs w:val="21"/>
                    </w:rPr>
                  </w:pPr>
                  <w:r>
                    <w:rPr>
                      <w:color w:val="auto"/>
                      <w:szCs w:val="21"/>
                    </w:rPr>
                    <w:t>粉尘</w:t>
                  </w:r>
                </w:p>
              </w:tc>
            </w:tr>
            <w:tr w14:paraId="26CB8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453E471A">
                  <w:pPr>
                    <w:pStyle w:val="9"/>
                    <w:ind w:firstLine="0"/>
                    <w:jc w:val="center"/>
                    <w:rPr>
                      <w:color w:val="auto"/>
                      <w:szCs w:val="21"/>
                    </w:rPr>
                  </w:pPr>
                </w:p>
              </w:tc>
              <w:tc>
                <w:tcPr>
                  <w:tcW w:w="1896" w:type="dxa"/>
                  <w:vAlign w:val="center"/>
                </w:tcPr>
                <w:p w14:paraId="02D4A0D1">
                  <w:pPr>
                    <w:pStyle w:val="9"/>
                    <w:ind w:firstLine="0"/>
                    <w:jc w:val="center"/>
                    <w:rPr>
                      <w:color w:val="auto"/>
                      <w:szCs w:val="21"/>
                    </w:rPr>
                  </w:pPr>
                  <w:r>
                    <w:rPr>
                      <w:color w:val="auto"/>
                      <w:szCs w:val="21"/>
                    </w:rPr>
                    <w:t>粉尘</w:t>
                  </w:r>
                </w:p>
              </w:tc>
              <w:tc>
                <w:tcPr>
                  <w:tcW w:w="2036" w:type="dxa"/>
                  <w:vAlign w:val="center"/>
                </w:tcPr>
                <w:p w14:paraId="064816D4">
                  <w:pPr>
                    <w:pStyle w:val="9"/>
                    <w:ind w:firstLine="0"/>
                    <w:jc w:val="center"/>
                    <w:rPr>
                      <w:color w:val="auto"/>
                      <w:szCs w:val="21"/>
                    </w:rPr>
                  </w:pPr>
                  <w:r>
                    <w:rPr>
                      <w:rFonts w:hint="eastAsia"/>
                      <w:color w:val="auto"/>
                      <w:szCs w:val="21"/>
                      <w:lang w:val="en-US" w:eastAsia="zh-CN"/>
                    </w:rPr>
                    <w:t>焙烧</w:t>
                  </w:r>
                  <w:r>
                    <w:rPr>
                      <w:color w:val="auto"/>
                      <w:szCs w:val="21"/>
                    </w:rPr>
                    <w:t>粉尘G2</w:t>
                  </w:r>
                </w:p>
              </w:tc>
              <w:tc>
                <w:tcPr>
                  <w:tcW w:w="3448" w:type="dxa"/>
                  <w:vAlign w:val="center"/>
                </w:tcPr>
                <w:p w14:paraId="1E53530F">
                  <w:pPr>
                    <w:pStyle w:val="9"/>
                    <w:ind w:firstLine="0"/>
                    <w:jc w:val="center"/>
                    <w:rPr>
                      <w:color w:val="auto"/>
                      <w:szCs w:val="21"/>
                    </w:rPr>
                  </w:pPr>
                  <w:r>
                    <w:rPr>
                      <w:color w:val="auto"/>
                      <w:szCs w:val="21"/>
                    </w:rPr>
                    <w:t>粉尘</w:t>
                  </w:r>
                </w:p>
              </w:tc>
            </w:tr>
            <w:tr w14:paraId="69E36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22CEFB51">
                  <w:pPr>
                    <w:pStyle w:val="9"/>
                    <w:ind w:firstLine="0"/>
                    <w:jc w:val="center"/>
                    <w:rPr>
                      <w:color w:val="auto"/>
                      <w:szCs w:val="21"/>
                    </w:rPr>
                  </w:pPr>
                </w:p>
              </w:tc>
              <w:tc>
                <w:tcPr>
                  <w:tcW w:w="1896" w:type="dxa"/>
                  <w:vAlign w:val="center"/>
                </w:tcPr>
                <w:p w14:paraId="078DFE65">
                  <w:pPr>
                    <w:pStyle w:val="9"/>
                    <w:ind w:firstLine="0"/>
                    <w:jc w:val="center"/>
                    <w:rPr>
                      <w:color w:val="auto"/>
                      <w:szCs w:val="21"/>
                    </w:rPr>
                  </w:pPr>
                  <w:r>
                    <w:rPr>
                      <w:color w:val="auto"/>
                      <w:szCs w:val="21"/>
                    </w:rPr>
                    <w:t>粉尘</w:t>
                  </w:r>
                </w:p>
              </w:tc>
              <w:tc>
                <w:tcPr>
                  <w:tcW w:w="2036" w:type="dxa"/>
                  <w:vAlign w:val="center"/>
                </w:tcPr>
                <w:p w14:paraId="48792445">
                  <w:pPr>
                    <w:pStyle w:val="9"/>
                    <w:ind w:firstLine="0"/>
                    <w:jc w:val="center"/>
                    <w:rPr>
                      <w:color w:val="auto"/>
                      <w:szCs w:val="21"/>
                    </w:rPr>
                  </w:pPr>
                  <w:r>
                    <w:rPr>
                      <w:rFonts w:hint="eastAsia"/>
                      <w:color w:val="auto"/>
                      <w:szCs w:val="21"/>
                      <w:lang w:val="en-US" w:eastAsia="zh-CN"/>
                    </w:rPr>
                    <w:t>制砂</w:t>
                  </w:r>
                  <w:r>
                    <w:rPr>
                      <w:color w:val="auto"/>
                      <w:szCs w:val="21"/>
                    </w:rPr>
                    <w:t>粉尘G3</w:t>
                  </w:r>
                </w:p>
              </w:tc>
              <w:tc>
                <w:tcPr>
                  <w:tcW w:w="3448" w:type="dxa"/>
                  <w:vAlign w:val="center"/>
                </w:tcPr>
                <w:p w14:paraId="291D706D">
                  <w:pPr>
                    <w:pStyle w:val="9"/>
                    <w:ind w:firstLine="0"/>
                    <w:jc w:val="center"/>
                    <w:rPr>
                      <w:color w:val="auto"/>
                      <w:szCs w:val="21"/>
                    </w:rPr>
                  </w:pPr>
                  <w:r>
                    <w:rPr>
                      <w:color w:val="auto"/>
                      <w:szCs w:val="21"/>
                    </w:rPr>
                    <w:t>粉尘</w:t>
                  </w:r>
                </w:p>
              </w:tc>
            </w:tr>
            <w:tr w14:paraId="28E3E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23A8171F">
                  <w:pPr>
                    <w:pStyle w:val="9"/>
                    <w:ind w:firstLine="0"/>
                    <w:jc w:val="center"/>
                    <w:rPr>
                      <w:color w:val="auto"/>
                      <w:szCs w:val="21"/>
                    </w:rPr>
                  </w:pPr>
                </w:p>
              </w:tc>
              <w:tc>
                <w:tcPr>
                  <w:tcW w:w="1896" w:type="dxa"/>
                  <w:shd w:val="clear" w:color="auto" w:fill="auto"/>
                  <w:vAlign w:val="center"/>
                </w:tcPr>
                <w:p w14:paraId="641AE116">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粉尘</w:t>
                  </w:r>
                </w:p>
              </w:tc>
              <w:tc>
                <w:tcPr>
                  <w:tcW w:w="2036" w:type="dxa"/>
                  <w:shd w:val="clear" w:color="auto" w:fill="auto"/>
                  <w:vAlign w:val="center"/>
                </w:tcPr>
                <w:p w14:paraId="3FD39D93">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磁选废气G</w:t>
                  </w:r>
                  <w:r>
                    <w:rPr>
                      <w:rFonts w:hint="eastAsia"/>
                      <w:color w:val="auto"/>
                      <w:szCs w:val="21"/>
                      <w:lang w:val="en-US" w:eastAsia="zh-CN"/>
                    </w:rPr>
                    <w:t>4</w:t>
                  </w:r>
                </w:p>
              </w:tc>
              <w:tc>
                <w:tcPr>
                  <w:tcW w:w="3448" w:type="dxa"/>
                  <w:shd w:val="clear" w:color="auto" w:fill="auto"/>
                  <w:vAlign w:val="center"/>
                </w:tcPr>
                <w:p w14:paraId="197D0D70">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粉尘</w:t>
                  </w:r>
                </w:p>
              </w:tc>
            </w:tr>
            <w:tr w14:paraId="28131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635FBE18">
                  <w:pPr>
                    <w:pStyle w:val="9"/>
                    <w:ind w:firstLine="0"/>
                    <w:jc w:val="center"/>
                    <w:rPr>
                      <w:color w:val="auto"/>
                      <w:szCs w:val="21"/>
                    </w:rPr>
                  </w:pPr>
                </w:p>
              </w:tc>
              <w:tc>
                <w:tcPr>
                  <w:tcW w:w="1896" w:type="dxa"/>
                  <w:shd w:val="clear" w:color="auto" w:fill="auto"/>
                  <w:vAlign w:val="center"/>
                </w:tcPr>
                <w:p w14:paraId="19CDC425">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酸性废气</w:t>
                  </w:r>
                </w:p>
              </w:tc>
              <w:tc>
                <w:tcPr>
                  <w:tcW w:w="2036" w:type="dxa"/>
                  <w:shd w:val="clear" w:color="auto" w:fill="auto"/>
                  <w:vAlign w:val="center"/>
                </w:tcPr>
                <w:p w14:paraId="6BA64D37">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酸性废气G5</w:t>
                  </w:r>
                </w:p>
              </w:tc>
              <w:tc>
                <w:tcPr>
                  <w:tcW w:w="3448" w:type="dxa"/>
                  <w:shd w:val="clear" w:color="auto" w:fill="auto"/>
                  <w:vAlign w:val="center"/>
                </w:tcPr>
                <w:p w14:paraId="47D6287E">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氯化氢、氟化物</w:t>
                  </w:r>
                </w:p>
              </w:tc>
            </w:tr>
            <w:tr w14:paraId="15645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0BC4C47A">
                  <w:pPr>
                    <w:pStyle w:val="9"/>
                    <w:ind w:firstLine="0"/>
                    <w:jc w:val="center"/>
                    <w:rPr>
                      <w:color w:val="auto"/>
                      <w:szCs w:val="21"/>
                    </w:rPr>
                  </w:pPr>
                </w:p>
              </w:tc>
              <w:tc>
                <w:tcPr>
                  <w:tcW w:w="1896" w:type="dxa"/>
                  <w:vAlign w:val="center"/>
                </w:tcPr>
                <w:p w14:paraId="2595D42C">
                  <w:pPr>
                    <w:pStyle w:val="9"/>
                    <w:ind w:firstLine="0"/>
                    <w:jc w:val="center"/>
                    <w:rPr>
                      <w:color w:val="auto"/>
                      <w:szCs w:val="21"/>
                    </w:rPr>
                  </w:pPr>
                  <w:r>
                    <w:rPr>
                      <w:color w:val="auto"/>
                      <w:szCs w:val="21"/>
                    </w:rPr>
                    <w:t>粉尘</w:t>
                  </w:r>
                </w:p>
              </w:tc>
              <w:tc>
                <w:tcPr>
                  <w:tcW w:w="2036" w:type="dxa"/>
                  <w:vAlign w:val="center"/>
                </w:tcPr>
                <w:p w14:paraId="0F2D2258">
                  <w:pPr>
                    <w:pStyle w:val="9"/>
                    <w:ind w:firstLine="0"/>
                    <w:jc w:val="center"/>
                    <w:rPr>
                      <w:rFonts w:hint="default" w:eastAsia="宋体"/>
                      <w:color w:val="auto"/>
                      <w:szCs w:val="21"/>
                      <w:lang w:val="en-US" w:eastAsia="zh-CN"/>
                    </w:rPr>
                  </w:pPr>
                  <w:r>
                    <w:rPr>
                      <w:rFonts w:hint="eastAsia"/>
                      <w:color w:val="auto"/>
                      <w:szCs w:val="21"/>
                      <w:lang w:val="en-US" w:eastAsia="zh-CN"/>
                    </w:rPr>
                    <w:t>烤砂废气G6</w:t>
                  </w:r>
                </w:p>
              </w:tc>
              <w:tc>
                <w:tcPr>
                  <w:tcW w:w="3448" w:type="dxa"/>
                  <w:vAlign w:val="center"/>
                </w:tcPr>
                <w:p w14:paraId="522B381D">
                  <w:pPr>
                    <w:pStyle w:val="9"/>
                    <w:ind w:firstLine="0"/>
                    <w:jc w:val="center"/>
                    <w:rPr>
                      <w:color w:val="auto"/>
                      <w:szCs w:val="21"/>
                    </w:rPr>
                  </w:pPr>
                  <w:r>
                    <w:rPr>
                      <w:color w:val="auto"/>
                      <w:szCs w:val="21"/>
                    </w:rPr>
                    <w:t>粉尘</w:t>
                  </w:r>
                </w:p>
              </w:tc>
            </w:tr>
            <w:tr w14:paraId="11F38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1F69F53D">
                  <w:pPr>
                    <w:pStyle w:val="9"/>
                    <w:ind w:firstLine="0"/>
                    <w:jc w:val="center"/>
                    <w:rPr>
                      <w:color w:val="auto"/>
                      <w:szCs w:val="21"/>
                    </w:rPr>
                  </w:pPr>
                </w:p>
              </w:tc>
              <w:tc>
                <w:tcPr>
                  <w:tcW w:w="1896" w:type="dxa"/>
                  <w:shd w:val="clear" w:color="auto" w:fill="auto"/>
                  <w:vAlign w:val="center"/>
                </w:tcPr>
                <w:p w14:paraId="23A45445">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粉尘</w:t>
                  </w:r>
                </w:p>
              </w:tc>
              <w:tc>
                <w:tcPr>
                  <w:tcW w:w="2036" w:type="dxa"/>
                  <w:shd w:val="clear" w:color="auto" w:fill="auto"/>
                  <w:vAlign w:val="center"/>
                </w:tcPr>
                <w:p w14:paraId="5D549AE2">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磁选废气G</w:t>
                  </w:r>
                  <w:r>
                    <w:rPr>
                      <w:rFonts w:hint="eastAsia"/>
                      <w:color w:val="auto"/>
                      <w:szCs w:val="21"/>
                      <w:lang w:val="en-US" w:eastAsia="zh-CN"/>
                    </w:rPr>
                    <w:t>7</w:t>
                  </w:r>
                </w:p>
              </w:tc>
              <w:tc>
                <w:tcPr>
                  <w:tcW w:w="3448" w:type="dxa"/>
                  <w:shd w:val="clear" w:color="auto" w:fill="auto"/>
                  <w:vAlign w:val="center"/>
                </w:tcPr>
                <w:p w14:paraId="71B7E41E">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粉尘</w:t>
                  </w:r>
                </w:p>
              </w:tc>
            </w:tr>
            <w:tr w14:paraId="72302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2F8639C">
                  <w:pPr>
                    <w:pStyle w:val="9"/>
                    <w:ind w:firstLine="0"/>
                    <w:jc w:val="center"/>
                    <w:rPr>
                      <w:color w:val="auto"/>
                      <w:szCs w:val="21"/>
                    </w:rPr>
                  </w:pPr>
                </w:p>
              </w:tc>
              <w:tc>
                <w:tcPr>
                  <w:tcW w:w="1896" w:type="dxa"/>
                  <w:vAlign w:val="center"/>
                </w:tcPr>
                <w:p w14:paraId="170DB210">
                  <w:pPr>
                    <w:pStyle w:val="9"/>
                    <w:ind w:firstLine="0"/>
                    <w:jc w:val="center"/>
                    <w:rPr>
                      <w:color w:val="auto"/>
                      <w:szCs w:val="21"/>
                    </w:rPr>
                  </w:pPr>
                  <w:r>
                    <w:rPr>
                      <w:rFonts w:hint="eastAsia"/>
                      <w:color w:val="auto"/>
                      <w:szCs w:val="21"/>
                      <w:lang w:eastAsia="zh-CN"/>
                    </w:rPr>
                    <w:t>纯化</w:t>
                  </w:r>
                  <w:r>
                    <w:rPr>
                      <w:color w:val="auto"/>
                      <w:szCs w:val="21"/>
                    </w:rPr>
                    <w:t>废气</w:t>
                  </w:r>
                </w:p>
              </w:tc>
              <w:tc>
                <w:tcPr>
                  <w:tcW w:w="2036" w:type="dxa"/>
                  <w:vAlign w:val="center"/>
                </w:tcPr>
                <w:p w14:paraId="662E8761">
                  <w:pPr>
                    <w:pStyle w:val="9"/>
                    <w:ind w:firstLine="0"/>
                    <w:jc w:val="center"/>
                    <w:rPr>
                      <w:rFonts w:hint="eastAsia" w:eastAsia="宋体"/>
                      <w:color w:val="auto"/>
                      <w:szCs w:val="21"/>
                      <w:lang w:val="en-US" w:eastAsia="zh-CN"/>
                    </w:rPr>
                  </w:pPr>
                  <w:r>
                    <w:rPr>
                      <w:rFonts w:hint="eastAsia"/>
                      <w:color w:val="auto"/>
                      <w:szCs w:val="21"/>
                      <w:lang w:eastAsia="zh-CN"/>
                    </w:rPr>
                    <w:t>纯化</w:t>
                  </w:r>
                  <w:r>
                    <w:rPr>
                      <w:color w:val="auto"/>
                      <w:szCs w:val="21"/>
                    </w:rPr>
                    <w:t>废气G</w:t>
                  </w:r>
                  <w:r>
                    <w:rPr>
                      <w:rFonts w:hint="eastAsia"/>
                      <w:color w:val="auto"/>
                      <w:szCs w:val="21"/>
                      <w:lang w:val="en-US" w:eastAsia="zh-CN"/>
                    </w:rPr>
                    <w:t>8</w:t>
                  </w:r>
                </w:p>
              </w:tc>
              <w:tc>
                <w:tcPr>
                  <w:tcW w:w="3448" w:type="dxa"/>
                  <w:vAlign w:val="center"/>
                </w:tcPr>
                <w:p w14:paraId="6EA6647F">
                  <w:pPr>
                    <w:pStyle w:val="9"/>
                    <w:ind w:firstLine="0"/>
                    <w:jc w:val="center"/>
                    <w:rPr>
                      <w:color w:val="auto"/>
                      <w:szCs w:val="21"/>
                    </w:rPr>
                  </w:pPr>
                  <w:r>
                    <w:rPr>
                      <w:color w:val="auto"/>
                      <w:szCs w:val="21"/>
                    </w:rPr>
                    <w:t>氯化氢、粉尘</w:t>
                  </w:r>
                </w:p>
              </w:tc>
            </w:tr>
            <w:tr w14:paraId="332E7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8E820B9">
                  <w:pPr>
                    <w:pStyle w:val="9"/>
                    <w:ind w:firstLine="0"/>
                    <w:jc w:val="center"/>
                    <w:rPr>
                      <w:color w:val="auto"/>
                      <w:szCs w:val="21"/>
                    </w:rPr>
                  </w:pPr>
                </w:p>
              </w:tc>
              <w:tc>
                <w:tcPr>
                  <w:tcW w:w="1896" w:type="dxa"/>
                  <w:vAlign w:val="center"/>
                </w:tcPr>
                <w:p w14:paraId="69176B65">
                  <w:pPr>
                    <w:pStyle w:val="9"/>
                    <w:ind w:firstLine="0"/>
                    <w:jc w:val="center"/>
                    <w:rPr>
                      <w:color w:val="auto"/>
                      <w:szCs w:val="21"/>
                    </w:rPr>
                  </w:pPr>
                  <w:r>
                    <w:rPr>
                      <w:color w:val="auto"/>
                      <w:szCs w:val="21"/>
                    </w:rPr>
                    <w:t>粉尘</w:t>
                  </w:r>
                </w:p>
              </w:tc>
              <w:tc>
                <w:tcPr>
                  <w:tcW w:w="2036" w:type="dxa"/>
                  <w:vAlign w:val="center"/>
                </w:tcPr>
                <w:p w14:paraId="2700E1CE">
                  <w:pPr>
                    <w:pStyle w:val="9"/>
                    <w:ind w:firstLine="0"/>
                    <w:jc w:val="center"/>
                    <w:rPr>
                      <w:rFonts w:hint="eastAsia" w:eastAsia="宋体"/>
                      <w:color w:val="auto"/>
                      <w:szCs w:val="21"/>
                      <w:lang w:val="en-US" w:eastAsia="zh-CN"/>
                    </w:rPr>
                  </w:pPr>
                  <w:r>
                    <w:rPr>
                      <w:color w:val="auto"/>
                      <w:szCs w:val="21"/>
                    </w:rPr>
                    <w:t>包装废气G</w:t>
                  </w:r>
                  <w:r>
                    <w:rPr>
                      <w:rFonts w:hint="eastAsia"/>
                      <w:color w:val="auto"/>
                      <w:szCs w:val="21"/>
                      <w:lang w:val="en-US" w:eastAsia="zh-CN"/>
                    </w:rPr>
                    <w:t>9</w:t>
                  </w:r>
                </w:p>
              </w:tc>
              <w:tc>
                <w:tcPr>
                  <w:tcW w:w="3448" w:type="dxa"/>
                  <w:vAlign w:val="center"/>
                </w:tcPr>
                <w:p w14:paraId="4E81C15F">
                  <w:pPr>
                    <w:pStyle w:val="9"/>
                    <w:ind w:firstLine="0"/>
                    <w:jc w:val="center"/>
                    <w:rPr>
                      <w:color w:val="auto"/>
                      <w:szCs w:val="21"/>
                    </w:rPr>
                  </w:pPr>
                  <w:r>
                    <w:rPr>
                      <w:color w:val="auto"/>
                      <w:szCs w:val="21"/>
                    </w:rPr>
                    <w:t>粉尘</w:t>
                  </w:r>
                </w:p>
              </w:tc>
            </w:tr>
            <w:tr w14:paraId="2C0D4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9" w:type="dxa"/>
                  <w:vMerge w:val="continue"/>
                  <w:vAlign w:val="center"/>
                </w:tcPr>
                <w:p w14:paraId="74E6ABB9">
                  <w:pPr>
                    <w:pStyle w:val="9"/>
                    <w:ind w:firstLine="0"/>
                    <w:jc w:val="center"/>
                    <w:rPr>
                      <w:color w:val="auto"/>
                      <w:szCs w:val="21"/>
                    </w:rPr>
                  </w:pPr>
                </w:p>
              </w:tc>
              <w:tc>
                <w:tcPr>
                  <w:tcW w:w="1896" w:type="dxa"/>
                  <w:vAlign w:val="center"/>
                </w:tcPr>
                <w:p w14:paraId="1F74A9A6">
                  <w:pPr>
                    <w:pStyle w:val="9"/>
                    <w:ind w:firstLine="0"/>
                    <w:jc w:val="center"/>
                    <w:rPr>
                      <w:rFonts w:hint="eastAsia" w:eastAsia="宋体"/>
                      <w:color w:val="auto"/>
                      <w:szCs w:val="21"/>
                      <w:lang w:val="en-US" w:eastAsia="zh-CN"/>
                    </w:rPr>
                  </w:pPr>
                  <w:r>
                    <w:rPr>
                      <w:rFonts w:hint="eastAsia"/>
                      <w:color w:val="auto"/>
                      <w:szCs w:val="21"/>
                      <w:lang w:val="en-US" w:eastAsia="zh-CN"/>
                    </w:rPr>
                    <w:t>储罐</w:t>
                  </w:r>
                </w:p>
              </w:tc>
              <w:tc>
                <w:tcPr>
                  <w:tcW w:w="2036" w:type="dxa"/>
                  <w:vAlign w:val="center"/>
                </w:tcPr>
                <w:p w14:paraId="78E2F9A9">
                  <w:pPr>
                    <w:pStyle w:val="9"/>
                    <w:ind w:firstLine="0"/>
                    <w:jc w:val="center"/>
                    <w:rPr>
                      <w:rFonts w:hint="default" w:eastAsia="宋体"/>
                      <w:color w:val="auto"/>
                      <w:szCs w:val="21"/>
                      <w:lang w:val="en-US" w:eastAsia="zh-CN"/>
                    </w:rPr>
                  </w:pPr>
                  <w:r>
                    <w:rPr>
                      <w:rFonts w:hint="eastAsia"/>
                      <w:color w:val="auto"/>
                      <w:szCs w:val="21"/>
                      <w:lang w:val="en-US" w:eastAsia="zh-CN"/>
                    </w:rPr>
                    <w:t>储罐废气</w:t>
                  </w:r>
                </w:p>
              </w:tc>
              <w:tc>
                <w:tcPr>
                  <w:tcW w:w="3448" w:type="dxa"/>
                  <w:vAlign w:val="center"/>
                </w:tcPr>
                <w:p w14:paraId="49A92186">
                  <w:pPr>
                    <w:pStyle w:val="9"/>
                    <w:ind w:firstLine="0"/>
                    <w:jc w:val="center"/>
                    <w:rPr>
                      <w:color w:val="auto"/>
                      <w:szCs w:val="21"/>
                    </w:rPr>
                  </w:pPr>
                  <w:r>
                    <w:rPr>
                      <w:color w:val="auto"/>
                      <w:szCs w:val="21"/>
                    </w:rPr>
                    <w:t>氯化氢、氟化物</w:t>
                  </w:r>
                </w:p>
              </w:tc>
            </w:tr>
            <w:tr w14:paraId="71FAF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547942B6">
                  <w:pPr>
                    <w:pStyle w:val="9"/>
                    <w:ind w:firstLine="0"/>
                    <w:jc w:val="center"/>
                    <w:rPr>
                      <w:color w:val="auto"/>
                      <w:szCs w:val="21"/>
                    </w:rPr>
                  </w:pPr>
                </w:p>
              </w:tc>
              <w:tc>
                <w:tcPr>
                  <w:tcW w:w="1896" w:type="dxa"/>
                  <w:shd w:val="clear" w:color="auto" w:fill="auto"/>
                  <w:vAlign w:val="center"/>
                </w:tcPr>
                <w:p w14:paraId="66098AA6">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粉尘</w:t>
                  </w:r>
                </w:p>
              </w:tc>
              <w:tc>
                <w:tcPr>
                  <w:tcW w:w="2036" w:type="dxa"/>
                  <w:shd w:val="clear" w:color="auto" w:fill="auto"/>
                  <w:vAlign w:val="center"/>
                </w:tcPr>
                <w:p w14:paraId="2CB67343">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卸料废气</w:t>
                  </w:r>
                </w:p>
              </w:tc>
              <w:tc>
                <w:tcPr>
                  <w:tcW w:w="3448" w:type="dxa"/>
                  <w:shd w:val="clear" w:color="auto" w:fill="auto"/>
                  <w:vAlign w:val="center"/>
                </w:tcPr>
                <w:p w14:paraId="43ABF1F6">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粉尘</w:t>
                  </w:r>
                </w:p>
              </w:tc>
            </w:tr>
            <w:tr w14:paraId="6F522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restart"/>
                  <w:vAlign w:val="center"/>
                </w:tcPr>
                <w:p w14:paraId="676F96B4">
                  <w:pPr>
                    <w:pStyle w:val="9"/>
                    <w:ind w:firstLine="0"/>
                    <w:jc w:val="center"/>
                    <w:rPr>
                      <w:color w:val="auto"/>
                      <w:szCs w:val="21"/>
                    </w:rPr>
                  </w:pPr>
                  <w:r>
                    <w:rPr>
                      <w:color w:val="auto"/>
                      <w:szCs w:val="21"/>
                    </w:rPr>
                    <w:t>废水</w:t>
                  </w:r>
                </w:p>
              </w:tc>
              <w:tc>
                <w:tcPr>
                  <w:tcW w:w="1896" w:type="dxa"/>
                  <w:vAlign w:val="center"/>
                </w:tcPr>
                <w:p w14:paraId="1FFE9521">
                  <w:pPr>
                    <w:pStyle w:val="9"/>
                    <w:ind w:firstLine="0"/>
                    <w:jc w:val="center"/>
                    <w:rPr>
                      <w:rFonts w:hint="eastAsia" w:eastAsia="宋体"/>
                      <w:color w:val="auto"/>
                      <w:szCs w:val="21"/>
                      <w:lang w:val="en-US" w:eastAsia="zh-CN"/>
                    </w:rPr>
                  </w:pPr>
                  <w:r>
                    <w:rPr>
                      <w:rFonts w:hint="eastAsia"/>
                      <w:color w:val="auto"/>
                      <w:szCs w:val="21"/>
                      <w:lang w:val="en-US" w:eastAsia="zh-CN"/>
                    </w:rPr>
                    <w:t>浮洗</w:t>
                  </w:r>
                </w:p>
              </w:tc>
              <w:tc>
                <w:tcPr>
                  <w:tcW w:w="2036" w:type="dxa"/>
                  <w:shd w:val="clear" w:color="auto" w:fill="auto"/>
                  <w:vAlign w:val="center"/>
                </w:tcPr>
                <w:p w14:paraId="5F9F7B0F">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浮选废水W1</w:t>
                  </w:r>
                </w:p>
              </w:tc>
              <w:tc>
                <w:tcPr>
                  <w:tcW w:w="3448" w:type="dxa"/>
                  <w:shd w:val="clear" w:color="auto" w:fill="auto"/>
                  <w:vAlign w:val="center"/>
                </w:tcPr>
                <w:p w14:paraId="5DBCC34D">
                  <w:pPr>
                    <w:jc w:val="center"/>
                    <w:textAlignment w:val="center"/>
                    <w:rPr>
                      <w:rFonts w:hint="eastAsia"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、SS、氨氮、总氮、LAS</w:t>
                  </w:r>
                  <w:r>
                    <w:rPr>
                      <w:rFonts w:hint="eastAsia" w:cs="Times New Roman"/>
                      <w:color w:val="auto"/>
                      <w:szCs w:val="21"/>
                      <w:lang w:eastAsia="zh-CN"/>
                    </w:rPr>
                    <w:t>、</w:t>
                  </w:r>
                  <w:r>
                    <w:rPr>
                      <w:rFonts w:hint="eastAsia" w:cs="Times New Roman"/>
                      <w:color w:val="auto"/>
                      <w:szCs w:val="21"/>
                      <w:lang w:val="en-US" w:eastAsia="zh-CN"/>
                    </w:rPr>
                    <w:t>全盐量等</w:t>
                  </w:r>
                </w:p>
              </w:tc>
            </w:tr>
            <w:tr w14:paraId="4E841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59" w:type="dxa"/>
                  <w:vMerge w:val="continue"/>
                  <w:vAlign w:val="center"/>
                </w:tcPr>
                <w:p w14:paraId="79537523">
                  <w:pPr>
                    <w:pStyle w:val="9"/>
                    <w:ind w:firstLine="0"/>
                    <w:jc w:val="center"/>
                    <w:rPr>
                      <w:color w:val="auto"/>
                      <w:szCs w:val="21"/>
                    </w:rPr>
                  </w:pPr>
                </w:p>
              </w:tc>
              <w:tc>
                <w:tcPr>
                  <w:tcW w:w="1896" w:type="dxa"/>
                  <w:vAlign w:val="center"/>
                </w:tcPr>
                <w:p w14:paraId="70F2B5B3">
                  <w:pPr>
                    <w:pStyle w:val="9"/>
                    <w:ind w:firstLine="0"/>
                    <w:jc w:val="center"/>
                    <w:rPr>
                      <w:rFonts w:hint="eastAsia" w:eastAsia="宋体"/>
                      <w:color w:val="auto"/>
                      <w:szCs w:val="21"/>
                      <w:lang w:val="en-US" w:eastAsia="zh-CN"/>
                    </w:rPr>
                  </w:pPr>
                  <w:r>
                    <w:rPr>
                      <w:rFonts w:hint="eastAsia"/>
                      <w:color w:val="auto"/>
                      <w:szCs w:val="21"/>
                      <w:lang w:val="en-US" w:eastAsia="zh-CN"/>
                    </w:rPr>
                    <w:t>清洗</w:t>
                  </w:r>
                </w:p>
              </w:tc>
              <w:tc>
                <w:tcPr>
                  <w:tcW w:w="2036" w:type="dxa"/>
                  <w:shd w:val="clear" w:color="auto" w:fill="auto"/>
                  <w:vAlign w:val="center"/>
                </w:tcPr>
                <w:p w14:paraId="6F7B05F8">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清洗废水</w:t>
                  </w:r>
                  <w:r>
                    <w:rPr>
                      <w:rFonts w:hint="default" w:cs="Times New Roman"/>
                      <w:color w:val="auto"/>
                      <w:szCs w:val="21"/>
                      <w:lang w:val="en-US" w:eastAsia="zh-CN"/>
                    </w:rPr>
                    <w:t>W2</w:t>
                  </w:r>
                </w:p>
              </w:tc>
              <w:tc>
                <w:tcPr>
                  <w:tcW w:w="3448" w:type="dxa"/>
                  <w:shd w:val="clear" w:color="auto" w:fill="auto"/>
                  <w:vAlign w:val="center"/>
                </w:tcPr>
                <w:p w14:paraId="11806BB4">
                  <w:pPr>
                    <w:jc w:val="center"/>
                    <w:textAlignment w:val="center"/>
                    <w:rPr>
                      <w:rFonts w:hint="default" w:ascii="Times New Roman" w:hAnsi="Times New Roman" w:eastAsia="宋体" w:cs="Times New Roman"/>
                      <w:color w:val="auto"/>
                      <w:kern w:val="21"/>
                      <w:sz w:val="21"/>
                      <w:szCs w:val="21"/>
                      <w:lang w:val="en-US" w:eastAsia="zh-CN" w:bidi="ar-SA"/>
                    </w:rPr>
                  </w:pPr>
                  <w:r>
                    <w:rPr>
                      <w:rFonts w:hint="eastAsia" w:cs="Times New Roman"/>
                      <w:color w:val="auto"/>
                      <w:szCs w:val="21"/>
                      <w:lang w:val="en-US" w:eastAsia="zh-CN"/>
                    </w:rPr>
                    <w:t>pH、</w:t>
                  </w: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、SS、氨氮、总氮、LAS</w:t>
                  </w:r>
                  <w:r>
                    <w:rPr>
                      <w:rFonts w:hint="eastAsia" w:cs="Times New Roman"/>
                      <w:color w:val="auto"/>
                      <w:szCs w:val="21"/>
                      <w:lang w:eastAsia="zh-CN"/>
                    </w:rPr>
                    <w:t>、</w:t>
                  </w:r>
                  <w:r>
                    <w:rPr>
                      <w:rFonts w:hint="eastAsia" w:cs="Times New Roman"/>
                      <w:color w:val="auto"/>
                      <w:szCs w:val="21"/>
                      <w:lang w:val="en-US" w:eastAsia="zh-CN"/>
                    </w:rPr>
                    <w:t>全盐量等</w:t>
                  </w:r>
                </w:p>
              </w:tc>
            </w:tr>
            <w:tr w14:paraId="66A7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445317EA">
                  <w:pPr>
                    <w:pStyle w:val="9"/>
                    <w:ind w:firstLine="0"/>
                    <w:jc w:val="center"/>
                    <w:rPr>
                      <w:color w:val="auto"/>
                      <w:szCs w:val="21"/>
                    </w:rPr>
                  </w:pPr>
                </w:p>
              </w:tc>
              <w:tc>
                <w:tcPr>
                  <w:tcW w:w="1896" w:type="dxa"/>
                  <w:vAlign w:val="center"/>
                </w:tcPr>
                <w:p w14:paraId="29CCCA42">
                  <w:pPr>
                    <w:pStyle w:val="9"/>
                    <w:ind w:firstLine="0"/>
                    <w:jc w:val="center"/>
                    <w:rPr>
                      <w:rFonts w:hint="eastAsia" w:eastAsia="宋体"/>
                      <w:color w:val="auto"/>
                      <w:szCs w:val="21"/>
                      <w:lang w:val="en-US" w:eastAsia="zh-CN"/>
                    </w:rPr>
                  </w:pPr>
                  <w:r>
                    <w:rPr>
                      <w:rFonts w:hint="eastAsia"/>
                      <w:color w:val="auto"/>
                      <w:szCs w:val="21"/>
                      <w:lang w:val="en-US" w:eastAsia="zh-CN"/>
                    </w:rPr>
                    <w:t>清洗</w:t>
                  </w:r>
                </w:p>
              </w:tc>
              <w:tc>
                <w:tcPr>
                  <w:tcW w:w="2036" w:type="dxa"/>
                  <w:shd w:val="clear" w:color="auto" w:fill="auto"/>
                  <w:vAlign w:val="center"/>
                </w:tcPr>
                <w:p w14:paraId="4D544339">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清洗废水</w:t>
                  </w:r>
                  <w:r>
                    <w:rPr>
                      <w:rFonts w:hint="default" w:cs="Times New Roman"/>
                      <w:color w:val="auto"/>
                      <w:szCs w:val="21"/>
                      <w:lang w:val="en-US" w:eastAsia="zh-CN"/>
                    </w:rPr>
                    <w:t>W3</w:t>
                  </w:r>
                </w:p>
              </w:tc>
              <w:tc>
                <w:tcPr>
                  <w:tcW w:w="3448" w:type="dxa"/>
                  <w:shd w:val="clear" w:color="auto" w:fill="auto"/>
                  <w:vAlign w:val="center"/>
                </w:tcPr>
                <w:p w14:paraId="5147EAC1">
                  <w:pPr>
                    <w:jc w:val="center"/>
                    <w:textAlignment w:val="center"/>
                    <w:rPr>
                      <w:rFonts w:hint="default" w:ascii="Times New Roman" w:hAnsi="Times New Roman" w:eastAsia="宋体" w:cs="Times New Roman"/>
                      <w:color w:val="auto"/>
                      <w:kern w:val="21"/>
                      <w:sz w:val="21"/>
                      <w:szCs w:val="21"/>
                      <w:lang w:val="en-US" w:eastAsia="zh-CN" w:bidi="ar-SA"/>
                    </w:rPr>
                  </w:pPr>
                  <w:r>
                    <w:rPr>
                      <w:rFonts w:hint="eastAsia" w:cs="Times New Roman"/>
                      <w:color w:val="auto"/>
                      <w:szCs w:val="21"/>
                      <w:lang w:val="en-US" w:eastAsia="zh-CN"/>
                    </w:rPr>
                    <w:t>pH、</w:t>
                  </w: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、SS、氟化物、氨氮、总氮、</w:t>
                  </w:r>
                  <w:r>
                    <w:rPr>
                      <w:rFonts w:hint="eastAsia" w:cs="Times New Roman"/>
                      <w:color w:val="auto"/>
                      <w:szCs w:val="21"/>
                      <w:lang w:val="en-US" w:eastAsia="zh-CN"/>
                    </w:rPr>
                    <w:t>全盐量等</w:t>
                  </w:r>
                </w:p>
              </w:tc>
            </w:tr>
            <w:tr w14:paraId="50B65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14F10783">
                  <w:pPr>
                    <w:pStyle w:val="9"/>
                    <w:ind w:firstLine="0"/>
                    <w:jc w:val="center"/>
                    <w:rPr>
                      <w:color w:val="auto"/>
                      <w:szCs w:val="21"/>
                    </w:rPr>
                  </w:pPr>
                </w:p>
              </w:tc>
              <w:tc>
                <w:tcPr>
                  <w:tcW w:w="1896" w:type="dxa"/>
                  <w:vAlign w:val="center"/>
                </w:tcPr>
                <w:p w14:paraId="3C8D3844">
                  <w:pPr>
                    <w:pStyle w:val="9"/>
                    <w:ind w:firstLine="0"/>
                    <w:jc w:val="center"/>
                    <w:rPr>
                      <w:color w:val="auto"/>
                      <w:szCs w:val="21"/>
                    </w:rPr>
                  </w:pPr>
                  <w:r>
                    <w:rPr>
                      <w:color w:val="auto"/>
                      <w:szCs w:val="21"/>
                    </w:rPr>
                    <w:t>地面冲洗</w:t>
                  </w:r>
                </w:p>
              </w:tc>
              <w:tc>
                <w:tcPr>
                  <w:tcW w:w="2036" w:type="dxa"/>
                  <w:shd w:val="clear" w:color="auto" w:fill="auto"/>
                  <w:vAlign w:val="center"/>
                </w:tcPr>
                <w:p w14:paraId="5703FCDD">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拖洗废水</w:t>
                  </w:r>
                </w:p>
              </w:tc>
              <w:tc>
                <w:tcPr>
                  <w:tcW w:w="3448" w:type="dxa"/>
                  <w:shd w:val="clear" w:color="auto" w:fill="auto"/>
                  <w:vAlign w:val="center"/>
                </w:tcPr>
                <w:p w14:paraId="42C959FD">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、SS、氨氮、总氮</w:t>
                  </w:r>
                  <w:r>
                    <w:rPr>
                      <w:rFonts w:hint="eastAsia" w:cs="Times New Roman"/>
                      <w:color w:val="auto"/>
                      <w:szCs w:val="21"/>
                      <w:lang w:val="en-US" w:eastAsia="zh-CN"/>
                    </w:rPr>
                    <w:t>等</w:t>
                  </w:r>
                </w:p>
              </w:tc>
            </w:tr>
            <w:tr w14:paraId="3DC42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6FF18B32">
                  <w:pPr>
                    <w:pStyle w:val="9"/>
                    <w:ind w:firstLine="0"/>
                    <w:jc w:val="center"/>
                    <w:rPr>
                      <w:color w:val="auto"/>
                      <w:szCs w:val="21"/>
                    </w:rPr>
                  </w:pPr>
                </w:p>
              </w:tc>
              <w:tc>
                <w:tcPr>
                  <w:tcW w:w="1896" w:type="dxa"/>
                  <w:vAlign w:val="center"/>
                </w:tcPr>
                <w:p w14:paraId="30F3F2DE">
                  <w:pPr>
                    <w:pStyle w:val="9"/>
                    <w:ind w:firstLine="0"/>
                    <w:jc w:val="center"/>
                    <w:rPr>
                      <w:color w:val="auto"/>
                      <w:szCs w:val="21"/>
                    </w:rPr>
                  </w:pPr>
                  <w:r>
                    <w:rPr>
                      <w:color w:val="auto"/>
                      <w:szCs w:val="21"/>
                    </w:rPr>
                    <w:t>废气处理</w:t>
                  </w:r>
                </w:p>
              </w:tc>
              <w:tc>
                <w:tcPr>
                  <w:tcW w:w="2036" w:type="dxa"/>
                  <w:shd w:val="clear" w:color="auto" w:fill="auto"/>
                  <w:vAlign w:val="center"/>
                </w:tcPr>
                <w:p w14:paraId="3806FFEF">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喷淋废水</w:t>
                  </w:r>
                </w:p>
              </w:tc>
              <w:tc>
                <w:tcPr>
                  <w:tcW w:w="3448" w:type="dxa"/>
                  <w:shd w:val="clear" w:color="auto" w:fill="auto"/>
                  <w:vAlign w:val="center"/>
                </w:tcPr>
                <w:p w14:paraId="4BB8BC19">
                  <w:pPr>
                    <w:jc w:val="center"/>
                    <w:textAlignment w:val="center"/>
                    <w:rPr>
                      <w:rFonts w:hint="default" w:ascii="Times New Roman" w:hAnsi="Times New Roman" w:eastAsia="宋体" w:cs="Times New Roman"/>
                      <w:color w:val="auto"/>
                      <w:kern w:val="21"/>
                      <w:sz w:val="21"/>
                      <w:szCs w:val="21"/>
                      <w:lang w:val="en-US" w:eastAsia="zh-CN" w:bidi="ar-SA"/>
                    </w:rPr>
                  </w:pPr>
                  <w:r>
                    <w:rPr>
                      <w:rFonts w:hint="eastAsia" w:cs="Times New Roman"/>
                      <w:color w:val="auto"/>
                      <w:szCs w:val="21"/>
                      <w:lang w:val="en-US" w:eastAsia="zh-CN"/>
                    </w:rPr>
                    <w:t>pH、</w:t>
                  </w: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、SS、氟化物、氨氮、总氮</w:t>
                  </w:r>
                  <w:r>
                    <w:rPr>
                      <w:rFonts w:hint="eastAsia" w:cs="Times New Roman"/>
                      <w:color w:val="auto"/>
                      <w:szCs w:val="21"/>
                      <w:lang w:eastAsia="zh-CN"/>
                    </w:rPr>
                    <w:t>、</w:t>
                  </w:r>
                  <w:r>
                    <w:rPr>
                      <w:rFonts w:hint="eastAsia" w:cs="Times New Roman"/>
                      <w:color w:val="auto"/>
                      <w:szCs w:val="21"/>
                      <w:lang w:val="en-US" w:eastAsia="zh-CN"/>
                    </w:rPr>
                    <w:t>全盐量等</w:t>
                  </w:r>
                </w:p>
              </w:tc>
            </w:tr>
            <w:tr w14:paraId="29419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68902B78">
                  <w:pPr>
                    <w:pStyle w:val="9"/>
                    <w:ind w:firstLine="0"/>
                    <w:jc w:val="center"/>
                    <w:rPr>
                      <w:color w:val="auto"/>
                      <w:szCs w:val="21"/>
                    </w:rPr>
                  </w:pPr>
                </w:p>
              </w:tc>
              <w:tc>
                <w:tcPr>
                  <w:tcW w:w="1896" w:type="dxa"/>
                  <w:vAlign w:val="center"/>
                </w:tcPr>
                <w:p w14:paraId="12752EBC">
                  <w:pPr>
                    <w:pStyle w:val="9"/>
                    <w:ind w:firstLine="0"/>
                    <w:jc w:val="center"/>
                    <w:rPr>
                      <w:color w:val="auto"/>
                      <w:szCs w:val="21"/>
                    </w:rPr>
                  </w:pPr>
                  <w:r>
                    <w:rPr>
                      <w:color w:val="auto"/>
                      <w:szCs w:val="21"/>
                    </w:rPr>
                    <w:t>纯水制备</w:t>
                  </w:r>
                </w:p>
              </w:tc>
              <w:tc>
                <w:tcPr>
                  <w:tcW w:w="2036" w:type="dxa"/>
                  <w:shd w:val="clear" w:color="auto" w:fill="auto"/>
                  <w:vAlign w:val="center"/>
                </w:tcPr>
                <w:p w14:paraId="767701FD">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纯水制备浓水</w:t>
                  </w:r>
                </w:p>
              </w:tc>
              <w:tc>
                <w:tcPr>
                  <w:tcW w:w="3448" w:type="dxa"/>
                  <w:shd w:val="clear" w:color="auto" w:fill="auto"/>
                  <w:vAlign w:val="center"/>
                </w:tcPr>
                <w:p w14:paraId="4C5CEF4C">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p>
              </w:tc>
            </w:tr>
            <w:tr w14:paraId="7F036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0D6C837E">
                  <w:pPr>
                    <w:pStyle w:val="9"/>
                    <w:ind w:firstLine="0"/>
                    <w:jc w:val="center"/>
                    <w:rPr>
                      <w:color w:val="auto"/>
                      <w:szCs w:val="21"/>
                    </w:rPr>
                  </w:pPr>
                </w:p>
              </w:tc>
              <w:tc>
                <w:tcPr>
                  <w:tcW w:w="1896" w:type="dxa"/>
                  <w:vAlign w:val="center"/>
                </w:tcPr>
                <w:p w14:paraId="560DD404">
                  <w:pPr>
                    <w:pStyle w:val="9"/>
                    <w:ind w:firstLine="0"/>
                    <w:jc w:val="center"/>
                    <w:rPr>
                      <w:color w:val="auto"/>
                      <w:szCs w:val="21"/>
                    </w:rPr>
                  </w:pPr>
                  <w:r>
                    <w:rPr>
                      <w:color w:val="auto"/>
                      <w:szCs w:val="21"/>
                    </w:rPr>
                    <w:t>生活</w:t>
                  </w:r>
                </w:p>
              </w:tc>
              <w:tc>
                <w:tcPr>
                  <w:tcW w:w="2036" w:type="dxa"/>
                  <w:shd w:val="clear" w:color="auto" w:fill="auto"/>
                  <w:vAlign w:val="center"/>
                </w:tcPr>
                <w:p w14:paraId="2205F540">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生活污水</w:t>
                  </w:r>
                </w:p>
              </w:tc>
              <w:tc>
                <w:tcPr>
                  <w:tcW w:w="3448" w:type="dxa"/>
                  <w:shd w:val="clear" w:color="auto" w:fill="auto"/>
                  <w:vAlign w:val="center"/>
                </w:tcPr>
                <w:p w14:paraId="25D6F5CE">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、氨氮、总氮</w:t>
                  </w:r>
                </w:p>
              </w:tc>
            </w:tr>
            <w:tr w14:paraId="6AB0A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Align w:val="center"/>
                </w:tcPr>
                <w:p w14:paraId="45BF92DB">
                  <w:pPr>
                    <w:pStyle w:val="9"/>
                    <w:ind w:firstLine="0"/>
                    <w:jc w:val="center"/>
                    <w:rPr>
                      <w:color w:val="auto"/>
                      <w:szCs w:val="21"/>
                    </w:rPr>
                  </w:pPr>
                  <w:r>
                    <w:rPr>
                      <w:color w:val="auto"/>
                      <w:szCs w:val="21"/>
                    </w:rPr>
                    <w:t>噪声</w:t>
                  </w:r>
                </w:p>
              </w:tc>
              <w:tc>
                <w:tcPr>
                  <w:tcW w:w="1896" w:type="dxa"/>
                  <w:vAlign w:val="center"/>
                </w:tcPr>
                <w:p w14:paraId="60E7AAC7">
                  <w:pPr>
                    <w:pStyle w:val="9"/>
                    <w:ind w:firstLine="0"/>
                    <w:jc w:val="center"/>
                    <w:rPr>
                      <w:color w:val="auto"/>
                      <w:szCs w:val="21"/>
                    </w:rPr>
                  </w:pPr>
                  <w:r>
                    <w:rPr>
                      <w:color w:val="auto"/>
                      <w:szCs w:val="21"/>
                    </w:rPr>
                    <w:t>设备运行噪声</w:t>
                  </w:r>
                </w:p>
              </w:tc>
              <w:tc>
                <w:tcPr>
                  <w:tcW w:w="2036" w:type="dxa"/>
                  <w:vAlign w:val="center"/>
                </w:tcPr>
                <w:p w14:paraId="2F3518BE">
                  <w:pPr>
                    <w:pStyle w:val="9"/>
                    <w:ind w:firstLine="0"/>
                    <w:jc w:val="center"/>
                    <w:rPr>
                      <w:color w:val="auto"/>
                      <w:szCs w:val="21"/>
                    </w:rPr>
                  </w:pPr>
                  <w:r>
                    <w:rPr>
                      <w:color w:val="auto"/>
                      <w:szCs w:val="21"/>
                    </w:rPr>
                    <w:t>设备运行</w:t>
                  </w:r>
                </w:p>
              </w:tc>
              <w:tc>
                <w:tcPr>
                  <w:tcW w:w="3448" w:type="dxa"/>
                  <w:vAlign w:val="center"/>
                </w:tcPr>
                <w:p w14:paraId="6A4FB256">
                  <w:pPr>
                    <w:pStyle w:val="9"/>
                    <w:ind w:firstLine="0"/>
                    <w:jc w:val="center"/>
                    <w:rPr>
                      <w:color w:val="auto"/>
                      <w:szCs w:val="21"/>
                    </w:rPr>
                  </w:pPr>
                  <w:r>
                    <w:rPr>
                      <w:color w:val="auto"/>
                      <w:szCs w:val="21"/>
                    </w:rPr>
                    <w:t>噪声</w:t>
                  </w:r>
                </w:p>
              </w:tc>
            </w:tr>
            <w:tr w14:paraId="6A745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659" w:type="dxa"/>
                  <w:vMerge w:val="restart"/>
                  <w:vAlign w:val="center"/>
                </w:tcPr>
                <w:p w14:paraId="5F80E6EB">
                  <w:pPr>
                    <w:pStyle w:val="9"/>
                    <w:ind w:firstLine="0"/>
                    <w:jc w:val="center"/>
                    <w:rPr>
                      <w:color w:val="auto"/>
                      <w:szCs w:val="21"/>
                    </w:rPr>
                  </w:pPr>
                  <w:r>
                    <w:rPr>
                      <w:color w:val="auto"/>
                      <w:szCs w:val="21"/>
                    </w:rPr>
                    <w:t>固废</w:t>
                  </w:r>
                </w:p>
              </w:tc>
              <w:tc>
                <w:tcPr>
                  <w:tcW w:w="1896" w:type="dxa"/>
                  <w:shd w:val="clear" w:color="auto" w:fill="auto"/>
                  <w:vAlign w:val="center"/>
                </w:tcPr>
                <w:p w14:paraId="7E78443B">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水淬</w:t>
                  </w:r>
                </w:p>
              </w:tc>
              <w:tc>
                <w:tcPr>
                  <w:tcW w:w="2036" w:type="dxa"/>
                  <w:shd w:val="clear" w:color="auto" w:fill="auto"/>
                  <w:vAlign w:val="center"/>
                </w:tcPr>
                <w:p w14:paraId="1362DE6A">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废渣S</w:t>
                  </w:r>
                  <w:r>
                    <w:rPr>
                      <w:rFonts w:hint="eastAsia"/>
                      <w:color w:val="auto"/>
                      <w:szCs w:val="21"/>
                      <w:lang w:val="en-US" w:eastAsia="zh-CN"/>
                    </w:rPr>
                    <w:t>1</w:t>
                  </w:r>
                </w:p>
              </w:tc>
              <w:tc>
                <w:tcPr>
                  <w:tcW w:w="3448" w:type="dxa"/>
                  <w:shd w:val="clear" w:color="auto" w:fill="auto"/>
                  <w:vAlign w:val="center"/>
                </w:tcPr>
                <w:p w14:paraId="4B63F649">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石英砂石等</w:t>
                  </w:r>
                </w:p>
              </w:tc>
            </w:tr>
            <w:tr w14:paraId="57AF8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47793142">
                  <w:pPr>
                    <w:pStyle w:val="9"/>
                    <w:ind w:firstLine="0"/>
                    <w:jc w:val="center"/>
                    <w:rPr>
                      <w:color w:val="auto"/>
                      <w:szCs w:val="21"/>
                    </w:rPr>
                  </w:pPr>
                </w:p>
              </w:tc>
              <w:tc>
                <w:tcPr>
                  <w:tcW w:w="1896" w:type="dxa"/>
                  <w:vAlign w:val="center"/>
                </w:tcPr>
                <w:p w14:paraId="3E1531D3">
                  <w:pPr>
                    <w:pStyle w:val="9"/>
                    <w:ind w:firstLine="0"/>
                    <w:jc w:val="center"/>
                    <w:rPr>
                      <w:rFonts w:hint="eastAsia" w:eastAsia="宋体"/>
                      <w:color w:val="auto"/>
                      <w:szCs w:val="21"/>
                      <w:lang w:val="en-US" w:eastAsia="zh-CN"/>
                    </w:rPr>
                  </w:pPr>
                  <w:r>
                    <w:rPr>
                      <w:rFonts w:hint="eastAsia"/>
                      <w:color w:val="auto"/>
                      <w:szCs w:val="21"/>
                      <w:lang w:val="en-US" w:eastAsia="zh-CN"/>
                    </w:rPr>
                    <w:t>制砂</w:t>
                  </w:r>
                </w:p>
              </w:tc>
              <w:tc>
                <w:tcPr>
                  <w:tcW w:w="2036" w:type="dxa"/>
                  <w:vAlign w:val="center"/>
                </w:tcPr>
                <w:p w14:paraId="0479E87D">
                  <w:pPr>
                    <w:pStyle w:val="9"/>
                    <w:ind w:firstLine="0"/>
                    <w:jc w:val="center"/>
                    <w:rPr>
                      <w:rFonts w:hint="eastAsia" w:eastAsia="宋体"/>
                      <w:color w:val="auto"/>
                      <w:szCs w:val="21"/>
                      <w:lang w:val="en-US" w:eastAsia="zh-CN"/>
                    </w:rPr>
                  </w:pPr>
                  <w:r>
                    <w:rPr>
                      <w:color w:val="auto"/>
                      <w:szCs w:val="21"/>
                    </w:rPr>
                    <w:t>废渣S</w:t>
                  </w:r>
                  <w:r>
                    <w:rPr>
                      <w:rFonts w:hint="eastAsia"/>
                      <w:color w:val="auto"/>
                      <w:szCs w:val="21"/>
                      <w:lang w:val="en-US" w:eastAsia="zh-CN"/>
                    </w:rPr>
                    <w:t>2</w:t>
                  </w:r>
                </w:p>
              </w:tc>
              <w:tc>
                <w:tcPr>
                  <w:tcW w:w="3448" w:type="dxa"/>
                  <w:vAlign w:val="center"/>
                </w:tcPr>
                <w:p w14:paraId="2121BAA2">
                  <w:pPr>
                    <w:pStyle w:val="9"/>
                    <w:ind w:firstLine="0"/>
                    <w:jc w:val="center"/>
                    <w:rPr>
                      <w:color w:val="auto"/>
                      <w:szCs w:val="21"/>
                    </w:rPr>
                  </w:pPr>
                  <w:r>
                    <w:rPr>
                      <w:color w:val="auto"/>
                      <w:szCs w:val="21"/>
                    </w:rPr>
                    <w:t>石英砂石等</w:t>
                  </w:r>
                </w:p>
              </w:tc>
            </w:tr>
            <w:tr w14:paraId="01DA9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6D620CD1">
                  <w:pPr>
                    <w:pStyle w:val="9"/>
                    <w:ind w:firstLine="0"/>
                    <w:jc w:val="center"/>
                    <w:rPr>
                      <w:color w:val="auto"/>
                      <w:szCs w:val="21"/>
                    </w:rPr>
                  </w:pPr>
                </w:p>
              </w:tc>
              <w:tc>
                <w:tcPr>
                  <w:tcW w:w="1896" w:type="dxa"/>
                  <w:vAlign w:val="center"/>
                </w:tcPr>
                <w:p w14:paraId="76D431A1">
                  <w:pPr>
                    <w:pStyle w:val="9"/>
                    <w:ind w:firstLine="0"/>
                    <w:jc w:val="center"/>
                    <w:rPr>
                      <w:color w:val="auto"/>
                      <w:szCs w:val="21"/>
                    </w:rPr>
                  </w:pPr>
                  <w:r>
                    <w:rPr>
                      <w:color w:val="auto"/>
                      <w:szCs w:val="21"/>
                    </w:rPr>
                    <w:t>磁选</w:t>
                  </w:r>
                </w:p>
              </w:tc>
              <w:tc>
                <w:tcPr>
                  <w:tcW w:w="2036" w:type="dxa"/>
                  <w:vAlign w:val="center"/>
                </w:tcPr>
                <w:p w14:paraId="27082194">
                  <w:pPr>
                    <w:pStyle w:val="9"/>
                    <w:ind w:firstLine="0"/>
                    <w:jc w:val="center"/>
                    <w:rPr>
                      <w:color w:val="auto"/>
                      <w:szCs w:val="21"/>
                    </w:rPr>
                  </w:pPr>
                  <w:r>
                    <w:rPr>
                      <w:color w:val="auto"/>
                      <w:szCs w:val="21"/>
                    </w:rPr>
                    <w:t>磁性物料S3</w:t>
                  </w:r>
                </w:p>
              </w:tc>
              <w:tc>
                <w:tcPr>
                  <w:tcW w:w="3448" w:type="dxa"/>
                  <w:vAlign w:val="center"/>
                </w:tcPr>
                <w:p w14:paraId="52396FD3">
                  <w:pPr>
                    <w:pStyle w:val="9"/>
                    <w:ind w:firstLine="0"/>
                    <w:jc w:val="center"/>
                    <w:rPr>
                      <w:color w:val="auto"/>
                      <w:szCs w:val="21"/>
                    </w:rPr>
                  </w:pPr>
                  <w:r>
                    <w:rPr>
                      <w:color w:val="auto"/>
                      <w:szCs w:val="21"/>
                    </w:rPr>
                    <w:t>石英砂石、磁性矿石等</w:t>
                  </w:r>
                </w:p>
              </w:tc>
            </w:tr>
            <w:tr w14:paraId="1045D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4E94C0C">
                  <w:pPr>
                    <w:pStyle w:val="9"/>
                    <w:ind w:firstLine="0"/>
                    <w:jc w:val="center"/>
                    <w:rPr>
                      <w:color w:val="auto"/>
                      <w:szCs w:val="21"/>
                    </w:rPr>
                  </w:pPr>
                </w:p>
              </w:tc>
              <w:tc>
                <w:tcPr>
                  <w:tcW w:w="1896" w:type="dxa"/>
                  <w:shd w:val="clear" w:color="auto" w:fill="auto"/>
                  <w:vAlign w:val="center"/>
                </w:tcPr>
                <w:p w14:paraId="4EA14A2F">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水洗</w:t>
                  </w:r>
                </w:p>
              </w:tc>
              <w:tc>
                <w:tcPr>
                  <w:tcW w:w="2036" w:type="dxa"/>
                  <w:shd w:val="clear" w:color="auto" w:fill="auto"/>
                  <w:vAlign w:val="center"/>
                </w:tcPr>
                <w:p w14:paraId="7B28F930">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废渣S</w:t>
                  </w:r>
                  <w:r>
                    <w:rPr>
                      <w:rFonts w:hint="eastAsia"/>
                      <w:color w:val="auto"/>
                      <w:szCs w:val="21"/>
                      <w:lang w:val="en-US" w:eastAsia="zh-CN"/>
                    </w:rPr>
                    <w:t>4</w:t>
                  </w:r>
                </w:p>
              </w:tc>
              <w:tc>
                <w:tcPr>
                  <w:tcW w:w="3448" w:type="dxa"/>
                  <w:shd w:val="clear" w:color="auto" w:fill="auto"/>
                  <w:vAlign w:val="center"/>
                </w:tcPr>
                <w:p w14:paraId="704CDDFA">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石英砂石等</w:t>
                  </w:r>
                </w:p>
              </w:tc>
            </w:tr>
            <w:tr w14:paraId="3C190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281810B3">
                  <w:pPr>
                    <w:pStyle w:val="9"/>
                    <w:ind w:firstLine="0"/>
                    <w:jc w:val="center"/>
                    <w:rPr>
                      <w:color w:val="auto"/>
                      <w:szCs w:val="21"/>
                    </w:rPr>
                  </w:pPr>
                </w:p>
              </w:tc>
              <w:tc>
                <w:tcPr>
                  <w:tcW w:w="1896" w:type="dxa"/>
                  <w:shd w:val="clear" w:color="auto" w:fill="auto"/>
                  <w:vAlign w:val="center"/>
                </w:tcPr>
                <w:p w14:paraId="0BBBA80A">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浮洗</w:t>
                  </w:r>
                </w:p>
              </w:tc>
              <w:tc>
                <w:tcPr>
                  <w:tcW w:w="2036" w:type="dxa"/>
                  <w:shd w:val="clear" w:color="auto" w:fill="auto"/>
                  <w:vAlign w:val="center"/>
                </w:tcPr>
                <w:p w14:paraId="638895EB">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废矿砂S</w:t>
                  </w:r>
                  <w:r>
                    <w:rPr>
                      <w:rFonts w:hint="eastAsia"/>
                      <w:color w:val="auto"/>
                      <w:szCs w:val="21"/>
                      <w:lang w:val="en-US" w:eastAsia="zh-CN"/>
                    </w:rPr>
                    <w:t>5</w:t>
                  </w:r>
                </w:p>
              </w:tc>
              <w:tc>
                <w:tcPr>
                  <w:tcW w:w="3448" w:type="dxa"/>
                  <w:shd w:val="clear" w:color="auto" w:fill="auto"/>
                  <w:vAlign w:val="center"/>
                </w:tcPr>
                <w:p w14:paraId="2D0B062A">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石英砂石等</w:t>
                  </w:r>
                </w:p>
              </w:tc>
            </w:tr>
            <w:tr w14:paraId="28425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5E897C6">
                  <w:pPr>
                    <w:pStyle w:val="9"/>
                    <w:ind w:firstLine="0"/>
                    <w:jc w:val="center"/>
                    <w:rPr>
                      <w:color w:val="auto"/>
                      <w:szCs w:val="21"/>
                    </w:rPr>
                  </w:pPr>
                </w:p>
              </w:tc>
              <w:tc>
                <w:tcPr>
                  <w:tcW w:w="1896" w:type="dxa"/>
                  <w:shd w:val="clear" w:color="auto" w:fill="auto"/>
                  <w:vAlign w:val="center"/>
                </w:tcPr>
                <w:p w14:paraId="4F1B37BB">
                  <w:pPr>
                    <w:pStyle w:val="9"/>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水洗</w:t>
                  </w:r>
                </w:p>
              </w:tc>
              <w:tc>
                <w:tcPr>
                  <w:tcW w:w="2036" w:type="dxa"/>
                  <w:shd w:val="clear" w:color="auto" w:fill="auto"/>
                  <w:vAlign w:val="center"/>
                </w:tcPr>
                <w:p w14:paraId="310CFC59">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废渣S</w:t>
                  </w:r>
                  <w:r>
                    <w:rPr>
                      <w:rFonts w:hint="eastAsia"/>
                      <w:color w:val="auto"/>
                      <w:szCs w:val="21"/>
                      <w:lang w:val="en-US" w:eastAsia="zh-CN"/>
                    </w:rPr>
                    <w:t>6</w:t>
                  </w:r>
                </w:p>
              </w:tc>
              <w:tc>
                <w:tcPr>
                  <w:tcW w:w="3448" w:type="dxa"/>
                  <w:shd w:val="clear" w:color="auto" w:fill="auto"/>
                  <w:vAlign w:val="center"/>
                </w:tcPr>
                <w:p w14:paraId="67894621">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石英砂石等</w:t>
                  </w:r>
                </w:p>
              </w:tc>
            </w:tr>
            <w:tr w14:paraId="3FDDF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09C71432">
                  <w:pPr>
                    <w:pStyle w:val="9"/>
                    <w:ind w:firstLine="0"/>
                    <w:jc w:val="center"/>
                    <w:rPr>
                      <w:color w:val="auto"/>
                      <w:szCs w:val="21"/>
                    </w:rPr>
                  </w:pPr>
                </w:p>
              </w:tc>
              <w:tc>
                <w:tcPr>
                  <w:tcW w:w="1896" w:type="dxa"/>
                  <w:vAlign w:val="center"/>
                </w:tcPr>
                <w:p w14:paraId="344558B7">
                  <w:pPr>
                    <w:pStyle w:val="9"/>
                    <w:ind w:firstLine="0"/>
                    <w:jc w:val="center"/>
                    <w:rPr>
                      <w:color w:val="auto"/>
                      <w:szCs w:val="21"/>
                    </w:rPr>
                  </w:pPr>
                  <w:r>
                    <w:rPr>
                      <w:color w:val="auto"/>
                      <w:szCs w:val="21"/>
                    </w:rPr>
                    <w:t>酸洗</w:t>
                  </w:r>
                </w:p>
              </w:tc>
              <w:tc>
                <w:tcPr>
                  <w:tcW w:w="2036" w:type="dxa"/>
                  <w:vAlign w:val="center"/>
                </w:tcPr>
                <w:p w14:paraId="61C0A4DB">
                  <w:pPr>
                    <w:pStyle w:val="9"/>
                    <w:ind w:firstLine="0"/>
                    <w:jc w:val="center"/>
                    <w:rPr>
                      <w:rFonts w:hint="eastAsia" w:eastAsia="宋体"/>
                      <w:color w:val="auto"/>
                      <w:szCs w:val="21"/>
                      <w:lang w:val="en-US" w:eastAsia="zh-CN"/>
                    </w:rPr>
                  </w:pPr>
                  <w:r>
                    <w:rPr>
                      <w:color w:val="auto"/>
                      <w:szCs w:val="21"/>
                    </w:rPr>
                    <w:t>废酸S</w:t>
                  </w:r>
                  <w:r>
                    <w:rPr>
                      <w:rFonts w:hint="eastAsia"/>
                      <w:color w:val="auto"/>
                      <w:szCs w:val="21"/>
                      <w:lang w:val="en-US" w:eastAsia="zh-CN"/>
                    </w:rPr>
                    <w:t>7</w:t>
                  </w:r>
                </w:p>
              </w:tc>
              <w:tc>
                <w:tcPr>
                  <w:tcW w:w="3448" w:type="dxa"/>
                  <w:vAlign w:val="center"/>
                </w:tcPr>
                <w:p w14:paraId="087BEE81">
                  <w:pPr>
                    <w:pStyle w:val="9"/>
                    <w:ind w:firstLine="0"/>
                    <w:jc w:val="center"/>
                    <w:rPr>
                      <w:rFonts w:hint="default" w:eastAsia="宋体"/>
                      <w:color w:val="auto"/>
                      <w:szCs w:val="21"/>
                      <w:lang w:val="en-US" w:eastAsia="zh-CN"/>
                    </w:rPr>
                  </w:pPr>
                  <w:r>
                    <w:rPr>
                      <w:color w:val="auto"/>
                      <w:szCs w:val="21"/>
                    </w:rPr>
                    <w:t>盐酸、氢氟酸</w:t>
                  </w:r>
                  <w:r>
                    <w:rPr>
                      <w:rFonts w:hint="eastAsia"/>
                      <w:color w:val="auto"/>
                      <w:szCs w:val="21"/>
                      <w:lang w:eastAsia="zh-CN"/>
                    </w:rPr>
                    <w:t>、</w:t>
                  </w:r>
                  <w:r>
                    <w:rPr>
                      <w:rFonts w:hint="eastAsia"/>
                      <w:color w:val="auto"/>
                      <w:szCs w:val="21"/>
                      <w:lang w:val="en-US" w:eastAsia="zh-CN"/>
                    </w:rPr>
                    <w:t>水</w:t>
                  </w:r>
                </w:p>
              </w:tc>
            </w:tr>
            <w:tr w14:paraId="58306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22438F4C">
                  <w:pPr>
                    <w:pStyle w:val="9"/>
                    <w:ind w:firstLine="0"/>
                    <w:jc w:val="center"/>
                    <w:rPr>
                      <w:color w:val="auto"/>
                      <w:szCs w:val="21"/>
                    </w:rPr>
                  </w:pPr>
                </w:p>
              </w:tc>
              <w:tc>
                <w:tcPr>
                  <w:tcW w:w="1896" w:type="dxa"/>
                  <w:vAlign w:val="center"/>
                </w:tcPr>
                <w:p w14:paraId="02D8C36F">
                  <w:pPr>
                    <w:pStyle w:val="9"/>
                    <w:ind w:firstLine="0"/>
                    <w:jc w:val="center"/>
                    <w:rPr>
                      <w:color w:val="auto"/>
                      <w:szCs w:val="21"/>
                    </w:rPr>
                  </w:pPr>
                  <w:r>
                    <w:rPr>
                      <w:color w:val="auto"/>
                      <w:szCs w:val="21"/>
                    </w:rPr>
                    <w:t>酸洗</w:t>
                  </w:r>
                </w:p>
              </w:tc>
              <w:tc>
                <w:tcPr>
                  <w:tcW w:w="2036" w:type="dxa"/>
                  <w:vAlign w:val="center"/>
                </w:tcPr>
                <w:p w14:paraId="25F30E3B">
                  <w:pPr>
                    <w:pStyle w:val="9"/>
                    <w:ind w:firstLine="0"/>
                    <w:jc w:val="center"/>
                    <w:rPr>
                      <w:rFonts w:hint="eastAsia" w:eastAsia="宋体"/>
                      <w:color w:val="auto"/>
                      <w:szCs w:val="21"/>
                      <w:lang w:val="en-US" w:eastAsia="zh-CN"/>
                    </w:rPr>
                  </w:pPr>
                  <w:r>
                    <w:rPr>
                      <w:color w:val="auto"/>
                      <w:szCs w:val="21"/>
                    </w:rPr>
                    <w:t>废酸渣S</w:t>
                  </w:r>
                  <w:r>
                    <w:rPr>
                      <w:rFonts w:hint="eastAsia"/>
                      <w:color w:val="auto"/>
                      <w:szCs w:val="21"/>
                      <w:lang w:val="en-US" w:eastAsia="zh-CN"/>
                    </w:rPr>
                    <w:t>8</w:t>
                  </w:r>
                </w:p>
              </w:tc>
              <w:tc>
                <w:tcPr>
                  <w:tcW w:w="3448" w:type="dxa"/>
                  <w:vAlign w:val="center"/>
                </w:tcPr>
                <w:p w14:paraId="60367669">
                  <w:pPr>
                    <w:pStyle w:val="9"/>
                    <w:ind w:firstLine="0"/>
                    <w:jc w:val="center"/>
                    <w:rPr>
                      <w:color w:val="auto"/>
                      <w:szCs w:val="21"/>
                    </w:rPr>
                  </w:pPr>
                  <w:r>
                    <w:rPr>
                      <w:color w:val="auto"/>
                      <w:szCs w:val="21"/>
                    </w:rPr>
                    <w:t>石英砂石、氯化物等</w:t>
                  </w:r>
                </w:p>
              </w:tc>
            </w:tr>
            <w:tr w14:paraId="7E328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16151E6C">
                  <w:pPr>
                    <w:pStyle w:val="9"/>
                    <w:ind w:firstLine="0"/>
                    <w:jc w:val="center"/>
                    <w:rPr>
                      <w:color w:val="auto"/>
                      <w:szCs w:val="21"/>
                    </w:rPr>
                  </w:pPr>
                </w:p>
              </w:tc>
              <w:tc>
                <w:tcPr>
                  <w:tcW w:w="1896" w:type="dxa"/>
                  <w:shd w:val="clear" w:color="auto" w:fill="auto"/>
                  <w:vAlign w:val="center"/>
                </w:tcPr>
                <w:p w14:paraId="06713C89">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磁选</w:t>
                  </w:r>
                </w:p>
              </w:tc>
              <w:tc>
                <w:tcPr>
                  <w:tcW w:w="2036" w:type="dxa"/>
                  <w:shd w:val="clear" w:color="auto" w:fill="auto"/>
                  <w:vAlign w:val="center"/>
                </w:tcPr>
                <w:p w14:paraId="03F67BA1">
                  <w:pPr>
                    <w:pStyle w:val="9"/>
                    <w:ind w:firstLine="0" w:firstLineChars="0"/>
                    <w:jc w:val="center"/>
                    <w:rPr>
                      <w:rFonts w:hint="eastAsia" w:ascii="Times New Roman" w:hAnsi="Times New Roman" w:eastAsia="宋体" w:cs="Times New Roman"/>
                      <w:color w:val="auto"/>
                      <w:kern w:val="2"/>
                      <w:sz w:val="21"/>
                      <w:szCs w:val="21"/>
                      <w:lang w:val="en-US" w:eastAsia="zh-CN" w:bidi="ar-SA"/>
                    </w:rPr>
                  </w:pPr>
                  <w:r>
                    <w:rPr>
                      <w:color w:val="auto"/>
                      <w:szCs w:val="21"/>
                    </w:rPr>
                    <w:t>磁性物料S</w:t>
                  </w:r>
                  <w:r>
                    <w:rPr>
                      <w:rFonts w:hint="eastAsia"/>
                      <w:color w:val="auto"/>
                      <w:szCs w:val="21"/>
                      <w:lang w:val="en-US" w:eastAsia="zh-CN"/>
                    </w:rPr>
                    <w:t>9</w:t>
                  </w:r>
                </w:p>
              </w:tc>
              <w:tc>
                <w:tcPr>
                  <w:tcW w:w="3448" w:type="dxa"/>
                  <w:shd w:val="clear" w:color="auto" w:fill="auto"/>
                  <w:vAlign w:val="center"/>
                </w:tcPr>
                <w:p w14:paraId="7149C3C1">
                  <w:pPr>
                    <w:pStyle w:val="9"/>
                    <w:ind w:firstLine="0" w:firstLineChars="0"/>
                    <w:jc w:val="center"/>
                    <w:rPr>
                      <w:rFonts w:ascii="Times New Roman" w:hAnsi="Times New Roman" w:eastAsia="宋体" w:cs="Times New Roman"/>
                      <w:color w:val="auto"/>
                      <w:kern w:val="2"/>
                      <w:sz w:val="21"/>
                      <w:szCs w:val="21"/>
                      <w:lang w:val="en-US" w:eastAsia="zh-CN" w:bidi="ar-SA"/>
                    </w:rPr>
                  </w:pPr>
                  <w:r>
                    <w:rPr>
                      <w:color w:val="auto"/>
                      <w:szCs w:val="21"/>
                    </w:rPr>
                    <w:t>石英砂石、磁性矿石等</w:t>
                  </w:r>
                </w:p>
              </w:tc>
            </w:tr>
            <w:tr w14:paraId="1D8C7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12E387A2">
                  <w:pPr>
                    <w:pStyle w:val="9"/>
                    <w:ind w:firstLine="0"/>
                    <w:jc w:val="center"/>
                    <w:rPr>
                      <w:color w:val="auto"/>
                      <w:szCs w:val="21"/>
                    </w:rPr>
                  </w:pPr>
                </w:p>
              </w:tc>
              <w:tc>
                <w:tcPr>
                  <w:tcW w:w="1896" w:type="dxa"/>
                  <w:vAlign w:val="center"/>
                </w:tcPr>
                <w:p w14:paraId="64522796">
                  <w:pPr>
                    <w:pStyle w:val="9"/>
                    <w:ind w:firstLine="0"/>
                    <w:jc w:val="center"/>
                    <w:rPr>
                      <w:color w:val="auto"/>
                      <w:szCs w:val="21"/>
                    </w:rPr>
                  </w:pPr>
                  <w:r>
                    <w:rPr>
                      <w:color w:val="auto"/>
                      <w:szCs w:val="21"/>
                    </w:rPr>
                    <w:t>纯水制备</w:t>
                  </w:r>
                </w:p>
              </w:tc>
              <w:tc>
                <w:tcPr>
                  <w:tcW w:w="2036" w:type="dxa"/>
                  <w:vAlign w:val="center"/>
                </w:tcPr>
                <w:p w14:paraId="11653126">
                  <w:pPr>
                    <w:pStyle w:val="9"/>
                    <w:ind w:firstLine="0"/>
                    <w:jc w:val="center"/>
                    <w:rPr>
                      <w:color w:val="auto"/>
                      <w:szCs w:val="21"/>
                    </w:rPr>
                  </w:pPr>
                  <w:r>
                    <w:rPr>
                      <w:color w:val="auto"/>
                      <w:szCs w:val="21"/>
                    </w:rPr>
                    <w:t>废活性炭</w:t>
                  </w:r>
                </w:p>
              </w:tc>
              <w:tc>
                <w:tcPr>
                  <w:tcW w:w="3448" w:type="dxa"/>
                  <w:vAlign w:val="center"/>
                </w:tcPr>
                <w:p w14:paraId="35CE99ED">
                  <w:pPr>
                    <w:pStyle w:val="9"/>
                    <w:ind w:firstLine="0"/>
                    <w:jc w:val="center"/>
                    <w:rPr>
                      <w:color w:val="auto"/>
                      <w:szCs w:val="21"/>
                    </w:rPr>
                  </w:pPr>
                  <w:r>
                    <w:rPr>
                      <w:color w:val="auto"/>
                      <w:szCs w:val="21"/>
                    </w:rPr>
                    <w:t>废活性炭</w:t>
                  </w:r>
                </w:p>
              </w:tc>
            </w:tr>
            <w:tr w14:paraId="11985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269AD084">
                  <w:pPr>
                    <w:pStyle w:val="9"/>
                    <w:ind w:firstLine="0"/>
                    <w:jc w:val="center"/>
                    <w:rPr>
                      <w:color w:val="auto"/>
                      <w:szCs w:val="21"/>
                    </w:rPr>
                  </w:pPr>
                </w:p>
              </w:tc>
              <w:tc>
                <w:tcPr>
                  <w:tcW w:w="1896" w:type="dxa"/>
                  <w:vAlign w:val="center"/>
                </w:tcPr>
                <w:p w14:paraId="153D599A">
                  <w:pPr>
                    <w:pStyle w:val="9"/>
                    <w:ind w:firstLine="0"/>
                    <w:jc w:val="center"/>
                    <w:rPr>
                      <w:color w:val="auto"/>
                      <w:szCs w:val="21"/>
                    </w:rPr>
                  </w:pPr>
                  <w:r>
                    <w:rPr>
                      <w:color w:val="auto"/>
                      <w:szCs w:val="21"/>
                    </w:rPr>
                    <w:t>纯水制备</w:t>
                  </w:r>
                </w:p>
              </w:tc>
              <w:tc>
                <w:tcPr>
                  <w:tcW w:w="2036" w:type="dxa"/>
                  <w:vAlign w:val="center"/>
                </w:tcPr>
                <w:p w14:paraId="154C9DFC">
                  <w:pPr>
                    <w:pStyle w:val="9"/>
                    <w:ind w:firstLine="0"/>
                    <w:jc w:val="center"/>
                    <w:rPr>
                      <w:color w:val="auto"/>
                      <w:szCs w:val="21"/>
                    </w:rPr>
                  </w:pPr>
                  <w:r>
                    <w:rPr>
                      <w:color w:val="auto"/>
                      <w:szCs w:val="21"/>
                    </w:rPr>
                    <w:t>废石英砂</w:t>
                  </w:r>
                </w:p>
              </w:tc>
              <w:tc>
                <w:tcPr>
                  <w:tcW w:w="3448" w:type="dxa"/>
                  <w:vAlign w:val="center"/>
                </w:tcPr>
                <w:p w14:paraId="093B2293">
                  <w:pPr>
                    <w:pStyle w:val="9"/>
                    <w:ind w:firstLine="0"/>
                    <w:jc w:val="center"/>
                    <w:rPr>
                      <w:color w:val="auto"/>
                      <w:szCs w:val="21"/>
                    </w:rPr>
                  </w:pPr>
                  <w:r>
                    <w:rPr>
                      <w:color w:val="auto"/>
                      <w:szCs w:val="21"/>
                    </w:rPr>
                    <w:t>石英砂石等</w:t>
                  </w:r>
                </w:p>
              </w:tc>
            </w:tr>
            <w:tr w14:paraId="79250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0C775C2">
                  <w:pPr>
                    <w:pStyle w:val="9"/>
                    <w:ind w:firstLine="0"/>
                    <w:jc w:val="center"/>
                    <w:rPr>
                      <w:color w:val="auto"/>
                      <w:szCs w:val="21"/>
                    </w:rPr>
                  </w:pPr>
                </w:p>
              </w:tc>
              <w:tc>
                <w:tcPr>
                  <w:tcW w:w="1896" w:type="dxa"/>
                  <w:vAlign w:val="center"/>
                </w:tcPr>
                <w:p w14:paraId="739EA1C0">
                  <w:pPr>
                    <w:pStyle w:val="9"/>
                    <w:ind w:firstLine="0"/>
                    <w:jc w:val="center"/>
                    <w:rPr>
                      <w:color w:val="auto"/>
                      <w:szCs w:val="21"/>
                    </w:rPr>
                  </w:pPr>
                  <w:r>
                    <w:rPr>
                      <w:color w:val="auto"/>
                      <w:szCs w:val="21"/>
                    </w:rPr>
                    <w:t>纯水制备</w:t>
                  </w:r>
                </w:p>
              </w:tc>
              <w:tc>
                <w:tcPr>
                  <w:tcW w:w="2036" w:type="dxa"/>
                  <w:vAlign w:val="center"/>
                </w:tcPr>
                <w:p w14:paraId="70D9DF8B">
                  <w:pPr>
                    <w:pStyle w:val="9"/>
                    <w:ind w:firstLine="0"/>
                    <w:jc w:val="center"/>
                    <w:rPr>
                      <w:color w:val="auto"/>
                      <w:szCs w:val="21"/>
                    </w:rPr>
                  </w:pPr>
                  <w:r>
                    <w:rPr>
                      <w:color w:val="auto"/>
                      <w:szCs w:val="21"/>
                    </w:rPr>
                    <w:t>废膜</w:t>
                  </w:r>
                </w:p>
              </w:tc>
              <w:tc>
                <w:tcPr>
                  <w:tcW w:w="3448" w:type="dxa"/>
                  <w:vAlign w:val="center"/>
                </w:tcPr>
                <w:p w14:paraId="3201F15E">
                  <w:pPr>
                    <w:pStyle w:val="9"/>
                    <w:ind w:firstLine="0"/>
                    <w:jc w:val="center"/>
                    <w:rPr>
                      <w:color w:val="auto"/>
                      <w:szCs w:val="21"/>
                    </w:rPr>
                  </w:pPr>
                  <w:r>
                    <w:rPr>
                      <w:color w:val="auto"/>
                      <w:szCs w:val="21"/>
                    </w:rPr>
                    <w:t>废膜</w:t>
                  </w:r>
                </w:p>
              </w:tc>
            </w:tr>
            <w:tr w14:paraId="49167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BABA886">
                  <w:pPr>
                    <w:pStyle w:val="9"/>
                    <w:ind w:firstLine="0"/>
                    <w:jc w:val="center"/>
                    <w:rPr>
                      <w:color w:val="auto"/>
                      <w:szCs w:val="21"/>
                    </w:rPr>
                  </w:pPr>
                </w:p>
              </w:tc>
              <w:tc>
                <w:tcPr>
                  <w:tcW w:w="1896" w:type="dxa"/>
                  <w:vAlign w:val="center"/>
                </w:tcPr>
                <w:p w14:paraId="43A4505F">
                  <w:pPr>
                    <w:pStyle w:val="9"/>
                    <w:ind w:firstLine="0"/>
                    <w:jc w:val="center"/>
                    <w:rPr>
                      <w:color w:val="auto"/>
                      <w:szCs w:val="21"/>
                    </w:rPr>
                  </w:pPr>
                  <w:r>
                    <w:rPr>
                      <w:color w:val="auto"/>
                      <w:szCs w:val="21"/>
                    </w:rPr>
                    <w:t>废气处理</w:t>
                  </w:r>
                </w:p>
              </w:tc>
              <w:tc>
                <w:tcPr>
                  <w:tcW w:w="2036" w:type="dxa"/>
                  <w:vAlign w:val="center"/>
                </w:tcPr>
                <w:p w14:paraId="2D2728C6">
                  <w:pPr>
                    <w:pStyle w:val="9"/>
                    <w:ind w:firstLine="0"/>
                    <w:jc w:val="center"/>
                    <w:rPr>
                      <w:rFonts w:hint="default" w:eastAsia="宋体"/>
                      <w:color w:val="auto"/>
                      <w:szCs w:val="21"/>
                      <w:lang w:val="en-US" w:eastAsia="zh-CN"/>
                    </w:rPr>
                  </w:pPr>
                  <w:r>
                    <w:rPr>
                      <w:rFonts w:hint="eastAsia"/>
                      <w:color w:val="auto"/>
                      <w:szCs w:val="21"/>
                    </w:rPr>
                    <w:t>收集的粉尘及布袋</w:t>
                  </w:r>
                </w:p>
              </w:tc>
              <w:tc>
                <w:tcPr>
                  <w:tcW w:w="3448" w:type="dxa"/>
                  <w:vAlign w:val="center"/>
                </w:tcPr>
                <w:p w14:paraId="32F82CB6">
                  <w:pPr>
                    <w:pStyle w:val="9"/>
                    <w:ind w:firstLine="0"/>
                    <w:jc w:val="center"/>
                    <w:rPr>
                      <w:color w:val="auto"/>
                      <w:szCs w:val="21"/>
                    </w:rPr>
                  </w:pPr>
                  <w:r>
                    <w:rPr>
                      <w:color w:val="auto"/>
                      <w:szCs w:val="21"/>
                    </w:rPr>
                    <w:t>石英砂石等</w:t>
                  </w:r>
                </w:p>
              </w:tc>
            </w:tr>
            <w:tr w14:paraId="3DCBC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CF970B2">
                  <w:pPr>
                    <w:pStyle w:val="9"/>
                    <w:ind w:firstLine="0"/>
                    <w:jc w:val="center"/>
                    <w:rPr>
                      <w:color w:val="auto"/>
                      <w:szCs w:val="21"/>
                    </w:rPr>
                  </w:pPr>
                </w:p>
              </w:tc>
              <w:tc>
                <w:tcPr>
                  <w:tcW w:w="1896" w:type="dxa"/>
                  <w:vAlign w:val="center"/>
                </w:tcPr>
                <w:p w14:paraId="0035BE0D">
                  <w:pPr>
                    <w:pStyle w:val="9"/>
                    <w:ind w:firstLine="0"/>
                    <w:jc w:val="center"/>
                    <w:rPr>
                      <w:color w:val="auto"/>
                      <w:szCs w:val="21"/>
                    </w:rPr>
                  </w:pPr>
                  <w:r>
                    <w:rPr>
                      <w:color w:val="auto"/>
                      <w:szCs w:val="21"/>
                    </w:rPr>
                    <w:t>维修保养</w:t>
                  </w:r>
                </w:p>
              </w:tc>
              <w:tc>
                <w:tcPr>
                  <w:tcW w:w="2036" w:type="dxa"/>
                  <w:vAlign w:val="center"/>
                </w:tcPr>
                <w:p w14:paraId="47A38E7B">
                  <w:pPr>
                    <w:pStyle w:val="9"/>
                    <w:ind w:firstLine="0"/>
                    <w:jc w:val="center"/>
                    <w:rPr>
                      <w:color w:val="auto"/>
                      <w:szCs w:val="21"/>
                    </w:rPr>
                  </w:pPr>
                  <w:r>
                    <w:rPr>
                      <w:color w:val="auto"/>
                      <w:szCs w:val="21"/>
                    </w:rPr>
                    <w:t>废液压油</w:t>
                  </w:r>
                </w:p>
              </w:tc>
              <w:tc>
                <w:tcPr>
                  <w:tcW w:w="3448" w:type="dxa"/>
                  <w:vAlign w:val="center"/>
                </w:tcPr>
                <w:p w14:paraId="29D237AB">
                  <w:pPr>
                    <w:pStyle w:val="9"/>
                    <w:ind w:firstLine="0"/>
                    <w:jc w:val="center"/>
                    <w:rPr>
                      <w:color w:val="auto"/>
                      <w:szCs w:val="21"/>
                    </w:rPr>
                  </w:pPr>
                  <w:r>
                    <w:rPr>
                      <w:color w:val="auto"/>
                      <w:szCs w:val="21"/>
                    </w:rPr>
                    <w:t>废液压油</w:t>
                  </w:r>
                </w:p>
              </w:tc>
            </w:tr>
            <w:tr w14:paraId="71035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66B838C2">
                  <w:pPr>
                    <w:pStyle w:val="9"/>
                    <w:ind w:firstLine="0"/>
                    <w:jc w:val="center"/>
                    <w:rPr>
                      <w:color w:val="auto"/>
                      <w:szCs w:val="21"/>
                    </w:rPr>
                  </w:pPr>
                </w:p>
              </w:tc>
              <w:tc>
                <w:tcPr>
                  <w:tcW w:w="1896" w:type="dxa"/>
                  <w:vAlign w:val="center"/>
                </w:tcPr>
                <w:p w14:paraId="2A161EF8">
                  <w:pPr>
                    <w:pStyle w:val="9"/>
                    <w:ind w:firstLine="0"/>
                    <w:jc w:val="center"/>
                    <w:rPr>
                      <w:color w:val="auto"/>
                      <w:szCs w:val="21"/>
                    </w:rPr>
                  </w:pPr>
                  <w:r>
                    <w:rPr>
                      <w:color w:val="auto"/>
                      <w:szCs w:val="21"/>
                    </w:rPr>
                    <w:t>维修保养</w:t>
                  </w:r>
                </w:p>
              </w:tc>
              <w:tc>
                <w:tcPr>
                  <w:tcW w:w="2036" w:type="dxa"/>
                  <w:vAlign w:val="center"/>
                </w:tcPr>
                <w:p w14:paraId="55824DB6">
                  <w:pPr>
                    <w:pStyle w:val="9"/>
                    <w:ind w:firstLine="0"/>
                    <w:jc w:val="center"/>
                    <w:rPr>
                      <w:color w:val="auto"/>
                      <w:szCs w:val="21"/>
                    </w:rPr>
                  </w:pPr>
                  <w:r>
                    <w:rPr>
                      <w:color w:val="auto"/>
                      <w:szCs w:val="21"/>
                    </w:rPr>
                    <w:t>废润滑油</w:t>
                  </w:r>
                </w:p>
              </w:tc>
              <w:tc>
                <w:tcPr>
                  <w:tcW w:w="3448" w:type="dxa"/>
                  <w:vAlign w:val="center"/>
                </w:tcPr>
                <w:p w14:paraId="0DF20E00">
                  <w:pPr>
                    <w:pStyle w:val="9"/>
                    <w:ind w:firstLine="0"/>
                    <w:jc w:val="center"/>
                    <w:rPr>
                      <w:color w:val="auto"/>
                      <w:szCs w:val="21"/>
                    </w:rPr>
                  </w:pPr>
                  <w:r>
                    <w:rPr>
                      <w:color w:val="auto"/>
                      <w:szCs w:val="21"/>
                    </w:rPr>
                    <w:t>废润滑油</w:t>
                  </w:r>
                </w:p>
              </w:tc>
            </w:tr>
            <w:tr w14:paraId="54211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3954555D">
                  <w:pPr>
                    <w:pStyle w:val="9"/>
                    <w:ind w:firstLine="0"/>
                    <w:jc w:val="center"/>
                    <w:rPr>
                      <w:color w:val="auto"/>
                      <w:szCs w:val="21"/>
                    </w:rPr>
                  </w:pPr>
                </w:p>
              </w:tc>
              <w:tc>
                <w:tcPr>
                  <w:tcW w:w="1896" w:type="dxa"/>
                  <w:vAlign w:val="center"/>
                </w:tcPr>
                <w:p w14:paraId="5134E059">
                  <w:pPr>
                    <w:pStyle w:val="9"/>
                    <w:ind w:firstLine="0"/>
                    <w:jc w:val="center"/>
                    <w:rPr>
                      <w:color w:val="auto"/>
                      <w:szCs w:val="21"/>
                    </w:rPr>
                  </w:pPr>
                  <w:r>
                    <w:rPr>
                      <w:color w:val="auto"/>
                      <w:szCs w:val="21"/>
                    </w:rPr>
                    <w:t>废水处理</w:t>
                  </w:r>
                </w:p>
              </w:tc>
              <w:tc>
                <w:tcPr>
                  <w:tcW w:w="2036" w:type="dxa"/>
                  <w:vAlign w:val="center"/>
                </w:tcPr>
                <w:p w14:paraId="47B6BE55">
                  <w:pPr>
                    <w:pStyle w:val="9"/>
                    <w:ind w:firstLine="0"/>
                    <w:jc w:val="center"/>
                    <w:rPr>
                      <w:color w:val="auto"/>
                      <w:szCs w:val="21"/>
                    </w:rPr>
                  </w:pPr>
                  <w:r>
                    <w:rPr>
                      <w:color w:val="auto"/>
                      <w:szCs w:val="21"/>
                    </w:rPr>
                    <w:t>污泥</w:t>
                  </w:r>
                </w:p>
              </w:tc>
              <w:tc>
                <w:tcPr>
                  <w:tcW w:w="3448" w:type="dxa"/>
                  <w:vAlign w:val="center"/>
                </w:tcPr>
                <w:p w14:paraId="477ADD3E">
                  <w:pPr>
                    <w:pStyle w:val="9"/>
                    <w:ind w:firstLine="0"/>
                    <w:jc w:val="center"/>
                    <w:rPr>
                      <w:color w:val="auto"/>
                      <w:szCs w:val="21"/>
                    </w:rPr>
                  </w:pPr>
                  <w:r>
                    <w:rPr>
                      <w:color w:val="auto"/>
                      <w:szCs w:val="21"/>
                    </w:rPr>
                    <w:t>污泥</w:t>
                  </w:r>
                </w:p>
              </w:tc>
            </w:tr>
            <w:tr w14:paraId="11CCA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4CBFD147">
                  <w:pPr>
                    <w:pStyle w:val="9"/>
                    <w:ind w:firstLine="0"/>
                    <w:jc w:val="center"/>
                    <w:rPr>
                      <w:color w:val="auto"/>
                      <w:szCs w:val="21"/>
                    </w:rPr>
                  </w:pPr>
                </w:p>
              </w:tc>
              <w:tc>
                <w:tcPr>
                  <w:tcW w:w="1896" w:type="dxa"/>
                  <w:vAlign w:val="center"/>
                </w:tcPr>
                <w:p w14:paraId="3F3596F6">
                  <w:pPr>
                    <w:pStyle w:val="9"/>
                    <w:ind w:firstLine="0"/>
                    <w:jc w:val="center"/>
                    <w:rPr>
                      <w:color w:val="auto"/>
                      <w:szCs w:val="21"/>
                    </w:rPr>
                  </w:pPr>
                  <w:r>
                    <w:rPr>
                      <w:color w:val="auto"/>
                      <w:szCs w:val="21"/>
                    </w:rPr>
                    <w:t>废水处理</w:t>
                  </w:r>
                </w:p>
              </w:tc>
              <w:tc>
                <w:tcPr>
                  <w:tcW w:w="2036" w:type="dxa"/>
                  <w:vAlign w:val="center"/>
                </w:tcPr>
                <w:p w14:paraId="0CC2B14C">
                  <w:pPr>
                    <w:pStyle w:val="9"/>
                    <w:ind w:firstLine="0"/>
                    <w:jc w:val="center"/>
                    <w:rPr>
                      <w:color w:val="auto"/>
                      <w:szCs w:val="21"/>
                    </w:rPr>
                  </w:pPr>
                  <w:r>
                    <w:rPr>
                      <w:color w:val="auto"/>
                      <w:szCs w:val="21"/>
                    </w:rPr>
                    <w:t>过滤材料</w:t>
                  </w:r>
                </w:p>
              </w:tc>
              <w:tc>
                <w:tcPr>
                  <w:tcW w:w="3448" w:type="dxa"/>
                  <w:vAlign w:val="center"/>
                </w:tcPr>
                <w:p w14:paraId="02758316">
                  <w:pPr>
                    <w:pStyle w:val="9"/>
                    <w:ind w:firstLine="0"/>
                    <w:jc w:val="center"/>
                    <w:rPr>
                      <w:color w:val="auto"/>
                      <w:szCs w:val="21"/>
                    </w:rPr>
                  </w:pPr>
                  <w:r>
                    <w:rPr>
                      <w:color w:val="auto"/>
                      <w:szCs w:val="21"/>
                    </w:rPr>
                    <w:t>纤维、活性氧化铝</w:t>
                  </w:r>
                </w:p>
              </w:tc>
            </w:tr>
            <w:tr w14:paraId="1CD2C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3DD80E90">
                  <w:pPr>
                    <w:pStyle w:val="9"/>
                    <w:ind w:firstLine="0"/>
                    <w:jc w:val="center"/>
                    <w:rPr>
                      <w:color w:val="auto"/>
                      <w:szCs w:val="21"/>
                    </w:rPr>
                  </w:pPr>
                </w:p>
              </w:tc>
              <w:tc>
                <w:tcPr>
                  <w:tcW w:w="1896" w:type="dxa"/>
                  <w:vAlign w:val="center"/>
                </w:tcPr>
                <w:p w14:paraId="381D52E3">
                  <w:pPr>
                    <w:pStyle w:val="9"/>
                    <w:ind w:firstLine="0"/>
                    <w:jc w:val="center"/>
                    <w:rPr>
                      <w:color w:val="auto"/>
                      <w:szCs w:val="21"/>
                    </w:rPr>
                  </w:pPr>
                  <w:r>
                    <w:rPr>
                      <w:color w:val="auto"/>
                      <w:szCs w:val="21"/>
                    </w:rPr>
                    <w:t>废水处理</w:t>
                  </w:r>
                </w:p>
              </w:tc>
              <w:tc>
                <w:tcPr>
                  <w:tcW w:w="2036" w:type="dxa"/>
                  <w:vAlign w:val="center"/>
                </w:tcPr>
                <w:p w14:paraId="5C608D9C">
                  <w:pPr>
                    <w:pStyle w:val="9"/>
                    <w:ind w:firstLine="0"/>
                    <w:jc w:val="center"/>
                    <w:rPr>
                      <w:rFonts w:hint="default" w:eastAsia="宋体"/>
                      <w:color w:val="auto"/>
                      <w:szCs w:val="21"/>
                      <w:lang w:val="en-US" w:eastAsia="zh-CN"/>
                    </w:rPr>
                  </w:pPr>
                  <w:r>
                    <w:rPr>
                      <w:rFonts w:hint="eastAsia"/>
                      <w:color w:val="auto"/>
                      <w:szCs w:val="21"/>
                      <w:lang w:val="en-US" w:eastAsia="zh-CN"/>
                    </w:rPr>
                    <w:t>再生废液</w:t>
                  </w:r>
                </w:p>
              </w:tc>
              <w:tc>
                <w:tcPr>
                  <w:tcW w:w="3448" w:type="dxa"/>
                  <w:vAlign w:val="center"/>
                </w:tcPr>
                <w:p w14:paraId="1EFFD70F">
                  <w:pPr>
                    <w:pStyle w:val="9"/>
                    <w:ind w:firstLine="0"/>
                    <w:jc w:val="center"/>
                    <w:rPr>
                      <w:rFonts w:hint="default" w:eastAsia="宋体"/>
                      <w:color w:val="auto"/>
                      <w:szCs w:val="21"/>
                      <w:lang w:val="en-US" w:eastAsia="zh-CN"/>
                    </w:rPr>
                  </w:pPr>
                  <w:r>
                    <w:rPr>
                      <w:rFonts w:hint="eastAsia"/>
                      <w:color w:val="auto"/>
                      <w:szCs w:val="21"/>
                      <w:lang w:val="en-US" w:eastAsia="zh-CN"/>
                    </w:rPr>
                    <w:t>硫酸铝、氢氧化钠、杂质</w:t>
                  </w:r>
                </w:p>
              </w:tc>
            </w:tr>
            <w:tr w14:paraId="1DF14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60E142D2">
                  <w:pPr>
                    <w:pStyle w:val="9"/>
                    <w:ind w:firstLine="0"/>
                    <w:jc w:val="center"/>
                    <w:rPr>
                      <w:color w:val="auto"/>
                      <w:szCs w:val="21"/>
                    </w:rPr>
                  </w:pPr>
                </w:p>
              </w:tc>
              <w:tc>
                <w:tcPr>
                  <w:tcW w:w="1896" w:type="dxa"/>
                  <w:vAlign w:val="center"/>
                </w:tcPr>
                <w:p w14:paraId="7525A72C">
                  <w:pPr>
                    <w:pStyle w:val="9"/>
                    <w:ind w:firstLine="0"/>
                    <w:jc w:val="center"/>
                    <w:rPr>
                      <w:color w:val="auto"/>
                      <w:szCs w:val="21"/>
                    </w:rPr>
                  </w:pPr>
                  <w:r>
                    <w:rPr>
                      <w:color w:val="auto"/>
                      <w:szCs w:val="21"/>
                    </w:rPr>
                    <w:t>拆包</w:t>
                  </w:r>
                </w:p>
              </w:tc>
              <w:tc>
                <w:tcPr>
                  <w:tcW w:w="2036" w:type="dxa"/>
                  <w:vAlign w:val="center"/>
                </w:tcPr>
                <w:p w14:paraId="000BB7B1">
                  <w:pPr>
                    <w:pStyle w:val="9"/>
                    <w:ind w:firstLine="0"/>
                    <w:jc w:val="center"/>
                    <w:rPr>
                      <w:color w:val="auto"/>
                      <w:szCs w:val="21"/>
                    </w:rPr>
                  </w:pPr>
                  <w:r>
                    <w:rPr>
                      <w:color w:val="auto"/>
                      <w:szCs w:val="21"/>
                    </w:rPr>
                    <w:t>废包装材料</w:t>
                  </w:r>
                </w:p>
              </w:tc>
              <w:tc>
                <w:tcPr>
                  <w:tcW w:w="3448" w:type="dxa"/>
                  <w:vAlign w:val="center"/>
                </w:tcPr>
                <w:p w14:paraId="030224FC">
                  <w:pPr>
                    <w:pStyle w:val="9"/>
                    <w:ind w:firstLine="0"/>
                    <w:jc w:val="center"/>
                    <w:rPr>
                      <w:color w:val="auto"/>
                      <w:szCs w:val="21"/>
                    </w:rPr>
                  </w:pPr>
                  <w:r>
                    <w:rPr>
                      <w:color w:val="auto"/>
                      <w:szCs w:val="21"/>
                    </w:rPr>
                    <w:t>塑料、尼龙等</w:t>
                  </w:r>
                </w:p>
              </w:tc>
            </w:tr>
            <w:tr w14:paraId="6294A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1D4AAAE5">
                  <w:pPr>
                    <w:pStyle w:val="9"/>
                    <w:ind w:firstLine="0"/>
                    <w:jc w:val="center"/>
                    <w:rPr>
                      <w:color w:val="auto"/>
                      <w:szCs w:val="21"/>
                    </w:rPr>
                  </w:pPr>
                </w:p>
              </w:tc>
              <w:tc>
                <w:tcPr>
                  <w:tcW w:w="1896" w:type="dxa"/>
                  <w:vAlign w:val="center"/>
                </w:tcPr>
                <w:p w14:paraId="56D5ACD5">
                  <w:pPr>
                    <w:pStyle w:val="9"/>
                    <w:ind w:firstLine="0"/>
                    <w:jc w:val="center"/>
                    <w:rPr>
                      <w:rFonts w:hint="default" w:eastAsia="宋体"/>
                      <w:color w:val="auto"/>
                      <w:szCs w:val="21"/>
                      <w:lang w:val="en-US" w:eastAsia="zh-CN"/>
                    </w:rPr>
                  </w:pPr>
                  <w:r>
                    <w:rPr>
                      <w:rFonts w:hint="eastAsia"/>
                      <w:color w:val="auto"/>
                      <w:szCs w:val="21"/>
                      <w:lang w:val="en-US" w:eastAsia="zh-CN"/>
                    </w:rPr>
                    <w:t>洁净车间过滤</w:t>
                  </w:r>
                </w:p>
              </w:tc>
              <w:tc>
                <w:tcPr>
                  <w:tcW w:w="2036" w:type="dxa"/>
                  <w:vAlign w:val="center"/>
                </w:tcPr>
                <w:p w14:paraId="4A536E59">
                  <w:pPr>
                    <w:pStyle w:val="9"/>
                    <w:ind w:firstLine="0"/>
                    <w:jc w:val="center"/>
                    <w:rPr>
                      <w:rFonts w:hint="eastAsia" w:eastAsia="宋体"/>
                      <w:color w:val="auto"/>
                      <w:szCs w:val="21"/>
                      <w:lang w:val="en-US" w:eastAsia="zh-CN"/>
                    </w:rPr>
                  </w:pPr>
                  <w:r>
                    <w:rPr>
                      <w:rFonts w:hint="eastAsia"/>
                      <w:color w:val="auto"/>
                      <w:szCs w:val="21"/>
                      <w:lang w:val="en-US" w:eastAsia="zh-CN"/>
                    </w:rPr>
                    <w:t>废滤材</w:t>
                  </w:r>
                </w:p>
              </w:tc>
              <w:tc>
                <w:tcPr>
                  <w:tcW w:w="3448" w:type="dxa"/>
                  <w:vAlign w:val="center"/>
                </w:tcPr>
                <w:p w14:paraId="5C53276F">
                  <w:pPr>
                    <w:pStyle w:val="9"/>
                    <w:ind w:firstLine="0"/>
                    <w:jc w:val="center"/>
                    <w:rPr>
                      <w:color w:val="auto"/>
                      <w:szCs w:val="21"/>
                    </w:rPr>
                  </w:pPr>
                  <w:r>
                    <w:rPr>
                      <w:rFonts w:hint="eastAsia"/>
                      <w:color w:val="auto"/>
                      <w:szCs w:val="21"/>
                      <w:lang w:val="en-US" w:eastAsia="zh-CN"/>
                    </w:rPr>
                    <w:t>玻璃纤维</w:t>
                  </w:r>
                </w:p>
              </w:tc>
            </w:tr>
            <w:tr w14:paraId="555FB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59" w:type="dxa"/>
                  <w:vMerge w:val="continue"/>
                  <w:vAlign w:val="center"/>
                </w:tcPr>
                <w:p w14:paraId="75D9184D">
                  <w:pPr>
                    <w:pStyle w:val="9"/>
                    <w:ind w:firstLine="0"/>
                    <w:jc w:val="center"/>
                    <w:rPr>
                      <w:color w:val="auto"/>
                      <w:szCs w:val="21"/>
                    </w:rPr>
                  </w:pPr>
                </w:p>
              </w:tc>
              <w:tc>
                <w:tcPr>
                  <w:tcW w:w="1896" w:type="dxa"/>
                  <w:vAlign w:val="center"/>
                </w:tcPr>
                <w:p w14:paraId="4E29F83C">
                  <w:pPr>
                    <w:pStyle w:val="9"/>
                    <w:ind w:firstLine="0"/>
                    <w:jc w:val="center"/>
                    <w:rPr>
                      <w:color w:val="auto"/>
                      <w:szCs w:val="21"/>
                    </w:rPr>
                  </w:pPr>
                  <w:r>
                    <w:rPr>
                      <w:color w:val="auto"/>
                      <w:szCs w:val="21"/>
                    </w:rPr>
                    <w:t>员工生活</w:t>
                  </w:r>
                </w:p>
              </w:tc>
              <w:tc>
                <w:tcPr>
                  <w:tcW w:w="2036" w:type="dxa"/>
                  <w:vAlign w:val="center"/>
                </w:tcPr>
                <w:p w14:paraId="63C66C62">
                  <w:pPr>
                    <w:pStyle w:val="9"/>
                    <w:ind w:firstLine="0"/>
                    <w:jc w:val="center"/>
                    <w:rPr>
                      <w:color w:val="auto"/>
                      <w:szCs w:val="21"/>
                    </w:rPr>
                  </w:pPr>
                  <w:r>
                    <w:rPr>
                      <w:color w:val="auto"/>
                      <w:szCs w:val="21"/>
                    </w:rPr>
                    <w:t>生活垃圾</w:t>
                  </w:r>
                </w:p>
              </w:tc>
              <w:tc>
                <w:tcPr>
                  <w:tcW w:w="3448" w:type="dxa"/>
                  <w:vAlign w:val="center"/>
                </w:tcPr>
                <w:p w14:paraId="1315EAFB">
                  <w:pPr>
                    <w:pStyle w:val="9"/>
                    <w:ind w:firstLine="0"/>
                    <w:jc w:val="center"/>
                    <w:rPr>
                      <w:color w:val="auto"/>
                      <w:szCs w:val="21"/>
                    </w:rPr>
                  </w:pPr>
                  <w:r>
                    <w:rPr>
                      <w:color w:val="auto"/>
                      <w:szCs w:val="21"/>
                    </w:rPr>
                    <w:t>生活垃圾</w:t>
                  </w:r>
                </w:p>
              </w:tc>
            </w:tr>
          </w:tbl>
          <w:p w14:paraId="1C00B9E9">
            <w:pPr>
              <w:adjustRightInd w:val="0"/>
              <w:snapToGrid w:val="0"/>
              <w:spacing w:line="440" w:lineRule="exact"/>
              <w:rPr>
                <w:b/>
                <w:bCs/>
                <w:color w:val="auto"/>
                <w:sz w:val="24"/>
              </w:rPr>
            </w:pPr>
          </w:p>
        </w:tc>
      </w:tr>
      <w:tr w14:paraId="32852F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97" w:type="dxa"/>
            <w:vAlign w:val="center"/>
          </w:tcPr>
          <w:p w14:paraId="7141FAD1">
            <w:pPr>
              <w:pStyle w:val="29"/>
              <w:widowControl w:val="0"/>
              <w:adjustRightInd w:val="0"/>
              <w:snapToGrid w:val="0"/>
              <w:spacing w:before="0" w:beforeAutospacing="0" w:after="0" w:afterAutospacing="0"/>
              <w:jc w:val="center"/>
              <w:rPr>
                <w:rFonts w:ascii="Times New Roman" w:hAnsi="Times New Roman"/>
                <w:color w:val="auto"/>
                <w:szCs w:val="24"/>
              </w:rPr>
            </w:pPr>
            <w:r>
              <w:rPr>
                <w:rFonts w:ascii="Times New Roman" w:hAnsi="Times New Roman"/>
                <w:bCs/>
                <w:color w:val="auto"/>
                <w:kern w:val="2"/>
                <w:szCs w:val="24"/>
              </w:rPr>
              <w:t>与项目有关的原有环境污染问题</w:t>
            </w:r>
          </w:p>
        </w:tc>
        <w:tc>
          <w:tcPr>
            <w:tcW w:w="8264" w:type="dxa"/>
          </w:tcPr>
          <w:p w14:paraId="37253A7D">
            <w:pPr>
              <w:adjustRightInd w:val="0"/>
              <w:snapToGrid w:val="0"/>
              <w:spacing w:line="360" w:lineRule="auto"/>
              <w:ind w:firstLine="480" w:firstLineChars="200"/>
              <w:rPr>
                <w:color w:val="auto"/>
                <w:sz w:val="24"/>
              </w:rPr>
            </w:pPr>
            <w:r>
              <w:rPr>
                <w:color w:val="auto"/>
                <w:sz w:val="24"/>
              </w:rPr>
              <w:t>本项目为新建项目，建设地现状为闲置厂房，因此无与本项目有关的原有污染情况及主要环境问题。</w:t>
            </w:r>
          </w:p>
          <w:p w14:paraId="579EACEE">
            <w:pPr>
              <w:adjustRightInd w:val="0"/>
              <w:snapToGrid w:val="0"/>
              <w:spacing w:line="360" w:lineRule="auto"/>
              <w:ind w:firstLine="480" w:firstLineChars="200"/>
              <w:rPr>
                <w:color w:val="auto"/>
                <w:sz w:val="24"/>
              </w:rPr>
            </w:pPr>
          </w:p>
          <w:p w14:paraId="74155E1D">
            <w:pPr>
              <w:adjustRightInd w:val="0"/>
              <w:snapToGrid w:val="0"/>
              <w:spacing w:line="360" w:lineRule="auto"/>
              <w:ind w:firstLine="480" w:firstLineChars="200"/>
              <w:rPr>
                <w:color w:val="auto"/>
                <w:sz w:val="24"/>
              </w:rPr>
            </w:pPr>
          </w:p>
          <w:p w14:paraId="4D464F7B">
            <w:pPr>
              <w:adjustRightInd w:val="0"/>
              <w:snapToGrid w:val="0"/>
              <w:spacing w:line="360" w:lineRule="auto"/>
              <w:ind w:firstLine="480" w:firstLineChars="200"/>
              <w:rPr>
                <w:color w:val="auto"/>
                <w:sz w:val="24"/>
              </w:rPr>
            </w:pPr>
          </w:p>
          <w:p w14:paraId="16CBEF0E">
            <w:pPr>
              <w:adjustRightInd w:val="0"/>
              <w:snapToGrid w:val="0"/>
              <w:spacing w:line="360" w:lineRule="auto"/>
              <w:ind w:firstLine="480" w:firstLineChars="200"/>
              <w:rPr>
                <w:color w:val="auto"/>
                <w:sz w:val="24"/>
              </w:rPr>
            </w:pPr>
          </w:p>
          <w:p w14:paraId="3CD57282">
            <w:pPr>
              <w:adjustRightInd w:val="0"/>
              <w:snapToGrid w:val="0"/>
              <w:spacing w:line="360" w:lineRule="auto"/>
              <w:ind w:firstLine="480" w:firstLineChars="200"/>
              <w:rPr>
                <w:color w:val="auto"/>
                <w:sz w:val="24"/>
              </w:rPr>
            </w:pPr>
          </w:p>
          <w:p w14:paraId="75D13010">
            <w:pPr>
              <w:adjustRightInd w:val="0"/>
              <w:snapToGrid w:val="0"/>
              <w:spacing w:line="360" w:lineRule="auto"/>
              <w:ind w:firstLine="480" w:firstLineChars="200"/>
              <w:rPr>
                <w:color w:val="auto"/>
                <w:sz w:val="24"/>
              </w:rPr>
            </w:pPr>
          </w:p>
          <w:p w14:paraId="61D3084C">
            <w:pPr>
              <w:adjustRightInd w:val="0"/>
              <w:snapToGrid w:val="0"/>
              <w:spacing w:line="360" w:lineRule="auto"/>
              <w:ind w:firstLine="480" w:firstLineChars="200"/>
              <w:rPr>
                <w:color w:val="auto"/>
                <w:sz w:val="24"/>
              </w:rPr>
            </w:pPr>
          </w:p>
          <w:p w14:paraId="545234E8">
            <w:pPr>
              <w:adjustRightInd w:val="0"/>
              <w:snapToGrid w:val="0"/>
              <w:spacing w:line="360" w:lineRule="auto"/>
              <w:ind w:firstLine="480" w:firstLineChars="200"/>
              <w:rPr>
                <w:color w:val="auto"/>
                <w:sz w:val="24"/>
              </w:rPr>
            </w:pPr>
          </w:p>
          <w:p w14:paraId="5C35902A">
            <w:pPr>
              <w:adjustRightInd w:val="0"/>
              <w:snapToGrid w:val="0"/>
              <w:spacing w:line="360" w:lineRule="auto"/>
              <w:ind w:firstLine="480" w:firstLineChars="200"/>
              <w:rPr>
                <w:color w:val="auto"/>
                <w:sz w:val="24"/>
              </w:rPr>
            </w:pPr>
          </w:p>
          <w:p w14:paraId="27F216E5">
            <w:pPr>
              <w:adjustRightInd w:val="0"/>
              <w:snapToGrid w:val="0"/>
              <w:spacing w:line="360" w:lineRule="auto"/>
              <w:ind w:firstLine="480" w:firstLineChars="200"/>
              <w:rPr>
                <w:color w:val="auto"/>
                <w:sz w:val="24"/>
              </w:rPr>
            </w:pPr>
          </w:p>
          <w:p w14:paraId="350F95D2">
            <w:pPr>
              <w:adjustRightInd w:val="0"/>
              <w:snapToGrid w:val="0"/>
              <w:spacing w:line="360" w:lineRule="auto"/>
              <w:ind w:firstLine="480" w:firstLineChars="200"/>
              <w:rPr>
                <w:color w:val="auto"/>
                <w:sz w:val="24"/>
              </w:rPr>
            </w:pPr>
          </w:p>
          <w:p w14:paraId="35436E18">
            <w:pPr>
              <w:adjustRightInd w:val="0"/>
              <w:snapToGrid w:val="0"/>
              <w:spacing w:line="360" w:lineRule="auto"/>
              <w:ind w:firstLine="480" w:firstLineChars="200"/>
              <w:rPr>
                <w:color w:val="auto"/>
                <w:sz w:val="24"/>
              </w:rPr>
            </w:pPr>
          </w:p>
          <w:p w14:paraId="63B59236">
            <w:pPr>
              <w:adjustRightInd w:val="0"/>
              <w:snapToGrid w:val="0"/>
              <w:spacing w:line="360" w:lineRule="auto"/>
              <w:ind w:firstLine="480" w:firstLineChars="200"/>
              <w:rPr>
                <w:color w:val="auto"/>
                <w:sz w:val="24"/>
              </w:rPr>
            </w:pPr>
          </w:p>
          <w:p w14:paraId="50D440A2">
            <w:pPr>
              <w:adjustRightInd w:val="0"/>
              <w:snapToGrid w:val="0"/>
              <w:spacing w:line="360" w:lineRule="auto"/>
              <w:ind w:firstLine="480" w:firstLineChars="200"/>
              <w:rPr>
                <w:color w:val="auto"/>
                <w:sz w:val="24"/>
              </w:rPr>
            </w:pPr>
          </w:p>
          <w:p w14:paraId="50F87023">
            <w:pPr>
              <w:adjustRightInd w:val="0"/>
              <w:snapToGrid w:val="0"/>
              <w:spacing w:line="360" w:lineRule="auto"/>
              <w:ind w:firstLine="480" w:firstLineChars="200"/>
              <w:rPr>
                <w:color w:val="auto"/>
                <w:sz w:val="24"/>
              </w:rPr>
            </w:pPr>
          </w:p>
          <w:p w14:paraId="3D33EB99">
            <w:pPr>
              <w:adjustRightInd w:val="0"/>
              <w:snapToGrid w:val="0"/>
              <w:spacing w:line="360" w:lineRule="auto"/>
              <w:rPr>
                <w:color w:val="auto"/>
                <w:sz w:val="24"/>
              </w:rPr>
            </w:pPr>
          </w:p>
          <w:p w14:paraId="3DC29A3E">
            <w:pPr>
              <w:rPr>
                <w:color w:val="auto"/>
              </w:rPr>
            </w:pPr>
          </w:p>
        </w:tc>
      </w:tr>
    </w:tbl>
    <w:p w14:paraId="4FFEEDB9">
      <w:pPr>
        <w:pStyle w:val="29"/>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br w:type="page"/>
      </w:r>
      <w:bookmarkStart w:id="16" w:name="_Toc1441"/>
      <w:bookmarkStart w:id="17" w:name="_Toc8825"/>
      <w:r>
        <w:rPr>
          <w:rFonts w:ascii="Times New Roman" w:hAnsi="Times New Roman"/>
          <w:b/>
          <w:bCs/>
          <w:snapToGrid w:val="0"/>
          <w:color w:val="auto"/>
          <w:sz w:val="30"/>
          <w:szCs w:val="30"/>
        </w:rPr>
        <w:t>三、区域环境质量现状、环境保护目标及评价标准</w:t>
      </w:r>
      <w:bookmarkEnd w:id="16"/>
      <w:bookmarkEnd w:id="17"/>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4"/>
      </w:tblGrid>
      <w:tr w14:paraId="416C28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6" w:hRule="atLeast"/>
          <w:jc w:val="center"/>
        </w:trPr>
        <w:tc>
          <w:tcPr>
            <w:tcW w:w="800" w:type="dxa"/>
            <w:vAlign w:val="center"/>
          </w:tcPr>
          <w:p w14:paraId="6A6ABD68">
            <w:pPr>
              <w:adjustRightInd w:val="0"/>
              <w:snapToGrid w:val="0"/>
              <w:jc w:val="center"/>
              <w:rPr>
                <w:color w:val="auto"/>
                <w:kern w:val="0"/>
                <w:szCs w:val="21"/>
              </w:rPr>
            </w:pPr>
            <w:r>
              <w:rPr>
                <w:color w:val="auto"/>
                <w:kern w:val="0"/>
                <w:szCs w:val="21"/>
              </w:rPr>
              <w:t>区域</w:t>
            </w:r>
          </w:p>
          <w:p w14:paraId="1EDE2A2A">
            <w:pPr>
              <w:adjustRightInd w:val="0"/>
              <w:snapToGrid w:val="0"/>
              <w:jc w:val="center"/>
              <w:rPr>
                <w:color w:val="auto"/>
                <w:kern w:val="0"/>
                <w:szCs w:val="21"/>
              </w:rPr>
            </w:pPr>
            <w:r>
              <w:rPr>
                <w:color w:val="auto"/>
                <w:kern w:val="0"/>
                <w:szCs w:val="21"/>
              </w:rPr>
              <w:t>环境</w:t>
            </w:r>
          </w:p>
          <w:p w14:paraId="314C8D76">
            <w:pPr>
              <w:adjustRightInd w:val="0"/>
              <w:snapToGrid w:val="0"/>
              <w:jc w:val="center"/>
              <w:rPr>
                <w:color w:val="auto"/>
                <w:kern w:val="0"/>
                <w:szCs w:val="21"/>
              </w:rPr>
            </w:pPr>
            <w:r>
              <w:rPr>
                <w:color w:val="auto"/>
                <w:kern w:val="0"/>
                <w:szCs w:val="21"/>
              </w:rPr>
              <w:t>质量</w:t>
            </w:r>
          </w:p>
          <w:p w14:paraId="027BA5EB">
            <w:pPr>
              <w:adjustRightInd w:val="0"/>
              <w:snapToGrid w:val="0"/>
              <w:jc w:val="center"/>
              <w:rPr>
                <w:color w:val="auto"/>
                <w:kern w:val="0"/>
                <w:szCs w:val="21"/>
              </w:rPr>
            </w:pPr>
            <w:r>
              <w:rPr>
                <w:color w:val="auto"/>
                <w:kern w:val="0"/>
                <w:szCs w:val="21"/>
              </w:rPr>
              <w:t>现状</w:t>
            </w:r>
          </w:p>
        </w:tc>
        <w:tc>
          <w:tcPr>
            <w:tcW w:w="8194" w:type="dxa"/>
            <w:vAlign w:val="center"/>
          </w:tcPr>
          <w:p w14:paraId="32D6DAF4">
            <w:pPr>
              <w:pStyle w:val="109"/>
              <w:adjustRightInd/>
              <w:snapToGrid/>
              <w:spacing w:line="360" w:lineRule="auto"/>
              <w:ind w:firstLine="0"/>
              <w:rPr>
                <w:b/>
                <w:bCs/>
                <w:color w:val="auto"/>
                <w:sz w:val="24"/>
                <w:szCs w:val="24"/>
              </w:rPr>
            </w:pPr>
            <w:r>
              <w:rPr>
                <w:b/>
                <w:bCs/>
                <w:color w:val="auto"/>
                <w:sz w:val="24"/>
                <w:szCs w:val="24"/>
              </w:rPr>
              <w:t>3.1.1大气环境</w:t>
            </w:r>
          </w:p>
          <w:p w14:paraId="4FE3FCBD">
            <w:pPr>
              <w:numPr>
                <w:ilvl w:val="0"/>
                <w:numId w:val="1"/>
              </w:numPr>
              <w:spacing w:line="360" w:lineRule="auto"/>
              <w:ind w:firstLine="480" w:firstLineChars="200"/>
              <w:rPr>
                <w:color w:val="auto"/>
                <w:sz w:val="24"/>
              </w:rPr>
            </w:pPr>
            <w:r>
              <w:rPr>
                <w:color w:val="auto"/>
                <w:sz w:val="24"/>
              </w:rPr>
              <w:t>大气环境质量标准</w:t>
            </w:r>
          </w:p>
          <w:p w14:paraId="02776A14">
            <w:pPr>
              <w:spacing w:line="360" w:lineRule="auto"/>
              <w:ind w:firstLine="480" w:firstLineChars="200"/>
              <w:rPr>
                <w:color w:val="auto"/>
                <w:sz w:val="24"/>
              </w:rPr>
            </w:pPr>
            <w:r>
              <w:rPr>
                <w:color w:val="auto"/>
                <w:sz w:val="24"/>
              </w:rPr>
              <w:t>项目所在区域SO</w:t>
            </w:r>
            <w:r>
              <w:rPr>
                <w:color w:val="auto"/>
                <w:sz w:val="24"/>
                <w:vertAlign w:val="subscript"/>
              </w:rPr>
              <w:t>2</w:t>
            </w:r>
            <w:r>
              <w:rPr>
                <w:color w:val="auto"/>
                <w:sz w:val="24"/>
              </w:rPr>
              <w:t>、PM</w:t>
            </w:r>
            <w:r>
              <w:rPr>
                <w:color w:val="auto"/>
                <w:sz w:val="24"/>
                <w:vertAlign w:val="subscript"/>
              </w:rPr>
              <w:t>10</w:t>
            </w:r>
            <w:r>
              <w:rPr>
                <w:color w:val="auto"/>
                <w:sz w:val="24"/>
              </w:rPr>
              <w:t>、PM</w:t>
            </w:r>
            <w:r>
              <w:rPr>
                <w:color w:val="auto"/>
                <w:sz w:val="24"/>
                <w:vertAlign w:val="subscript"/>
              </w:rPr>
              <w:t>2.5</w:t>
            </w:r>
            <w:r>
              <w:rPr>
                <w:color w:val="auto"/>
                <w:sz w:val="24"/>
              </w:rPr>
              <w:t>、CO、O</w:t>
            </w:r>
            <w:r>
              <w:rPr>
                <w:color w:val="auto"/>
                <w:sz w:val="24"/>
                <w:vertAlign w:val="subscript"/>
              </w:rPr>
              <w:t>3</w:t>
            </w:r>
            <w:r>
              <w:rPr>
                <w:color w:val="auto"/>
                <w:sz w:val="24"/>
              </w:rPr>
              <w:t>、NO</w:t>
            </w:r>
            <w:r>
              <w:rPr>
                <w:color w:val="auto"/>
                <w:sz w:val="24"/>
                <w:vertAlign w:val="subscript"/>
              </w:rPr>
              <w:t>2</w:t>
            </w:r>
            <w:r>
              <w:rPr>
                <w:color w:val="auto"/>
                <w:sz w:val="24"/>
              </w:rPr>
              <w:t>、</w:t>
            </w:r>
            <w:r>
              <w:rPr>
                <w:rFonts w:hint="eastAsia"/>
                <w:color w:val="auto"/>
                <w:sz w:val="24"/>
                <w:lang w:val="en-US" w:eastAsia="zh-CN"/>
              </w:rPr>
              <w:t>TSP、</w:t>
            </w:r>
            <w:r>
              <w:rPr>
                <w:color w:val="auto"/>
                <w:sz w:val="24"/>
              </w:rPr>
              <w:t>氟化物等执行《环境空气质量标准》（GB3095-2012）二级标准；氯化氢参照执行《环境影响评价技术导则 大气环境》（HJ2.2-2018）附录D其他污染物空气质量浓度参考限值。各污染因子的标准值详见表3.1.1-1。</w:t>
            </w:r>
          </w:p>
          <w:p w14:paraId="43756B33">
            <w:pPr>
              <w:spacing w:line="400" w:lineRule="exact"/>
              <w:jc w:val="center"/>
              <w:rPr>
                <w:b/>
                <w:bCs/>
                <w:color w:val="auto"/>
                <w:szCs w:val="21"/>
              </w:rPr>
            </w:pPr>
            <w:r>
              <w:rPr>
                <w:b/>
                <w:bCs/>
                <w:color w:val="auto"/>
                <w:szCs w:val="21"/>
              </w:rPr>
              <w:t>表3.1.1-1  环境空气常规因子及特征因子限值</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35"/>
              <w:gridCol w:w="1874"/>
              <w:gridCol w:w="1133"/>
              <w:gridCol w:w="804"/>
              <w:gridCol w:w="3023"/>
            </w:tblGrid>
            <w:tr w14:paraId="6970165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blHeader/>
                <w:jc w:val="center"/>
              </w:trPr>
              <w:tc>
                <w:tcPr>
                  <w:tcW w:w="1134" w:type="dxa"/>
                  <w:vAlign w:val="center"/>
                </w:tcPr>
                <w:p w14:paraId="02AC0F6D">
                  <w:pPr>
                    <w:pStyle w:val="82"/>
                    <w:spacing w:line="240" w:lineRule="auto"/>
                    <w:ind w:firstLine="0"/>
                    <w:rPr>
                      <w:b/>
                      <w:bCs/>
                      <w:color w:val="auto"/>
                      <w:szCs w:val="21"/>
                    </w:rPr>
                  </w:pPr>
                  <w:r>
                    <w:rPr>
                      <w:b/>
                      <w:bCs/>
                      <w:color w:val="auto"/>
                      <w:szCs w:val="21"/>
                    </w:rPr>
                    <w:t>污染物</w:t>
                  </w:r>
                </w:p>
              </w:tc>
              <w:tc>
                <w:tcPr>
                  <w:tcW w:w="1873" w:type="dxa"/>
                  <w:vAlign w:val="center"/>
                </w:tcPr>
                <w:p w14:paraId="43C36AFE">
                  <w:pPr>
                    <w:pStyle w:val="82"/>
                    <w:spacing w:line="240" w:lineRule="auto"/>
                    <w:ind w:firstLine="0"/>
                    <w:rPr>
                      <w:b/>
                      <w:bCs/>
                      <w:color w:val="auto"/>
                      <w:szCs w:val="21"/>
                    </w:rPr>
                  </w:pPr>
                  <w:r>
                    <w:rPr>
                      <w:b/>
                      <w:bCs/>
                      <w:color w:val="auto"/>
                      <w:szCs w:val="21"/>
                    </w:rPr>
                    <w:t>取值时间</w:t>
                  </w:r>
                </w:p>
              </w:tc>
              <w:tc>
                <w:tcPr>
                  <w:tcW w:w="1132" w:type="dxa"/>
                  <w:vAlign w:val="center"/>
                </w:tcPr>
                <w:p w14:paraId="61925BEB">
                  <w:pPr>
                    <w:pStyle w:val="82"/>
                    <w:spacing w:line="240" w:lineRule="auto"/>
                    <w:ind w:firstLine="0"/>
                    <w:rPr>
                      <w:b/>
                      <w:bCs/>
                      <w:color w:val="auto"/>
                      <w:szCs w:val="21"/>
                    </w:rPr>
                  </w:pPr>
                  <w:r>
                    <w:rPr>
                      <w:b/>
                      <w:bCs/>
                      <w:color w:val="auto"/>
                      <w:szCs w:val="21"/>
                    </w:rPr>
                    <w:t>浓度限值</w:t>
                  </w:r>
                </w:p>
              </w:tc>
              <w:tc>
                <w:tcPr>
                  <w:tcW w:w="804" w:type="dxa"/>
                  <w:vAlign w:val="center"/>
                </w:tcPr>
                <w:p w14:paraId="668A25B3">
                  <w:pPr>
                    <w:pStyle w:val="82"/>
                    <w:spacing w:line="240" w:lineRule="auto"/>
                    <w:ind w:firstLine="0"/>
                    <w:rPr>
                      <w:b/>
                      <w:bCs/>
                      <w:color w:val="auto"/>
                      <w:szCs w:val="21"/>
                    </w:rPr>
                  </w:pPr>
                  <w:r>
                    <w:rPr>
                      <w:b/>
                      <w:bCs/>
                      <w:color w:val="auto"/>
                      <w:szCs w:val="21"/>
                    </w:rPr>
                    <w:t>单位</w:t>
                  </w:r>
                </w:p>
              </w:tc>
              <w:tc>
                <w:tcPr>
                  <w:tcW w:w="3021" w:type="dxa"/>
                  <w:vAlign w:val="center"/>
                </w:tcPr>
                <w:p w14:paraId="16FBDB30">
                  <w:pPr>
                    <w:pStyle w:val="82"/>
                    <w:spacing w:line="240" w:lineRule="auto"/>
                    <w:ind w:firstLine="0"/>
                    <w:rPr>
                      <w:b/>
                      <w:bCs/>
                      <w:color w:val="auto"/>
                      <w:szCs w:val="21"/>
                    </w:rPr>
                  </w:pPr>
                  <w:r>
                    <w:rPr>
                      <w:b/>
                      <w:bCs/>
                      <w:color w:val="auto"/>
                      <w:szCs w:val="21"/>
                    </w:rPr>
                    <w:t>标准来源</w:t>
                  </w:r>
                </w:p>
              </w:tc>
            </w:tr>
            <w:tr w14:paraId="642D255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46177062">
                  <w:pPr>
                    <w:pStyle w:val="82"/>
                    <w:spacing w:line="240" w:lineRule="auto"/>
                    <w:ind w:firstLine="0"/>
                    <w:rPr>
                      <w:color w:val="auto"/>
                      <w:szCs w:val="21"/>
                    </w:rPr>
                  </w:pPr>
                  <w:r>
                    <w:rPr>
                      <w:color w:val="auto"/>
                      <w:szCs w:val="21"/>
                    </w:rPr>
                    <w:t>SO</w:t>
                  </w:r>
                  <w:r>
                    <w:rPr>
                      <w:color w:val="auto"/>
                      <w:szCs w:val="21"/>
                      <w:vertAlign w:val="subscript"/>
                    </w:rPr>
                    <w:t>2</w:t>
                  </w:r>
                </w:p>
              </w:tc>
              <w:tc>
                <w:tcPr>
                  <w:tcW w:w="1873" w:type="dxa"/>
                  <w:vAlign w:val="center"/>
                </w:tcPr>
                <w:p w14:paraId="58993B17">
                  <w:pPr>
                    <w:pStyle w:val="82"/>
                    <w:spacing w:line="240" w:lineRule="auto"/>
                    <w:ind w:firstLine="0"/>
                    <w:rPr>
                      <w:color w:val="auto"/>
                      <w:szCs w:val="21"/>
                    </w:rPr>
                  </w:pPr>
                  <w:r>
                    <w:rPr>
                      <w:color w:val="auto"/>
                      <w:szCs w:val="21"/>
                    </w:rPr>
                    <w:t>1小时平均</w:t>
                  </w:r>
                </w:p>
              </w:tc>
              <w:tc>
                <w:tcPr>
                  <w:tcW w:w="1132" w:type="dxa"/>
                  <w:vAlign w:val="center"/>
                </w:tcPr>
                <w:p w14:paraId="339922CE">
                  <w:pPr>
                    <w:pStyle w:val="82"/>
                    <w:spacing w:line="240" w:lineRule="auto"/>
                    <w:ind w:firstLine="0"/>
                    <w:rPr>
                      <w:color w:val="auto"/>
                      <w:szCs w:val="21"/>
                    </w:rPr>
                  </w:pPr>
                  <w:r>
                    <w:rPr>
                      <w:color w:val="auto"/>
                      <w:szCs w:val="21"/>
                    </w:rPr>
                    <w:t>500</w:t>
                  </w:r>
                </w:p>
              </w:tc>
              <w:tc>
                <w:tcPr>
                  <w:tcW w:w="804" w:type="dxa"/>
                  <w:vMerge w:val="restart"/>
                  <w:vAlign w:val="center"/>
                </w:tcPr>
                <w:p w14:paraId="132D4DE7">
                  <w:pPr>
                    <w:pStyle w:val="82"/>
                    <w:spacing w:line="240" w:lineRule="auto"/>
                    <w:ind w:firstLine="0"/>
                    <w:rPr>
                      <w:color w:val="auto"/>
                      <w:szCs w:val="21"/>
                    </w:rPr>
                  </w:pPr>
                  <w:r>
                    <w:rPr>
                      <w:color w:val="auto"/>
                      <w:szCs w:val="21"/>
                    </w:rPr>
                    <w:t>μg/m</w:t>
                  </w:r>
                  <w:r>
                    <w:rPr>
                      <w:color w:val="auto"/>
                      <w:szCs w:val="21"/>
                      <w:vertAlign w:val="superscript"/>
                    </w:rPr>
                    <w:t>3</w:t>
                  </w:r>
                </w:p>
              </w:tc>
              <w:tc>
                <w:tcPr>
                  <w:tcW w:w="3021" w:type="dxa"/>
                  <w:vMerge w:val="restart"/>
                  <w:vAlign w:val="center"/>
                </w:tcPr>
                <w:p w14:paraId="4DA10C42">
                  <w:pPr>
                    <w:pStyle w:val="82"/>
                    <w:spacing w:line="240" w:lineRule="auto"/>
                    <w:ind w:firstLine="0"/>
                    <w:rPr>
                      <w:color w:val="auto"/>
                      <w:szCs w:val="21"/>
                    </w:rPr>
                  </w:pPr>
                  <w:r>
                    <w:rPr>
                      <w:color w:val="auto"/>
                      <w:szCs w:val="21"/>
                    </w:rPr>
                    <w:t>《环境空气质量标准》</w:t>
                  </w:r>
                </w:p>
                <w:p w14:paraId="0E4AE10B">
                  <w:pPr>
                    <w:pStyle w:val="82"/>
                    <w:spacing w:line="240" w:lineRule="auto"/>
                    <w:ind w:firstLine="0"/>
                    <w:rPr>
                      <w:color w:val="auto"/>
                      <w:szCs w:val="21"/>
                    </w:rPr>
                  </w:pPr>
                  <w:r>
                    <w:rPr>
                      <w:color w:val="auto"/>
                      <w:szCs w:val="21"/>
                    </w:rPr>
                    <w:t>（GB3095-2012）二级标准</w:t>
                  </w:r>
                </w:p>
              </w:tc>
            </w:tr>
            <w:tr w14:paraId="799043F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2F46B87D">
                  <w:pPr>
                    <w:pStyle w:val="82"/>
                    <w:spacing w:line="240" w:lineRule="auto"/>
                    <w:ind w:firstLine="0"/>
                    <w:rPr>
                      <w:color w:val="auto"/>
                      <w:szCs w:val="21"/>
                    </w:rPr>
                  </w:pPr>
                </w:p>
              </w:tc>
              <w:tc>
                <w:tcPr>
                  <w:tcW w:w="1873" w:type="dxa"/>
                  <w:vAlign w:val="center"/>
                </w:tcPr>
                <w:p w14:paraId="1D8C4A7E">
                  <w:pPr>
                    <w:pStyle w:val="82"/>
                    <w:spacing w:line="240" w:lineRule="auto"/>
                    <w:ind w:firstLine="0"/>
                    <w:rPr>
                      <w:color w:val="auto"/>
                      <w:szCs w:val="21"/>
                    </w:rPr>
                  </w:pPr>
                  <w:r>
                    <w:rPr>
                      <w:color w:val="auto"/>
                      <w:szCs w:val="21"/>
                    </w:rPr>
                    <w:t>24小时平均</w:t>
                  </w:r>
                </w:p>
              </w:tc>
              <w:tc>
                <w:tcPr>
                  <w:tcW w:w="1132" w:type="dxa"/>
                  <w:vAlign w:val="center"/>
                </w:tcPr>
                <w:p w14:paraId="38D7A0DB">
                  <w:pPr>
                    <w:pStyle w:val="82"/>
                    <w:spacing w:line="240" w:lineRule="auto"/>
                    <w:ind w:firstLine="0"/>
                    <w:rPr>
                      <w:color w:val="auto"/>
                      <w:szCs w:val="21"/>
                    </w:rPr>
                  </w:pPr>
                  <w:r>
                    <w:rPr>
                      <w:color w:val="auto"/>
                      <w:szCs w:val="21"/>
                    </w:rPr>
                    <w:t>150</w:t>
                  </w:r>
                </w:p>
              </w:tc>
              <w:tc>
                <w:tcPr>
                  <w:tcW w:w="804" w:type="dxa"/>
                  <w:vMerge w:val="continue"/>
                  <w:vAlign w:val="center"/>
                </w:tcPr>
                <w:p w14:paraId="419CF759">
                  <w:pPr>
                    <w:pStyle w:val="82"/>
                    <w:spacing w:line="240" w:lineRule="auto"/>
                    <w:ind w:firstLine="0"/>
                    <w:rPr>
                      <w:color w:val="auto"/>
                      <w:szCs w:val="21"/>
                    </w:rPr>
                  </w:pPr>
                </w:p>
              </w:tc>
              <w:tc>
                <w:tcPr>
                  <w:tcW w:w="3021" w:type="dxa"/>
                  <w:vMerge w:val="continue"/>
                  <w:vAlign w:val="center"/>
                </w:tcPr>
                <w:p w14:paraId="5057D287">
                  <w:pPr>
                    <w:pStyle w:val="82"/>
                    <w:spacing w:line="240" w:lineRule="auto"/>
                    <w:ind w:firstLine="0"/>
                    <w:rPr>
                      <w:color w:val="auto"/>
                      <w:szCs w:val="21"/>
                    </w:rPr>
                  </w:pPr>
                </w:p>
              </w:tc>
            </w:tr>
            <w:tr w14:paraId="373131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3A870EDF">
                  <w:pPr>
                    <w:pStyle w:val="82"/>
                    <w:spacing w:line="240" w:lineRule="auto"/>
                    <w:ind w:firstLine="0"/>
                    <w:rPr>
                      <w:color w:val="auto"/>
                      <w:szCs w:val="21"/>
                    </w:rPr>
                  </w:pPr>
                </w:p>
              </w:tc>
              <w:tc>
                <w:tcPr>
                  <w:tcW w:w="1873" w:type="dxa"/>
                  <w:vAlign w:val="center"/>
                </w:tcPr>
                <w:p w14:paraId="5C1F9D86">
                  <w:pPr>
                    <w:pStyle w:val="82"/>
                    <w:spacing w:line="240" w:lineRule="auto"/>
                    <w:ind w:firstLine="0"/>
                    <w:rPr>
                      <w:color w:val="auto"/>
                      <w:szCs w:val="21"/>
                    </w:rPr>
                  </w:pPr>
                  <w:r>
                    <w:rPr>
                      <w:color w:val="auto"/>
                      <w:szCs w:val="21"/>
                    </w:rPr>
                    <w:t>年平均</w:t>
                  </w:r>
                </w:p>
              </w:tc>
              <w:tc>
                <w:tcPr>
                  <w:tcW w:w="1132" w:type="dxa"/>
                  <w:vAlign w:val="center"/>
                </w:tcPr>
                <w:p w14:paraId="051F3FD4">
                  <w:pPr>
                    <w:pStyle w:val="82"/>
                    <w:spacing w:line="240" w:lineRule="auto"/>
                    <w:ind w:firstLine="0"/>
                    <w:rPr>
                      <w:color w:val="auto"/>
                      <w:szCs w:val="21"/>
                    </w:rPr>
                  </w:pPr>
                  <w:r>
                    <w:rPr>
                      <w:color w:val="auto"/>
                      <w:szCs w:val="21"/>
                    </w:rPr>
                    <w:t>60</w:t>
                  </w:r>
                </w:p>
              </w:tc>
              <w:tc>
                <w:tcPr>
                  <w:tcW w:w="804" w:type="dxa"/>
                  <w:vMerge w:val="continue"/>
                  <w:vAlign w:val="center"/>
                </w:tcPr>
                <w:p w14:paraId="7FC3C2C2">
                  <w:pPr>
                    <w:pStyle w:val="82"/>
                    <w:spacing w:line="240" w:lineRule="auto"/>
                    <w:ind w:firstLine="0"/>
                    <w:rPr>
                      <w:color w:val="auto"/>
                      <w:szCs w:val="21"/>
                    </w:rPr>
                  </w:pPr>
                </w:p>
              </w:tc>
              <w:tc>
                <w:tcPr>
                  <w:tcW w:w="3021" w:type="dxa"/>
                  <w:vMerge w:val="continue"/>
                  <w:vAlign w:val="center"/>
                </w:tcPr>
                <w:p w14:paraId="7585DF0E">
                  <w:pPr>
                    <w:pStyle w:val="82"/>
                    <w:spacing w:line="240" w:lineRule="auto"/>
                    <w:ind w:firstLine="0"/>
                    <w:rPr>
                      <w:color w:val="auto"/>
                      <w:szCs w:val="21"/>
                    </w:rPr>
                  </w:pPr>
                </w:p>
              </w:tc>
            </w:tr>
            <w:tr w14:paraId="6F0AC12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51D31960">
                  <w:pPr>
                    <w:pStyle w:val="82"/>
                    <w:spacing w:line="240" w:lineRule="auto"/>
                    <w:ind w:firstLine="0"/>
                    <w:rPr>
                      <w:color w:val="auto"/>
                      <w:szCs w:val="21"/>
                    </w:rPr>
                  </w:pPr>
                  <w:r>
                    <w:rPr>
                      <w:color w:val="auto"/>
                      <w:szCs w:val="21"/>
                    </w:rPr>
                    <w:t>NO</w:t>
                  </w:r>
                  <w:r>
                    <w:rPr>
                      <w:color w:val="auto"/>
                      <w:szCs w:val="21"/>
                      <w:vertAlign w:val="subscript"/>
                    </w:rPr>
                    <w:t>2</w:t>
                  </w:r>
                </w:p>
              </w:tc>
              <w:tc>
                <w:tcPr>
                  <w:tcW w:w="1873" w:type="dxa"/>
                  <w:vAlign w:val="center"/>
                </w:tcPr>
                <w:p w14:paraId="4AB7A9BC">
                  <w:pPr>
                    <w:pStyle w:val="82"/>
                    <w:spacing w:line="240" w:lineRule="auto"/>
                    <w:ind w:firstLine="0"/>
                    <w:rPr>
                      <w:color w:val="auto"/>
                      <w:szCs w:val="21"/>
                    </w:rPr>
                  </w:pPr>
                  <w:r>
                    <w:rPr>
                      <w:color w:val="auto"/>
                      <w:szCs w:val="21"/>
                    </w:rPr>
                    <w:t>1小时平均</w:t>
                  </w:r>
                </w:p>
              </w:tc>
              <w:tc>
                <w:tcPr>
                  <w:tcW w:w="1132" w:type="dxa"/>
                  <w:vAlign w:val="center"/>
                </w:tcPr>
                <w:p w14:paraId="633F6294">
                  <w:pPr>
                    <w:pStyle w:val="82"/>
                    <w:spacing w:line="240" w:lineRule="auto"/>
                    <w:ind w:firstLine="0"/>
                    <w:rPr>
                      <w:color w:val="auto"/>
                      <w:szCs w:val="21"/>
                    </w:rPr>
                  </w:pPr>
                  <w:r>
                    <w:rPr>
                      <w:color w:val="auto"/>
                      <w:szCs w:val="21"/>
                    </w:rPr>
                    <w:t>200</w:t>
                  </w:r>
                </w:p>
              </w:tc>
              <w:tc>
                <w:tcPr>
                  <w:tcW w:w="804" w:type="dxa"/>
                  <w:vMerge w:val="continue"/>
                  <w:vAlign w:val="center"/>
                </w:tcPr>
                <w:p w14:paraId="7431D1C1">
                  <w:pPr>
                    <w:pStyle w:val="82"/>
                    <w:spacing w:line="240" w:lineRule="auto"/>
                    <w:ind w:firstLine="0"/>
                    <w:rPr>
                      <w:color w:val="auto"/>
                      <w:szCs w:val="21"/>
                    </w:rPr>
                  </w:pPr>
                </w:p>
              </w:tc>
              <w:tc>
                <w:tcPr>
                  <w:tcW w:w="3021" w:type="dxa"/>
                  <w:vMerge w:val="continue"/>
                  <w:vAlign w:val="center"/>
                </w:tcPr>
                <w:p w14:paraId="7841ACD9">
                  <w:pPr>
                    <w:pStyle w:val="82"/>
                    <w:spacing w:line="240" w:lineRule="auto"/>
                    <w:ind w:firstLine="0"/>
                    <w:rPr>
                      <w:color w:val="auto"/>
                      <w:szCs w:val="21"/>
                    </w:rPr>
                  </w:pPr>
                </w:p>
              </w:tc>
            </w:tr>
            <w:tr w14:paraId="09B08AF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7EA20A2E">
                  <w:pPr>
                    <w:pStyle w:val="82"/>
                    <w:spacing w:line="240" w:lineRule="auto"/>
                    <w:ind w:firstLine="0"/>
                    <w:rPr>
                      <w:color w:val="auto"/>
                      <w:szCs w:val="21"/>
                    </w:rPr>
                  </w:pPr>
                </w:p>
              </w:tc>
              <w:tc>
                <w:tcPr>
                  <w:tcW w:w="1873" w:type="dxa"/>
                  <w:vAlign w:val="center"/>
                </w:tcPr>
                <w:p w14:paraId="60E59AED">
                  <w:pPr>
                    <w:pStyle w:val="82"/>
                    <w:spacing w:line="240" w:lineRule="auto"/>
                    <w:ind w:firstLine="0"/>
                    <w:rPr>
                      <w:color w:val="auto"/>
                      <w:szCs w:val="21"/>
                    </w:rPr>
                  </w:pPr>
                  <w:r>
                    <w:rPr>
                      <w:color w:val="auto"/>
                      <w:szCs w:val="21"/>
                    </w:rPr>
                    <w:t>24小时平均</w:t>
                  </w:r>
                </w:p>
              </w:tc>
              <w:tc>
                <w:tcPr>
                  <w:tcW w:w="1132" w:type="dxa"/>
                  <w:vAlign w:val="center"/>
                </w:tcPr>
                <w:p w14:paraId="2E53FAA4">
                  <w:pPr>
                    <w:pStyle w:val="82"/>
                    <w:spacing w:line="240" w:lineRule="auto"/>
                    <w:ind w:firstLine="0"/>
                    <w:rPr>
                      <w:color w:val="auto"/>
                      <w:szCs w:val="21"/>
                    </w:rPr>
                  </w:pPr>
                  <w:r>
                    <w:rPr>
                      <w:color w:val="auto"/>
                      <w:szCs w:val="21"/>
                    </w:rPr>
                    <w:t>80</w:t>
                  </w:r>
                </w:p>
              </w:tc>
              <w:tc>
                <w:tcPr>
                  <w:tcW w:w="804" w:type="dxa"/>
                  <w:vMerge w:val="continue"/>
                  <w:vAlign w:val="center"/>
                </w:tcPr>
                <w:p w14:paraId="6983CAA4">
                  <w:pPr>
                    <w:pStyle w:val="82"/>
                    <w:spacing w:line="240" w:lineRule="auto"/>
                    <w:ind w:firstLine="0"/>
                    <w:rPr>
                      <w:color w:val="auto"/>
                      <w:szCs w:val="21"/>
                    </w:rPr>
                  </w:pPr>
                </w:p>
              </w:tc>
              <w:tc>
                <w:tcPr>
                  <w:tcW w:w="3021" w:type="dxa"/>
                  <w:vMerge w:val="continue"/>
                  <w:vAlign w:val="center"/>
                </w:tcPr>
                <w:p w14:paraId="2EB35493">
                  <w:pPr>
                    <w:pStyle w:val="82"/>
                    <w:spacing w:line="240" w:lineRule="auto"/>
                    <w:ind w:firstLine="0"/>
                    <w:rPr>
                      <w:color w:val="auto"/>
                      <w:szCs w:val="21"/>
                    </w:rPr>
                  </w:pPr>
                </w:p>
              </w:tc>
            </w:tr>
            <w:tr w14:paraId="62D4F5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13C164EE">
                  <w:pPr>
                    <w:pStyle w:val="82"/>
                    <w:spacing w:line="240" w:lineRule="auto"/>
                    <w:ind w:firstLine="0"/>
                    <w:rPr>
                      <w:color w:val="auto"/>
                      <w:szCs w:val="21"/>
                    </w:rPr>
                  </w:pPr>
                </w:p>
              </w:tc>
              <w:tc>
                <w:tcPr>
                  <w:tcW w:w="1873" w:type="dxa"/>
                  <w:vAlign w:val="center"/>
                </w:tcPr>
                <w:p w14:paraId="01BAD108">
                  <w:pPr>
                    <w:pStyle w:val="82"/>
                    <w:spacing w:line="240" w:lineRule="auto"/>
                    <w:ind w:firstLine="0"/>
                    <w:rPr>
                      <w:color w:val="auto"/>
                      <w:szCs w:val="21"/>
                    </w:rPr>
                  </w:pPr>
                  <w:r>
                    <w:rPr>
                      <w:color w:val="auto"/>
                      <w:szCs w:val="21"/>
                    </w:rPr>
                    <w:t>年平均</w:t>
                  </w:r>
                </w:p>
              </w:tc>
              <w:tc>
                <w:tcPr>
                  <w:tcW w:w="1132" w:type="dxa"/>
                  <w:vAlign w:val="center"/>
                </w:tcPr>
                <w:p w14:paraId="60454367">
                  <w:pPr>
                    <w:pStyle w:val="82"/>
                    <w:spacing w:line="240" w:lineRule="auto"/>
                    <w:ind w:firstLine="0"/>
                    <w:rPr>
                      <w:color w:val="auto"/>
                      <w:szCs w:val="21"/>
                    </w:rPr>
                  </w:pPr>
                  <w:r>
                    <w:rPr>
                      <w:color w:val="auto"/>
                      <w:szCs w:val="21"/>
                    </w:rPr>
                    <w:t>40</w:t>
                  </w:r>
                </w:p>
              </w:tc>
              <w:tc>
                <w:tcPr>
                  <w:tcW w:w="804" w:type="dxa"/>
                  <w:vMerge w:val="continue"/>
                  <w:vAlign w:val="center"/>
                </w:tcPr>
                <w:p w14:paraId="1E28B036">
                  <w:pPr>
                    <w:pStyle w:val="82"/>
                    <w:spacing w:line="240" w:lineRule="auto"/>
                    <w:ind w:firstLine="0"/>
                    <w:rPr>
                      <w:color w:val="auto"/>
                      <w:szCs w:val="21"/>
                    </w:rPr>
                  </w:pPr>
                </w:p>
              </w:tc>
              <w:tc>
                <w:tcPr>
                  <w:tcW w:w="3021" w:type="dxa"/>
                  <w:vMerge w:val="continue"/>
                  <w:vAlign w:val="center"/>
                </w:tcPr>
                <w:p w14:paraId="1C2EC8D8">
                  <w:pPr>
                    <w:pStyle w:val="82"/>
                    <w:spacing w:line="240" w:lineRule="auto"/>
                    <w:ind w:firstLine="0"/>
                    <w:rPr>
                      <w:color w:val="auto"/>
                      <w:szCs w:val="21"/>
                    </w:rPr>
                  </w:pPr>
                </w:p>
              </w:tc>
            </w:tr>
            <w:tr w14:paraId="47A65C1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24991029">
                  <w:pPr>
                    <w:pStyle w:val="82"/>
                    <w:spacing w:line="240" w:lineRule="auto"/>
                    <w:ind w:firstLine="0"/>
                    <w:rPr>
                      <w:color w:val="auto"/>
                      <w:szCs w:val="21"/>
                    </w:rPr>
                  </w:pPr>
                  <w:r>
                    <w:rPr>
                      <w:color w:val="auto"/>
                      <w:szCs w:val="21"/>
                    </w:rPr>
                    <w:t>NOx</w:t>
                  </w:r>
                </w:p>
              </w:tc>
              <w:tc>
                <w:tcPr>
                  <w:tcW w:w="1873" w:type="dxa"/>
                  <w:vAlign w:val="center"/>
                </w:tcPr>
                <w:p w14:paraId="282494A0">
                  <w:pPr>
                    <w:pStyle w:val="82"/>
                    <w:spacing w:line="240" w:lineRule="auto"/>
                    <w:ind w:firstLine="0"/>
                    <w:rPr>
                      <w:color w:val="auto"/>
                      <w:szCs w:val="21"/>
                    </w:rPr>
                  </w:pPr>
                  <w:r>
                    <w:rPr>
                      <w:color w:val="auto"/>
                      <w:szCs w:val="21"/>
                    </w:rPr>
                    <w:t>1小时平均</w:t>
                  </w:r>
                </w:p>
              </w:tc>
              <w:tc>
                <w:tcPr>
                  <w:tcW w:w="1132" w:type="dxa"/>
                  <w:vAlign w:val="center"/>
                </w:tcPr>
                <w:p w14:paraId="1490BD17">
                  <w:pPr>
                    <w:pStyle w:val="82"/>
                    <w:spacing w:line="240" w:lineRule="auto"/>
                    <w:ind w:firstLine="0"/>
                    <w:rPr>
                      <w:color w:val="auto"/>
                      <w:szCs w:val="21"/>
                    </w:rPr>
                  </w:pPr>
                  <w:r>
                    <w:rPr>
                      <w:color w:val="auto"/>
                      <w:szCs w:val="21"/>
                    </w:rPr>
                    <w:t>250</w:t>
                  </w:r>
                </w:p>
              </w:tc>
              <w:tc>
                <w:tcPr>
                  <w:tcW w:w="804" w:type="dxa"/>
                  <w:vMerge w:val="continue"/>
                  <w:vAlign w:val="center"/>
                </w:tcPr>
                <w:p w14:paraId="6D7BC5A5">
                  <w:pPr>
                    <w:pStyle w:val="82"/>
                    <w:spacing w:line="240" w:lineRule="auto"/>
                    <w:ind w:firstLine="0"/>
                    <w:rPr>
                      <w:color w:val="auto"/>
                      <w:szCs w:val="21"/>
                    </w:rPr>
                  </w:pPr>
                </w:p>
              </w:tc>
              <w:tc>
                <w:tcPr>
                  <w:tcW w:w="3021" w:type="dxa"/>
                  <w:vMerge w:val="continue"/>
                  <w:vAlign w:val="center"/>
                </w:tcPr>
                <w:p w14:paraId="68B1641A">
                  <w:pPr>
                    <w:pStyle w:val="82"/>
                    <w:spacing w:line="240" w:lineRule="auto"/>
                    <w:ind w:firstLine="0"/>
                    <w:rPr>
                      <w:color w:val="auto"/>
                      <w:szCs w:val="21"/>
                    </w:rPr>
                  </w:pPr>
                </w:p>
              </w:tc>
            </w:tr>
            <w:tr w14:paraId="1B96F87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6D919A00">
                  <w:pPr>
                    <w:pStyle w:val="82"/>
                    <w:spacing w:line="240" w:lineRule="auto"/>
                    <w:ind w:firstLine="0"/>
                    <w:rPr>
                      <w:color w:val="auto"/>
                      <w:szCs w:val="21"/>
                    </w:rPr>
                  </w:pPr>
                </w:p>
              </w:tc>
              <w:tc>
                <w:tcPr>
                  <w:tcW w:w="1873" w:type="dxa"/>
                  <w:vAlign w:val="center"/>
                </w:tcPr>
                <w:p w14:paraId="106D3AB6">
                  <w:pPr>
                    <w:pStyle w:val="82"/>
                    <w:spacing w:line="240" w:lineRule="auto"/>
                    <w:ind w:firstLine="0"/>
                    <w:rPr>
                      <w:color w:val="auto"/>
                      <w:szCs w:val="21"/>
                    </w:rPr>
                  </w:pPr>
                  <w:r>
                    <w:rPr>
                      <w:color w:val="auto"/>
                      <w:szCs w:val="21"/>
                    </w:rPr>
                    <w:t>24小时平均</w:t>
                  </w:r>
                </w:p>
              </w:tc>
              <w:tc>
                <w:tcPr>
                  <w:tcW w:w="1132" w:type="dxa"/>
                  <w:vAlign w:val="center"/>
                </w:tcPr>
                <w:p w14:paraId="7C06B85E">
                  <w:pPr>
                    <w:pStyle w:val="82"/>
                    <w:spacing w:line="240" w:lineRule="auto"/>
                    <w:ind w:firstLine="0"/>
                    <w:rPr>
                      <w:color w:val="auto"/>
                      <w:szCs w:val="21"/>
                    </w:rPr>
                  </w:pPr>
                  <w:r>
                    <w:rPr>
                      <w:color w:val="auto"/>
                      <w:szCs w:val="21"/>
                    </w:rPr>
                    <w:t>100</w:t>
                  </w:r>
                </w:p>
              </w:tc>
              <w:tc>
                <w:tcPr>
                  <w:tcW w:w="804" w:type="dxa"/>
                  <w:vMerge w:val="continue"/>
                  <w:vAlign w:val="center"/>
                </w:tcPr>
                <w:p w14:paraId="20FF64B5">
                  <w:pPr>
                    <w:pStyle w:val="82"/>
                    <w:spacing w:line="240" w:lineRule="auto"/>
                    <w:ind w:firstLine="0"/>
                    <w:rPr>
                      <w:color w:val="auto"/>
                      <w:szCs w:val="21"/>
                    </w:rPr>
                  </w:pPr>
                </w:p>
              </w:tc>
              <w:tc>
                <w:tcPr>
                  <w:tcW w:w="3021" w:type="dxa"/>
                  <w:vMerge w:val="continue"/>
                  <w:vAlign w:val="center"/>
                </w:tcPr>
                <w:p w14:paraId="536A9355">
                  <w:pPr>
                    <w:pStyle w:val="82"/>
                    <w:spacing w:line="240" w:lineRule="auto"/>
                    <w:ind w:firstLine="0"/>
                    <w:rPr>
                      <w:color w:val="auto"/>
                      <w:szCs w:val="21"/>
                    </w:rPr>
                  </w:pPr>
                </w:p>
              </w:tc>
            </w:tr>
            <w:tr w14:paraId="584A77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437ABE42">
                  <w:pPr>
                    <w:pStyle w:val="82"/>
                    <w:spacing w:line="240" w:lineRule="auto"/>
                    <w:ind w:firstLine="0"/>
                    <w:rPr>
                      <w:color w:val="auto"/>
                      <w:szCs w:val="21"/>
                    </w:rPr>
                  </w:pPr>
                </w:p>
              </w:tc>
              <w:tc>
                <w:tcPr>
                  <w:tcW w:w="1873" w:type="dxa"/>
                  <w:vAlign w:val="center"/>
                </w:tcPr>
                <w:p w14:paraId="724622A3">
                  <w:pPr>
                    <w:pStyle w:val="82"/>
                    <w:spacing w:line="240" w:lineRule="auto"/>
                    <w:ind w:firstLine="0"/>
                    <w:rPr>
                      <w:color w:val="auto"/>
                      <w:szCs w:val="21"/>
                    </w:rPr>
                  </w:pPr>
                  <w:r>
                    <w:rPr>
                      <w:color w:val="auto"/>
                      <w:szCs w:val="21"/>
                    </w:rPr>
                    <w:t>年平均</w:t>
                  </w:r>
                </w:p>
              </w:tc>
              <w:tc>
                <w:tcPr>
                  <w:tcW w:w="1132" w:type="dxa"/>
                  <w:vAlign w:val="center"/>
                </w:tcPr>
                <w:p w14:paraId="542A3368">
                  <w:pPr>
                    <w:pStyle w:val="82"/>
                    <w:spacing w:line="240" w:lineRule="auto"/>
                    <w:ind w:firstLine="0"/>
                    <w:rPr>
                      <w:color w:val="auto"/>
                      <w:szCs w:val="21"/>
                    </w:rPr>
                  </w:pPr>
                  <w:r>
                    <w:rPr>
                      <w:color w:val="auto"/>
                      <w:szCs w:val="21"/>
                    </w:rPr>
                    <w:t>50</w:t>
                  </w:r>
                </w:p>
              </w:tc>
              <w:tc>
                <w:tcPr>
                  <w:tcW w:w="804" w:type="dxa"/>
                  <w:vMerge w:val="continue"/>
                  <w:vAlign w:val="center"/>
                </w:tcPr>
                <w:p w14:paraId="783B8231">
                  <w:pPr>
                    <w:pStyle w:val="82"/>
                    <w:spacing w:line="240" w:lineRule="auto"/>
                    <w:ind w:firstLine="0"/>
                    <w:rPr>
                      <w:color w:val="auto"/>
                      <w:szCs w:val="21"/>
                    </w:rPr>
                  </w:pPr>
                </w:p>
              </w:tc>
              <w:tc>
                <w:tcPr>
                  <w:tcW w:w="3021" w:type="dxa"/>
                  <w:vMerge w:val="continue"/>
                  <w:vAlign w:val="center"/>
                </w:tcPr>
                <w:p w14:paraId="562B2242">
                  <w:pPr>
                    <w:pStyle w:val="82"/>
                    <w:spacing w:line="240" w:lineRule="auto"/>
                    <w:ind w:firstLine="0"/>
                    <w:rPr>
                      <w:color w:val="auto"/>
                      <w:szCs w:val="21"/>
                    </w:rPr>
                  </w:pPr>
                </w:p>
              </w:tc>
            </w:tr>
            <w:tr w14:paraId="10A1026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0D5CBE28">
                  <w:pPr>
                    <w:pStyle w:val="82"/>
                    <w:spacing w:line="240" w:lineRule="auto"/>
                    <w:ind w:firstLine="0"/>
                    <w:rPr>
                      <w:color w:val="auto"/>
                      <w:szCs w:val="21"/>
                    </w:rPr>
                  </w:pPr>
                  <w:r>
                    <w:rPr>
                      <w:color w:val="auto"/>
                      <w:szCs w:val="21"/>
                    </w:rPr>
                    <w:t>CO</w:t>
                  </w:r>
                </w:p>
              </w:tc>
              <w:tc>
                <w:tcPr>
                  <w:tcW w:w="1873" w:type="dxa"/>
                  <w:vAlign w:val="center"/>
                </w:tcPr>
                <w:p w14:paraId="26634798">
                  <w:pPr>
                    <w:pStyle w:val="82"/>
                    <w:spacing w:line="240" w:lineRule="auto"/>
                    <w:ind w:firstLine="0"/>
                    <w:rPr>
                      <w:color w:val="auto"/>
                      <w:szCs w:val="21"/>
                    </w:rPr>
                  </w:pPr>
                  <w:r>
                    <w:rPr>
                      <w:color w:val="auto"/>
                      <w:szCs w:val="21"/>
                    </w:rPr>
                    <w:t>1小时平均</w:t>
                  </w:r>
                </w:p>
              </w:tc>
              <w:tc>
                <w:tcPr>
                  <w:tcW w:w="1132" w:type="dxa"/>
                  <w:vAlign w:val="center"/>
                </w:tcPr>
                <w:p w14:paraId="22B4C30F">
                  <w:pPr>
                    <w:pStyle w:val="82"/>
                    <w:spacing w:line="240" w:lineRule="auto"/>
                    <w:ind w:firstLine="0"/>
                    <w:rPr>
                      <w:color w:val="auto"/>
                      <w:szCs w:val="21"/>
                    </w:rPr>
                  </w:pPr>
                  <w:r>
                    <w:rPr>
                      <w:color w:val="auto"/>
                      <w:szCs w:val="21"/>
                    </w:rPr>
                    <w:t>10</w:t>
                  </w:r>
                </w:p>
              </w:tc>
              <w:tc>
                <w:tcPr>
                  <w:tcW w:w="804" w:type="dxa"/>
                  <w:vMerge w:val="restart"/>
                  <w:vAlign w:val="center"/>
                </w:tcPr>
                <w:p w14:paraId="4D835343">
                  <w:pPr>
                    <w:pStyle w:val="82"/>
                    <w:spacing w:line="240" w:lineRule="auto"/>
                    <w:ind w:firstLine="0"/>
                    <w:rPr>
                      <w:color w:val="auto"/>
                      <w:szCs w:val="21"/>
                    </w:rPr>
                  </w:pPr>
                  <w:r>
                    <w:rPr>
                      <w:color w:val="auto"/>
                      <w:szCs w:val="21"/>
                    </w:rPr>
                    <w:t>mg/m</w:t>
                  </w:r>
                  <w:r>
                    <w:rPr>
                      <w:color w:val="auto"/>
                      <w:szCs w:val="21"/>
                      <w:vertAlign w:val="superscript"/>
                    </w:rPr>
                    <w:t>3</w:t>
                  </w:r>
                </w:p>
              </w:tc>
              <w:tc>
                <w:tcPr>
                  <w:tcW w:w="3021" w:type="dxa"/>
                  <w:vMerge w:val="continue"/>
                  <w:vAlign w:val="center"/>
                </w:tcPr>
                <w:p w14:paraId="649756DE">
                  <w:pPr>
                    <w:pStyle w:val="82"/>
                    <w:spacing w:line="240" w:lineRule="auto"/>
                    <w:ind w:firstLine="0"/>
                    <w:rPr>
                      <w:color w:val="auto"/>
                      <w:szCs w:val="21"/>
                    </w:rPr>
                  </w:pPr>
                </w:p>
              </w:tc>
            </w:tr>
            <w:tr w14:paraId="15638A6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58BBF116">
                  <w:pPr>
                    <w:pStyle w:val="82"/>
                    <w:spacing w:line="240" w:lineRule="auto"/>
                    <w:ind w:firstLine="0"/>
                    <w:rPr>
                      <w:color w:val="auto"/>
                      <w:szCs w:val="21"/>
                    </w:rPr>
                  </w:pPr>
                </w:p>
              </w:tc>
              <w:tc>
                <w:tcPr>
                  <w:tcW w:w="1873" w:type="dxa"/>
                  <w:vAlign w:val="center"/>
                </w:tcPr>
                <w:p w14:paraId="043EA6C8">
                  <w:pPr>
                    <w:pStyle w:val="82"/>
                    <w:spacing w:line="240" w:lineRule="auto"/>
                    <w:ind w:firstLine="0"/>
                    <w:rPr>
                      <w:color w:val="auto"/>
                      <w:szCs w:val="21"/>
                    </w:rPr>
                  </w:pPr>
                  <w:r>
                    <w:rPr>
                      <w:color w:val="auto"/>
                      <w:szCs w:val="21"/>
                    </w:rPr>
                    <w:t>24小时平均</w:t>
                  </w:r>
                </w:p>
              </w:tc>
              <w:tc>
                <w:tcPr>
                  <w:tcW w:w="1132" w:type="dxa"/>
                  <w:vAlign w:val="center"/>
                </w:tcPr>
                <w:p w14:paraId="5BB1BFA6">
                  <w:pPr>
                    <w:pStyle w:val="82"/>
                    <w:spacing w:line="240" w:lineRule="auto"/>
                    <w:ind w:firstLine="0"/>
                    <w:rPr>
                      <w:color w:val="auto"/>
                      <w:szCs w:val="21"/>
                    </w:rPr>
                  </w:pPr>
                  <w:r>
                    <w:rPr>
                      <w:color w:val="auto"/>
                      <w:szCs w:val="21"/>
                    </w:rPr>
                    <w:t>4</w:t>
                  </w:r>
                </w:p>
              </w:tc>
              <w:tc>
                <w:tcPr>
                  <w:tcW w:w="804" w:type="dxa"/>
                  <w:vMerge w:val="continue"/>
                  <w:vAlign w:val="center"/>
                </w:tcPr>
                <w:p w14:paraId="089091CA">
                  <w:pPr>
                    <w:pStyle w:val="82"/>
                    <w:spacing w:line="240" w:lineRule="auto"/>
                    <w:ind w:firstLine="0"/>
                    <w:rPr>
                      <w:color w:val="auto"/>
                      <w:szCs w:val="21"/>
                    </w:rPr>
                  </w:pPr>
                </w:p>
              </w:tc>
              <w:tc>
                <w:tcPr>
                  <w:tcW w:w="3021" w:type="dxa"/>
                  <w:vMerge w:val="continue"/>
                  <w:vAlign w:val="center"/>
                </w:tcPr>
                <w:p w14:paraId="0ECD4963">
                  <w:pPr>
                    <w:pStyle w:val="82"/>
                    <w:spacing w:line="240" w:lineRule="auto"/>
                    <w:ind w:firstLine="0"/>
                    <w:rPr>
                      <w:color w:val="auto"/>
                      <w:szCs w:val="21"/>
                    </w:rPr>
                  </w:pPr>
                </w:p>
              </w:tc>
            </w:tr>
            <w:tr w14:paraId="66E0DB5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56E8F00D">
                  <w:pPr>
                    <w:pStyle w:val="82"/>
                    <w:spacing w:line="240" w:lineRule="auto"/>
                    <w:ind w:firstLine="0"/>
                    <w:rPr>
                      <w:color w:val="auto"/>
                      <w:szCs w:val="21"/>
                    </w:rPr>
                  </w:pPr>
                  <w:r>
                    <w:rPr>
                      <w:color w:val="auto"/>
                      <w:szCs w:val="21"/>
                    </w:rPr>
                    <w:t>O</w:t>
                  </w:r>
                  <w:r>
                    <w:rPr>
                      <w:color w:val="auto"/>
                      <w:szCs w:val="21"/>
                      <w:vertAlign w:val="subscript"/>
                    </w:rPr>
                    <w:t>3</w:t>
                  </w:r>
                </w:p>
              </w:tc>
              <w:tc>
                <w:tcPr>
                  <w:tcW w:w="1873" w:type="dxa"/>
                  <w:vAlign w:val="center"/>
                </w:tcPr>
                <w:p w14:paraId="2800B56D">
                  <w:pPr>
                    <w:pStyle w:val="82"/>
                    <w:spacing w:line="240" w:lineRule="auto"/>
                    <w:ind w:firstLine="0"/>
                    <w:rPr>
                      <w:color w:val="auto"/>
                      <w:szCs w:val="21"/>
                    </w:rPr>
                  </w:pPr>
                  <w:r>
                    <w:rPr>
                      <w:color w:val="auto"/>
                      <w:szCs w:val="21"/>
                    </w:rPr>
                    <w:t>1小时平均</w:t>
                  </w:r>
                </w:p>
              </w:tc>
              <w:tc>
                <w:tcPr>
                  <w:tcW w:w="1132" w:type="dxa"/>
                  <w:vAlign w:val="center"/>
                </w:tcPr>
                <w:p w14:paraId="77DE2637">
                  <w:pPr>
                    <w:pStyle w:val="82"/>
                    <w:spacing w:line="240" w:lineRule="auto"/>
                    <w:ind w:firstLine="0"/>
                    <w:rPr>
                      <w:color w:val="auto"/>
                      <w:szCs w:val="21"/>
                    </w:rPr>
                  </w:pPr>
                  <w:r>
                    <w:rPr>
                      <w:color w:val="auto"/>
                      <w:szCs w:val="21"/>
                    </w:rPr>
                    <w:t>200</w:t>
                  </w:r>
                </w:p>
              </w:tc>
              <w:tc>
                <w:tcPr>
                  <w:tcW w:w="804" w:type="dxa"/>
                  <w:vMerge w:val="restart"/>
                  <w:vAlign w:val="center"/>
                </w:tcPr>
                <w:p w14:paraId="238821A6">
                  <w:pPr>
                    <w:pStyle w:val="82"/>
                    <w:spacing w:line="240" w:lineRule="auto"/>
                    <w:ind w:firstLine="0"/>
                    <w:rPr>
                      <w:color w:val="auto"/>
                      <w:szCs w:val="21"/>
                    </w:rPr>
                  </w:pPr>
                  <w:r>
                    <w:rPr>
                      <w:color w:val="auto"/>
                      <w:szCs w:val="21"/>
                    </w:rPr>
                    <w:t>μg/m</w:t>
                  </w:r>
                  <w:r>
                    <w:rPr>
                      <w:color w:val="auto"/>
                      <w:szCs w:val="21"/>
                      <w:vertAlign w:val="superscript"/>
                    </w:rPr>
                    <w:t>3</w:t>
                  </w:r>
                </w:p>
              </w:tc>
              <w:tc>
                <w:tcPr>
                  <w:tcW w:w="3021" w:type="dxa"/>
                  <w:vMerge w:val="continue"/>
                  <w:vAlign w:val="center"/>
                </w:tcPr>
                <w:p w14:paraId="702B7F47">
                  <w:pPr>
                    <w:pStyle w:val="82"/>
                    <w:spacing w:line="240" w:lineRule="auto"/>
                    <w:ind w:firstLine="0"/>
                    <w:rPr>
                      <w:color w:val="auto"/>
                      <w:szCs w:val="21"/>
                    </w:rPr>
                  </w:pPr>
                </w:p>
              </w:tc>
            </w:tr>
            <w:tr w14:paraId="5188A96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506661E5">
                  <w:pPr>
                    <w:pStyle w:val="82"/>
                    <w:spacing w:line="240" w:lineRule="auto"/>
                    <w:ind w:firstLine="0"/>
                    <w:rPr>
                      <w:color w:val="auto"/>
                      <w:szCs w:val="21"/>
                    </w:rPr>
                  </w:pPr>
                </w:p>
              </w:tc>
              <w:tc>
                <w:tcPr>
                  <w:tcW w:w="1873" w:type="dxa"/>
                  <w:vAlign w:val="center"/>
                </w:tcPr>
                <w:p w14:paraId="4F6C6B33">
                  <w:pPr>
                    <w:pStyle w:val="82"/>
                    <w:spacing w:line="240" w:lineRule="auto"/>
                    <w:ind w:firstLine="0"/>
                    <w:rPr>
                      <w:color w:val="auto"/>
                      <w:szCs w:val="21"/>
                    </w:rPr>
                  </w:pPr>
                  <w:r>
                    <w:rPr>
                      <w:color w:val="auto"/>
                      <w:szCs w:val="21"/>
                    </w:rPr>
                    <w:t>日最大8小时平均</w:t>
                  </w:r>
                </w:p>
              </w:tc>
              <w:tc>
                <w:tcPr>
                  <w:tcW w:w="1132" w:type="dxa"/>
                  <w:vAlign w:val="center"/>
                </w:tcPr>
                <w:p w14:paraId="1EC0503A">
                  <w:pPr>
                    <w:pStyle w:val="82"/>
                    <w:spacing w:line="240" w:lineRule="auto"/>
                    <w:ind w:firstLine="0"/>
                    <w:rPr>
                      <w:color w:val="auto"/>
                      <w:szCs w:val="21"/>
                    </w:rPr>
                  </w:pPr>
                  <w:r>
                    <w:rPr>
                      <w:color w:val="auto"/>
                      <w:szCs w:val="21"/>
                    </w:rPr>
                    <w:t>160</w:t>
                  </w:r>
                </w:p>
              </w:tc>
              <w:tc>
                <w:tcPr>
                  <w:tcW w:w="804" w:type="dxa"/>
                  <w:vMerge w:val="continue"/>
                  <w:vAlign w:val="center"/>
                </w:tcPr>
                <w:p w14:paraId="53FD936E">
                  <w:pPr>
                    <w:pStyle w:val="82"/>
                    <w:spacing w:line="240" w:lineRule="auto"/>
                    <w:ind w:firstLine="0"/>
                    <w:rPr>
                      <w:color w:val="auto"/>
                      <w:szCs w:val="21"/>
                    </w:rPr>
                  </w:pPr>
                </w:p>
              </w:tc>
              <w:tc>
                <w:tcPr>
                  <w:tcW w:w="3021" w:type="dxa"/>
                  <w:vMerge w:val="continue"/>
                  <w:vAlign w:val="center"/>
                </w:tcPr>
                <w:p w14:paraId="09464505">
                  <w:pPr>
                    <w:pStyle w:val="82"/>
                    <w:spacing w:line="240" w:lineRule="auto"/>
                    <w:ind w:firstLine="0"/>
                    <w:rPr>
                      <w:color w:val="auto"/>
                      <w:szCs w:val="21"/>
                    </w:rPr>
                  </w:pPr>
                </w:p>
              </w:tc>
            </w:tr>
            <w:tr w14:paraId="588C54E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620CBC9C">
                  <w:pPr>
                    <w:pStyle w:val="82"/>
                    <w:spacing w:line="240" w:lineRule="auto"/>
                    <w:ind w:firstLine="0"/>
                    <w:rPr>
                      <w:color w:val="auto"/>
                      <w:szCs w:val="21"/>
                    </w:rPr>
                  </w:pPr>
                  <w:r>
                    <w:rPr>
                      <w:color w:val="auto"/>
                      <w:szCs w:val="21"/>
                    </w:rPr>
                    <w:t>PM</w:t>
                  </w:r>
                  <w:r>
                    <w:rPr>
                      <w:color w:val="auto"/>
                      <w:szCs w:val="21"/>
                      <w:vertAlign w:val="subscript"/>
                    </w:rPr>
                    <w:t>10</w:t>
                  </w:r>
                </w:p>
              </w:tc>
              <w:tc>
                <w:tcPr>
                  <w:tcW w:w="1873" w:type="dxa"/>
                  <w:vAlign w:val="center"/>
                </w:tcPr>
                <w:p w14:paraId="5B31EDFC">
                  <w:pPr>
                    <w:pStyle w:val="82"/>
                    <w:spacing w:line="240" w:lineRule="auto"/>
                    <w:ind w:firstLine="0"/>
                    <w:rPr>
                      <w:color w:val="auto"/>
                      <w:szCs w:val="21"/>
                    </w:rPr>
                  </w:pPr>
                  <w:r>
                    <w:rPr>
                      <w:color w:val="auto"/>
                      <w:szCs w:val="21"/>
                    </w:rPr>
                    <w:t>24小时平均</w:t>
                  </w:r>
                </w:p>
              </w:tc>
              <w:tc>
                <w:tcPr>
                  <w:tcW w:w="1132" w:type="dxa"/>
                  <w:vAlign w:val="center"/>
                </w:tcPr>
                <w:p w14:paraId="5086E4A5">
                  <w:pPr>
                    <w:pStyle w:val="82"/>
                    <w:spacing w:line="240" w:lineRule="auto"/>
                    <w:ind w:firstLine="0"/>
                    <w:rPr>
                      <w:color w:val="auto"/>
                      <w:szCs w:val="21"/>
                    </w:rPr>
                  </w:pPr>
                  <w:r>
                    <w:rPr>
                      <w:color w:val="auto"/>
                      <w:szCs w:val="21"/>
                    </w:rPr>
                    <w:t>150</w:t>
                  </w:r>
                </w:p>
              </w:tc>
              <w:tc>
                <w:tcPr>
                  <w:tcW w:w="804" w:type="dxa"/>
                  <w:vMerge w:val="continue"/>
                  <w:vAlign w:val="center"/>
                </w:tcPr>
                <w:p w14:paraId="35291BB0">
                  <w:pPr>
                    <w:pStyle w:val="82"/>
                    <w:spacing w:line="240" w:lineRule="auto"/>
                    <w:ind w:firstLine="0"/>
                    <w:rPr>
                      <w:color w:val="auto"/>
                      <w:szCs w:val="21"/>
                    </w:rPr>
                  </w:pPr>
                </w:p>
              </w:tc>
              <w:tc>
                <w:tcPr>
                  <w:tcW w:w="3021" w:type="dxa"/>
                  <w:vMerge w:val="continue"/>
                  <w:vAlign w:val="center"/>
                </w:tcPr>
                <w:p w14:paraId="0D611F0C">
                  <w:pPr>
                    <w:pStyle w:val="82"/>
                    <w:spacing w:line="240" w:lineRule="auto"/>
                    <w:ind w:firstLine="0"/>
                    <w:rPr>
                      <w:color w:val="auto"/>
                      <w:szCs w:val="21"/>
                    </w:rPr>
                  </w:pPr>
                </w:p>
              </w:tc>
            </w:tr>
            <w:tr w14:paraId="5C5B946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1836CD08">
                  <w:pPr>
                    <w:pStyle w:val="82"/>
                    <w:spacing w:line="240" w:lineRule="auto"/>
                    <w:ind w:firstLine="0"/>
                    <w:rPr>
                      <w:color w:val="auto"/>
                      <w:szCs w:val="21"/>
                    </w:rPr>
                  </w:pPr>
                </w:p>
              </w:tc>
              <w:tc>
                <w:tcPr>
                  <w:tcW w:w="1873" w:type="dxa"/>
                  <w:vAlign w:val="center"/>
                </w:tcPr>
                <w:p w14:paraId="767E042B">
                  <w:pPr>
                    <w:pStyle w:val="82"/>
                    <w:spacing w:line="240" w:lineRule="auto"/>
                    <w:ind w:firstLine="0"/>
                    <w:rPr>
                      <w:color w:val="auto"/>
                      <w:szCs w:val="21"/>
                    </w:rPr>
                  </w:pPr>
                  <w:r>
                    <w:rPr>
                      <w:color w:val="auto"/>
                      <w:szCs w:val="21"/>
                    </w:rPr>
                    <w:t>年平均</w:t>
                  </w:r>
                </w:p>
              </w:tc>
              <w:tc>
                <w:tcPr>
                  <w:tcW w:w="1132" w:type="dxa"/>
                  <w:vAlign w:val="center"/>
                </w:tcPr>
                <w:p w14:paraId="42F9B059">
                  <w:pPr>
                    <w:pStyle w:val="82"/>
                    <w:spacing w:line="240" w:lineRule="auto"/>
                    <w:ind w:firstLine="0"/>
                    <w:rPr>
                      <w:color w:val="auto"/>
                      <w:szCs w:val="21"/>
                    </w:rPr>
                  </w:pPr>
                  <w:r>
                    <w:rPr>
                      <w:color w:val="auto"/>
                      <w:szCs w:val="21"/>
                    </w:rPr>
                    <w:t>70</w:t>
                  </w:r>
                </w:p>
              </w:tc>
              <w:tc>
                <w:tcPr>
                  <w:tcW w:w="804" w:type="dxa"/>
                  <w:vMerge w:val="continue"/>
                  <w:vAlign w:val="center"/>
                </w:tcPr>
                <w:p w14:paraId="647E65D5">
                  <w:pPr>
                    <w:pStyle w:val="82"/>
                    <w:spacing w:line="240" w:lineRule="auto"/>
                    <w:ind w:firstLine="0"/>
                    <w:rPr>
                      <w:color w:val="auto"/>
                      <w:szCs w:val="21"/>
                    </w:rPr>
                  </w:pPr>
                </w:p>
              </w:tc>
              <w:tc>
                <w:tcPr>
                  <w:tcW w:w="3021" w:type="dxa"/>
                  <w:vMerge w:val="continue"/>
                  <w:vAlign w:val="center"/>
                </w:tcPr>
                <w:p w14:paraId="450CA965">
                  <w:pPr>
                    <w:pStyle w:val="82"/>
                    <w:spacing w:line="240" w:lineRule="auto"/>
                    <w:ind w:firstLine="0"/>
                    <w:rPr>
                      <w:color w:val="auto"/>
                      <w:szCs w:val="21"/>
                    </w:rPr>
                  </w:pPr>
                </w:p>
              </w:tc>
            </w:tr>
            <w:tr w14:paraId="0D8AA8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0E538072">
                  <w:pPr>
                    <w:pStyle w:val="82"/>
                    <w:spacing w:line="240" w:lineRule="auto"/>
                    <w:ind w:firstLine="0"/>
                    <w:rPr>
                      <w:color w:val="auto"/>
                      <w:szCs w:val="21"/>
                    </w:rPr>
                  </w:pPr>
                  <w:r>
                    <w:rPr>
                      <w:color w:val="auto"/>
                      <w:szCs w:val="21"/>
                    </w:rPr>
                    <w:t>PM</w:t>
                  </w:r>
                  <w:r>
                    <w:rPr>
                      <w:color w:val="auto"/>
                      <w:szCs w:val="21"/>
                      <w:vertAlign w:val="subscript"/>
                    </w:rPr>
                    <w:t>2.5</w:t>
                  </w:r>
                </w:p>
              </w:tc>
              <w:tc>
                <w:tcPr>
                  <w:tcW w:w="1873" w:type="dxa"/>
                  <w:vAlign w:val="center"/>
                </w:tcPr>
                <w:p w14:paraId="15B25C4B">
                  <w:pPr>
                    <w:pStyle w:val="82"/>
                    <w:spacing w:line="240" w:lineRule="auto"/>
                    <w:ind w:firstLine="0"/>
                    <w:rPr>
                      <w:color w:val="auto"/>
                      <w:szCs w:val="21"/>
                    </w:rPr>
                  </w:pPr>
                  <w:r>
                    <w:rPr>
                      <w:color w:val="auto"/>
                      <w:szCs w:val="21"/>
                    </w:rPr>
                    <w:t>24小时平均</w:t>
                  </w:r>
                </w:p>
              </w:tc>
              <w:tc>
                <w:tcPr>
                  <w:tcW w:w="1132" w:type="dxa"/>
                  <w:vAlign w:val="center"/>
                </w:tcPr>
                <w:p w14:paraId="0A03203A">
                  <w:pPr>
                    <w:pStyle w:val="82"/>
                    <w:spacing w:line="240" w:lineRule="auto"/>
                    <w:ind w:firstLine="0"/>
                    <w:rPr>
                      <w:color w:val="auto"/>
                      <w:szCs w:val="21"/>
                    </w:rPr>
                  </w:pPr>
                  <w:r>
                    <w:rPr>
                      <w:color w:val="auto"/>
                      <w:szCs w:val="21"/>
                    </w:rPr>
                    <w:t>75</w:t>
                  </w:r>
                </w:p>
              </w:tc>
              <w:tc>
                <w:tcPr>
                  <w:tcW w:w="804" w:type="dxa"/>
                  <w:vMerge w:val="continue"/>
                  <w:vAlign w:val="center"/>
                </w:tcPr>
                <w:p w14:paraId="362D0FFC">
                  <w:pPr>
                    <w:pStyle w:val="82"/>
                    <w:spacing w:line="240" w:lineRule="auto"/>
                    <w:ind w:firstLine="0"/>
                    <w:rPr>
                      <w:color w:val="auto"/>
                      <w:szCs w:val="21"/>
                    </w:rPr>
                  </w:pPr>
                </w:p>
              </w:tc>
              <w:tc>
                <w:tcPr>
                  <w:tcW w:w="3021" w:type="dxa"/>
                  <w:vMerge w:val="continue"/>
                  <w:vAlign w:val="center"/>
                </w:tcPr>
                <w:p w14:paraId="561D6218">
                  <w:pPr>
                    <w:pStyle w:val="82"/>
                    <w:spacing w:line="240" w:lineRule="auto"/>
                    <w:ind w:firstLine="0"/>
                    <w:rPr>
                      <w:color w:val="auto"/>
                      <w:szCs w:val="21"/>
                    </w:rPr>
                  </w:pPr>
                </w:p>
              </w:tc>
            </w:tr>
            <w:tr w14:paraId="2B65BFB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121A4AFE">
                  <w:pPr>
                    <w:pStyle w:val="82"/>
                    <w:spacing w:line="240" w:lineRule="auto"/>
                    <w:ind w:firstLine="0"/>
                    <w:rPr>
                      <w:color w:val="auto"/>
                      <w:szCs w:val="21"/>
                    </w:rPr>
                  </w:pPr>
                </w:p>
              </w:tc>
              <w:tc>
                <w:tcPr>
                  <w:tcW w:w="1873" w:type="dxa"/>
                  <w:vAlign w:val="center"/>
                </w:tcPr>
                <w:p w14:paraId="2662188D">
                  <w:pPr>
                    <w:pStyle w:val="82"/>
                    <w:spacing w:line="240" w:lineRule="auto"/>
                    <w:ind w:firstLine="0"/>
                    <w:rPr>
                      <w:color w:val="auto"/>
                      <w:szCs w:val="21"/>
                    </w:rPr>
                  </w:pPr>
                  <w:r>
                    <w:rPr>
                      <w:color w:val="auto"/>
                      <w:szCs w:val="21"/>
                    </w:rPr>
                    <w:t>年平均</w:t>
                  </w:r>
                </w:p>
              </w:tc>
              <w:tc>
                <w:tcPr>
                  <w:tcW w:w="1132" w:type="dxa"/>
                  <w:vAlign w:val="center"/>
                </w:tcPr>
                <w:p w14:paraId="58C35ED1">
                  <w:pPr>
                    <w:pStyle w:val="82"/>
                    <w:spacing w:line="240" w:lineRule="auto"/>
                    <w:ind w:firstLine="0"/>
                    <w:rPr>
                      <w:color w:val="auto"/>
                      <w:szCs w:val="21"/>
                    </w:rPr>
                  </w:pPr>
                  <w:r>
                    <w:rPr>
                      <w:color w:val="auto"/>
                      <w:szCs w:val="21"/>
                    </w:rPr>
                    <w:t>35</w:t>
                  </w:r>
                </w:p>
              </w:tc>
              <w:tc>
                <w:tcPr>
                  <w:tcW w:w="804" w:type="dxa"/>
                  <w:vMerge w:val="continue"/>
                  <w:vAlign w:val="center"/>
                </w:tcPr>
                <w:p w14:paraId="49334D2D">
                  <w:pPr>
                    <w:pStyle w:val="82"/>
                    <w:spacing w:line="240" w:lineRule="auto"/>
                    <w:ind w:firstLine="0"/>
                    <w:rPr>
                      <w:color w:val="auto"/>
                      <w:szCs w:val="21"/>
                    </w:rPr>
                  </w:pPr>
                </w:p>
              </w:tc>
              <w:tc>
                <w:tcPr>
                  <w:tcW w:w="3021" w:type="dxa"/>
                  <w:vMerge w:val="continue"/>
                  <w:vAlign w:val="center"/>
                </w:tcPr>
                <w:p w14:paraId="5FA2B2FF">
                  <w:pPr>
                    <w:pStyle w:val="82"/>
                    <w:spacing w:line="240" w:lineRule="auto"/>
                    <w:ind w:firstLine="0"/>
                    <w:rPr>
                      <w:color w:val="auto"/>
                      <w:szCs w:val="21"/>
                    </w:rPr>
                  </w:pPr>
                </w:p>
              </w:tc>
            </w:tr>
            <w:tr w14:paraId="6534C5E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2433F35C">
                  <w:pPr>
                    <w:pStyle w:val="82"/>
                    <w:spacing w:line="240" w:lineRule="auto"/>
                    <w:ind w:firstLine="0"/>
                    <w:rPr>
                      <w:color w:val="auto"/>
                      <w:szCs w:val="21"/>
                    </w:rPr>
                  </w:pPr>
                  <w:r>
                    <w:rPr>
                      <w:color w:val="auto"/>
                      <w:szCs w:val="21"/>
                    </w:rPr>
                    <w:t>TSP</w:t>
                  </w:r>
                </w:p>
              </w:tc>
              <w:tc>
                <w:tcPr>
                  <w:tcW w:w="1873" w:type="dxa"/>
                  <w:vAlign w:val="center"/>
                </w:tcPr>
                <w:p w14:paraId="57E8A8D6">
                  <w:pPr>
                    <w:pStyle w:val="82"/>
                    <w:spacing w:line="240" w:lineRule="auto"/>
                    <w:ind w:firstLine="0"/>
                    <w:rPr>
                      <w:color w:val="auto"/>
                      <w:szCs w:val="21"/>
                    </w:rPr>
                  </w:pPr>
                  <w:r>
                    <w:rPr>
                      <w:color w:val="auto"/>
                      <w:szCs w:val="21"/>
                    </w:rPr>
                    <w:t>24小时平均</w:t>
                  </w:r>
                </w:p>
              </w:tc>
              <w:tc>
                <w:tcPr>
                  <w:tcW w:w="1132" w:type="dxa"/>
                  <w:vAlign w:val="center"/>
                </w:tcPr>
                <w:p w14:paraId="4F4A2B44">
                  <w:pPr>
                    <w:pStyle w:val="82"/>
                    <w:spacing w:line="240" w:lineRule="auto"/>
                    <w:ind w:firstLine="0"/>
                    <w:rPr>
                      <w:color w:val="auto"/>
                      <w:szCs w:val="21"/>
                    </w:rPr>
                  </w:pPr>
                  <w:r>
                    <w:rPr>
                      <w:color w:val="auto"/>
                      <w:szCs w:val="21"/>
                    </w:rPr>
                    <w:t>300</w:t>
                  </w:r>
                </w:p>
              </w:tc>
              <w:tc>
                <w:tcPr>
                  <w:tcW w:w="804" w:type="dxa"/>
                  <w:vMerge w:val="restart"/>
                  <w:vAlign w:val="center"/>
                </w:tcPr>
                <w:p w14:paraId="7AE93D85">
                  <w:pPr>
                    <w:pStyle w:val="82"/>
                    <w:spacing w:line="240" w:lineRule="auto"/>
                    <w:ind w:firstLine="0"/>
                    <w:rPr>
                      <w:color w:val="auto"/>
                      <w:szCs w:val="21"/>
                    </w:rPr>
                  </w:pPr>
                  <w:r>
                    <w:rPr>
                      <w:color w:val="auto"/>
                      <w:szCs w:val="21"/>
                    </w:rPr>
                    <w:t>μg/m</w:t>
                  </w:r>
                  <w:r>
                    <w:rPr>
                      <w:color w:val="auto"/>
                      <w:szCs w:val="21"/>
                      <w:vertAlign w:val="superscript"/>
                    </w:rPr>
                    <w:t>3</w:t>
                  </w:r>
                </w:p>
              </w:tc>
              <w:tc>
                <w:tcPr>
                  <w:tcW w:w="3021" w:type="dxa"/>
                  <w:vMerge w:val="continue"/>
                  <w:vAlign w:val="center"/>
                </w:tcPr>
                <w:p w14:paraId="79679277">
                  <w:pPr>
                    <w:pStyle w:val="82"/>
                    <w:spacing w:line="240" w:lineRule="auto"/>
                    <w:ind w:firstLine="0"/>
                    <w:rPr>
                      <w:color w:val="auto"/>
                      <w:szCs w:val="21"/>
                    </w:rPr>
                  </w:pPr>
                </w:p>
              </w:tc>
            </w:tr>
            <w:tr w14:paraId="187868C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1B803E11">
                  <w:pPr>
                    <w:pStyle w:val="82"/>
                    <w:spacing w:line="240" w:lineRule="auto"/>
                    <w:ind w:firstLine="0"/>
                    <w:rPr>
                      <w:color w:val="auto"/>
                      <w:szCs w:val="21"/>
                    </w:rPr>
                  </w:pPr>
                </w:p>
              </w:tc>
              <w:tc>
                <w:tcPr>
                  <w:tcW w:w="1873" w:type="dxa"/>
                  <w:vAlign w:val="center"/>
                </w:tcPr>
                <w:p w14:paraId="7974D10E">
                  <w:pPr>
                    <w:pStyle w:val="82"/>
                    <w:spacing w:line="240" w:lineRule="auto"/>
                    <w:ind w:firstLine="0"/>
                    <w:rPr>
                      <w:color w:val="auto"/>
                      <w:szCs w:val="21"/>
                    </w:rPr>
                  </w:pPr>
                  <w:r>
                    <w:rPr>
                      <w:color w:val="auto"/>
                      <w:szCs w:val="21"/>
                    </w:rPr>
                    <w:t>年平均</w:t>
                  </w:r>
                </w:p>
              </w:tc>
              <w:tc>
                <w:tcPr>
                  <w:tcW w:w="1132" w:type="dxa"/>
                  <w:vAlign w:val="center"/>
                </w:tcPr>
                <w:p w14:paraId="38BBE0DC">
                  <w:pPr>
                    <w:pStyle w:val="82"/>
                    <w:spacing w:line="240" w:lineRule="auto"/>
                    <w:ind w:firstLine="0"/>
                    <w:rPr>
                      <w:color w:val="auto"/>
                      <w:szCs w:val="21"/>
                    </w:rPr>
                  </w:pPr>
                  <w:r>
                    <w:rPr>
                      <w:color w:val="auto"/>
                      <w:szCs w:val="21"/>
                    </w:rPr>
                    <w:t>200</w:t>
                  </w:r>
                </w:p>
              </w:tc>
              <w:tc>
                <w:tcPr>
                  <w:tcW w:w="804" w:type="dxa"/>
                  <w:vMerge w:val="continue"/>
                  <w:vAlign w:val="center"/>
                </w:tcPr>
                <w:p w14:paraId="34761260">
                  <w:pPr>
                    <w:pStyle w:val="82"/>
                    <w:spacing w:line="240" w:lineRule="auto"/>
                    <w:ind w:firstLine="0"/>
                    <w:rPr>
                      <w:color w:val="auto"/>
                      <w:szCs w:val="21"/>
                    </w:rPr>
                  </w:pPr>
                </w:p>
              </w:tc>
              <w:tc>
                <w:tcPr>
                  <w:tcW w:w="3021" w:type="dxa"/>
                  <w:vMerge w:val="continue"/>
                  <w:vAlign w:val="center"/>
                </w:tcPr>
                <w:p w14:paraId="2CFAEF9F">
                  <w:pPr>
                    <w:pStyle w:val="82"/>
                    <w:spacing w:line="240" w:lineRule="auto"/>
                    <w:ind w:firstLine="0"/>
                    <w:rPr>
                      <w:color w:val="auto"/>
                      <w:szCs w:val="21"/>
                    </w:rPr>
                  </w:pPr>
                </w:p>
              </w:tc>
            </w:tr>
            <w:tr w14:paraId="2554424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053FED88">
                  <w:pPr>
                    <w:pStyle w:val="82"/>
                    <w:spacing w:line="240" w:lineRule="auto"/>
                    <w:ind w:firstLine="0"/>
                    <w:rPr>
                      <w:color w:val="auto"/>
                      <w:szCs w:val="21"/>
                    </w:rPr>
                  </w:pPr>
                  <w:r>
                    <w:rPr>
                      <w:color w:val="auto"/>
                      <w:szCs w:val="21"/>
                    </w:rPr>
                    <w:t>氟化物</w:t>
                  </w:r>
                </w:p>
              </w:tc>
              <w:tc>
                <w:tcPr>
                  <w:tcW w:w="1873" w:type="dxa"/>
                  <w:vAlign w:val="center"/>
                </w:tcPr>
                <w:p w14:paraId="7E1608F1">
                  <w:pPr>
                    <w:pStyle w:val="82"/>
                    <w:spacing w:line="240" w:lineRule="auto"/>
                    <w:ind w:firstLine="0"/>
                    <w:rPr>
                      <w:color w:val="auto"/>
                      <w:szCs w:val="21"/>
                    </w:rPr>
                  </w:pPr>
                  <w:r>
                    <w:rPr>
                      <w:color w:val="auto"/>
                      <w:szCs w:val="21"/>
                    </w:rPr>
                    <w:t>1小时平均</w:t>
                  </w:r>
                </w:p>
              </w:tc>
              <w:tc>
                <w:tcPr>
                  <w:tcW w:w="1132" w:type="dxa"/>
                  <w:vAlign w:val="center"/>
                </w:tcPr>
                <w:p w14:paraId="60B01100">
                  <w:pPr>
                    <w:pStyle w:val="82"/>
                    <w:spacing w:line="240" w:lineRule="auto"/>
                    <w:ind w:firstLine="0"/>
                    <w:rPr>
                      <w:color w:val="auto"/>
                      <w:szCs w:val="21"/>
                    </w:rPr>
                  </w:pPr>
                  <w:r>
                    <w:rPr>
                      <w:color w:val="auto"/>
                      <w:szCs w:val="21"/>
                    </w:rPr>
                    <w:t>20</w:t>
                  </w:r>
                </w:p>
              </w:tc>
              <w:tc>
                <w:tcPr>
                  <w:tcW w:w="804" w:type="dxa"/>
                  <w:vMerge w:val="restart"/>
                  <w:vAlign w:val="center"/>
                </w:tcPr>
                <w:p w14:paraId="2EF5F2F6">
                  <w:pPr>
                    <w:pStyle w:val="82"/>
                    <w:spacing w:line="240" w:lineRule="auto"/>
                    <w:ind w:firstLine="0"/>
                    <w:rPr>
                      <w:color w:val="auto"/>
                      <w:szCs w:val="21"/>
                    </w:rPr>
                  </w:pPr>
                  <w:r>
                    <w:rPr>
                      <w:color w:val="auto"/>
                      <w:szCs w:val="21"/>
                    </w:rPr>
                    <w:t>μg/m</w:t>
                  </w:r>
                  <w:r>
                    <w:rPr>
                      <w:color w:val="auto"/>
                      <w:szCs w:val="21"/>
                      <w:vertAlign w:val="superscript"/>
                    </w:rPr>
                    <w:t>3</w:t>
                  </w:r>
                </w:p>
              </w:tc>
              <w:tc>
                <w:tcPr>
                  <w:tcW w:w="3021" w:type="dxa"/>
                  <w:vMerge w:val="continue"/>
                  <w:vAlign w:val="center"/>
                </w:tcPr>
                <w:p w14:paraId="0C9CFD56">
                  <w:pPr>
                    <w:pStyle w:val="82"/>
                    <w:spacing w:line="240" w:lineRule="auto"/>
                    <w:ind w:firstLine="0"/>
                    <w:rPr>
                      <w:color w:val="auto"/>
                      <w:szCs w:val="21"/>
                    </w:rPr>
                  </w:pPr>
                </w:p>
              </w:tc>
            </w:tr>
            <w:tr w14:paraId="5EB46F4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continue"/>
                  <w:vAlign w:val="center"/>
                </w:tcPr>
                <w:p w14:paraId="71E90FFC">
                  <w:pPr>
                    <w:pStyle w:val="82"/>
                    <w:spacing w:line="240" w:lineRule="auto"/>
                    <w:ind w:firstLine="0"/>
                    <w:rPr>
                      <w:color w:val="auto"/>
                      <w:szCs w:val="21"/>
                    </w:rPr>
                  </w:pPr>
                </w:p>
              </w:tc>
              <w:tc>
                <w:tcPr>
                  <w:tcW w:w="1873" w:type="dxa"/>
                  <w:vAlign w:val="center"/>
                </w:tcPr>
                <w:p w14:paraId="2045D90A">
                  <w:pPr>
                    <w:pStyle w:val="82"/>
                    <w:spacing w:line="240" w:lineRule="auto"/>
                    <w:ind w:firstLine="0"/>
                    <w:rPr>
                      <w:color w:val="auto"/>
                      <w:szCs w:val="21"/>
                    </w:rPr>
                  </w:pPr>
                  <w:r>
                    <w:rPr>
                      <w:color w:val="auto"/>
                      <w:szCs w:val="21"/>
                    </w:rPr>
                    <w:t>24小时平均</w:t>
                  </w:r>
                </w:p>
              </w:tc>
              <w:tc>
                <w:tcPr>
                  <w:tcW w:w="1132" w:type="dxa"/>
                  <w:vAlign w:val="center"/>
                </w:tcPr>
                <w:p w14:paraId="234C23C3">
                  <w:pPr>
                    <w:pStyle w:val="82"/>
                    <w:spacing w:line="240" w:lineRule="auto"/>
                    <w:ind w:firstLine="0"/>
                    <w:rPr>
                      <w:color w:val="auto"/>
                      <w:szCs w:val="21"/>
                    </w:rPr>
                  </w:pPr>
                  <w:r>
                    <w:rPr>
                      <w:color w:val="auto"/>
                      <w:szCs w:val="21"/>
                    </w:rPr>
                    <w:t>7</w:t>
                  </w:r>
                </w:p>
              </w:tc>
              <w:tc>
                <w:tcPr>
                  <w:tcW w:w="804" w:type="dxa"/>
                  <w:vMerge w:val="continue"/>
                  <w:vAlign w:val="center"/>
                </w:tcPr>
                <w:p w14:paraId="1E7AB4EC">
                  <w:pPr>
                    <w:pStyle w:val="82"/>
                    <w:spacing w:line="240" w:lineRule="auto"/>
                    <w:ind w:firstLine="0"/>
                    <w:rPr>
                      <w:color w:val="auto"/>
                      <w:szCs w:val="21"/>
                    </w:rPr>
                  </w:pPr>
                </w:p>
              </w:tc>
              <w:tc>
                <w:tcPr>
                  <w:tcW w:w="3021" w:type="dxa"/>
                  <w:vMerge w:val="continue"/>
                  <w:vAlign w:val="center"/>
                </w:tcPr>
                <w:p w14:paraId="0068C03F">
                  <w:pPr>
                    <w:pStyle w:val="82"/>
                    <w:spacing w:line="240" w:lineRule="auto"/>
                    <w:ind w:firstLine="0"/>
                    <w:rPr>
                      <w:color w:val="auto"/>
                      <w:szCs w:val="21"/>
                    </w:rPr>
                  </w:pPr>
                </w:p>
              </w:tc>
            </w:tr>
            <w:tr w14:paraId="293BB43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34" w:type="dxa"/>
                  <w:vMerge w:val="restart"/>
                  <w:vAlign w:val="center"/>
                </w:tcPr>
                <w:p w14:paraId="32C866A1">
                  <w:pPr>
                    <w:pStyle w:val="82"/>
                    <w:spacing w:line="240" w:lineRule="auto"/>
                    <w:ind w:firstLine="0"/>
                    <w:rPr>
                      <w:color w:val="auto"/>
                      <w:szCs w:val="21"/>
                    </w:rPr>
                  </w:pPr>
                  <w:r>
                    <w:rPr>
                      <w:color w:val="auto"/>
                      <w:szCs w:val="21"/>
                    </w:rPr>
                    <w:t>氯化氢</w:t>
                  </w:r>
                </w:p>
              </w:tc>
              <w:tc>
                <w:tcPr>
                  <w:tcW w:w="1873" w:type="dxa"/>
                  <w:vAlign w:val="center"/>
                </w:tcPr>
                <w:p w14:paraId="345F9D05">
                  <w:pPr>
                    <w:pStyle w:val="82"/>
                    <w:spacing w:line="240" w:lineRule="auto"/>
                    <w:ind w:firstLine="0"/>
                    <w:rPr>
                      <w:color w:val="auto"/>
                      <w:szCs w:val="21"/>
                    </w:rPr>
                  </w:pPr>
                  <w:r>
                    <w:rPr>
                      <w:color w:val="auto"/>
                      <w:szCs w:val="21"/>
                    </w:rPr>
                    <w:t>1小时平均</w:t>
                  </w:r>
                </w:p>
              </w:tc>
              <w:tc>
                <w:tcPr>
                  <w:tcW w:w="1132" w:type="dxa"/>
                  <w:tcBorders>
                    <w:top w:val="single" w:color="auto" w:sz="4" w:space="0"/>
                  </w:tcBorders>
                  <w:vAlign w:val="center"/>
                </w:tcPr>
                <w:p w14:paraId="6EF62F08">
                  <w:pPr>
                    <w:pStyle w:val="82"/>
                    <w:spacing w:line="240" w:lineRule="auto"/>
                    <w:ind w:firstLine="0"/>
                    <w:rPr>
                      <w:color w:val="auto"/>
                      <w:szCs w:val="21"/>
                    </w:rPr>
                  </w:pPr>
                  <w:r>
                    <w:rPr>
                      <w:color w:val="auto"/>
                      <w:szCs w:val="21"/>
                    </w:rPr>
                    <w:t>50</w:t>
                  </w:r>
                </w:p>
              </w:tc>
              <w:tc>
                <w:tcPr>
                  <w:tcW w:w="804" w:type="dxa"/>
                  <w:vMerge w:val="restart"/>
                  <w:tcBorders>
                    <w:top w:val="single" w:color="auto" w:sz="4" w:space="0"/>
                  </w:tcBorders>
                  <w:vAlign w:val="center"/>
                </w:tcPr>
                <w:p w14:paraId="6D607D5D">
                  <w:pPr>
                    <w:pStyle w:val="82"/>
                    <w:spacing w:line="240" w:lineRule="auto"/>
                    <w:ind w:firstLine="0"/>
                    <w:rPr>
                      <w:color w:val="auto"/>
                      <w:szCs w:val="21"/>
                    </w:rPr>
                  </w:pPr>
                  <w:r>
                    <w:rPr>
                      <w:color w:val="auto"/>
                      <w:szCs w:val="21"/>
                    </w:rPr>
                    <w:t>μg/m</w:t>
                  </w:r>
                  <w:r>
                    <w:rPr>
                      <w:color w:val="auto"/>
                      <w:szCs w:val="21"/>
                      <w:vertAlign w:val="superscript"/>
                    </w:rPr>
                    <w:t>3</w:t>
                  </w:r>
                </w:p>
              </w:tc>
              <w:tc>
                <w:tcPr>
                  <w:tcW w:w="3021" w:type="dxa"/>
                  <w:vMerge w:val="restart"/>
                  <w:tcBorders>
                    <w:top w:val="single" w:color="auto" w:sz="4" w:space="0"/>
                  </w:tcBorders>
                  <w:vAlign w:val="center"/>
                </w:tcPr>
                <w:p w14:paraId="30655BE6">
                  <w:pPr>
                    <w:pStyle w:val="82"/>
                    <w:spacing w:line="240" w:lineRule="auto"/>
                    <w:ind w:firstLine="0"/>
                    <w:rPr>
                      <w:color w:val="auto"/>
                      <w:szCs w:val="21"/>
                    </w:rPr>
                  </w:pPr>
                  <w:r>
                    <w:rPr>
                      <w:color w:val="auto"/>
                      <w:szCs w:val="21"/>
                    </w:rPr>
                    <w:t>《环境影响评价技术导则 大气环境》（HJ2.2-2018）附录D</w:t>
                  </w:r>
                </w:p>
              </w:tc>
            </w:tr>
            <w:tr w14:paraId="08C83C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34" w:type="dxa"/>
                  <w:vMerge w:val="continue"/>
                  <w:vAlign w:val="center"/>
                </w:tcPr>
                <w:p w14:paraId="372B5EB9">
                  <w:pPr>
                    <w:pStyle w:val="82"/>
                    <w:spacing w:line="240" w:lineRule="auto"/>
                    <w:ind w:firstLine="0"/>
                    <w:rPr>
                      <w:color w:val="auto"/>
                      <w:szCs w:val="21"/>
                    </w:rPr>
                  </w:pPr>
                </w:p>
              </w:tc>
              <w:tc>
                <w:tcPr>
                  <w:tcW w:w="1873" w:type="dxa"/>
                  <w:vAlign w:val="center"/>
                </w:tcPr>
                <w:p w14:paraId="080DA639">
                  <w:pPr>
                    <w:pStyle w:val="82"/>
                    <w:spacing w:line="240" w:lineRule="auto"/>
                    <w:ind w:firstLine="0"/>
                    <w:rPr>
                      <w:color w:val="auto"/>
                      <w:szCs w:val="21"/>
                    </w:rPr>
                  </w:pPr>
                  <w:r>
                    <w:rPr>
                      <w:color w:val="auto"/>
                      <w:szCs w:val="21"/>
                    </w:rPr>
                    <w:t>24小时平均</w:t>
                  </w:r>
                </w:p>
              </w:tc>
              <w:tc>
                <w:tcPr>
                  <w:tcW w:w="1132" w:type="dxa"/>
                  <w:vAlign w:val="center"/>
                </w:tcPr>
                <w:p w14:paraId="7F3D048B">
                  <w:pPr>
                    <w:pStyle w:val="82"/>
                    <w:spacing w:line="240" w:lineRule="auto"/>
                    <w:ind w:firstLine="0"/>
                    <w:rPr>
                      <w:color w:val="auto"/>
                      <w:szCs w:val="21"/>
                    </w:rPr>
                  </w:pPr>
                  <w:r>
                    <w:rPr>
                      <w:color w:val="auto"/>
                      <w:szCs w:val="21"/>
                    </w:rPr>
                    <w:t>15</w:t>
                  </w:r>
                </w:p>
              </w:tc>
              <w:tc>
                <w:tcPr>
                  <w:tcW w:w="804" w:type="dxa"/>
                  <w:vMerge w:val="continue"/>
                  <w:vAlign w:val="center"/>
                </w:tcPr>
                <w:p w14:paraId="3B652F61">
                  <w:pPr>
                    <w:pStyle w:val="82"/>
                    <w:spacing w:line="240" w:lineRule="auto"/>
                    <w:ind w:firstLine="0"/>
                    <w:rPr>
                      <w:color w:val="auto"/>
                      <w:szCs w:val="21"/>
                    </w:rPr>
                  </w:pPr>
                </w:p>
              </w:tc>
              <w:tc>
                <w:tcPr>
                  <w:tcW w:w="3021" w:type="dxa"/>
                  <w:vMerge w:val="continue"/>
                  <w:vAlign w:val="center"/>
                </w:tcPr>
                <w:p w14:paraId="1BC60ADE">
                  <w:pPr>
                    <w:pStyle w:val="82"/>
                    <w:spacing w:line="240" w:lineRule="auto"/>
                    <w:ind w:firstLine="0"/>
                    <w:rPr>
                      <w:color w:val="auto"/>
                      <w:szCs w:val="21"/>
                    </w:rPr>
                  </w:pPr>
                </w:p>
              </w:tc>
            </w:tr>
          </w:tbl>
          <w:p w14:paraId="6CE2510B">
            <w:pPr>
              <w:adjustRightInd w:val="0"/>
              <w:snapToGrid w:val="0"/>
              <w:spacing w:line="360" w:lineRule="auto"/>
              <w:ind w:firstLine="480" w:firstLineChars="200"/>
              <w:rPr>
                <w:color w:val="auto"/>
                <w:sz w:val="24"/>
              </w:rPr>
            </w:pPr>
            <w:r>
              <w:rPr>
                <w:color w:val="auto"/>
                <w:sz w:val="24"/>
              </w:rPr>
              <w:t>2、大气环境质量现状</w:t>
            </w:r>
          </w:p>
          <w:p w14:paraId="4D685228">
            <w:pPr>
              <w:adjustRightInd w:val="0"/>
              <w:snapToGrid w:val="0"/>
              <w:spacing w:line="360" w:lineRule="auto"/>
              <w:ind w:firstLine="480" w:firstLineChars="200"/>
              <w:rPr>
                <w:color w:val="auto"/>
                <w:sz w:val="24"/>
              </w:rPr>
            </w:pPr>
            <w:r>
              <w:rPr>
                <w:color w:val="auto"/>
                <w:sz w:val="24"/>
              </w:rPr>
              <w:t>（1）基本污染物</w:t>
            </w:r>
          </w:p>
          <w:p w14:paraId="10BA4C8F">
            <w:pPr>
              <w:adjustRightInd w:val="0"/>
              <w:snapToGrid w:val="0"/>
              <w:spacing w:line="360" w:lineRule="auto"/>
              <w:ind w:firstLine="480" w:firstLineChars="200"/>
              <w:rPr>
                <w:color w:val="auto"/>
                <w:sz w:val="24"/>
              </w:rPr>
            </w:pPr>
            <w:r>
              <w:rPr>
                <w:color w:val="auto"/>
                <w:sz w:val="24"/>
              </w:rPr>
              <w:t>本次评价引用淮南市生态环境局2024年6月3日发布的《2023年淮南市生态环境质量状况公报》资料进行判定。</w:t>
            </w:r>
          </w:p>
          <w:p w14:paraId="62C6325C">
            <w:pPr>
              <w:spacing w:line="400" w:lineRule="exact"/>
              <w:jc w:val="center"/>
              <w:rPr>
                <w:b/>
                <w:bCs/>
                <w:color w:val="auto"/>
                <w:szCs w:val="21"/>
              </w:rPr>
            </w:pPr>
            <w:r>
              <w:rPr>
                <w:b/>
                <w:bCs/>
                <w:color w:val="auto"/>
                <w:szCs w:val="21"/>
              </w:rPr>
              <w:br w:type="textWrapping"/>
            </w:r>
            <w:r>
              <w:rPr>
                <w:b/>
                <w:bCs/>
                <w:color w:val="auto"/>
                <w:szCs w:val="21"/>
              </w:rPr>
              <w:t>表3.1.1-2  基本污染物环境质量现状评价表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120"/>
              <w:gridCol w:w="1161"/>
              <w:gridCol w:w="1161"/>
              <w:gridCol w:w="1069"/>
              <w:gridCol w:w="749"/>
            </w:tblGrid>
            <w:tr w14:paraId="655C0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4" w:type="dxa"/>
                  <w:tcMar>
                    <w:left w:w="0" w:type="dxa"/>
                    <w:right w:w="0" w:type="dxa"/>
                  </w:tcMar>
                  <w:vAlign w:val="center"/>
                </w:tcPr>
                <w:p w14:paraId="636D7E47">
                  <w:pPr>
                    <w:pStyle w:val="82"/>
                    <w:spacing w:line="240" w:lineRule="auto"/>
                    <w:ind w:firstLine="0"/>
                    <w:rPr>
                      <w:b/>
                      <w:bCs/>
                      <w:color w:val="auto"/>
                      <w:szCs w:val="21"/>
                    </w:rPr>
                  </w:pPr>
                  <w:r>
                    <w:rPr>
                      <w:b/>
                      <w:bCs/>
                      <w:color w:val="auto"/>
                      <w:szCs w:val="21"/>
                    </w:rPr>
                    <w:t>污染物</w:t>
                  </w:r>
                </w:p>
              </w:tc>
              <w:tc>
                <w:tcPr>
                  <w:tcW w:w="2833" w:type="dxa"/>
                  <w:tcMar>
                    <w:left w:w="0" w:type="dxa"/>
                    <w:right w:w="0" w:type="dxa"/>
                  </w:tcMar>
                  <w:vAlign w:val="center"/>
                </w:tcPr>
                <w:p w14:paraId="05C14492">
                  <w:pPr>
                    <w:pStyle w:val="82"/>
                    <w:spacing w:line="240" w:lineRule="auto"/>
                    <w:ind w:firstLine="0"/>
                    <w:rPr>
                      <w:b/>
                      <w:bCs/>
                      <w:color w:val="auto"/>
                      <w:szCs w:val="21"/>
                    </w:rPr>
                  </w:pPr>
                  <w:r>
                    <w:rPr>
                      <w:b/>
                      <w:bCs/>
                      <w:color w:val="auto"/>
                      <w:szCs w:val="21"/>
                    </w:rPr>
                    <w:t>年评价指标</w:t>
                  </w:r>
                </w:p>
              </w:tc>
              <w:tc>
                <w:tcPr>
                  <w:tcW w:w="1054" w:type="dxa"/>
                  <w:tcMar>
                    <w:left w:w="0" w:type="dxa"/>
                    <w:right w:w="0" w:type="dxa"/>
                  </w:tcMar>
                  <w:vAlign w:val="center"/>
                </w:tcPr>
                <w:p w14:paraId="51724257">
                  <w:pPr>
                    <w:pStyle w:val="82"/>
                    <w:spacing w:line="240" w:lineRule="auto"/>
                    <w:ind w:firstLine="0"/>
                    <w:rPr>
                      <w:b/>
                      <w:bCs/>
                      <w:color w:val="auto"/>
                      <w:szCs w:val="21"/>
                    </w:rPr>
                  </w:pPr>
                  <w:r>
                    <w:rPr>
                      <w:b/>
                      <w:bCs/>
                      <w:color w:val="auto"/>
                      <w:szCs w:val="21"/>
                    </w:rPr>
                    <w:t>评价标准/μg/m</w:t>
                  </w:r>
                  <w:r>
                    <w:rPr>
                      <w:b/>
                      <w:bCs/>
                      <w:color w:val="auto"/>
                      <w:szCs w:val="21"/>
                      <w:vertAlign w:val="superscript"/>
                    </w:rPr>
                    <w:t>3</w:t>
                  </w:r>
                </w:p>
              </w:tc>
              <w:tc>
                <w:tcPr>
                  <w:tcW w:w="1054" w:type="dxa"/>
                  <w:tcMar>
                    <w:left w:w="0" w:type="dxa"/>
                    <w:right w:w="0" w:type="dxa"/>
                  </w:tcMar>
                  <w:vAlign w:val="center"/>
                </w:tcPr>
                <w:p w14:paraId="5812DD09">
                  <w:pPr>
                    <w:pStyle w:val="82"/>
                    <w:spacing w:line="240" w:lineRule="auto"/>
                    <w:ind w:firstLine="0"/>
                    <w:rPr>
                      <w:b/>
                      <w:bCs/>
                      <w:color w:val="auto"/>
                      <w:szCs w:val="21"/>
                    </w:rPr>
                  </w:pPr>
                  <w:r>
                    <w:rPr>
                      <w:b/>
                      <w:bCs/>
                      <w:color w:val="auto"/>
                      <w:szCs w:val="21"/>
                    </w:rPr>
                    <w:t>现状浓度/μg/m</w:t>
                  </w:r>
                  <w:r>
                    <w:rPr>
                      <w:b/>
                      <w:bCs/>
                      <w:color w:val="auto"/>
                      <w:szCs w:val="21"/>
                      <w:vertAlign w:val="superscript"/>
                    </w:rPr>
                    <w:t>3</w:t>
                  </w:r>
                </w:p>
              </w:tc>
              <w:tc>
                <w:tcPr>
                  <w:tcW w:w="970" w:type="dxa"/>
                  <w:tcMar>
                    <w:left w:w="0" w:type="dxa"/>
                    <w:right w:w="0" w:type="dxa"/>
                  </w:tcMar>
                  <w:vAlign w:val="center"/>
                </w:tcPr>
                <w:p w14:paraId="2D480976">
                  <w:pPr>
                    <w:pStyle w:val="82"/>
                    <w:spacing w:line="240" w:lineRule="auto"/>
                    <w:ind w:firstLine="0"/>
                    <w:rPr>
                      <w:b/>
                      <w:bCs/>
                      <w:color w:val="auto"/>
                      <w:szCs w:val="21"/>
                    </w:rPr>
                  </w:pPr>
                  <w:r>
                    <w:rPr>
                      <w:b/>
                      <w:bCs/>
                      <w:color w:val="auto"/>
                      <w:szCs w:val="21"/>
                    </w:rPr>
                    <w:t>浓度占标率/%</w:t>
                  </w:r>
                </w:p>
              </w:tc>
              <w:tc>
                <w:tcPr>
                  <w:tcW w:w="680" w:type="dxa"/>
                  <w:tcMar>
                    <w:left w:w="0" w:type="dxa"/>
                    <w:right w:w="0" w:type="dxa"/>
                  </w:tcMar>
                  <w:vAlign w:val="center"/>
                </w:tcPr>
                <w:p w14:paraId="6ADDC317">
                  <w:pPr>
                    <w:pStyle w:val="82"/>
                    <w:spacing w:line="240" w:lineRule="auto"/>
                    <w:ind w:firstLine="0"/>
                    <w:rPr>
                      <w:b/>
                      <w:bCs/>
                      <w:color w:val="auto"/>
                      <w:szCs w:val="21"/>
                    </w:rPr>
                  </w:pPr>
                  <w:r>
                    <w:rPr>
                      <w:b/>
                      <w:bCs/>
                      <w:color w:val="auto"/>
                      <w:szCs w:val="21"/>
                    </w:rPr>
                    <w:t>达标情况</w:t>
                  </w:r>
                </w:p>
              </w:tc>
            </w:tr>
            <w:tr w14:paraId="7DB20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4" w:type="dxa"/>
                  <w:tcMar>
                    <w:left w:w="0" w:type="dxa"/>
                    <w:right w:w="0" w:type="dxa"/>
                  </w:tcMar>
                  <w:vAlign w:val="center"/>
                </w:tcPr>
                <w:p w14:paraId="11D01351">
                  <w:pPr>
                    <w:pStyle w:val="82"/>
                    <w:spacing w:line="240" w:lineRule="auto"/>
                    <w:ind w:firstLine="0"/>
                    <w:rPr>
                      <w:color w:val="auto"/>
                      <w:szCs w:val="21"/>
                    </w:rPr>
                  </w:pPr>
                  <w:r>
                    <w:rPr>
                      <w:color w:val="auto"/>
                      <w:szCs w:val="21"/>
                    </w:rPr>
                    <w:t>SO</w:t>
                  </w:r>
                  <w:r>
                    <w:rPr>
                      <w:color w:val="auto"/>
                      <w:szCs w:val="21"/>
                      <w:vertAlign w:val="subscript"/>
                    </w:rPr>
                    <w:t>2</w:t>
                  </w:r>
                </w:p>
              </w:tc>
              <w:tc>
                <w:tcPr>
                  <w:tcW w:w="2833" w:type="dxa"/>
                  <w:tcMar>
                    <w:left w:w="0" w:type="dxa"/>
                    <w:right w:w="0" w:type="dxa"/>
                  </w:tcMar>
                  <w:vAlign w:val="center"/>
                </w:tcPr>
                <w:p w14:paraId="53154AC2">
                  <w:pPr>
                    <w:pStyle w:val="82"/>
                    <w:spacing w:line="240" w:lineRule="auto"/>
                    <w:ind w:firstLine="0"/>
                    <w:rPr>
                      <w:color w:val="auto"/>
                      <w:szCs w:val="21"/>
                    </w:rPr>
                  </w:pPr>
                  <w:r>
                    <w:rPr>
                      <w:color w:val="auto"/>
                      <w:szCs w:val="21"/>
                    </w:rPr>
                    <w:t>年平均质量浓度</w:t>
                  </w:r>
                </w:p>
              </w:tc>
              <w:tc>
                <w:tcPr>
                  <w:tcW w:w="1054" w:type="dxa"/>
                  <w:tcMar>
                    <w:left w:w="0" w:type="dxa"/>
                    <w:right w:w="0" w:type="dxa"/>
                  </w:tcMar>
                  <w:vAlign w:val="center"/>
                </w:tcPr>
                <w:p w14:paraId="7421389A">
                  <w:pPr>
                    <w:pStyle w:val="82"/>
                    <w:spacing w:line="240" w:lineRule="auto"/>
                    <w:ind w:firstLine="0"/>
                    <w:rPr>
                      <w:color w:val="auto"/>
                      <w:szCs w:val="21"/>
                    </w:rPr>
                  </w:pPr>
                  <w:r>
                    <w:rPr>
                      <w:color w:val="auto"/>
                      <w:szCs w:val="21"/>
                    </w:rPr>
                    <w:t>60</w:t>
                  </w:r>
                </w:p>
              </w:tc>
              <w:tc>
                <w:tcPr>
                  <w:tcW w:w="1054" w:type="dxa"/>
                  <w:tcMar>
                    <w:left w:w="0" w:type="dxa"/>
                    <w:right w:w="0" w:type="dxa"/>
                  </w:tcMar>
                  <w:vAlign w:val="center"/>
                </w:tcPr>
                <w:p w14:paraId="4D5FC472">
                  <w:pPr>
                    <w:pStyle w:val="82"/>
                    <w:spacing w:line="240" w:lineRule="auto"/>
                    <w:ind w:firstLine="0"/>
                    <w:rPr>
                      <w:color w:val="auto"/>
                      <w:szCs w:val="21"/>
                    </w:rPr>
                  </w:pPr>
                  <w:r>
                    <w:rPr>
                      <w:color w:val="auto"/>
                      <w:szCs w:val="21"/>
                    </w:rPr>
                    <w:t>8</w:t>
                  </w:r>
                </w:p>
              </w:tc>
              <w:tc>
                <w:tcPr>
                  <w:tcW w:w="970" w:type="dxa"/>
                  <w:tcMar>
                    <w:left w:w="0" w:type="dxa"/>
                    <w:right w:w="0" w:type="dxa"/>
                  </w:tcMar>
                  <w:vAlign w:val="center"/>
                </w:tcPr>
                <w:p w14:paraId="0A766FAD">
                  <w:pPr>
                    <w:pStyle w:val="82"/>
                    <w:spacing w:line="240" w:lineRule="auto"/>
                    <w:ind w:firstLine="0"/>
                    <w:rPr>
                      <w:color w:val="auto"/>
                      <w:szCs w:val="21"/>
                    </w:rPr>
                  </w:pPr>
                  <w:r>
                    <w:rPr>
                      <w:color w:val="auto"/>
                      <w:szCs w:val="21"/>
                    </w:rPr>
                    <w:t xml:space="preserve">13.3 </w:t>
                  </w:r>
                </w:p>
              </w:tc>
              <w:tc>
                <w:tcPr>
                  <w:tcW w:w="680" w:type="dxa"/>
                  <w:tcMar>
                    <w:left w:w="0" w:type="dxa"/>
                    <w:right w:w="0" w:type="dxa"/>
                  </w:tcMar>
                  <w:vAlign w:val="center"/>
                </w:tcPr>
                <w:p w14:paraId="5BE60D68">
                  <w:pPr>
                    <w:pStyle w:val="82"/>
                    <w:spacing w:line="240" w:lineRule="auto"/>
                    <w:ind w:firstLine="0"/>
                    <w:rPr>
                      <w:color w:val="auto"/>
                      <w:szCs w:val="21"/>
                    </w:rPr>
                  </w:pPr>
                  <w:r>
                    <w:rPr>
                      <w:color w:val="auto"/>
                      <w:szCs w:val="21"/>
                    </w:rPr>
                    <w:t>达标</w:t>
                  </w:r>
                </w:p>
              </w:tc>
            </w:tr>
            <w:tr w14:paraId="2C658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dxa"/>
                  <w:tcMar>
                    <w:left w:w="0" w:type="dxa"/>
                    <w:right w:w="0" w:type="dxa"/>
                  </w:tcMar>
                  <w:vAlign w:val="center"/>
                </w:tcPr>
                <w:p w14:paraId="0B6A1DA8">
                  <w:pPr>
                    <w:pStyle w:val="82"/>
                    <w:spacing w:line="240" w:lineRule="auto"/>
                    <w:ind w:firstLine="0"/>
                    <w:rPr>
                      <w:color w:val="auto"/>
                      <w:szCs w:val="21"/>
                    </w:rPr>
                  </w:pPr>
                  <w:r>
                    <w:rPr>
                      <w:color w:val="auto"/>
                      <w:szCs w:val="21"/>
                    </w:rPr>
                    <w:t>NO</w:t>
                  </w:r>
                  <w:r>
                    <w:rPr>
                      <w:color w:val="auto"/>
                      <w:szCs w:val="21"/>
                      <w:vertAlign w:val="subscript"/>
                    </w:rPr>
                    <w:t>2</w:t>
                  </w:r>
                </w:p>
              </w:tc>
              <w:tc>
                <w:tcPr>
                  <w:tcW w:w="2833" w:type="dxa"/>
                  <w:tcMar>
                    <w:left w:w="0" w:type="dxa"/>
                    <w:right w:w="0" w:type="dxa"/>
                  </w:tcMar>
                  <w:vAlign w:val="center"/>
                </w:tcPr>
                <w:p w14:paraId="56757D00">
                  <w:pPr>
                    <w:pStyle w:val="82"/>
                    <w:spacing w:line="240" w:lineRule="auto"/>
                    <w:ind w:firstLine="0"/>
                    <w:rPr>
                      <w:color w:val="auto"/>
                      <w:szCs w:val="21"/>
                    </w:rPr>
                  </w:pPr>
                  <w:r>
                    <w:rPr>
                      <w:color w:val="auto"/>
                      <w:szCs w:val="21"/>
                    </w:rPr>
                    <w:t>年平均质量浓度</w:t>
                  </w:r>
                </w:p>
              </w:tc>
              <w:tc>
                <w:tcPr>
                  <w:tcW w:w="1054" w:type="dxa"/>
                  <w:tcMar>
                    <w:left w:w="0" w:type="dxa"/>
                    <w:right w:w="0" w:type="dxa"/>
                  </w:tcMar>
                  <w:vAlign w:val="center"/>
                </w:tcPr>
                <w:p w14:paraId="28ADCA6F">
                  <w:pPr>
                    <w:pStyle w:val="82"/>
                    <w:spacing w:line="240" w:lineRule="auto"/>
                    <w:ind w:firstLine="0"/>
                    <w:rPr>
                      <w:color w:val="auto"/>
                      <w:szCs w:val="21"/>
                    </w:rPr>
                  </w:pPr>
                  <w:r>
                    <w:rPr>
                      <w:color w:val="auto"/>
                      <w:szCs w:val="21"/>
                    </w:rPr>
                    <w:t>40</w:t>
                  </w:r>
                </w:p>
              </w:tc>
              <w:tc>
                <w:tcPr>
                  <w:tcW w:w="1054" w:type="dxa"/>
                  <w:tcMar>
                    <w:left w:w="0" w:type="dxa"/>
                    <w:right w:w="0" w:type="dxa"/>
                  </w:tcMar>
                  <w:vAlign w:val="center"/>
                </w:tcPr>
                <w:p w14:paraId="7962310F">
                  <w:pPr>
                    <w:pStyle w:val="82"/>
                    <w:spacing w:line="240" w:lineRule="auto"/>
                    <w:ind w:firstLine="0"/>
                    <w:rPr>
                      <w:color w:val="auto"/>
                      <w:szCs w:val="21"/>
                    </w:rPr>
                  </w:pPr>
                  <w:r>
                    <w:rPr>
                      <w:color w:val="auto"/>
                      <w:szCs w:val="21"/>
                    </w:rPr>
                    <w:t>21</w:t>
                  </w:r>
                </w:p>
              </w:tc>
              <w:tc>
                <w:tcPr>
                  <w:tcW w:w="970" w:type="dxa"/>
                  <w:tcMar>
                    <w:left w:w="0" w:type="dxa"/>
                    <w:right w:w="0" w:type="dxa"/>
                  </w:tcMar>
                  <w:vAlign w:val="center"/>
                </w:tcPr>
                <w:p w14:paraId="00111AC4">
                  <w:pPr>
                    <w:pStyle w:val="82"/>
                    <w:spacing w:line="240" w:lineRule="auto"/>
                    <w:ind w:firstLine="0"/>
                    <w:rPr>
                      <w:color w:val="auto"/>
                      <w:szCs w:val="21"/>
                    </w:rPr>
                  </w:pPr>
                  <w:r>
                    <w:rPr>
                      <w:color w:val="auto"/>
                      <w:szCs w:val="21"/>
                    </w:rPr>
                    <w:t xml:space="preserve">52.5 </w:t>
                  </w:r>
                </w:p>
              </w:tc>
              <w:tc>
                <w:tcPr>
                  <w:tcW w:w="680" w:type="dxa"/>
                  <w:tcMar>
                    <w:left w:w="0" w:type="dxa"/>
                    <w:right w:w="0" w:type="dxa"/>
                  </w:tcMar>
                  <w:vAlign w:val="center"/>
                </w:tcPr>
                <w:p w14:paraId="7F6CA0F8">
                  <w:pPr>
                    <w:pStyle w:val="82"/>
                    <w:spacing w:line="240" w:lineRule="auto"/>
                    <w:ind w:firstLine="0"/>
                    <w:rPr>
                      <w:color w:val="auto"/>
                      <w:szCs w:val="21"/>
                    </w:rPr>
                  </w:pPr>
                  <w:r>
                    <w:rPr>
                      <w:color w:val="auto"/>
                      <w:szCs w:val="21"/>
                    </w:rPr>
                    <w:t>达标</w:t>
                  </w:r>
                </w:p>
              </w:tc>
            </w:tr>
            <w:tr w14:paraId="4E846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dxa"/>
                  <w:tcMar>
                    <w:left w:w="0" w:type="dxa"/>
                    <w:right w:w="0" w:type="dxa"/>
                  </w:tcMar>
                  <w:vAlign w:val="center"/>
                </w:tcPr>
                <w:p w14:paraId="1AE72366">
                  <w:pPr>
                    <w:pStyle w:val="82"/>
                    <w:spacing w:line="240" w:lineRule="auto"/>
                    <w:ind w:firstLine="0"/>
                    <w:rPr>
                      <w:color w:val="auto"/>
                      <w:szCs w:val="21"/>
                    </w:rPr>
                  </w:pPr>
                  <w:r>
                    <w:rPr>
                      <w:color w:val="auto"/>
                      <w:szCs w:val="21"/>
                    </w:rPr>
                    <w:t>PM</w:t>
                  </w:r>
                  <w:r>
                    <w:rPr>
                      <w:color w:val="auto"/>
                      <w:szCs w:val="21"/>
                      <w:vertAlign w:val="subscript"/>
                    </w:rPr>
                    <w:t>10</w:t>
                  </w:r>
                </w:p>
              </w:tc>
              <w:tc>
                <w:tcPr>
                  <w:tcW w:w="2833" w:type="dxa"/>
                  <w:tcMar>
                    <w:left w:w="0" w:type="dxa"/>
                    <w:right w:w="0" w:type="dxa"/>
                  </w:tcMar>
                  <w:vAlign w:val="center"/>
                </w:tcPr>
                <w:p w14:paraId="00064AA5">
                  <w:pPr>
                    <w:pStyle w:val="82"/>
                    <w:spacing w:line="240" w:lineRule="auto"/>
                    <w:ind w:firstLine="0"/>
                    <w:rPr>
                      <w:color w:val="auto"/>
                      <w:szCs w:val="21"/>
                    </w:rPr>
                  </w:pPr>
                  <w:r>
                    <w:rPr>
                      <w:color w:val="auto"/>
                      <w:szCs w:val="21"/>
                    </w:rPr>
                    <w:t>年平均质量浓度</w:t>
                  </w:r>
                </w:p>
              </w:tc>
              <w:tc>
                <w:tcPr>
                  <w:tcW w:w="1054" w:type="dxa"/>
                  <w:tcMar>
                    <w:left w:w="0" w:type="dxa"/>
                    <w:right w:w="0" w:type="dxa"/>
                  </w:tcMar>
                  <w:vAlign w:val="center"/>
                </w:tcPr>
                <w:p w14:paraId="34903411">
                  <w:pPr>
                    <w:pStyle w:val="82"/>
                    <w:spacing w:line="240" w:lineRule="auto"/>
                    <w:ind w:firstLine="0"/>
                    <w:rPr>
                      <w:color w:val="auto"/>
                      <w:szCs w:val="21"/>
                    </w:rPr>
                  </w:pPr>
                  <w:r>
                    <w:rPr>
                      <w:color w:val="auto"/>
                      <w:szCs w:val="21"/>
                    </w:rPr>
                    <w:t>70</w:t>
                  </w:r>
                </w:p>
              </w:tc>
              <w:tc>
                <w:tcPr>
                  <w:tcW w:w="1054" w:type="dxa"/>
                  <w:tcMar>
                    <w:left w:w="0" w:type="dxa"/>
                    <w:right w:w="0" w:type="dxa"/>
                  </w:tcMar>
                  <w:vAlign w:val="center"/>
                </w:tcPr>
                <w:p w14:paraId="2925B7A3">
                  <w:pPr>
                    <w:pStyle w:val="82"/>
                    <w:spacing w:line="240" w:lineRule="auto"/>
                    <w:ind w:firstLine="0"/>
                    <w:rPr>
                      <w:color w:val="auto"/>
                      <w:szCs w:val="21"/>
                    </w:rPr>
                  </w:pPr>
                  <w:r>
                    <w:rPr>
                      <w:color w:val="auto"/>
                      <w:szCs w:val="21"/>
                    </w:rPr>
                    <w:t>65.9</w:t>
                  </w:r>
                </w:p>
              </w:tc>
              <w:tc>
                <w:tcPr>
                  <w:tcW w:w="970" w:type="dxa"/>
                  <w:tcMar>
                    <w:left w:w="0" w:type="dxa"/>
                    <w:right w:w="0" w:type="dxa"/>
                  </w:tcMar>
                  <w:vAlign w:val="center"/>
                </w:tcPr>
                <w:p w14:paraId="0824FB79">
                  <w:pPr>
                    <w:pStyle w:val="82"/>
                    <w:spacing w:line="240" w:lineRule="auto"/>
                    <w:ind w:firstLine="0"/>
                    <w:rPr>
                      <w:color w:val="auto"/>
                      <w:szCs w:val="21"/>
                    </w:rPr>
                  </w:pPr>
                  <w:r>
                    <w:rPr>
                      <w:color w:val="auto"/>
                      <w:szCs w:val="21"/>
                    </w:rPr>
                    <w:t xml:space="preserve">94.1 </w:t>
                  </w:r>
                </w:p>
              </w:tc>
              <w:tc>
                <w:tcPr>
                  <w:tcW w:w="680" w:type="dxa"/>
                  <w:tcMar>
                    <w:left w:w="0" w:type="dxa"/>
                    <w:right w:w="0" w:type="dxa"/>
                  </w:tcMar>
                  <w:vAlign w:val="center"/>
                </w:tcPr>
                <w:p w14:paraId="1C8D2091">
                  <w:pPr>
                    <w:pStyle w:val="82"/>
                    <w:spacing w:line="240" w:lineRule="auto"/>
                    <w:ind w:firstLine="0"/>
                    <w:rPr>
                      <w:color w:val="auto"/>
                      <w:szCs w:val="21"/>
                    </w:rPr>
                  </w:pPr>
                  <w:r>
                    <w:rPr>
                      <w:color w:val="auto"/>
                      <w:szCs w:val="21"/>
                    </w:rPr>
                    <w:t>达标</w:t>
                  </w:r>
                </w:p>
              </w:tc>
            </w:tr>
            <w:tr w14:paraId="437EF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dxa"/>
                  <w:tcMar>
                    <w:left w:w="0" w:type="dxa"/>
                    <w:right w:w="0" w:type="dxa"/>
                  </w:tcMar>
                  <w:vAlign w:val="center"/>
                </w:tcPr>
                <w:p w14:paraId="129CAF43">
                  <w:pPr>
                    <w:pStyle w:val="82"/>
                    <w:spacing w:line="240" w:lineRule="auto"/>
                    <w:ind w:firstLine="0"/>
                    <w:rPr>
                      <w:color w:val="auto"/>
                      <w:szCs w:val="21"/>
                    </w:rPr>
                  </w:pPr>
                  <w:r>
                    <w:rPr>
                      <w:color w:val="auto"/>
                      <w:szCs w:val="21"/>
                    </w:rPr>
                    <w:t>PM</w:t>
                  </w:r>
                  <w:r>
                    <w:rPr>
                      <w:color w:val="auto"/>
                      <w:szCs w:val="21"/>
                      <w:vertAlign w:val="subscript"/>
                    </w:rPr>
                    <w:t>2.5</w:t>
                  </w:r>
                </w:p>
              </w:tc>
              <w:tc>
                <w:tcPr>
                  <w:tcW w:w="2833" w:type="dxa"/>
                  <w:tcMar>
                    <w:left w:w="0" w:type="dxa"/>
                    <w:right w:w="0" w:type="dxa"/>
                  </w:tcMar>
                  <w:vAlign w:val="center"/>
                </w:tcPr>
                <w:p w14:paraId="2DD8EE94">
                  <w:pPr>
                    <w:pStyle w:val="82"/>
                    <w:spacing w:line="240" w:lineRule="auto"/>
                    <w:ind w:firstLine="0"/>
                    <w:rPr>
                      <w:color w:val="auto"/>
                      <w:szCs w:val="21"/>
                    </w:rPr>
                  </w:pPr>
                  <w:r>
                    <w:rPr>
                      <w:color w:val="auto"/>
                      <w:szCs w:val="21"/>
                    </w:rPr>
                    <w:t>年平均质量浓度</w:t>
                  </w:r>
                </w:p>
              </w:tc>
              <w:tc>
                <w:tcPr>
                  <w:tcW w:w="1054" w:type="dxa"/>
                  <w:tcMar>
                    <w:left w:w="0" w:type="dxa"/>
                    <w:right w:w="0" w:type="dxa"/>
                  </w:tcMar>
                  <w:vAlign w:val="center"/>
                </w:tcPr>
                <w:p w14:paraId="5BF486FA">
                  <w:pPr>
                    <w:pStyle w:val="82"/>
                    <w:spacing w:line="240" w:lineRule="auto"/>
                    <w:ind w:firstLine="0"/>
                    <w:rPr>
                      <w:color w:val="auto"/>
                      <w:szCs w:val="21"/>
                    </w:rPr>
                  </w:pPr>
                  <w:r>
                    <w:rPr>
                      <w:color w:val="auto"/>
                      <w:szCs w:val="21"/>
                    </w:rPr>
                    <w:t>35</w:t>
                  </w:r>
                </w:p>
              </w:tc>
              <w:tc>
                <w:tcPr>
                  <w:tcW w:w="1054" w:type="dxa"/>
                  <w:tcMar>
                    <w:left w:w="0" w:type="dxa"/>
                    <w:right w:w="0" w:type="dxa"/>
                  </w:tcMar>
                  <w:vAlign w:val="center"/>
                </w:tcPr>
                <w:p w14:paraId="50D4734E">
                  <w:pPr>
                    <w:pStyle w:val="82"/>
                    <w:spacing w:line="240" w:lineRule="auto"/>
                    <w:ind w:firstLine="0"/>
                    <w:rPr>
                      <w:color w:val="auto"/>
                      <w:szCs w:val="21"/>
                    </w:rPr>
                  </w:pPr>
                  <w:r>
                    <w:rPr>
                      <w:color w:val="auto"/>
                      <w:szCs w:val="21"/>
                    </w:rPr>
                    <w:t>38.7</w:t>
                  </w:r>
                </w:p>
              </w:tc>
              <w:tc>
                <w:tcPr>
                  <w:tcW w:w="970" w:type="dxa"/>
                  <w:tcMar>
                    <w:left w:w="0" w:type="dxa"/>
                    <w:right w:w="0" w:type="dxa"/>
                  </w:tcMar>
                  <w:vAlign w:val="center"/>
                </w:tcPr>
                <w:p w14:paraId="6DC0E2A6">
                  <w:pPr>
                    <w:pStyle w:val="82"/>
                    <w:spacing w:line="240" w:lineRule="auto"/>
                    <w:ind w:firstLine="0"/>
                    <w:rPr>
                      <w:color w:val="auto"/>
                      <w:szCs w:val="21"/>
                    </w:rPr>
                  </w:pPr>
                  <w:r>
                    <w:rPr>
                      <w:color w:val="auto"/>
                      <w:szCs w:val="21"/>
                    </w:rPr>
                    <w:t xml:space="preserve">110.6 </w:t>
                  </w:r>
                </w:p>
              </w:tc>
              <w:tc>
                <w:tcPr>
                  <w:tcW w:w="680" w:type="dxa"/>
                  <w:tcMar>
                    <w:left w:w="0" w:type="dxa"/>
                    <w:right w:w="0" w:type="dxa"/>
                  </w:tcMar>
                  <w:vAlign w:val="center"/>
                </w:tcPr>
                <w:p w14:paraId="16BC8D24">
                  <w:pPr>
                    <w:pStyle w:val="82"/>
                    <w:spacing w:line="240" w:lineRule="auto"/>
                    <w:ind w:firstLine="0"/>
                    <w:rPr>
                      <w:color w:val="auto"/>
                      <w:szCs w:val="21"/>
                    </w:rPr>
                  </w:pPr>
                  <w:r>
                    <w:rPr>
                      <w:b/>
                      <w:bCs/>
                      <w:color w:val="auto"/>
                      <w:szCs w:val="21"/>
                    </w:rPr>
                    <w:t>超标</w:t>
                  </w:r>
                </w:p>
              </w:tc>
            </w:tr>
            <w:tr w14:paraId="50F11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dxa"/>
                  <w:tcMar>
                    <w:left w:w="0" w:type="dxa"/>
                    <w:right w:w="0" w:type="dxa"/>
                  </w:tcMar>
                  <w:vAlign w:val="center"/>
                </w:tcPr>
                <w:p w14:paraId="32642FF2">
                  <w:pPr>
                    <w:pStyle w:val="82"/>
                    <w:spacing w:line="240" w:lineRule="auto"/>
                    <w:ind w:firstLine="0"/>
                    <w:rPr>
                      <w:color w:val="auto"/>
                      <w:szCs w:val="21"/>
                    </w:rPr>
                  </w:pPr>
                  <w:r>
                    <w:rPr>
                      <w:color w:val="auto"/>
                      <w:szCs w:val="21"/>
                    </w:rPr>
                    <w:t>CO</w:t>
                  </w:r>
                </w:p>
              </w:tc>
              <w:tc>
                <w:tcPr>
                  <w:tcW w:w="2833" w:type="dxa"/>
                  <w:tcMar>
                    <w:left w:w="0" w:type="dxa"/>
                    <w:right w:w="0" w:type="dxa"/>
                  </w:tcMar>
                  <w:vAlign w:val="center"/>
                </w:tcPr>
                <w:p w14:paraId="5BB0486C">
                  <w:pPr>
                    <w:pStyle w:val="82"/>
                    <w:spacing w:line="240" w:lineRule="auto"/>
                    <w:ind w:firstLine="0"/>
                    <w:rPr>
                      <w:color w:val="auto"/>
                      <w:szCs w:val="21"/>
                    </w:rPr>
                  </w:pPr>
                  <w:r>
                    <w:rPr>
                      <w:color w:val="auto"/>
                      <w:szCs w:val="21"/>
                    </w:rPr>
                    <w:t>保证率日均浓度（第95百分位）</w:t>
                  </w:r>
                </w:p>
              </w:tc>
              <w:tc>
                <w:tcPr>
                  <w:tcW w:w="1054" w:type="dxa"/>
                  <w:tcMar>
                    <w:left w:w="0" w:type="dxa"/>
                    <w:right w:w="0" w:type="dxa"/>
                  </w:tcMar>
                  <w:vAlign w:val="center"/>
                </w:tcPr>
                <w:p w14:paraId="045FAD86">
                  <w:pPr>
                    <w:pStyle w:val="82"/>
                    <w:spacing w:line="240" w:lineRule="auto"/>
                    <w:ind w:firstLine="0"/>
                    <w:rPr>
                      <w:color w:val="auto"/>
                      <w:szCs w:val="21"/>
                    </w:rPr>
                  </w:pPr>
                  <w:r>
                    <w:rPr>
                      <w:color w:val="auto"/>
                      <w:szCs w:val="21"/>
                    </w:rPr>
                    <w:t>4000</w:t>
                  </w:r>
                </w:p>
              </w:tc>
              <w:tc>
                <w:tcPr>
                  <w:tcW w:w="1054" w:type="dxa"/>
                  <w:tcMar>
                    <w:left w:w="0" w:type="dxa"/>
                    <w:right w:w="0" w:type="dxa"/>
                  </w:tcMar>
                  <w:vAlign w:val="center"/>
                </w:tcPr>
                <w:p w14:paraId="74861315">
                  <w:pPr>
                    <w:pStyle w:val="82"/>
                    <w:spacing w:line="240" w:lineRule="auto"/>
                    <w:ind w:firstLine="0"/>
                    <w:rPr>
                      <w:color w:val="auto"/>
                      <w:szCs w:val="21"/>
                    </w:rPr>
                  </w:pPr>
                  <w:r>
                    <w:rPr>
                      <w:color w:val="auto"/>
                      <w:szCs w:val="21"/>
                    </w:rPr>
                    <w:t>700</w:t>
                  </w:r>
                </w:p>
              </w:tc>
              <w:tc>
                <w:tcPr>
                  <w:tcW w:w="970" w:type="dxa"/>
                  <w:tcMar>
                    <w:left w:w="0" w:type="dxa"/>
                    <w:right w:w="0" w:type="dxa"/>
                  </w:tcMar>
                  <w:vAlign w:val="center"/>
                </w:tcPr>
                <w:p w14:paraId="346E8A2F">
                  <w:pPr>
                    <w:pStyle w:val="82"/>
                    <w:spacing w:line="240" w:lineRule="auto"/>
                    <w:ind w:firstLine="0"/>
                    <w:rPr>
                      <w:color w:val="auto"/>
                      <w:szCs w:val="21"/>
                    </w:rPr>
                  </w:pPr>
                  <w:r>
                    <w:rPr>
                      <w:color w:val="auto"/>
                      <w:szCs w:val="21"/>
                    </w:rPr>
                    <w:t xml:space="preserve">17.5 </w:t>
                  </w:r>
                </w:p>
              </w:tc>
              <w:tc>
                <w:tcPr>
                  <w:tcW w:w="680" w:type="dxa"/>
                  <w:tcMar>
                    <w:left w:w="0" w:type="dxa"/>
                    <w:right w:w="0" w:type="dxa"/>
                  </w:tcMar>
                  <w:vAlign w:val="center"/>
                </w:tcPr>
                <w:p w14:paraId="4225728D">
                  <w:pPr>
                    <w:pStyle w:val="82"/>
                    <w:spacing w:line="240" w:lineRule="auto"/>
                    <w:ind w:firstLine="0"/>
                    <w:rPr>
                      <w:color w:val="auto"/>
                      <w:szCs w:val="21"/>
                    </w:rPr>
                  </w:pPr>
                  <w:r>
                    <w:rPr>
                      <w:color w:val="auto"/>
                      <w:szCs w:val="21"/>
                    </w:rPr>
                    <w:t>达标</w:t>
                  </w:r>
                </w:p>
              </w:tc>
            </w:tr>
            <w:tr w14:paraId="042E4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dxa"/>
                  <w:tcMar>
                    <w:left w:w="0" w:type="dxa"/>
                    <w:right w:w="0" w:type="dxa"/>
                  </w:tcMar>
                  <w:vAlign w:val="center"/>
                </w:tcPr>
                <w:p w14:paraId="46265657">
                  <w:pPr>
                    <w:pStyle w:val="82"/>
                    <w:spacing w:line="240" w:lineRule="auto"/>
                    <w:ind w:firstLine="0"/>
                    <w:rPr>
                      <w:color w:val="auto"/>
                      <w:szCs w:val="21"/>
                    </w:rPr>
                  </w:pPr>
                  <w:r>
                    <w:rPr>
                      <w:color w:val="auto"/>
                      <w:szCs w:val="21"/>
                    </w:rPr>
                    <w:t>O</w:t>
                  </w:r>
                  <w:r>
                    <w:rPr>
                      <w:color w:val="auto"/>
                      <w:szCs w:val="21"/>
                      <w:vertAlign w:val="subscript"/>
                    </w:rPr>
                    <w:t>3</w:t>
                  </w:r>
                </w:p>
              </w:tc>
              <w:tc>
                <w:tcPr>
                  <w:tcW w:w="2833" w:type="dxa"/>
                  <w:tcMar>
                    <w:left w:w="0" w:type="dxa"/>
                    <w:right w:w="0" w:type="dxa"/>
                  </w:tcMar>
                  <w:vAlign w:val="center"/>
                </w:tcPr>
                <w:p w14:paraId="409C7A79">
                  <w:pPr>
                    <w:pStyle w:val="82"/>
                    <w:spacing w:line="240" w:lineRule="auto"/>
                    <w:ind w:firstLine="0"/>
                    <w:rPr>
                      <w:color w:val="auto"/>
                      <w:szCs w:val="21"/>
                    </w:rPr>
                  </w:pPr>
                  <w:r>
                    <w:rPr>
                      <w:color w:val="auto"/>
                      <w:szCs w:val="21"/>
                    </w:rPr>
                    <w:t>保证率日均浓度（第90百分位）</w:t>
                  </w:r>
                </w:p>
              </w:tc>
              <w:tc>
                <w:tcPr>
                  <w:tcW w:w="1054" w:type="dxa"/>
                  <w:tcMar>
                    <w:left w:w="0" w:type="dxa"/>
                    <w:right w:w="0" w:type="dxa"/>
                  </w:tcMar>
                  <w:vAlign w:val="center"/>
                </w:tcPr>
                <w:p w14:paraId="0E693F6F">
                  <w:pPr>
                    <w:pStyle w:val="82"/>
                    <w:spacing w:line="240" w:lineRule="auto"/>
                    <w:ind w:firstLine="0"/>
                    <w:rPr>
                      <w:color w:val="auto"/>
                      <w:szCs w:val="21"/>
                    </w:rPr>
                  </w:pPr>
                  <w:r>
                    <w:rPr>
                      <w:color w:val="auto"/>
                      <w:szCs w:val="21"/>
                    </w:rPr>
                    <w:t>160</w:t>
                  </w:r>
                </w:p>
              </w:tc>
              <w:tc>
                <w:tcPr>
                  <w:tcW w:w="1054" w:type="dxa"/>
                  <w:tcMar>
                    <w:left w:w="0" w:type="dxa"/>
                    <w:right w:w="0" w:type="dxa"/>
                  </w:tcMar>
                  <w:vAlign w:val="center"/>
                </w:tcPr>
                <w:p w14:paraId="6EC4EDD7">
                  <w:pPr>
                    <w:pStyle w:val="82"/>
                    <w:spacing w:line="240" w:lineRule="auto"/>
                    <w:ind w:firstLine="0"/>
                    <w:rPr>
                      <w:color w:val="auto"/>
                      <w:szCs w:val="21"/>
                    </w:rPr>
                  </w:pPr>
                  <w:r>
                    <w:rPr>
                      <w:color w:val="auto"/>
                      <w:szCs w:val="21"/>
                    </w:rPr>
                    <w:t>157</w:t>
                  </w:r>
                </w:p>
              </w:tc>
              <w:tc>
                <w:tcPr>
                  <w:tcW w:w="970" w:type="dxa"/>
                  <w:tcMar>
                    <w:left w:w="0" w:type="dxa"/>
                    <w:right w:w="0" w:type="dxa"/>
                  </w:tcMar>
                  <w:vAlign w:val="center"/>
                </w:tcPr>
                <w:p w14:paraId="03BBBFCC">
                  <w:pPr>
                    <w:pStyle w:val="82"/>
                    <w:spacing w:line="240" w:lineRule="auto"/>
                    <w:ind w:firstLine="0"/>
                    <w:rPr>
                      <w:color w:val="auto"/>
                      <w:szCs w:val="21"/>
                    </w:rPr>
                  </w:pPr>
                  <w:r>
                    <w:rPr>
                      <w:color w:val="auto"/>
                      <w:szCs w:val="21"/>
                    </w:rPr>
                    <w:t xml:space="preserve">98.1 </w:t>
                  </w:r>
                </w:p>
              </w:tc>
              <w:tc>
                <w:tcPr>
                  <w:tcW w:w="680" w:type="dxa"/>
                  <w:tcMar>
                    <w:left w:w="0" w:type="dxa"/>
                    <w:right w:w="0" w:type="dxa"/>
                  </w:tcMar>
                  <w:vAlign w:val="center"/>
                </w:tcPr>
                <w:p w14:paraId="45AB6301">
                  <w:pPr>
                    <w:pStyle w:val="82"/>
                    <w:spacing w:line="240" w:lineRule="auto"/>
                    <w:ind w:firstLine="0"/>
                    <w:rPr>
                      <w:color w:val="auto"/>
                      <w:szCs w:val="21"/>
                    </w:rPr>
                  </w:pPr>
                  <w:r>
                    <w:rPr>
                      <w:color w:val="auto"/>
                      <w:szCs w:val="21"/>
                    </w:rPr>
                    <w:t>达标</w:t>
                  </w:r>
                </w:p>
              </w:tc>
            </w:tr>
          </w:tbl>
          <w:p w14:paraId="0F9465F1">
            <w:pPr>
              <w:spacing w:line="360" w:lineRule="auto"/>
              <w:ind w:firstLine="480"/>
              <w:rPr>
                <w:color w:val="auto"/>
                <w:sz w:val="24"/>
              </w:rPr>
            </w:pPr>
            <w:r>
              <w:rPr>
                <w:color w:val="auto"/>
                <w:sz w:val="24"/>
              </w:rPr>
              <w:t>本项目所在区域环境空气达标情况评价指标为SO</w:t>
            </w:r>
            <w:r>
              <w:rPr>
                <w:color w:val="auto"/>
                <w:sz w:val="24"/>
                <w:vertAlign w:val="subscript"/>
              </w:rPr>
              <w:t>2</w:t>
            </w:r>
            <w:r>
              <w:rPr>
                <w:color w:val="auto"/>
                <w:sz w:val="24"/>
              </w:rPr>
              <w:t>、NO</w:t>
            </w:r>
            <w:r>
              <w:rPr>
                <w:color w:val="auto"/>
                <w:sz w:val="24"/>
                <w:vertAlign w:val="subscript"/>
              </w:rPr>
              <w:t>2</w:t>
            </w:r>
            <w:r>
              <w:rPr>
                <w:color w:val="auto"/>
                <w:sz w:val="24"/>
              </w:rPr>
              <w:t>、PM</w:t>
            </w:r>
            <w:r>
              <w:rPr>
                <w:color w:val="auto"/>
                <w:sz w:val="24"/>
                <w:vertAlign w:val="subscript"/>
              </w:rPr>
              <w:t>10</w:t>
            </w:r>
            <w:r>
              <w:rPr>
                <w:color w:val="auto"/>
                <w:sz w:val="24"/>
              </w:rPr>
              <w:t>、PM</w:t>
            </w:r>
            <w:r>
              <w:rPr>
                <w:color w:val="auto"/>
                <w:sz w:val="24"/>
                <w:vertAlign w:val="subscript"/>
              </w:rPr>
              <w:t>2.5</w:t>
            </w:r>
            <w:r>
              <w:rPr>
                <w:color w:val="auto"/>
                <w:sz w:val="24"/>
              </w:rPr>
              <w:t>、CO和O</w:t>
            </w:r>
            <w:r>
              <w:rPr>
                <w:color w:val="auto"/>
                <w:sz w:val="24"/>
                <w:vertAlign w:val="subscript"/>
              </w:rPr>
              <w:t>3</w:t>
            </w:r>
            <w:r>
              <w:rPr>
                <w:color w:val="auto"/>
                <w:sz w:val="24"/>
              </w:rPr>
              <w:t>，六项基本污染物全部达标即为城市环境空气质量达标。基本污染物环境质量现状数据优先采用国家或地方生态环境主管部门发布的评价基准年环境质量公告或环境质量报告中的数据或结论。</w:t>
            </w:r>
          </w:p>
          <w:p w14:paraId="675548FE">
            <w:pPr>
              <w:spacing w:before="60" w:after="60" w:line="360" w:lineRule="auto"/>
              <w:ind w:firstLine="480" w:firstLineChars="200"/>
              <w:rPr>
                <w:color w:val="auto"/>
                <w:sz w:val="24"/>
              </w:rPr>
            </w:pPr>
            <w:r>
              <w:rPr>
                <w:color w:val="auto"/>
                <w:sz w:val="24"/>
              </w:rPr>
              <w:t>淮南市2023年SO</w:t>
            </w:r>
            <w:r>
              <w:rPr>
                <w:color w:val="auto"/>
                <w:sz w:val="24"/>
                <w:vertAlign w:val="subscript"/>
              </w:rPr>
              <w:t>2</w:t>
            </w:r>
            <w:r>
              <w:rPr>
                <w:color w:val="auto"/>
                <w:sz w:val="24"/>
              </w:rPr>
              <w:t>、NO</w:t>
            </w:r>
            <w:r>
              <w:rPr>
                <w:color w:val="auto"/>
                <w:sz w:val="24"/>
                <w:vertAlign w:val="subscript"/>
              </w:rPr>
              <w:t>2</w:t>
            </w:r>
            <w:r>
              <w:rPr>
                <w:color w:val="auto"/>
                <w:sz w:val="24"/>
              </w:rPr>
              <w:t>、PM</w:t>
            </w:r>
            <w:r>
              <w:rPr>
                <w:color w:val="auto"/>
                <w:sz w:val="24"/>
                <w:vertAlign w:val="subscript"/>
              </w:rPr>
              <w:t>10</w:t>
            </w:r>
            <w:r>
              <w:rPr>
                <w:color w:val="auto"/>
                <w:sz w:val="24"/>
              </w:rPr>
              <w:t>年均浓度分别为8μg/m</w:t>
            </w:r>
            <w:r>
              <w:rPr>
                <w:color w:val="auto"/>
                <w:sz w:val="24"/>
                <w:vertAlign w:val="superscript"/>
              </w:rPr>
              <w:t>3</w:t>
            </w:r>
            <w:r>
              <w:rPr>
                <w:color w:val="auto"/>
                <w:sz w:val="24"/>
              </w:rPr>
              <w:t>、21μg/m</w:t>
            </w:r>
            <w:r>
              <w:rPr>
                <w:color w:val="auto"/>
                <w:sz w:val="24"/>
                <w:vertAlign w:val="superscript"/>
              </w:rPr>
              <w:t>3</w:t>
            </w:r>
            <w:r>
              <w:rPr>
                <w:color w:val="auto"/>
                <w:sz w:val="24"/>
              </w:rPr>
              <w:t>、65.9μg/m</w:t>
            </w:r>
            <w:r>
              <w:rPr>
                <w:color w:val="auto"/>
                <w:sz w:val="24"/>
                <w:vertAlign w:val="superscript"/>
              </w:rPr>
              <w:t>3</w:t>
            </w:r>
            <w:r>
              <w:rPr>
                <w:color w:val="auto"/>
                <w:sz w:val="24"/>
              </w:rPr>
              <w:t>、CO24小时平均第95百分位数为700μg/m</w:t>
            </w:r>
            <w:r>
              <w:rPr>
                <w:color w:val="auto"/>
                <w:sz w:val="24"/>
                <w:vertAlign w:val="superscript"/>
              </w:rPr>
              <w:t>3</w:t>
            </w:r>
            <w:r>
              <w:rPr>
                <w:color w:val="auto"/>
                <w:sz w:val="24"/>
              </w:rPr>
              <w:t>，O</w:t>
            </w:r>
            <w:r>
              <w:rPr>
                <w:color w:val="auto"/>
                <w:sz w:val="24"/>
                <w:vertAlign w:val="subscript"/>
              </w:rPr>
              <w:t>3</w:t>
            </w:r>
            <w:r>
              <w:rPr>
                <w:color w:val="auto"/>
                <w:sz w:val="24"/>
              </w:rPr>
              <w:t>日最大8小时平均第90百分位数为157μg/m</w:t>
            </w:r>
            <w:r>
              <w:rPr>
                <w:color w:val="auto"/>
                <w:sz w:val="24"/>
                <w:vertAlign w:val="superscript"/>
              </w:rPr>
              <w:t>3</w:t>
            </w:r>
            <w:r>
              <w:rPr>
                <w:color w:val="auto"/>
                <w:sz w:val="24"/>
              </w:rPr>
              <w:t>，能满足《环境空气质量标准》(GB3095-2012)中二级标准限值要求；PM</w:t>
            </w:r>
            <w:r>
              <w:rPr>
                <w:color w:val="auto"/>
                <w:sz w:val="24"/>
                <w:vertAlign w:val="subscript"/>
              </w:rPr>
              <w:t>2.5</w:t>
            </w:r>
            <w:r>
              <w:rPr>
                <w:color w:val="auto"/>
                <w:sz w:val="24"/>
              </w:rPr>
              <w:t>年均浓度为38.7μg/m</w:t>
            </w:r>
            <w:r>
              <w:rPr>
                <w:color w:val="auto"/>
                <w:sz w:val="24"/>
                <w:vertAlign w:val="superscript"/>
              </w:rPr>
              <w:t>3</w:t>
            </w:r>
            <w:r>
              <w:rPr>
                <w:color w:val="auto"/>
                <w:sz w:val="24"/>
              </w:rPr>
              <w:t>，不能满足《环境空气质量标准》(GB3095-2012)中二级标推限值要求，因此淮南市为不达标区，超标因子为PM</w:t>
            </w:r>
            <w:r>
              <w:rPr>
                <w:color w:val="auto"/>
                <w:sz w:val="24"/>
                <w:vertAlign w:val="subscript"/>
              </w:rPr>
              <w:t>2.5</w:t>
            </w:r>
            <w:r>
              <w:rPr>
                <w:color w:val="auto"/>
                <w:sz w:val="24"/>
              </w:rPr>
              <w:t>。</w:t>
            </w:r>
          </w:p>
          <w:p w14:paraId="25626D65">
            <w:pPr>
              <w:spacing w:line="360" w:lineRule="auto"/>
              <w:ind w:firstLine="480"/>
              <w:rPr>
                <w:color w:val="auto"/>
                <w:sz w:val="24"/>
              </w:rPr>
            </w:pPr>
            <w:r>
              <w:rPr>
                <w:color w:val="auto"/>
                <w:sz w:val="24"/>
              </w:rPr>
              <w:t>根据《淮南市“十四五”生态环境保护规划》，对于区域大气环境治理采取的措施主要有：超低排放等污染治理技术改造；集中供热、燃煤锅炉替代、落后产能升级淘汰等能源结构优化工程；重点行业烟气脱硫脱硝和加油站、油罐车、储油库油气回收与治理工程，有机化工、表面涂装、包装印刷等行业、有机化工和医药化工园区、煤化工基地挥发性有机物综合整治。通过采取以上措施，到2025年，臭氧上升趋势等到遏制，PM</w:t>
            </w:r>
            <w:r>
              <w:rPr>
                <w:color w:val="auto"/>
                <w:sz w:val="24"/>
                <w:vertAlign w:val="subscript"/>
              </w:rPr>
              <w:t>2.5</w:t>
            </w:r>
            <w:r>
              <w:rPr>
                <w:color w:val="auto"/>
                <w:sz w:val="24"/>
              </w:rPr>
              <w:t>浓度持续下降，完成省下达的任务，环境空气质量总体改善。</w:t>
            </w:r>
          </w:p>
          <w:p w14:paraId="0EC0C231">
            <w:pPr>
              <w:pStyle w:val="109"/>
              <w:widowControl/>
              <w:adjustRightInd/>
              <w:snapToGrid/>
              <w:spacing w:line="360" w:lineRule="auto"/>
              <w:ind w:firstLine="480" w:firstLineChars="200"/>
              <w:jc w:val="left"/>
              <w:rPr>
                <w:rFonts w:ascii="Times New Roman" w:hAnsi="Times New Roman" w:eastAsia="宋体" w:cs="Times New Roman"/>
                <w:color w:val="auto"/>
                <w:kern w:val="0"/>
                <w:sz w:val="24"/>
                <w:szCs w:val="24"/>
                <w:highlight w:val="none"/>
                <w:lang w:val="en-US" w:eastAsia="zh-CN" w:bidi="ar-SA"/>
              </w:rPr>
            </w:pPr>
            <w:r>
              <w:rPr>
                <w:rFonts w:ascii="Times New Roman" w:hAnsi="Times New Roman" w:eastAsia="宋体" w:cs="Times New Roman"/>
                <w:color w:val="auto"/>
                <w:kern w:val="0"/>
                <w:sz w:val="24"/>
                <w:szCs w:val="24"/>
                <w:highlight w:val="none"/>
                <w:lang w:val="en-US" w:eastAsia="zh-CN" w:bidi="ar-SA"/>
              </w:rPr>
              <w:t>（2）特征污染物</w:t>
            </w:r>
          </w:p>
          <w:p w14:paraId="1A9B6D07">
            <w:pPr>
              <w:spacing w:line="360" w:lineRule="auto"/>
              <w:ind w:firstLine="480"/>
              <w:rPr>
                <w:rFonts w:hint="default" w:eastAsia="宋体"/>
                <w:color w:val="auto"/>
                <w:kern w:val="0"/>
                <w:sz w:val="24"/>
                <w:highlight w:val="none"/>
                <w:lang w:val="en-US" w:eastAsia="zh-CN"/>
              </w:rPr>
            </w:pPr>
            <w:r>
              <w:rPr>
                <w:rFonts w:ascii="Times New Roman" w:hAnsi="Times New Roman" w:eastAsia="宋体" w:cs="Times New Roman"/>
                <w:color w:val="auto"/>
                <w:kern w:val="0"/>
                <w:sz w:val="24"/>
                <w:szCs w:val="24"/>
                <w:highlight w:val="none"/>
                <w:lang w:val="en-US" w:eastAsia="zh-CN" w:bidi="ar-SA"/>
              </w:rPr>
              <w:t>建设单位委托</w:t>
            </w:r>
            <w:r>
              <w:rPr>
                <w:rFonts w:hint="eastAsia" w:ascii="Times New Roman" w:hAnsi="Times New Roman" w:eastAsia="宋体" w:cs="Times New Roman"/>
                <w:color w:val="auto"/>
                <w:kern w:val="0"/>
                <w:sz w:val="24"/>
                <w:szCs w:val="24"/>
                <w:highlight w:val="none"/>
                <w:lang w:val="en-US" w:eastAsia="zh-CN" w:bidi="ar-SA"/>
              </w:rPr>
              <w:t>江苏国析检测技术有限公司</w:t>
            </w:r>
            <w:r>
              <w:rPr>
                <w:rFonts w:ascii="Times New Roman" w:hAnsi="Times New Roman" w:eastAsia="宋体" w:cs="Times New Roman"/>
                <w:color w:val="auto"/>
                <w:kern w:val="0"/>
                <w:sz w:val="24"/>
                <w:szCs w:val="24"/>
                <w:highlight w:val="none"/>
                <w:lang w:val="en-US" w:eastAsia="zh-CN" w:bidi="ar-SA"/>
              </w:rPr>
              <w:t>对本项目环境空气质量（</w:t>
            </w:r>
            <w:r>
              <w:rPr>
                <w:rFonts w:hint="eastAsia" w:ascii="Times New Roman" w:hAnsi="Times New Roman" w:eastAsia="宋体" w:cs="Times New Roman"/>
                <w:color w:val="auto"/>
                <w:kern w:val="0"/>
                <w:sz w:val="24"/>
                <w:szCs w:val="24"/>
                <w:highlight w:val="none"/>
                <w:lang w:val="en-US" w:eastAsia="zh-CN" w:bidi="ar-SA"/>
              </w:rPr>
              <w:t>氟化物</w:t>
            </w:r>
            <w:r>
              <w:rPr>
                <w:rFonts w:ascii="Times New Roman" w:hAnsi="Times New Roman" w:eastAsia="宋体" w:cs="Times New Roman"/>
                <w:color w:val="auto"/>
                <w:kern w:val="0"/>
                <w:sz w:val="24"/>
                <w:szCs w:val="24"/>
                <w:highlight w:val="none"/>
                <w:lang w:val="en-US" w:eastAsia="zh-CN" w:bidi="ar-SA"/>
              </w:rPr>
              <w:t>）现状进行监测，监测时间为202</w:t>
            </w:r>
            <w:r>
              <w:rPr>
                <w:rFonts w:hint="eastAsia" w:ascii="Times New Roman" w:hAnsi="Times New Roman" w:eastAsia="宋体" w:cs="Times New Roman"/>
                <w:color w:val="auto"/>
                <w:kern w:val="0"/>
                <w:sz w:val="24"/>
                <w:szCs w:val="24"/>
                <w:highlight w:val="none"/>
                <w:lang w:val="en-US" w:eastAsia="zh-CN" w:bidi="ar-SA"/>
              </w:rPr>
              <w:t>5</w:t>
            </w:r>
            <w:r>
              <w:rPr>
                <w:rFonts w:ascii="Times New Roman" w:hAnsi="Times New Roman" w:eastAsia="宋体" w:cs="Times New Roman"/>
                <w:color w:val="auto"/>
                <w:kern w:val="0"/>
                <w:sz w:val="24"/>
                <w:szCs w:val="24"/>
                <w:highlight w:val="none"/>
                <w:lang w:val="en-US" w:eastAsia="zh-CN" w:bidi="ar-SA"/>
              </w:rPr>
              <w:t>年</w:t>
            </w:r>
            <w:r>
              <w:rPr>
                <w:rFonts w:hint="eastAsia" w:ascii="Times New Roman" w:hAnsi="Times New Roman" w:eastAsia="宋体" w:cs="Times New Roman"/>
                <w:color w:val="auto"/>
                <w:kern w:val="0"/>
                <w:sz w:val="24"/>
                <w:szCs w:val="24"/>
                <w:highlight w:val="none"/>
                <w:lang w:val="en-US" w:eastAsia="zh-CN" w:bidi="ar-SA"/>
              </w:rPr>
              <w:t>2</w:t>
            </w:r>
            <w:r>
              <w:rPr>
                <w:rFonts w:ascii="Times New Roman" w:hAnsi="Times New Roman" w:eastAsia="宋体" w:cs="Times New Roman"/>
                <w:color w:val="auto"/>
                <w:kern w:val="0"/>
                <w:sz w:val="24"/>
                <w:szCs w:val="24"/>
                <w:highlight w:val="none"/>
                <w:lang w:val="en-US" w:eastAsia="zh-CN" w:bidi="ar-SA"/>
              </w:rPr>
              <w:t>月</w:t>
            </w:r>
            <w:r>
              <w:rPr>
                <w:rFonts w:hint="eastAsia" w:ascii="Times New Roman" w:hAnsi="Times New Roman" w:eastAsia="宋体" w:cs="Times New Roman"/>
                <w:color w:val="auto"/>
                <w:kern w:val="0"/>
                <w:sz w:val="24"/>
                <w:szCs w:val="24"/>
                <w:highlight w:val="none"/>
                <w:lang w:val="en-US" w:eastAsia="zh-CN" w:bidi="ar-SA"/>
              </w:rPr>
              <w:t>25</w:t>
            </w:r>
            <w:r>
              <w:rPr>
                <w:rFonts w:ascii="Times New Roman" w:hAnsi="Times New Roman" w:eastAsia="宋体" w:cs="Times New Roman"/>
                <w:color w:val="auto"/>
                <w:kern w:val="0"/>
                <w:sz w:val="24"/>
                <w:szCs w:val="24"/>
                <w:highlight w:val="none"/>
                <w:lang w:val="en-US" w:eastAsia="zh-CN" w:bidi="ar-SA"/>
              </w:rPr>
              <w:t>日至202</w:t>
            </w:r>
            <w:r>
              <w:rPr>
                <w:rFonts w:hint="eastAsia" w:ascii="Times New Roman" w:hAnsi="Times New Roman" w:eastAsia="宋体" w:cs="Times New Roman"/>
                <w:color w:val="auto"/>
                <w:kern w:val="0"/>
                <w:sz w:val="24"/>
                <w:szCs w:val="24"/>
                <w:highlight w:val="none"/>
                <w:lang w:val="en-US" w:eastAsia="zh-CN" w:bidi="ar-SA"/>
              </w:rPr>
              <w:t>5</w:t>
            </w:r>
            <w:r>
              <w:rPr>
                <w:rFonts w:ascii="Times New Roman" w:hAnsi="Times New Roman" w:eastAsia="宋体" w:cs="Times New Roman"/>
                <w:color w:val="auto"/>
                <w:kern w:val="0"/>
                <w:sz w:val="24"/>
                <w:szCs w:val="24"/>
                <w:highlight w:val="none"/>
                <w:lang w:val="en-US" w:eastAsia="zh-CN" w:bidi="ar-SA"/>
              </w:rPr>
              <w:t>年</w:t>
            </w:r>
            <w:r>
              <w:rPr>
                <w:rFonts w:hint="eastAsia" w:ascii="Times New Roman" w:hAnsi="Times New Roman" w:eastAsia="宋体" w:cs="Times New Roman"/>
                <w:color w:val="auto"/>
                <w:kern w:val="0"/>
                <w:sz w:val="24"/>
                <w:szCs w:val="24"/>
                <w:highlight w:val="none"/>
                <w:lang w:val="en-US" w:eastAsia="zh-CN" w:bidi="ar-SA"/>
              </w:rPr>
              <w:t>2</w:t>
            </w:r>
            <w:r>
              <w:rPr>
                <w:rFonts w:ascii="Times New Roman" w:hAnsi="Times New Roman" w:eastAsia="宋体" w:cs="Times New Roman"/>
                <w:color w:val="auto"/>
                <w:kern w:val="0"/>
                <w:sz w:val="24"/>
                <w:szCs w:val="24"/>
                <w:highlight w:val="none"/>
                <w:lang w:val="en-US" w:eastAsia="zh-CN" w:bidi="ar-SA"/>
              </w:rPr>
              <w:t>月</w:t>
            </w:r>
            <w:r>
              <w:rPr>
                <w:rFonts w:hint="eastAsia" w:ascii="Times New Roman" w:hAnsi="Times New Roman" w:eastAsia="宋体" w:cs="Times New Roman"/>
                <w:color w:val="auto"/>
                <w:kern w:val="0"/>
                <w:sz w:val="24"/>
                <w:szCs w:val="24"/>
                <w:highlight w:val="none"/>
                <w:lang w:val="en-US" w:eastAsia="zh-CN" w:bidi="ar-SA"/>
              </w:rPr>
              <w:t>27</w:t>
            </w:r>
            <w:r>
              <w:rPr>
                <w:rFonts w:ascii="Times New Roman" w:hAnsi="Times New Roman" w:eastAsia="宋体" w:cs="Times New Roman"/>
                <w:color w:val="auto"/>
                <w:kern w:val="0"/>
                <w:sz w:val="24"/>
                <w:szCs w:val="24"/>
                <w:highlight w:val="none"/>
                <w:lang w:val="en-US" w:eastAsia="zh-CN" w:bidi="ar-SA"/>
              </w:rPr>
              <w:t>日</w:t>
            </w:r>
            <w:r>
              <w:rPr>
                <w:rFonts w:hint="eastAsia" w:ascii="Times New Roman" w:hAnsi="Times New Roman" w:eastAsia="宋体" w:cs="Times New Roman"/>
                <w:color w:val="auto"/>
                <w:kern w:val="0"/>
                <w:sz w:val="24"/>
                <w:szCs w:val="24"/>
                <w:highlight w:val="none"/>
                <w:lang w:val="en-US" w:eastAsia="zh-CN" w:bidi="ar-SA"/>
              </w:rPr>
              <w:t>、</w:t>
            </w:r>
            <w:r>
              <w:rPr>
                <w:rFonts w:ascii="Times New Roman" w:hAnsi="Times New Roman" w:eastAsia="宋体" w:cs="Times New Roman"/>
                <w:color w:val="auto"/>
                <w:kern w:val="0"/>
                <w:sz w:val="24"/>
                <w:szCs w:val="24"/>
                <w:highlight w:val="none"/>
                <w:lang w:val="en-US" w:eastAsia="zh-CN" w:bidi="ar-SA"/>
              </w:rPr>
              <w:t>202</w:t>
            </w:r>
            <w:r>
              <w:rPr>
                <w:rFonts w:hint="eastAsia" w:ascii="Times New Roman" w:hAnsi="Times New Roman" w:eastAsia="宋体" w:cs="Times New Roman"/>
                <w:color w:val="auto"/>
                <w:kern w:val="0"/>
                <w:sz w:val="24"/>
                <w:szCs w:val="24"/>
                <w:highlight w:val="none"/>
                <w:lang w:val="en-US" w:eastAsia="zh-CN" w:bidi="ar-SA"/>
              </w:rPr>
              <w:t>5</w:t>
            </w:r>
            <w:r>
              <w:rPr>
                <w:rFonts w:ascii="Times New Roman" w:hAnsi="Times New Roman" w:eastAsia="宋体" w:cs="Times New Roman"/>
                <w:color w:val="auto"/>
                <w:kern w:val="0"/>
                <w:sz w:val="24"/>
                <w:szCs w:val="24"/>
                <w:highlight w:val="none"/>
                <w:lang w:val="en-US" w:eastAsia="zh-CN" w:bidi="ar-SA"/>
              </w:rPr>
              <w:t>年</w:t>
            </w:r>
            <w:r>
              <w:rPr>
                <w:rFonts w:hint="eastAsia" w:ascii="Times New Roman" w:hAnsi="Times New Roman" w:eastAsia="宋体" w:cs="Times New Roman"/>
                <w:color w:val="auto"/>
                <w:kern w:val="0"/>
                <w:sz w:val="24"/>
                <w:szCs w:val="24"/>
                <w:highlight w:val="none"/>
                <w:lang w:val="en-US" w:eastAsia="zh-CN" w:bidi="ar-SA"/>
              </w:rPr>
              <w:t>3</w:t>
            </w:r>
            <w:r>
              <w:rPr>
                <w:rFonts w:ascii="Times New Roman" w:hAnsi="Times New Roman" w:eastAsia="宋体" w:cs="Times New Roman"/>
                <w:color w:val="auto"/>
                <w:kern w:val="0"/>
                <w:sz w:val="24"/>
                <w:szCs w:val="24"/>
                <w:highlight w:val="none"/>
                <w:lang w:val="en-US" w:eastAsia="zh-CN" w:bidi="ar-SA"/>
              </w:rPr>
              <w:t>月</w:t>
            </w:r>
            <w:r>
              <w:rPr>
                <w:rFonts w:hint="eastAsia" w:ascii="Times New Roman" w:hAnsi="Times New Roman" w:eastAsia="宋体" w:cs="Times New Roman"/>
                <w:color w:val="auto"/>
                <w:kern w:val="0"/>
                <w:sz w:val="24"/>
                <w:szCs w:val="24"/>
                <w:highlight w:val="none"/>
                <w:lang w:val="en-US" w:eastAsia="zh-CN" w:bidi="ar-SA"/>
              </w:rPr>
              <w:t>28</w:t>
            </w:r>
            <w:r>
              <w:rPr>
                <w:rFonts w:ascii="Times New Roman" w:hAnsi="Times New Roman" w:eastAsia="宋体" w:cs="Times New Roman"/>
                <w:color w:val="auto"/>
                <w:kern w:val="0"/>
                <w:sz w:val="24"/>
                <w:szCs w:val="24"/>
                <w:highlight w:val="none"/>
                <w:lang w:val="en-US" w:eastAsia="zh-CN" w:bidi="ar-SA"/>
              </w:rPr>
              <w:t>日至202</w:t>
            </w:r>
            <w:r>
              <w:rPr>
                <w:rFonts w:hint="eastAsia" w:ascii="Times New Roman" w:hAnsi="Times New Roman" w:eastAsia="宋体" w:cs="Times New Roman"/>
                <w:color w:val="auto"/>
                <w:kern w:val="0"/>
                <w:sz w:val="24"/>
                <w:szCs w:val="24"/>
                <w:highlight w:val="none"/>
                <w:lang w:val="en-US" w:eastAsia="zh-CN" w:bidi="ar-SA"/>
              </w:rPr>
              <w:t>5</w:t>
            </w:r>
            <w:r>
              <w:rPr>
                <w:rFonts w:ascii="Times New Roman" w:hAnsi="Times New Roman" w:eastAsia="宋体" w:cs="Times New Roman"/>
                <w:color w:val="auto"/>
                <w:kern w:val="0"/>
                <w:sz w:val="24"/>
                <w:szCs w:val="24"/>
                <w:highlight w:val="none"/>
                <w:lang w:val="en-US" w:eastAsia="zh-CN" w:bidi="ar-SA"/>
              </w:rPr>
              <w:t>年</w:t>
            </w:r>
            <w:r>
              <w:rPr>
                <w:rFonts w:hint="eastAsia" w:ascii="Times New Roman" w:hAnsi="Times New Roman" w:eastAsia="宋体" w:cs="Times New Roman"/>
                <w:color w:val="auto"/>
                <w:kern w:val="0"/>
                <w:sz w:val="24"/>
                <w:szCs w:val="24"/>
                <w:highlight w:val="none"/>
                <w:lang w:val="en-US" w:eastAsia="zh-CN" w:bidi="ar-SA"/>
              </w:rPr>
              <w:t>3</w:t>
            </w:r>
            <w:r>
              <w:rPr>
                <w:rFonts w:ascii="Times New Roman" w:hAnsi="Times New Roman" w:eastAsia="宋体" w:cs="Times New Roman"/>
                <w:color w:val="auto"/>
                <w:kern w:val="0"/>
                <w:sz w:val="24"/>
                <w:szCs w:val="24"/>
                <w:highlight w:val="none"/>
                <w:lang w:val="en-US" w:eastAsia="zh-CN" w:bidi="ar-SA"/>
              </w:rPr>
              <w:t>月</w:t>
            </w:r>
            <w:r>
              <w:rPr>
                <w:rFonts w:hint="eastAsia" w:ascii="Times New Roman" w:hAnsi="Times New Roman" w:eastAsia="宋体" w:cs="Times New Roman"/>
                <w:color w:val="auto"/>
                <w:kern w:val="0"/>
                <w:sz w:val="24"/>
                <w:szCs w:val="24"/>
                <w:highlight w:val="none"/>
                <w:lang w:val="en-US" w:eastAsia="zh-CN" w:bidi="ar-SA"/>
              </w:rPr>
              <w:t>30</w:t>
            </w:r>
            <w:r>
              <w:rPr>
                <w:rFonts w:ascii="Times New Roman" w:hAnsi="Times New Roman" w:eastAsia="宋体" w:cs="Times New Roman"/>
                <w:color w:val="auto"/>
                <w:kern w:val="0"/>
                <w:sz w:val="24"/>
                <w:szCs w:val="24"/>
                <w:highlight w:val="none"/>
                <w:lang w:val="en-US" w:eastAsia="zh-CN" w:bidi="ar-SA"/>
              </w:rPr>
              <w:t>日，监测点位位于项目所在地，其余空气质量因子</w:t>
            </w:r>
            <w:r>
              <w:rPr>
                <w:rFonts w:hint="eastAsia" w:ascii="Times New Roman" w:hAnsi="Times New Roman" w:eastAsia="宋体" w:cs="Times New Roman"/>
                <w:color w:val="auto"/>
                <w:kern w:val="0"/>
                <w:sz w:val="24"/>
                <w:szCs w:val="24"/>
                <w:highlight w:val="none"/>
                <w:lang w:val="en-US" w:eastAsia="zh-CN" w:bidi="ar-SA"/>
              </w:rPr>
              <w:t>引用“淮南经济技术开发区跟踪评价大气环境质量监测项目</w:t>
            </w:r>
            <w:r>
              <w:rPr>
                <w:rFonts w:hint="eastAsia"/>
                <w:color w:val="auto"/>
                <w:kern w:val="0"/>
                <w:sz w:val="24"/>
                <w:highlight w:val="none"/>
                <w:lang w:val="en-US" w:eastAsia="zh-CN"/>
              </w:rPr>
              <w:t>”（安澳检[2024](11042)号）</w:t>
            </w:r>
            <w:r>
              <w:rPr>
                <w:color w:val="auto"/>
                <w:kern w:val="0"/>
                <w:sz w:val="24"/>
                <w:highlight w:val="none"/>
              </w:rPr>
              <w:t>中相关数据</w:t>
            </w:r>
            <w:r>
              <w:rPr>
                <w:rFonts w:hint="eastAsia"/>
                <w:color w:val="auto"/>
                <w:kern w:val="0"/>
                <w:sz w:val="24"/>
                <w:highlight w:val="none"/>
                <w:lang w:val="en-US" w:eastAsia="zh-CN"/>
              </w:rPr>
              <w:t>进行说明，</w:t>
            </w:r>
            <w:r>
              <w:rPr>
                <w:rFonts w:ascii="Times New Roman" w:hAnsi="Times New Roman" w:eastAsia="宋体" w:cs="Times New Roman"/>
                <w:color w:val="auto"/>
                <w:kern w:val="0"/>
                <w:sz w:val="24"/>
                <w:szCs w:val="24"/>
                <w:highlight w:val="none"/>
                <w:lang w:val="en-US" w:eastAsia="zh-CN" w:bidi="ar-SA"/>
              </w:rPr>
              <w:t>监</w:t>
            </w:r>
            <w:r>
              <w:rPr>
                <w:rFonts w:hint="eastAsia"/>
                <w:color w:val="auto"/>
                <w:kern w:val="0"/>
                <w:sz w:val="24"/>
                <w:highlight w:val="none"/>
                <w:lang w:val="en-US" w:eastAsia="zh-CN"/>
              </w:rPr>
              <w:t>测时间为2024年10月17日至2024年11月1日。</w:t>
            </w:r>
          </w:p>
          <w:p w14:paraId="01375A7B">
            <w:pPr>
              <w:spacing w:line="360" w:lineRule="auto"/>
              <w:ind w:firstLine="482"/>
              <w:rPr>
                <w:b/>
                <w:color w:val="auto"/>
                <w:sz w:val="24"/>
                <w:highlight w:val="none"/>
              </w:rPr>
            </w:pPr>
            <w:r>
              <w:rPr>
                <w:b/>
                <w:color w:val="auto"/>
                <w:sz w:val="24"/>
                <w:highlight w:val="none"/>
              </w:rPr>
              <w:t>（1）监测布点</w:t>
            </w:r>
          </w:p>
          <w:p w14:paraId="64F632F1">
            <w:pPr>
              <w:spacing w:line="360" w:lineRule="auto"/>
              <w:ind w:firstLine="480"/>
              <w:rPr>
                <w:color w:val="auto"/>
                <w:highlight w:val="none"/>
              </w:rPr>
            </w:pPr>
            <w:r>
              <w:rPr>
                <w:color w:val="auto"/>
                <w:sz w:val="24"/>
                <w:highlight w:val="none"/>
              </w:rPr>
              <w:t>综合考虑本地区风频特征、重点保护目标位置、本地区近年来开展的环境监测工作以及本项目废气污染物产生的种类和特征，本次大气环境监测点具体点位见附图</w:t>
            </w:r>
            <w:r>
              <w:rPr>
                <w:rFonts w:hint="eastAsia"/>
                <w:color w:val="auto"/>
                <w:sz w:val="24"/>
                <w:highlight w:val="none"/>
              </w:rPr>
              <w:t>3</w:t>
            </w:r>
            <w:r>
              <w:rPr>
                <w:color w:val="auto"/>
                <w:sz w:val="24"/>
                <w:highlight w:val="none"/>
              </w:rPr>
              <w:t>，详情见表3.1.1-3。</w:t>
            </w:r>
          </w:p>
          <w:p w14:paraId="0105E854">
            <w:pPr>
              <w:spacing w:line="400" w:lineRule="exact"/>
              <w:jc w:val="center"/>
              <w:rPr>
                <w:b/>
                <w:bCs/>
                <w:color w:val="auto"/>
                <w:szCs w:val="21"/>
                <w:highlight w:val="none"/>
              </w:rPr>
            </w:pPr>
            <w:r>
              <w:rPr>
                <w:b/>
                <w:bCs/>
                <w:color w:val="auto"/>
                <w:szCs w:val="21"/>
                <w:highlight w:val="none"/>
              </w:rPr>
              <w:t>表3.1.1-3  大气环境质量监测布点与监测因子</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2"/>
              <w:gridCol w:w="1692"/>
              <w:gridCol w:w="584"/>
              <w:gridCol w:w="1876"/>
              <w:gridCol w:w="1988"/>
              <w:gridCol w:w="1246"/>
            </w:tblGrid>
            <w:tr w14:paraId="7310A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82" w:type="dxa"/>
                  <w:tcMar>
                    <w:left w:w="28" w:type="dxa"/>
                    <w:right w:w="28" w:type="dxa"/>
                  </w:tcMar>
                  <w:vAlign w:val="center"/>
                </w:tcPr>
                <w:p w14:paraId="5D7F7B84">
                  <w:pPr>
                    <w:widowControl/>
                    <w:jc w:val="center"/>
                    <w:rPr>
                      <w:b/>
                      <w:bCs/>
                      <w:color w:val="auto"/>
                      <w:szCs w:val="21"/>
                      <w:highlight w:val="none"/>
                    </w:rPr>
                  </w:pPr>
                  <w:r>
                    <w:rPr>
                      <w:b/>
                      <w:bCs/>
                      <w:color w:val="auto"/>
                      <w:szCs w:val="21"/>
                      <w:highlight w:val="none"/>
                    </w:rPr>
                    <w:t>编号</w:t>
                  </w:r>
                </w:p>
              </w:tc>
              <w:tc>
                <w:tcPr>
                  <w:tcW w:w="1692" w:type="dxa"/>
                  <w:tcMar>
                    <w:left w:w="28" w:type="dxa"/>
                    <w:right w:w="28" w:type="dxa"/>
                  </w:tcMar>
                  <w:vAlign w:val="center"/>
                </w:tcPr>
                <w:p w14:paraId="1E00BE9F">
                  <w:pPr>
                    <w:widowControl/>
                    <w:jc w:val="center"/>
                    <w:rPr>
                      <w:b/>
                      <w:bCs/>
                      <w:color w:val="auto"/>
                      <w:szCs w:val="21"/>
                      <w:highlight w:val="none"/>
                    </w:rPr>
                  </w:pPr>
                  <w:r>
                    <w:rPr>
                      <w:b/>
                      <w:bCs/>
                      <w:color w:val="auto"/>
                      <w:szCs w:val="21"/>
                      <w:highlight w:val="none"/>
                    </w:rPr>
                    <w:t>名称</w:t>
                  </w:r>
                </w:p>
              </w:tc>
              <w:tc>
                <w:tcPr>
                  <w:tcW w:w="584" w:type="dxa"/>
                  <w:tcMar>
                    <w:left w:w="28" w:type="dxa"/>
                    <w:right w:w="28" w:type="dxa"/>
                  </w:tcMar>
                  <w:vAlign w:val="center"/>
                </w:tcPr>
                <w:p w14:paraId="41BD219A">
                  <w:pPr>
                    <w:widowControl/>
                    <w:jc w:val="center"/>
                    <w:rPr>
                      <w:b/>
                      <w:bCs/>
                      <w:color w:val="auto"/>
                      <w:szCs w:val="21"/>
                      <w:highlight w:val="none"/>
                    </w:rPr>
                  </w:pPr>
                  <w:r>
                    <w:rPr>
                      <w:b/>
                      <w:bCs/>
                      <w:color w:val="auto"/>
                      <w:szCs w:val="21"/>
                      <w:highlight w:val="none"/>
                    </w:rPr>
                    <w:t>方位</w:t>
                  </w:r>
                </w:p>
              </w:tc>
              <w:tc>
                <w:tcPr>
                  <w:tcW w:w="1876" w:type="dxa"/>
                  <w:tcMar>
                    <w:left w:w="28" w:type="dxa"/>
                    <w:right w:w="28" w:type="dxa"/>
                  </w:tcMar>
                  <w:vAlign w:val="center"/>
                </w:tcPr>
                <w:p w14:paraId="19BAFAD2">
                  <w:pPr>
                    <w:widowControl/>
                    <w:jc w:val="center"/>
                    <w:rPr>
                      <w:b/>
                      <w:bCs/>
                      <w:color w:val="auto"/>
                      <w:szCs w:val="21"/>
                      <w:highlight w:val="none"/>
                    </w:rPr>
                  </w:pPr>
                  <w:r>
                    <w:rPr>
                      <w:b/>
                      <w:bCs/>
                      <w:color w:val="auto"/>
                      <w:szCs w:val="21"/>
                      <w:highlight w:val="none"/>
                    </w:rPr>
                    <w:t>距离本项目距（m）</w:t>
                  </w:r>
                </w:p>
              </w:tc>
              <w:tc>
                <w:tcPr>
                  <w:tcW w:w="1988" w:type="dxa"/>
                  <w:tcMar>
                    <w:left w:w="28" w:type="dxa"/>
                    <w:right w:w="28" w:type="dxa"/>
                  </w:tcMar>
                  <w:vAlign w:val="center"/>
                </w:tcPr>
                <w:p w14:paraId="38C37747">
                  <w:pPr>
                    <w:widowControl/>
                    <w:jc w:val="center"/>
                    <w:rPr>
                      <w:b/>
                      <w:bCs/>
                      <w:color w:val="auto"/>
                      <w:szCs w:val="21"/>
                      <w:highlight w:val="none"/>
                    </w:rPr>
                  </w:pPr>
                  <w:r>
                    <w:rPr>
                      <w:b/>
                      <w:bCs/>
                      <w:color w:val="auto"/>
                      <w:szCs w:val="21"/>
                      <w:highlight w:val="none"/>
                    </w:rPr>
                    <w:t>监测因子</w:t>
                  </w:r>
                </w:p>
              </w:tc>
              <w:tc>
                <w:tcPr>
                  <w:tcW w:w="1246" w:type="dxa"/>
                  <w:tcMar>
                    <w:left w:w="28" w:type="dxa"/>
                    <w:right w:w="28" w:type="dxa"/>
                  </w:tcMar>
                  <w:vAlign w:val="center"/>
                </w:tcPr>
                <w:p w14:paraId="247CE5A5">
                  <w:pPr>
                    <w:widowControl/>
                    <w:jc w:val="center"/>
                    <w:rPr>
                      <w:b/>
                      <w:bCs/>
                      <w:color w:val="auto"/>
                      <w:szCs w:val="21"/>
                      <w:highlight w:val="none"/>
                    </w:rPr>
                  </w:pPr>
                  <w:r>
                    <w:rPr>
                      <w:b/>
                      <w:bCs/>
                      <w:color w:val="auto"/>
                      <w:szCs w:val="21"/>
                      <w:highlight w:val="none"/>
                    </w:rPr>
                    <w:t>备注</w:t>
                  </w:r>
                </w:p>
              </w:tc>
            </w:tr>
            <w:tr w14:paraId="493B5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82" w:type="dxa"/>
                  <w:vMerge w:val="restart"/>
                  <w:tcMar>
                    <w:left w:w="28" w:type="dxa"/>
                    <w:right w:w="28" w:type="dxa"/>
                  </w:tcMar>
                  <w:vAlign w:val="center"/>
                </w:tcPr>
                <w:p w14:paraId="54356989">
                  <w:pPr>
                    <w:widowControl/>
                    <w:jc w:val="center"/>
                    <w:rPr>
                      <w:color w:val="auto"/>
                      <w:szCs w:val="21"/>
                      <w:highlight w:val="none"/>
                    </w:rPr>
                  </w:pPr>
                  <w:r>
                    <w:rPr>
                      <w:bCs/>
                      <w:color w:val="auto"/>
                      <w:szCs w:val="21"/>
                      <w:highlight w:val="none"/>
                    </w:rPr>
                    <w:t>G</w:t>
                  </w:r>
                  <w:r>
                    <w:rPr>
                      <w:bCs/>
                      <w:color w:val="auto"/>
                      <w:szCs w:val="21"/>
                      <w:highlight w:val="none"/>
                      <w:vertAlign w:val="subscript"/>
                    </w:rPr>
                    <w:t>1</w:t>
                  </w:r>
                </w:p>
              </w:tc>
              <w:tc>
                <w:tcPr>
                  <w:tcW w:w="1692" w:type="dxa"/>
                  <w:vMerge w:val="restart"/>
                  <w:shd w:val="clear" w:color="auto" w:fill="auto"/>
                  <w:tcMar>
                    <w:left w:w="28" w:type="dxa"/>
                    <w:right w:w="28" w:type="dxa"/>
                  </w:tcMar>
                  <w:vAlign w:val="center"/>
                </w:tcPr>
                <w:p w14:paraId="16BBBB4D">
                  <w:pPr>
                    <w:widowControl/>
                    <w:jc w:val="center"/>
                    <w:rPr>
                      <w:rFonts w:hint="default" w:ascii="Times New Roman" w:hAnsi="Times New Roman" w:eastAsia="宋体" w:cs="Times New Roman"/>
                      <w:bCs/>
                      <w:color w:val="auto"/>
                      <w:kern w:val="2"/>
                      <w:sz w:val="21"/>
                      <w:szCs w:val="21"/>
                      <w:highlight w:val="none"/>
                      <w:lang w:val="en-US" w:eastAsia="zh-CN" w:bidi="ar-SA"/>
                    </w:rPr>
                  </w:pPr>
                  <w:r>
                    <w:rPr>
                      <w:rFonts w:hint="default" w:eastAsia="宋体"/>
                      <w:bCs/>
                      <w:color w:val="auto"/>
                      <w:szCs w:val="21"/>
                      <w:highlight w:val="none"/>
                      <w:lang w:val="en-US" w:eastAsia="zh-CN"/>
                    </w:rPr>
                    <w:t>淮南富力城小区</w:t>
                  </w:r>
                </w:p>
              </w:tc>
              <w:tc>
                <w:tcPr>
                  <w:tcW w:w="584" w:type="dxa"/>
                  <w:vMerge w:val="restart"/>
                  <w:shd w:val="clear" w:color="auto" w:fill="FFFFFF"/>
                  <w:tcMar>
                    <w:left w:w="28" w:type="dxa"/>
                    <w:right w:w="28" w:type="dxa"/>
                  </w:tcMar>
                  <w:vAlign w:val="center"/>
                </w:tcPr>
                <w:p w14:paraId="5C85D832">
                  <w:pPr>
                    <w:widowControl/>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NW</w:t>
                  </w:r>
                </w:p>
              </w:tc>
              <w:tc>
                <w:tcPr>
                  <w:tcW w:w="1876" w:type="dxa"/>
                  <w:vMerge w:val="restart"/>
                  <w:tcMar>
                    <w:left w:w="28" w:type="dxa"/>
                    <w:right w:w="28" w:type="dxa"/>
                  </w:tcMar>
                  <w:vAlign w:val="center"/>
                </w:tcPr>
                <w:p w14:paraId="48B14B0C">
                  <w:pPr>
                    <w:widowControl/>
                    <w:jc w:val="center"/>
                    <w:rPr>
                      <w:rFonts w:hint="default" w:eastAsia="宋体"/>
                      <w:color w:val="auto"/>
                      <w:szCs w:val="21"/>
                      <w:highlight w:val="none"/>
                      <w:lang w:val="en-US" w:eastAsia="zh-CN"/>
                    </w:rPr>
                  </w:pPr>
                  <w:r>
                    <w:rPr>
                      <w:rFonts w:hint="eastAsia"/>
                      <w:color w:val="auto"/>
                      <w:szCs w:val="21"/>
                      <w:highlight w:val="none"/>
                      <w:lang w:val="en-US" w:eastAsia="zh-CN"/>
                    </w:rPr>
                    <w:t>2000</w:t>
                  </w:r>
                </w:p>
              </w:tc>
              <w:tc>
                <w:tcPr>
                  <w:tcW w:w="1988" w:type="dxa"/>
                  <w:tcMar>
                    <w:left w:w="28" w:type="dxa"/>
                    <w:right w:w="28" w:type="dxa"/>
                  </w:tcMar>
                  <w:vAlign w:val="center"/>
                </w:tcPr>
                <w:p w14:paraId="7A116FAC">
                  <w:pPr>
                    <w:pStyle w:val="82"/>
                    <w:spacing w:line="240" w:lineRule="auto"/>
                    <w:ind w:firstLine="0"/>
                    <w:rPr>
                      <w:rFonts w:hint="eastAsia" w:eastAsia="宋体"/>
                      <w:color w:val="auto"/>
                      <w:szCs w:val="21"/>
                      <w:highlight w:val="none"/>
                      <w:lang w:val="en-US" w:eastAsia="zh-CN"/>
                    </w:rPr>
                  </w:pPr>
                  <w:r>
                    <w:rPr>
                      <w:rFonts w:hint="eastAsia"/>
                      <w:color w:val="auto"/>
                      <w:szCs w:val="21"/>
                      <w:highlight w:val="none"/>
                      <w:lang w:val="en-US" w:eastAsia="zh-CN"/>
                    </w:rPr>
                    <w:t>氯化氢</w:t>
                  </w:r>
                </w:p>
              </w:tc>
              <w:tc>
                <w:tcPr>
                  <w:tcW w:w="1246" w:type="dxa"/>
                  <w:vMerge w:val="restart"/>
                  <w:tcMar>
                    <w:left w:w="28" w:type="dxa"/>
                    <w:right w:w="28" w:type="dxa"/>
                  </w:tcMar>
                  <w:vAlign w:val="center"/>
                </w:tcPr>
                <w:p w14:paraId="394AC2BE">
                  <w:pPr>
                    <w:pStyle w:val="82"/>
                    <w:spacing w:line="240" w:lineRule="auto"/>
                    <w:ind w:firstLine="0"/>
                    <w:rPr>
                      <w:color w:val="auto"/>
                      <w:szCs w:val="21"/>
                      <w:highlight w:val="none"/>
                    </w:rPr>
                  </w:pPr>
                  <w:r>
                    <w:rPr>
                      <w:color w:val="auto"/>
                      <w:szCs w:val="21"/>
                      <w:highlight w:val="none"/>
                    </w:rPr>
                    <w:t>引用</w:t>
                  </w:r>
                </w:p>
              </w:tc>
            </w:tr>
            <w:tr w14:paraId="1D669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82" w:type="dxa"/>
                  <w:vMerge w:val="continue"/>
                  <w:shd w:val="clear" w:color="auto" w:fill="auto"/>
                  <w:tcMar>
                    <w:left w:w="28" w:type="dxa"/>
                    <w:right w:w="28" w:type="dxa"/>
                  </w:tcMar>
                  <w:vAlign w:val="center"/>
                </w:tcPr>
                <w:p w14:paraId="05094992">
                  <w:pPr>
                    <w:widowControl/>
                    <w:jc w:val="center"/>
                    <w:rPr>
                      <w:bCs/>
                      <w:color w:val="auto"/>
                      <w:szCs w:val="21"/>
                      <w:highlight w:val="none"/>
                    </w:rPr>
                  </w:pPr>
                </w:p>
              </w:tc>
              <w:tc>
                <w:tcPr>
                  <w:tcW w:w="1692" w:type="dxa"/>
                  <w:vMerge w:val="continue"/>
                  <w:shd w:val="clear" w:color="auto" w:fill="auto"/>
                  <w:tcMar>
                    <w:left w:w="28" w:type="dxa"/>
                    <w:right w:w="28" w:type="dxa"/>
                  </w:tcMar>
                  <w:vAlign w:val="center"/>
                </w:tcPr>
                <w:p w14:paraId="6E6D57DA">
                  <w:pPr>
                    <w:widowControl/>
                    <w:jc w:val="center"/>
                    <w:rPr>
                      <w:rFonts w:hint="default" w:eastAsia="宋体"/>
                      <w:bCs/>
                      <w:color w:val="auto"/>
                      <w:szCs w:val="21"/>
                      <w:highlight w:val="none"/>
                      <w:lang w:val="en-US" w:eastAsia="zh-CN"/>
                    </w:rPr>
                  </w:pPr>
                </w:p>
              </w:tc>
              <w:tc>
                <w:tcPr>
                  <w:tcW w:w="584" w:type="dxa"/>
                  <w:vMerge w:val="continue"/>
                  <w:shd w:val="clear" w:color="auto" w:fill="FFFFFF"/>
                  <w:tcMar>
                    <w:left w:w="28" w:type="dxa"/>
                    <w:right w:w="28" w:type="dxa"/>
                  </w:tcMar>
                  <w:vAlign w:val="center"/>
                </w:tcPr>
                <w:p w14:paraId="2717679F">
                  <w:pPr>
                    <w:widowControl/>
                    <w:jc w:val="center"/>
                    <w:rPr>
                      <w:rFonts w:hint="default" w:eastAsia="宋体"/>
                      <w:color w:val="auto"/>
                      <w:szCs w:val="21"/>
                      <w:highlight w:val="none"/>
                      <w:lang w:val="en-US" w:eastAsia="zh-CN"/>
                    </w:rPr>
                  </w:pPr>
                </w:p>
              </w:tc>
              <w:tc>
                <w:tcPr>
                  <w:tcW w:w="1876" w:type="dxa"/>
                  <w:vMerge w:val="continue"/>
                  <w:shd w:val="clear" w:color="auto" w:fill="FFFFFF"/>
                  <w:tcMar>
                    <w:left w:w="28" w:type="dxa"/>
                    <w:right w:w="28" w:type="dxa"/>
                  </w:tcMar>
                  <w:vAlign w:val="center"/>
                </w:tcPr>
                <w:p w14:paraId="518D95FF">
                  <w:pPr>
                    <w:widowControl/>
                    <w:jc w:val="center"/>
                    <w:rPr>
                      <w:rFonts w:hint="default" w:eastAsia="宋体"/>
                      <w:color w:val="auto"/>
                      <w:szCs w:val="21"/>
                      <w:highlight w:val="none"/>
                      <w:lang w:val="en-US" w:eastAsia="zh-CN"/>
                    </w:rPr>
                  </w:pPr>
                </w:p>
              </w:tc>
              <w:tc>
                <w:tcPr>
                  <w:tcW w:w="1988" w:type="dxa"/>
                  <w:tcMar>
                    <w:left w:w="28" w:type="dxa"/>
                    <w:right w:w="28" w:type="dxa"/>
                  </w:tcMar>
                  <w:vAlign w:val="center"/>
                </w:tcPr>
                <w:p w14:paraId="753B08FF">
                  <w:pPr>
                    <w:pStyle w:val="82"/>
                    <w:spacing w:line="240" w:lineRule="auto"/>
                    <w:ind w:firstLine="0"/>
                    <w:rPr>
                      <w:rFonts w:hint="default" w:eastAsia="宋体"/>
                      <w:color w:val="auto"/>
                      <w:szCs w:val="21"/>
                      <w:highlight w:val="none"/>
                      <w:lang w:val="en-US" w:eastAsia="zh-CN"/>
                    </w:rPr>
                  </w:pPr>
                  <w:r>
                    <w:rPr>
                      <w:rFonts w:hint="eastAsia"/>
                      <w:color w:val="auto"/>
                      <w:szCs w:val="21"/>
                      <w:highlight w:val="none"/>
                      <w:lang w:val="en-US" w:eastAsia="zh-CN"/>
                    </w:rPr>
                    <w:t>TSP</w:t>
                  </w:r>
                </w:p>
              </w:tc>
              <w:tc>
                <w:tcPr>
                  <w:tcW w:w="1246" w:type="dxa"/>
                  <w:vMerge w:val="continue"/>
                  <w:tcMar>
                    <w:left w:w="28" w:type="dxa"/>
                    <w:right w:w="28" w:type="dxa"/>
                  </w:tcMar>
                  <w:vAlign w:val="center"/>
                </w:tcPr>
                <w:p w14:paraId="39AC629D">
                  <w:pPr>
                    <w:pStyle w:val="82"/>
                    <w:spacing w:line="240" w:lineRule="auto"/>
                    <w:ind w:firstLine="0"/>
                    <w:rPr>
                      <w:color w:val="auto"/>
                      <w:szCs w:val="21"/>
                      <w:highlight w:val="none"/>
                    </w:rPr>
                  </w:pPr>
                </w:p>
              </w:tc>
            </w:tr>
            <w:tr w14:paraId="2AD28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82" w:type="dxa"/>
                  <w:shd w:val="clear" w:color="auto" w:fill="auto"/>
                  <w:tcMar>
                    <w:left w:w="28" w:type="dxa"/>
                    <w:right w:w="28" w:type="dxa"/>
                  </w:tcMar>
                  <w:vAlign w:val="center"/>
                </w:tcPr>
                <w:p w14:paraId="5B520FCA">
                  <w:pPr>
                    <w:widowControl/>
                    <w:jc w:val="center"/>
                    <w:rPr>
                      <w:bCs/>
                      <w:color w:val="auto"/>
                      <w:szCs w:val="21"/>
                      <w:highlight w:val="none"/>
                    </w:rPr>
                  </w:pPr>
                  <w:r>
                    <w:rPr>
                      <w:bCs/>
                      <w:color w:val="auto"/>
                      <w:szCs w:val="21"/>
                      <w:highlight w:val="none"/>
                    </w:rPr>
                    <w:t>G</w:t>
                  </w:r>
                  <w:r>
                    <w:rPr>
                      <w:bCs/>
                      <w:color w:val="auto"/>
                      <w:szCs w:val="21"/>
                      <w:highlight w:val="none"/>
                      <w:vertAlign w:val="subscript"/>
                    </w:rPr>
                    <w:t>2</w:t>
                  </w:r>
                </w:p>
              </w:tc>
              <w:tc>
                <w:tcPr>
                  <w:tcW w:w="1692" w:type="dxa"/>
                  <w:shd w:val="clear" w:color="auto" w:fill="auto"/>
                  <w:tcMar>
                    <w:left w:w="28" w:type="dxa"/>
                    <w:right w:w="28" w:type="dxa"/>
                  </w:tcMar>
                  <w:vAlign w:val="center"/>
                </w:tcPr>
                <w:p w14:paraId="5A2A0D6D">
                  <w:pPr>
                    <w:widowControl/>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Cs w:val="21"/>
                      <w:highlight w:val="none"/>
                      <w:lang w:val="en-US" w:eastAsia="zh-CN"/>
                    </w:rPr>
                    <w:t>项目所在地</w:t>
                  </w:r>
                </w:p>
              </w:tc>
              <w:tc>
                <w:tcPr>
                  <w:tcW w:w="584" w:type="dxa"/>
                  <w:shd w:val="clear" w:color="auto" w:fill="FFFFFF"/>
                  <w:tcMar>
                    <w:left w:w="28" w:type="dxa"/>
                    <w:right w:w="28" w:type="dxa"/>
                  </w:tcMar>
                  <w:vAlign w:val="center"/>
                </w:tcPr>
                <w:p w14:paraId="2C2EE0EF">
                  <w:pPr>
                    <w:widowControl/>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w:t>
                  </w:r>
                </w:p>
              </w:tc>
              <w:tc>
                <w:tcPr>
                  <w:tcW w:w="1876" w:type="dxa"/>
                  <w:shd w:val="clear" w:color="auto" w:fill="FFFFFF"/>
                  <w:tcMar>
                    <w:left w:w="28" w:type="dxa"/>
                    <w:right w:w="28" w:type="dxa"/>
                  </w:tcMar>
                  <w:vAlign w:val="center"/>
                </w:tcPr>
                <w:p w14:paraId="3798B6F1">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50</w:t>
                  </w:r>
                </w:p>
              </w:tc>
              <w:tc>
                <w:tcPr>
                  <w:tcW w:w="1988" w:type="dxa"/>
                  <w:shd w:val="clear" w:color="auto" w:fill="auto"/>
                  <w:tcMar>
                    <w:left w:w="28" w:type="dxa"/>
                    <w:right w:w="28" w:type="dxa"/>
                  </w:tcMar>
                  <w:vAlign w:val="center"/>
                </w:tcPr>
                <w:p w14:paraId="2353BEE6">
                  <w:pPr>
                    <w:pStyle w:val="82"/>
                    <w:spacing w:line="240" w:lineRule="auto"/>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氟化物</w:t>
                  </w:r>
                </w:p>
              </w:tc>
              <w:tc>
                <w:tcPr>
                  <w:tcW w:w="1246" w:type="dxa"/>
                  <w:tcMar>
                    <w:left w:w="28" w:type="dxa"/>
                    <w:right w:w="28" w:type="dxa"/>
                  </w:tcMar>
                  <w:vAlign w:val="center"/>
                </w:tcPr>
                <w:p w14:paraId="356A2C42">
                  <w:pPr>
                    <w:pStyle w:val="82"/>
                    <w:spacing w:line="240" w:lineRule="auto"/>
                    <w:ind w:firstLine="0"/>
                    <w:rPr>
                      <w:color w:val="auto"/>
                      <w:szCs w:val="21"/>
                      <w:highlight w:val="none"/>
                    </w:rPr>
                  </w:pPr>
                  <w:r>
                    <w:rPr>
                      <w:color w:val="auto"/>
                      <w:szCs w:val="21"/>
                      <w:highlight w:val="none"/>
                    </w:rPr>
                    <w:t>实测</w:t>
                  </w:r>
                </w:p>
              </w:tc>
            </w:tr>
          </w:tbl>
          <w:p w14:paraId="58117960">
            <w:pPr>
              <w:spacing w:line="360" w:lineRule="auto"/>
              <w:ind w:firstLine="482"/>
              <w:rPr>
                <w:b/>
                <w:color w:val="auto"/>
                <w:sz w:val="24"/>
                <w:highlight w:val="none"/>
              </w:rPr>
            </w:pPr>
            <w:r>
              <w:rPr>
                <w:b/>
                <w:color w:val="auto"/>
                <w:sz w:val="24"/>
                <w:highlight w:val="none"/>
              </w:rPr>
              <w:t>（2）监测时间和频次</w:t>
            </w:r>
          </w:p>
          <w:p w14:paraId="19DF9388">
            <w:pPr>
              <w:spacing w:line="360" w:lineRule="auto"/>
              <w:ind w:firstLine="480"/>
              <w:rPr>
                <w:color w:val="auto"/>
                <w:sz w:val="24"/>
                <w:highlight w:val="none"/>
              </w:rPr>
            </w:pPr>
            <w:r>
              <w:rPr>
                <w:color w:val="auto"/>
                <w:sz w:val="24"/>
                <w:highlight w:val="none"/>
              </w:rPr>
              <w:t>监测频率：</w:t>
            </w:r>
            <w:r>
              <w:rPr>
                <w:rFonts w:hint="eastAsia"/>
                <w:color w:val="auto"/>
                <w:sz w:val="24"/>
                <w:highlight w:val="none"/>
                <w:lang w:val="en-US" w:eastAsia="zh-CN"/>
              </w:rPr>
              <w:t>氯化氢、TSP</w:t>
            </w:r>
            <w:r>
              <w:rPr>
                <w:color w:val="auto"/>
                <w:sz w:val="24"/>
                <w:highlight w:val="none"/>
              </w:rPr>
              <w:t>连续监测7天</w:t>
            </w:r>
            <w:r>
              <w:rPr>
                <w:rFonts w:hint="eastAsia"/>
                <w:color w:val="auto"/>
                <w:sz w:val="24"/>
                <w:highlight w:val="none"/>
                <w:lang w:eastAsia="zh-CN"/>
              </w:rPr>
              <w:t>、</w:t>
            </w:r>
            <w:r>
              <w:rPr>
                <w:rFonts w:hint="eastAsia"/>
                <w:color w:val="auto"/>
                <w:sz w:val="24"/>
                <w:highlight w:val="none"/>
                <w:lang w:val="en-US" w:eastAsia="zh-CN"/>
              </w:rPr>
              <w:t>氟化物连续监测3天</w:t>
            </w:r>
            <w:r>
              <w:rPr>
                <w:color w:val="auto"/>
                <w:sz w:val="24"/>
                <w:highlight w:val="none"/>
              </w:rPr>
              <w:t>。</w:t>
            </w:r>
          </w:p>
          <w:p w14:paraId="565E0772">
            <w:pPr>
              <w:spacing w:line="360" w:lineRule="auto"/>
              <w:ind w:firstLine="480"/>
              <w:rPr>
                <w:color w:val="auto"/>
                <w:sz w:val="24"/>
                <w:highlight w:val="none"/>
              </w:rPr>
            </w:pPr>
            <w:r>
              <w:rPr>
                <w:color w:val="auto"/>
                <w:sz w:val="24"/>
                <w:highlight w:val="none"/>
              </w:rPr>
              <w:t>监测时间及技术方法满足《环境监测技术规范》（大气部分）等要求。</w:t>
            </w:r>
          </w:p>
          <w:p w14:paraId="0241CB1E">
            <w:pPr>
              <w:spacing w:line="360" w:lineRule="auto"/>
              <w:ind w:firstLine="482"/>
              <w:rPr>
                <w:b/>
                <w:color w:val="auto"/>
                <w:sz w:val="24"/>
                <w:highlight w:val="none"/>
              </w:rPr>
            </w:pPr>
            <w:r>
              <w:rPr>
                <w:b/>
                <w:color w:val="auto"/>
                <w:sz w:val="24"/>
                <w:highlight w:val="none"/>
              </w:rPr>
              <w:t>（3）监测分析方法</w:t>
            </w:r>
          </w:p>
          <w:p w14:paraId="0EDFFD17">
            <w:pPr>
              <w:spacing w:line="360" w:lineRule="auto"/>
              <w:ind w:firstLine="480"/>
              <w:rPr>
                <w:color w:val="auto"/>
                <w:sz w:val="24"/>
                <w:highlight w:val="none"/>
              </w:rPr>
            </w:pPr>
            <w:r>
              <w:rPr>
                <w:color w:val="auto"/>
                <w:sz w:val="24"/>
                <w:highlight w:val="none"/>
              </w:rPr>
              <w:t>监测时间及技术方法满足《环境监测技术规范》（大气部分）等要求。</w:t>
            </w:r>
          </w:p>
          <w:p w14:paraId="6A598626">
            <w:pPr>
              <w:spacing w:line="360" w:lineRule="auto"/>
              <w:ind w:firstLine="482"/>
              <w:rPr>
                <w:b/>
                <w:color w:val="auto"/>
                <w:sz w:val="24"/>
                <w:highlight w:val="none"/>
              </w:rPr>
            </w:pPr>
            <w:r>
              <w:rPr>
                <w:b/>
                <w:color w:val="auto"/>
                <w:sz w:val="24"/>
                <w:highlight w:val="none"/>
              </w:rPr>
              <w:t>（4）监测结果</w:t>
            </w:r>
          </w:p>
          <w:p w14:paraId="72E59AC7">
            <w:pPr>
              <w:spacing w:line="360" w:lineRule="auto"/>
              <w:ind w:firstLine="480"/>
              <w:rPr>
                <w:color w:val="auto"/>
                <w:sz w:val="24"/>
                <w:highlight w:val="none"/>
              </w:rPr>
            </w:pPr>
            <w:r>
              <w:rPr>
                <w:color w:val="auto"/>
                <w:sz w:val="24"/>
                <w:highlight w:val="none"/>
              </w:rPr>
              <w:t>监测数据见表3.1.1-</w:t>
            </w:r>
            <w:r>
              <w:rPr>
                <w:rFonts w:hint="eastAsia"/>
                <w:color w:val="auto"/>
                <w:sz w:val="24"/>
                <w:highlight w:val="none"/>
                <w:lang w:val="en-US" w:eastAsia="zh-CN"/>
              </w:rPr>
              <w:t>4</w:t>
            </w:r>
            <w:r>
              <w:rPr>
                <w:color w:val="auto"/>
                <w:sz w:val="24"/>
                <w:highlight w:val="none"/>
              </w:rPr>
              <w:t>。</w:t>
            </w:r>
          </w:p>
          <w:p w14:paraId="5E7898E5">
            <w:pPr>
              <w:spacing w:line="400" w:lineRule="exact"/>
              <w:jc w:val="center"/>
              <w:rPr>
                <w:b/>
                <w:bCs/>
                <w:color w:val="auto"/>
                <w:szCs w:val="21"/>
                <w:highlight w:val="none"/>
              </w:rPr>
            </w:pPr>
            <w:r>
              <w:rPr>
                <w:b/>
                <w:bCs/>
                <w:color w:val="auto"/>
                <w:szCs w:val="21"/>
                <w:highlight w:val="none"/>
              </w:rPr>
              <w:t>表3.1.1-</w:t>
            </w:r>
            <w:r>
              <w:rPr>
                <w:rFonts w:hint="eastAsia"/>
                <w:b/>
                <w:bCs/>
                <w:color w:val="auto"/>
                <w:szCs w:val="21"/>
                <w:highlight w:val="none"/>
                <w:lang w:val="en-US" w:eastAsia="zh-CN"/>
              </w:rPr>
              <w:t>4</w:t>
            </w:r>
            <w:r>
              <w:rPr>
                <w:b/>
                <w:bCs/>
                <w:color w:val="auto"/>
                <w:szCs w:val="21"/>
                <w:highlight w:val="none"/>
              </w:rPr>
              <w:t xml:space="preserve">  大气环境质量监测结果</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70"/>
              <w:gridCol w:w="1271"/>
              <w:gridCol w:w="1587"/>
              <w:gridCol w:w="751"/>
              <w:gridCol w:w="875"/>
              <w:gridCol w:w="1251"/>
              <w:gridCol w:w="751"/>
              <w:gridCol w:w="711"/>
            </w:tblGrid>
            <w:tr w14:paraId="177AF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dxa"/>
                  <w:vMerge w:val="restart"/>
                  <w:vAlign w:val="center"/>
                </w:tcPr>
                <w:p w14:paraId="784C01D9">
                  <w:pPr>
                    <w:pStyle w:val="82"/>
                    <w:spacing w:line="240" w:lineRule="auto"/>
                    <w:ind w:firstLine="0"/>
                    <w:rPr>
                      <w:b/>
                      <w:bCs/>
                      <w:color w:val="auto"/>
                      <w:szCs w:val="21"/>
                      <w:highlight w:val="none"/>
                    </w:rPr>
                  </w:pPr>
                  <w:r>
                    <w:rPr>
                      <w:b/>
                      <w:bCs/>
                      <w:color w:val="auto"/>
                      <w:szCs w:val="21"/>
                      <w:highlight w:val="none"/>
                    </w:rPr>
                    <w:t>监测</w:t>
                  </w:r>
                </w:p>
                <w:p w14:paraId="14BFC814">
                  <w:pPr>
                    <w:pStyle w:val="82"/>
                    <w:spacing w:line="240" w:lineRule="auto"/>
                    <w:ind w:firstLine="0"/>
                    <w:rPr>
                      <w:b/>
                      <w:bCs/>
                      <w:color w:val="auto"/>
                      <w:szCs w:val="21"/>
                      <w:highlight w:val="none"/>
                    </w:rPr>
                  </w:pPr>
                  <w:r>
                    <w:rPr>
                      <w:b/>
                      <w:bCs/>
                      <w:color w:val="auto"/>
                      <w:szCs w:val="21"/>
                      <w:highlight w:val="none"/>
                    </w:rPr>
                    <w:t>点位</w:t>
                  </w:r>
                </w:p>
              </w:tc>
              <w:tc>
                <w:tcPr>
                  <w:tcW w:w="1270" w:type="dxa"/>
                  <w:vMerge w:val="restart"/>
                  <w:vAlign w:val="center"/>
                </w:tcPr>
                <w:p w14:paraId="67198C6B">
                  <w:pPr>
                    <w:pStyle w:val="82"/>
                    <w:spacing w:line="240" w:lineRule="auto"/>
                    <w:ind w:firstLine="0"/>
                    <w:rPr>
                      <w:b/>
                      <w:bCs/>
                      <w:color w:val="auto"/>
                      <w:szCs w:val="21"/>
                      <w:highlight w:val="none"/>
                    </w:rPr>
                  </w:pPr>
                  <w:r>
                    <w:rPr>
                      <w:b/>
                      <w:bCs/>
                      <w:color w:val="auto"/>
                      <w:szCs w:val="21"/>
                      <w:highlight w:val="none"/>
                    </w:rPr>
                    <w:t>监测项目</w:t>
                  </w:r>
                </w:p>
              </w:tc>
              <w:tc>
                <w:tcPr>
                  <w:tcW w:w="3212" w:type="dxa"/>
                  <w:gridSpan w:val="3"/>
                  <w:vAlign w:val="center"/>
                </w:tcPr>
                <w:p w14:paraId="442AD1FE">
                  <w:pPr>
                    <w:pStyle w:val="82"/>
                    <w:spacing w:line="240" w:lineRule="auto"/>
                    <w:ind w:firstLine="0"/>
                    <w:rPr>
                      <w:b/>
                      <w:bCs/>
                      <w:color w:val="auto"/>
                      <w:szCs w:val="21"/>
                      <w:highlight w:val="none"/>
                    </w:rPr>
                  </w:pPr>
                  <w:r>
                    <w:rPr>
                      <w:b/>
                      <w:bCs/>
                      <w:color w:val="auto"/>
                      <w:szCs w:val="21"/>
                      <w:highlight w:val="none"/>
                    </w:rPr>
                    <w:t>1小时（一次）平均浓度监测结果</w:t>
                  </w:r>
                </w:p>
              </w:tc>
              <w:tc>
                <w:tcPr>
                  <w:tcW w:w="2712" w:type="dxa"/>
                  <w:gridSpan w:val="3"/>
                  <w:vAlign w:val="center"/>
                </w:tcPr>
                <w:p w14:paraId="7295CB6F">
                  <w:pPr>
                    <w:pStyle w:val="82"/>
                    <w:spacing w:line="240" w:lineRule="auto"/>
                    <w:ind w:firstLine="0"/>
                    <w:rPr>
                      <w:b/>
                      <w:bCs/>
                      <w:color w:val="auto"/>
                      <w:szCs w:val="21"/>
                      <w:highlight w:val="none"/>
                    </w:rPr>
                  </w:pPr>
                  <w:r>
                    <w:rPr>
                      <w:b/>
                      <w:bCs/>
                      <w:color w:val="auto"/>
                      <w:szCs w:val="21"/>
                      <w:highlight w:val="none"/>
                    </w:rPr>
                    <w:t>日平均浓度监测结果</w:t>
                  </w:r>
                </w:p>
              </w:tc>
            </w:tr>
            <w:tr w14:paraId="410A0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 w:hRule="atLeast"/>
                <w:jc w:val="center"/>
              </w:trPr>
              <w:tc>
                <w:tcPr>
                  <w:tcW w:w="770" w:type="dxa"/>
                  <w:vMerge w:val="continue"/>
                  <w:vAlign w:val="center"/>
                </w:tcPr>
                <w:p w14:paraId="1B1C2377">
                  <w:pPr>
                    <w:pStyle w:val="82"/>
                    <w:spacing w:line="240" w:lineRule="auto"/>
                    <w:ind w:firstLine="0"/>
                    <w:rPr>
                      <w:b/>
                      <w:bCs/>
                      <w:color w:val="auto"/>
                      <w:szCs w:val="21"/>
                      <w:highlight w:val="none"/>
                    </w:rPr>
                  </w:pPr>
                </w:p>
              </w:tc>
              <w:tc>
                <w:tcPr>
                  <w:tcW w:w="1270" w:type="dxa"/>
                  <w:vMerge w:val="continue"/>
                  <w:vAlign w:val="center"/>
                </w:tcPr>
                <w:p w14:paraId="43DD7695">
                  <w:pPr>
                    <w:pStyle w:val="82"/>
                    <w:spacing w:line="240" w:lineRule="auto"/>
                    <w:ind w:firstLine="0"/>
                    <w:rPr>
                      <w:b/>
                      <w:bCs/>
                      <w:color w:val="auto"/>
                      <w:szCs w:val="21"/>
                      <w:highlight w:val="none"/>
                    </w:rPr>
                  </w:pPr>
                </w:p>
              </w:tc>
              <w:tc>
                <w:tcPr>
                  <w:tcW w:w="1586" w:type="dxa"/>
                  <w:vAlign w:val="center"/>
                </w:tcPr>
                <w:p w14:paraId="1A7F9989">
                  <w:pPr>
                    <w:pStyle w:val="82"/>
                    <w:spacing w:line="240" w:lineRule="auto"/>
                    <w:ind w:firstLine="0"/>
                    <w:rPr>
                      <w:b/>
                      <w:bCs/>
                      <w:color w:val="auto"/>
                      <w:szCs w:val="21"/>
                      <w:highlight w:val="none"/>
                    </w:rPr>
                  </w:pPr>
                  <w:r>
                    <w:rPr>
                      <w:b/>
                      <w:bCs/>
                      <w:color w:val="auto"/>
                      <w:szCs w:val="21"/>
                      <w:highlight w:val="none"/>
                    </w:rPr>
                    <w:t>浓度范围（mg/m</w:t>
                  </w:r>
                  <w:r>
                    <w:rPr>
                      <w:b/>
                      <w:bCs/>
                      <w:color w:val="auto"/>
                      <w:szCs w:val="21"/>
                      <w:highlight w:val="none"/>
                      <w:vertAlign w:val="superscript"/>
                    </w:rPr>
                    <w:t>3</w:t>
                  </w:r>
                  <w:r>
                    <w:rPr>
                      <w:b/>
                      <w:bCs/>
                      <w:color w:val="auto"/>
                      <w:szCs w:val="21"/>
                      <w:highlight w:val="none"/>
                    </w:rPr>
                    <w:t>）</w:t>
                  </w:r>
                </w:p>
              </w:tc>
              <w:tc>
                <w:tcPr>
                  <w:tcW w:w="751" w:type="dxa"/>
                  <w:vAlign w:val="center"/>
                </w:tcPr>
                <w:p w14:paraId="6BF04D24">
                  <w:pPr>
                    <w:pStyle w:val="82"/>
                    <w:spacing w:line="240" w:lineRule="auto"/>
                    <w:ind w:firstLine="0"/>
                    <w:rPr>
                      <w:b/>
                      <w:bCs/>
                      <w:color w:val="auto"/>
                      <w:szCs w:val="21"/>
                      <w:highlight w:val="none"/>
                    </w:rPr>
                  </w:pPr>
                  <w:r>
                    <w:rPr>
                      <w:b/>
                      <w:bCs/>
                      <w:color w:val="auto"/>
                      <w:szCs w:val="21"/>
                      <w:highlight w:val="none"/>
                    </w:rPr>
                    <w:t>超标率（%）</w:t>
                  </w:r>
                </w:p>
              </w:tc>
              <w:tc>
                <w:tcPr>
                  <w:tcW w:w="875" w:type="dxa"/>
                  <w:vAlign w:val="center"/>
                </w:tcPr>
                <w:p w14:paraId="7DDE6D65">
                  <w:pPr>
                    <w:pStyle w:val="82"/>
                    <w:spacing w:line="240" w:lineRule="auto"/>
                    <w:ind w:firstLine="0"/>
                    <w:rPr>
                      <w:b/>
                      <w:bCs/>
                      <w:color w:val="auto"/>
                      <w:szCs w:val="21"/>
                      <w:highlight w:val="none"/>
                    </w:rPr>
                  </w:pPr>
                  <w:r>
                    <w:rPr>
                      <w:b/>
                      <w:bCs/>
                      <w:color w:val="auto"/>
                      <w:szCs w:val="21"/>
                      <w:highlight w:val="none"/>
                    </w:rPr>
                    <w:t>最大超标倍数</w:t>
                  </w:r>
                </w:p>
              </w:tc>
              <w:tc>
                <w:tcPr>
                  <w:tcW w:w="1250" w:type="dxa"/>
                  <w:vAlign w:val="center"/>
                </w:tcPr>
                <w:p w14:paraId="6568A18B">
                  <w:pPr>
                    <w:pStyle w:val="82"/>
                    <w:spacing w:line="240" w:lineRule="auto"/>
                    <w:ind w:firstLine="0"/>
                    <w:rPr>
                      <w:b/>
                      <w:bCs/>
                      <w:color w:val="auto"/>
                      <w:szCs w:val="21"/>
                      <w:highlight w:val="none"/>
                    </w:rPr>
                  </w:pPr>
                  <w:r>
                    <w:rPr>
                      <w:b/>
                      <w:bCs/>
                      <w:color w:val="auto"/>
                      <w:szCs w:val="21"/>
                      <w:highlight w:val="none"/>
                    </w:rPr>
                    <w:t>浓度范围（mg/m</w:t>
                  </w:r>
                  <w:r>
                    <w:rPr>
                      <w:b/>
                      <w:bCs/>
                      <w:color w:val="auto"/>
                      <w:szCs w:val="21"/>
                      <w:highlight w:val="none"/>
                      <w:vertAlign w:val="superscript"/>
                    </w:rPr>
                    <w:t>3</w:t>
                  </w:r>
                  <w:r>
                    <w:rPr>
                      <w:b/>
                      <w:bCs/>
                      <w:color w:val="auto"/>
                      <w:szCs w:val="21"/>
                      <w:highlight w:val="none"/>
                    </w:rPr>
                    <w:t>）</w:t>
                  </w:r>
                </w:p>
              </w:tc>
              <w:tc>
                <w:tcPr>
                  <w:tcW w:w="751" w:type="dxa"/>
                  <w:vAlign w:val="center"/>
                </w:tcPr>
                <w:p w14:paraId="428B7D0A">
                  <w:pPr>
                    <w:pStyle w:val="82"/>
                    <w:spacing w:line="240" w:lineRule="auto"/>
                    <w:ind w:firstLine="0"/>
                    <w:rPr>
                      <w:b/>
                      <w:bCs/>
                      <w:color w:val="auto"/>
                      <w:szCs w:val="21"/>
                      <w:highlight w:val="none"/>
                    </w:rPr>
                  </w:pPr>
                  <w:r>
                    <w:rPr>
                      <w:b/>
                      <w:bCs/>
                      <w:color w:val="auto"/>
                      <w:szCs w:val="21"/>
                      <w:highlight w:val="none"/>
                    </w:rPr>
                    <w:t>超标率（%）</w:t>
                  </w:r>
                </w:p>
              </w:tc>
              <w:tc>
                <w:tcPr>
                  <w:tcW w:w="711" w:type="dxa"/>
                  <w:vAlign w:val="center"/>
                </w:tcPr>
                <w:p w14:paraId="3B849A0D">
                  <w:pPr>
                    <w:pStyle w:val="82"/>
                    <w:spacing w:line="240" w:lineRule="auto"/>
                    <w:ind w:firstLine="0"/>
                    <w:rPr>
                      <w:b/>
                      <w:bCs/>
                      <w:color w:val="auto"/>
                      <w:szCs w:val="21"/>
                      <w:highlight w:val="none"/>
                    </w:rPr>
                  </w:pPr>
                  <w:r>
                    <w:rPr>
                      <w:b/>
                      <w:bCs/>
                      <w:color w:val="auto"/>
                      <w:szCs w:val="21"/>
                      <w:highlight w:val="none"/>
                    </w:rPr>
                    <w:t>最大超标倍数</w:t>
                  </w:r>
                </w:p>
              </w:tc>
            </w:tr>
            <w:tr w14:paraId="7B6FE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dxa"/>
                  <w:vAlign w:val="center"/>
                </w:tcPr>
                <w:p w14:paraId="66BEF354">
                  <w:pPr>
                    <w:pStyle w:val="82"/>
                    <w:spacing w:line="240" w:lineRule="auto"/>
                    <w:ind w:firstLine="0"/>
                    <w:rPr>
                      <w:color w:val="auto"/>
                      <w:szCs w:val="21"/>
                      <w:highlight w:val="none"/>
                    </w:rPr>
                  </w:pPr>
                  <w:r>
                    <w:rPr>
                      <w:color w:val="auto"/>
                      <w:szCs w:val="21"/>
                      <w:highlight w:val="none"/>
                    </w:rPr>
                    <w:t>G</w:t>
                  </w:r>
                  <w:r>
                    <w:rPr>
                      <w:color w:val="auto"/>
                      <w:szCs w:val="21"/>
                      <w:highlight w:val="none"/>
                      <w:vertAlign w:val="subscript"/>
                    </w:rPr>
                    <w:t>1</w:t>
                  </w:r>
                </w:p>
              </w:tc>
              <w:tc>
                <w:tcPr>
                  <w:tcW w:w="1270" w:type="dxa"/>
                  <w:vAlign w:val="center"/>
                </w:tcPr>
                <w:p w14:paraId="0CEB5D5B">
                  <w:pPr>
                    <w:pStyle w:val="82"/>
                    <w:spacing w:line="240" w:lineRule="auto"/>
                    <w:ind w:firstLine="0"/>
                    <w:rPr>
                      <w:rFonts w:hint="eastAsia" w:eastAsia="宋体"/>
                      <w:color w:val="auto"/>
                      <w:szCs w:val="21"/>
                      <w:highlight w:val="none"/>
                      <w:lang w:eastAsia="zh-CN"/>
                    </w:rPr>
                  </w:pPr>
                  <w:r>
                    <w:rPr>
                      <w:rFonts w:hint="eastAsia"/>
                      <w:color w:val="auto"/>
                      <w:szCs w:val="21"/>
                      <w:highlight w:val="none"/>
                      <w:lang w:val="en-US" w:eastAsia="zh-CN"/>
                    </w:rPr>
                    <w:t>氯化氢</w:t>
                  </w:r>
                </w:p>
              </w:tc>
              <w:tc>
                <w:tcPr>
                  <w:tcW w:w="1586" w:type="dxa"/>
                  <w:vAlign w:val="center"/>
                </w:tcPr>
                <w:p w14:paraId="0BF7FCDC">
                  <w:pPr>
                    <w:pStyle w:val="82"/>
                    <w:spacing w:line="240" w:lineRule="auto"/>
                    <w:ind w:firstLine="0"/>
                    <w:rPr>
                      <w:rFonts w:hint="default" w:eastAsia="宋体"/>
                      <w:color w:val="auto"/>
                      <w:szCs w:val="21"/>
                      <w:highlight w:val="none"/>
                      <w:lang w:val="en-US" w:eastAsia="zh-CN"/>
                    </w:rPr>
                  </w:pPr>
                  <w:r>
                    <w:rPr>
                      <w:rFonts w:hint="eastAsia"/>
                      <w:color w:val="auto"/>
                      <w:szCs w:val="21"/>
                      <w:highlight w:val="none"/>
                      <w:lang w:val="en-US" w:eastAsia="zh-CN"/>
                    </w:rPr>
                    <w:t>＜0.02</w:t>
                  </w:r>
                </w:p>
              </w:tc>
              <w:tc>
                <w:tcPr>
                  <w:tcW w:w="751" w:type="dxa"/>
                  <w:vAlign w:val="center"/>
                </w:tcPr>
                <w:p w14:paraId="30F9D07F">
                  <w:pPr>
                    <w:pStyle w:val="82"/>
                    <w:spacing w:line="240" w:lineRule="auto"/>
                    <w:ind w:firstLine="0"/>
                    <w:rPr>
                      <w:color w:val="auto"/>
                      <w:szCs w:val="21"/>
                      <w:highlight w:val="none"/>
                    </w:rPr>
                  </w:pPr>
                  <w:r>
                    <w:rPr>
                      <w:color w:val="auto"/>
                      <w:szCs w:val="21"/>
                      <w:highlight w:val="none"/>
                    </w:rPr>
                    <w:t>0</w:t>
                  </w:r>
                </w:p>
              </w:tc>
              <w:tc>
                <w:tcPr>
                  <w:tcW w:w="875" w:type="dxa"/>
                  <w:vAlign w:val="center"/>
                </w:tcPr>
                <w:p w14:paraId="141BA821">
                  <w:pPr>
                    <w:pStyle w:val="82"/>
                    <w:spacing w:line="240" w:lineRule="auto"/>
                    <w:ind w:firstLine="0"/>
                    <w:rPr>
                      <w:color w:val="auto"/>
                      <w:szCs w:val="21"/>
                      <w:highlight w:val="none"/>
                    </w:rPr>
                  </w:pPr>
                  <w:r>
                    <w:rPr>
                      <w:color w:val="auto"/>
                      <w:szCs w:val="21"/>
                      <w:highlight w:val="none"/>
                    </w:rPr>
                    <w:t>0</w:t>
                  </w:r>
                </w:p>
              </w:tc>
              <w:tc>
                <w:tcPr>
                  <w:tcW w:w="1250" w:type="dxa"/>
                  <w:vAlign w:val="center"/>
                </w:tcPr>
                <w:p w14:paraId="4B776A28">
                  <w:pPr>
                    <w:pStyle w:val="82"/>
                    <w:spacing w:line="240" w:lineRule="auto"/>
                    <w:ind w:firstLine="0"/>
                    <w:rPr>
                      <w:color w:val="auto"/>
                      <w:szCs w:val="21"/>
                      <w:highlight w:val="none"/>
                    </w:rPr>
                  </w:pPr>
                  <w:r>
                    <w:rPr>
                      <w:rFonts w:hint="eastAsia"/>
                      <w:color w:val="auto"/>
                      <w:szCs w:val="21"/>
                      <w:highlight w:val="none"/>
                      <w:lang w:val="en-US" w:eastAsia="zh-CN"/>
                    </w:rPr>
                    <w:t>/</w:t>
                  </w:r>
                </w:p>
              </w:tc>
              <w:tc>
                <w:tcPr>
                  <w:tcW w:w="751" w:type="dxa"/>
                  <w:vAlign w:val="center"/>
                </w:tcPr>
                <w:p w14:paraId="3358BBC6">
                  <w:pPr>
                    <w:pStyle w:val="82"/>
                    <w:spacing w:line="240" w:lineRule="auto"/>
                    <w:ind w:firstLine="0"/>
                    <w:rPr>
                      <w:color w:val="auto"/>
                      <w:szCs w:val="21"/>
                      <w:highlight w:val="none"/>
                    </w:rPr>
                  </w:pPr>
                  <w:r>
                    <w:rPr>
                      <w:color w:val="auto"/>
                      <w:szCs w:val="21"/>
                      <w:highlight w:val="none"/>
                    </w:rPr>
                    <w:t>/</w:t>
                  </w:r>
                </w:p>
              </w:tc>
              <w:tc>
                <w:tcPr>
                  <w:tcW w:w="711" w:type="dxa"/>
                  <w:vAlign w:val="center"/>
                </w:tcPr>
                <w:p w14:paraId="3AEE7DF5">
                  <w:pPr>
                    <w:pStyle w:val="82"/>
                    <w:spacing w:line="240" w:lineRule="auto"/>
                    <w:ind w:firstLine="0"/>
                    <w:rPr>
                      <w:color w:val="auto"/>
                      <w:szCs w:val="21"/>
                      <w:highlight w:val="none"/>
                    </w:rPr>
                  </w:pPr>
                  <w:r>
                    <w:rPr>
                      <w:color w:val="auto"/>
                      <w:szCs w:val="21"/>
                      <w:highlight w:val="none"/>
                    </w:rPr>
                    <w:t>/</w:t>
                  </w:r>
                </w:p>
              </w:tc>
            </w:tr>
            <w:tr w14:paraId="08EC6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dxa"/>
                  <w:vAlign w:val="center"/>
                </w:tcPr>
                <w:p w14:paraId="0F2DE6ED">
                  <w:pPr>
                    <w:pStyle w:val="82"/>
                    <w:spacing w:line="240" w:lineRule="auto"/>
                    <w:ind w:firstLine="0"/>
                    <w:rPr>
                      <w:color w:val="auto"/>
                      <w:szCs w:val="21"/>
                      <w:highlight w:val="none"/>
                    </w:rPr>
                  </w:pPr>
                  <w:r>
                    <w:rPr>
                      <w:color w:val="auto"/>
                      <w:szCs w:val="21"/>
                      <w:highlight w:val="none"/>
                    </w:rPr>
                    <w:t>G</w:t>
                  </w:r>
                  <w:r>
                    <w:rPr>
                      <w:color w:val="auto"/>
                      <w:szCs w:val="21"/>
                      <w:highlight w:val="none"/>
                      <w:vertAlign w:val="subscript"/>
                    </w:rPr>
                    <w:t>2</w:t>
                  </w:r>
                </w:p>
              </w:tc>
              <w:tc>
                <w:tcPr>
                  <w:tcW w:w="1270" w:type="dxa"/>
                  <w:shd w:val="clear" w:color="auto" w:fill="auto"/>
                  <w:vAlign w:val="center"/>
                </w:tcPr>
                <w:p w14:paraId="049B1788">
                  <w:pPr>
                    <w:pStyle w:val="82"/>
                    <w:spacing w:line="240" w:lineRule="auto"/>
                    <w:ind w:firstLine="0" w:firstLineChars="0"/>
                    <w:rPr>
                      <w:rFonts w:ascii="Times New Roman" w:hAnsi="Times New Roman" w:eastAsia="宋体" w:cs="Times New Roman"/>
                      <w:color w:val="auto"/>
                      <w:kern w:val="2"/>
                      <w:sz w:val="21"/>
                      <w:szCs w:val="21"/>
                      <w:highlight w:val="none"/>
                      <w:lang w:val="en-US" w:eastAsia="zh-CN" w:bidi="ar-SA"/>
                    </w:rPr>
                  </w:pPr>
                  <w:r>
                    <w:rPr>
                      <w:color w:val="auto"/>
                      <w:szCs w:val="21"/>
                      <w:highlight w:val="none"/>
                    </w:rPr>
                    <w:t>TSP</w:t>
                  </w:r>
                </w:p>
              </w:tc>
              <w:tc>
                <w:tcPr>
                  <w:tcW w:w="1586" w:type="dxa"/>
                  <w:shd w:val="clear" w:color="auto" w:fill="auto"/>
                  <w:vAlign w:val="center"/>
                </w:tcPr>
                <w:p w14:paraId="45E607C9">
                  <w:pPr>
                    <w:pStyle w:val="82"/>
                    <w:spacing w:line="240" w:lineRule="auto"/>
                    <w:ind w:firstLine="0" w:firstLineChars="0"/>
                    <w:rPr>
                      <w:rFonts w:ascii="Times New Roman" w:hAnsi="Times New Roman" w:eastAsia="宋体" w:cs="Times New Roman"/>
                      <w:color w:val="auto"/>
                      <w:kern w:val="2"/>
                      <w:sz w:val="21"/>
                      <w:szCs w:val="21"/>
                      <w:highlight w:val="none"/>
                      <w:lang w:val="en-US" w:eastAsia="zh-CN" w:bidi="ar-SA"/>
                    </w:rPr>
                  </w:pPr>
                  <w:r>
                    <w:rPr>
                      <w:color w:val="auto"/>
                      <w:szCs w:val="21"/>
                      <w:highlight w:val="none"/>
                    </w:rPr>
                    <w:t>/</w:t>
                  </w:r>
                </w:p>
              </w:tc>
              <w:tc>
                <w:tcPr>
                  <w:tcW w:w="751" w:type="dxa"/>
                  <w:shd w:val="clear" w:color="auto" w:fill="auto"/>
                  <w:vAlign w:val="center"/>
                </w:tcPr>
                <w:p w14:paraId="23E7484C">
                  <w:pPr>
                    <w:pStyle w:val="82"/>
                    <w:spacing w:line="240" w:lineRule="auto"/>
                    <w:ind w:firstLine="0" w:firstLineChars="0"/>
                    <w:rPr>
                      <w:rFonts w:ascii="Times New Roman" w:hAnsi="Times New Roman" w:eastAsia="宋体" w:cs="Times New Roman"/>
                      <w:color w:val="auto"/>
                      <w:kern w:val="2"/>
                      <w:sz w:val="21"/>
                      <w:szCs w:val="21"/>
                      <w:highlight w:val="none"/>
                      <w:lang w:val="en-US" w:eastAsia="zh-CN" w:bidi="ar-SA"/>
                    </w:rPr>
                  </w:pPr>
                  <w:r>
                    <w:rPr>
                      <w:color w:val="auto"/>
                      <w:szCs w:val="21"/>
                      <w:highlight w:val="none"/>
                    </w:rPr>
                    <w:t>/</w:t>
                  </w:r>
                </w:p>
              </w:tc>
              <w:tc>
                <w:tcPr>
                  <w:tcW w:w="875" w:type="dxa"/>
                  <w:shd w:val="clear" w:color="auto" w:fill="auto"/>
                  <w:vAlign w:val="center"/>
                </w:tcPr>
                <w:p w14:paraId="696963C4">
                  <w:pPr>
                    <w:pStyle w:val="82"/>
                    <w:spacing w:line="240" w:lineRule="auto"/>
                    <w:ind w:firstLine="0" w:firstLineChars="0"/>
                    <w:rPr>
                      <w:rFonts w:ascii="Times New Roman" w:hAnsi="Times New Roman" w:eastAsia="宋体" w:cs="Times New Roman"/>
                      <w:color w:val="auto"/>
                      <w:kern w:val="2"/>
                      <w:sz w:val="21"/>
                      <w:szCs w:val="21"/>
                      <w:highlight w:val="none"/>
                      <w:lang w:val="en-US" w:eastAsia="zh-CN" w:bidi="ar-SA"/>
                    </w:rPr>
                  </w:pPr>
                  <w:r>
                    <w:rPr>
                      <w:color w:val="auto"/>
                      <w:szCs w:val="21"/>
                      <w:highlight w:val="none"/>
                    </w:rPr>
                    <w:t>/</w:t>
                  </w:r>
                </w:p>
              </w:tc>
              <w:tc>
                <w:tcPr>
                  <w:tcW w:w="1250" w:type="dxa"/>
                  <w:shd w:val="clear" w:color="auto" w:fill="auto"/>
                  <w:vAlign w:val="center"/>
                </w:tcPr>
                <w:p w14:paraId="4452BAC8">
                  <w:pPr>
                    <w:pStyle w:val="82"/>
                    <w:spacing w:line="240" w:lineRule="auto"/>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0.09~0.097</w:t>
                  </w:r>
                </w:p>
              </w:tc>
              <w:tc>
                <w:tcPr>
                  <w:tcW w:w="751" w:type="dxa"/>
                  <w:shd w:val="clear" w:color="auto" w:fill="auto"/>
                  <w:vAlign w:val="center"/>
                </w:tcPr>
                <w:p w14:paraId="497594E4">
                  <w:pPr>
                    <w:pStyle w:val="82"/>
                    <w:spacing w:line="240" w:lineRule="auto"/>
                    <w:ind w:firstLine="0" w:firstLineChars="0"/>
                    <w:rPr>
                      <w:rFonts w:ascii="Times New Roman" w:hAnsi="Times New Roman" w:eastAsia="宋体" w:cs="Times New Roman"/>
                      <w:color w:val="auto"/>
                      <w:kern w:val="2"/>
                      <w:sz w:val="21"/>
                      <w:szCs w:val="21"/>
                      <w:highlight w:val="none"/>
                      <w:lang w:val="en-US" w:eastAsia="zh-CN" w:bidi="ar-SA"/>
                    </w:rPr>
                  </w:pPr>
                  <w:r>
                    <w:rPr>
                      <w:color w:val="auto"/>
                      <w:szCs w:val="21"/>
                      <w:highlight w:val="none"/>
                    </w:rPr>
                    <w:t>0</w:t>
                  </w:r>
                </w:p>
              </w:tc>
              <w:tc>
                <w:tcPr>
                  <w:tcW w:w="711" w:type="dxa"/>
                  <w:shd w:val="clear" w:color="auto" w:fill="auto"/>
                  <w:vAlign w:val="center"/>
                </w:tcPr>
                <w:p w14:paraId="4D54A1DD">
                  <w:pPr>
                    <w:pStyle w:val="82"/>
                    <w:spacing w:line="240" w:lineRule="auto"/>
                    <w:ind w:firstLine="0" w:firstLineChars="0"/>
                    <w:rPr>
                      <w:rFonts w:ascii="Times New Roman" w:hAnsi="Times New Roman" w:eastAsia="宋体" w:cs="Times New Roman"/>
                      <w:color w:val="auto"/>
                      <w:kern w:val="2"/>
                      <w:sz w:val="21"/>
                      <w:szCs w:val="21"/>
                      <w:highlight w:val="none"/>
                      <w:lang w:val="en-US" w:eastAsia="zh-CN" w:bidi="ar-SA"/>
                    </w:rPr>
                  </w:pPr>
                  <w:r>
                    <w:rPr>
                      <w:color w:val="auto"/>
                      <w:szCs w:val="21"/>
                      <w:highlight w:val="none"/>
                    </w:rPr>
                    <w:t>0</w:t>
                  </w:r>
                </w:p>
              </w:tc>
            </w:tr>
            <w:tr w14:paraId="38928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dxa"/>
                  <w:vAlign w:val="center"/>
                </w:tcPr>
                <w:p w14:paraId="5377AF7B">
                  <w:pPr>
                    <w:pStyle w:val="82"/>
                    <w:spacing w:line="240" w:lineRule="auto"/>
                    <w:ind w:firstLine="0"/>
                    <w:rPr>
                      <w:rFonts w:hint="eastAsia"/>
                      <w:color w:val="auto"/>
                      <w:szCs w:val="21"/>
                      <w:highlight w:val="none"/>
                      <w:lang w:val="en-US" w:eastAsia="zh-CN"/>
                    </w:rPr>
                  </w:pPr>
                  <w:r>
                    <w:rPr>
                      <w:rFonts w:hint="eastAsia"/>
                      <w:color w:val="auto"/>
                      <w:szCs w:val="21"/>
                      <w:highlight w:val="none"/>
                      <w:lang w:val="en-US" w:eastAsia="zh-CN"/>
                    </w:rPr>
                    <w:t>G</w:t>
                  </w:r>
                  <w:r>
                    <w:rPr>
                      <w:rFonts w:hint="eastAsia"/>
                      <w:color w:val="auto"/>
                      <w:szCs w:val="21"/>
                      <w:highlight w:val="none"/>
                      <w:vertAlign w:val="subscript"/>
                      <w:lang w:val="en-US" w:eastAsia="zh-CN"/>
                    </w:rPr>
                    <w:t>3</w:t>
                  </w:r>
                </w:p>
              </w:tc>
              <w:tc>
                <w:tcPr>
                  <w:tcW w:w="1270" w:type="dxa"/>
                  <w:vAlign w:val="center"/>
                </w:tcPr>
                <w:p w14:paraId="1B77137B">
                  <w:pPr>
                    <w:pStyle w:val="82"/>
                    <w:spacing w:line="240" w:lineRule="auto"/>
                    <w:ind w:firstLine="0"/>
                    <w:rPr>
                      <w:rFonts w:hint="eastAsia"/>
                      <w:color w:val="auto"/>
                      <w:szCs w:val="21"/>
                      <w:highlight w:val="none"/>
                      <w:lang w:val="en-US" w:eastAsia="zh-CN"/>
                    </w:rPr>
                  </w:pPr>
                  <w:r>
                    <w:rPr>
                      <w:rFonts w:hint="eastAsia"/>
                      <w:color w:val="auto"/>
                      <w:szCs w:val="21"/>
                      <w:highlight w:val="none"/>
                      <w:lang w:val="en-US" w:eastAsia="zh-CN"/>
                    </w:rPr>
                    <w:t>氟化物</w:t>
                  </w:r>
                </w:p>
              </w:tc>
              <w:tc>
                <w:tcPr>
                  <w:tcW w:w="1586" w:type="dxa"/>
                  <w:vAlign w:val="center"/>
                </w:tcPr>
                <w:p w14:paraId="32A736B0">
                  <w:pPr>
                    <w:pStyle w:val="82"/>
                    <w:spacing w:line="240" w:lineRule="auto"/>
                    <w:ind w:firstLine="0"/>
                    <w:rPr>
                      <w:rFonts w:hint="default"/>
                      <w:color w:val="auto"/>
                      <w:szCs w:val="21"/>
                      <w:highlight w:val="none"/>
                      <w:lang w:val="en-US" w:eastAsia="zh-CN"/>
                    </w:rPr>
                  </w:pPr>
                  <w:r>
                    <w:rPr>
                      <w:rFonts w:hint="eastAsia"/>
                      <w:color w:val="auto"/>
                      <w:szCs w:val="21"/>
                      <w:highlight w:val="none"/>
                      <w:lang w:val="en-US" w:eastAsia="zh-CN"/>
                    </w:rPr>
                    <w:t>0.0038~0.0094</w:t>
                  </w:r>
                </w:p>
              </w:tc>
              <w:tc>
                <w:tcPr>
                  <w:tcW w:w="751" w:type="dxa"/>
                  <w:vAlign w:val="center"/>
                </w:tcPr>
                <w:p w14:paraId="071D1AB2">
                  <w:pPr>
                    <w:pStyle w:val="82"/>
                    <w:spacing w:line="240" w:lineRule="auto"/>
                    <w:ind w:firstLine="0"/>
                    <w:rPr>
                      <w:rFonts w:hint="eastAsia"/>
                      <w:color w:val="auto"/>
                      <w:szCs w:val="21"/>
                      <w:highlight w:val="none"/>
                      <w:lang w:val="en-US" w:eastAsia="zh-CN"/>
                    </w:rPr>
                  </w:pPr>
                  <w:r>
                    <w:rPr>
                      <w:rFonts w:hint="eastAsia"/>
                      <w:color w:val="auto"/>
                      <w:szCs w:val="21"/>
                      <w:highlight w:val="none"/>
                      <w:lang w:val="en-US" w:eastAsia="zh-CN"/>
                    </w:rPr>
                    <w:t>0</w:t>
                  </w:r>
                </w:p>
              </w:tc>
              <w:tc>
                <w:tcPr>
                  <w:tcW w:w="875" w:type="dxa"/>
                  <w:vAlign w:val="center"/>
                </w:tcPr>
                <w:p w14:paraId="6A8BF878">
                  <w:pPr>
                    <w:pStyle w:val="82"/>
                    <w:spacing w:line="240" w:lineRule="auto"/>
                    <w:ind w:firstLine="0"/>
                    <w:rPr>
                      <w:rFonts w:hint="eastAsia"/>
                      <w:color w:val="auto"/>
                      <w:szCs w:val="21"/>
                      <w:highlight w:val="none"/>
                      <w:lang w:val="en-US" w:eastAsia="zh-CN"/>
                    </w:rPr>
                  </w:pPr>
                  <w:r>
                    <w:rPr>
                      <w:rFonts w:hint="eastAsia"/>
                      <w:color w:val="auto"/>
                      <w:szCs w:val="21"/>
                      <w:highlight w:val="none"/>
                      <w:lang w:val="en-US" w:eastAsia="zh-CN"/>
                    </w:rPr>
                    <w:t>0</w:t>
                  </w:r>
                </w:p>
              </w:tc>
              <w:tc>
                <w:tcPr>
                  <w:tcW w:w="1250" w:type="dxa"/>
                  <w:vAlign w:val="center"/>
                </w:tcPr>
                <w:p w14:paraId="3F1A21F4">
                  <w:pPr>
                    <w:pStyle w:val="82"/>
                    <w:spacing w:line="240" w:lineRule="auto"/>
                    <w:ind w:firstLine="0"/>
                    <w:rPr>
                      <w:rFonts w:hint="default"/>
                      <w:color w:val="auto"/>
                      <w:szCs w:val="21"/>
                      <w:highlight w:val="none"/>
                      <w:lang w:val="en-US" w:eastAsia="zh-CN"/>
                    </w:rPr>
                  </w:pPr>
                  <w:r>
                    <w:rPr>
                      <w:rFonts w:hint="eastAsia"/>
                      <w:color w:val="auto"/>
                      <w:szCs w:val="21"/>
                      <w:highlight w:val="none"/>
                      <w:lang w:val="en-US" w:eastAsia="zh-CN"/>
                    </w:rPr>
                    <w:t>＜0.007</w:t>
                  </w:r>
                </w:p>
              </w:tc>
              <w:tc>
                <w:tcPr>
                  <w:tcW w:w="751" w:type="dxa"/>
                  <w:vAlign w:val="center"/>
                </w:tcPr>
                <w:p w14:paraId="12881D4C">
                  <w:pPr>
                    <w:pStyle w:val="82"/>
                    <w:spacing w:line="240" w:lineRule="auto"/>
                    <w:ind w:firstLine="0"/>
                    <w:rPr>
                      <w:rFonts w:hint="eastAsia"/>
                      <w:color w:val="auto"/>
                      <w:szCs w:val="21"/>
                      <w:highlight w:val="none"/>
                      <w:lang w:val="en-US" w:eastAsia="zh-CN"/>
                    </w:rPr>
                  </w:pPr>
                  <w:r>
                    <w:rPr>
                      <w:rFonts w:hint="eastAsia"/>
                      <w:color w:val="auto"/>
                      <w:szCs w:val="21"/>
                      <w:highlight w:val="none"/>
                      <w:lang w:val="en-US" w:eastAsia="zh-CN"/>
                    </w:rPr>
                    <w:t>0</w:t>
                  </w:r>
                </w:p>
              </w:tc>
              <w:tc>
                <w:tcPr>
                  <w:tcW w:w="711" w:type="dxa"/>
                  <w:vAlign w:val="center"/>
                </w:tcPr>
                <w:p w14:paraId="40B5A1F1">
                  <w:pPr>
                    <w:pStyle w:val="82"/>
                    <w:spacing w:line="240" w:lineRule="auto"/>
                    <w:ind w:firstLine="0"/>
                    <w:rPr>
                      <w:rFonts w:hint="eastAsia"/>
                      <w:color w:val="auto"/>
                      <w:szCs w:val="21"/>
                      <w:highlight w:val="none"/>
                      <w:lang w:val="en-US" w:eastAsia="zh-CN"/>
                    </w:rPr>
                  </w:pPr>
                  <w:r>
                    <w:rPr>
                      <w:rFonts w:hint="eastAsia"/>
                      <w:color w:val="auto"/>
                      <w:szCs w:val="21"/>
                      <w:highlight w:val="none"/>
                      <w:lang w:val="en-US" w:eastAsia="zh-CN"/>
                    </w:rPr>
                    <w:t>0</w:t>
                  </w:r>
                </w:p>
              </w:tc>
            </w:tr>
          </w:tbl>
          <w:p w14:paraId="10014EDA">
            <w:pPr>
              <w:spacing w:line="360" w:lineRule="auto"/>
              <w:ind w:firstLine="482"/>
              <w:rPr>
                <w:b/>
                <w:color w:val="auto"/>
                <w:sz w:val="24"/>
                <w:highlight w:val="none"/>
              </w:rPr>
            </w:pPr>
            <w:r>
              <w:rPr>
                <w:b/>
                <w:color w:val="auto"/>
                <w:sz w:val="24"/>
                <w:highlight w:val="none"/>
              </w:rPr>
              <w:t>（5）评价方法</w:t>
            </w:r>
          </w:p>
          <w:p w14:paraId="374BA063">
            <w:pPr>
              <w:spacing w:line="360" w:lineRule="auto"/>
              <w:ind w:firstLine="480"/>
              <w:rPr>
                <w:color w:val="auto"/>
                <w:sz w:val="24"/>
                <w:highlight w:val="none"/>
              </w:rPr>
            </w:pPr>
            <w:r>
              <w:rPr>
                <w:color w:val="auto"/>
                <w:sz w:val="24"/>
                <w:highlight w:val="none"/>
              </w:rPr>
              <w:t>大气环境质量现状评价采用单因子指数法，计算公式为：</w:t>
            </w:r>
          </w:p>
          <w:p w14:paraId="422A4F5D">
            <w:pPr>
              <w:spacing w:line="360" w:lineRule="auto"/>
              <w:ind w:firstLine="482"/>
              <w:jc w:val="center"/>
              <w:rPr>
                <w:color w:val="auto"/>
                <w:sz w:val="24"/>
                <w:highlight w:val="none"/>
              </w:rPr>
            </w:pPr>
            <w:r>
              <w:rPr>
                <w:color w:val="auto"/>
                <w:sz w:val="24"/>
                <w:highlight w:val="none"/>
              </w:rPr>
              <w:t>I</w:t>
            </w:r>
            <w:r>
              <w:rPr>
                <w:color w:val="auto"/>
                <w:sz w:val="24"/>
                <w:highlight w:val="none"/>
                <w:vertAlign w:val="subscript"/>
              </w:rPr>
              <w:t>ij</w:t>
            </w:r>
            <w:r>
              <w:rPr>
                <w:color w:val="auto"/>
                <w:sz w:val="24"/>
                <w:highlight w:val="none"/>
              </w:rPr>
              <w:t>=C</w:t>
            </w:r>
            <w:r>
              <w:rPr>
                <w:color w:val="auto"/>
                <w:sz w:val="24"/>
                <w:highlight w:val="none"/>
                <w:vertAlign w:val="subscript"/>
              </w:rPr>
              <w:t>ij</w:t>
            </w:r>
            <w:r>
              <w:rPr>
                <w:color w:val="auto"/>
                <w:sz w:val="24"/>
                <w:highlight w:val="none"/>
              </w:rPr>
              <w:t>/C</w:t>
            </w:r>
            <w:r>
              <w:rPr>
                <w:color w:val="auto"/>
                <w:sz w:val="24"/>
                <w:highlight w:val="none"/>
                <w:vertAlign w:val="subscript"/>
              </w:rPr>
              <w:t>sj</w:t>
            </w:r>
          </w:p>
          <w:p w14:paraId="51E9998E">
            <w:pPr>
              <w:spacing w:line="360" w:lineRule="auto"/>
              <w:ind w:firstLine="480"/>
              <w:rPr>
                <w:color w:val="auto"/>
                <w:sz w:val="24"/>
                <w:highlight w:val="none"/>
              </w:rPr>
            </w:pPr>
            <w:r>
              <w:rPr>
                <w:color w:val="auto"/>
                <w:sz w:val="24"/>
                <w:highlight w:val="none"/>
              </w:rPr>
              <w:t>式中：I</w:t>
            </w:r>
            <w:r>
              <w:rPr>
                <w:color w:val="auto"/>
                <w:sz w:val="24"/>
                <w:highlight w:val="none"/>
                <w:vertAlign w:val="subscript"/>
              </w:rPr>
              <w:t>ij</w:t>
            </w:r>
            <w:r>
              <w:rPr>
                <w:color w:val="auto"/>
                <w:sz w:val="24"/>
                <w:highlight w:val="none"/>
              </w:rPr>
              <w:t>：第i种污染物在第j点的标准指数；</w:t>
            </w:r>
          </w:p>
          <w:p w14:paraId="4BFA9DCF">
            <w:pPr>
              <w:spacing w:line="360" w:lineRule="auto"/>
              <w:ind w:firstLine="480"/>
              <w:rPr>
                <w:color w:val="auto"/>
                <w:sz w:val="24"/>
                <w:highlight w:val="none"/>
              </w:rPr>
            </w:pPr>
            <w:r>
              <w:rPr>
                <w:color w:val="auto"/>
                <w:sz w:val="24"/>
                <w:highlight w:val="none"/>
              </w:rPr>
              <w:t xml:space="preserve">      C</w:t>
            </w:r>
            <w:r>
              <w:rPr>
                <w:color w:val="auto"/>
                <w:sz w:val="24"/>
                <w:highlight w:val="none"/>
                <w:vertAlign w:val="subscript"/>
              </w:rPr>
              <w:t>ij</w:t>
            </w:r>
            <w:r>
              <w:rPr>
                <w:color w:val="auto"/>
                <w:sz w:val="24"/>
                <w:highlight w:val="none"/>
              </w:rPr>
              <w:t>：第i种污染物在第j点的监测值，mg/m</w:t>
            </w:r>
            <w:r>
              <w:rPr>
                <w:color w:val="auto"/>
                <w:sz w:val="24"/>
                <w:highlight w:val="none"/>
                <w:vertAlign w:val="superscript"/>
              </w:rPr>
              <w:t>3</w:t>
            </w:r>
            <w:r>
              <w:rPr>
                <w:color w:val="auto"/>
                <w:sz w:val="24"/>
                <w:highlight w:val="none"/>
              </w:rPr>
              <w:t>；</w:t>
            </w:r>
          </w:p>
          <w:p w14:paraId="17DBC7E7">
            <w:pPr>
              <w:spacing w:line="360" w:lineRule="auto"/>
              <w:ind w:firstLine="480"/>
              <w:rPr>
                <w:color w:val="auto"/>
                <w:sz w:val="24"/>
                <w:highlight w:val="none"/>
              </w:rPr>
            </w:pPr>
            <w:r>
              <w:rPr>
                <w:color w:val="auto"/>
                <w:sz w:val="24"/>
                <w:highlight w:val="none"/>
              </w:rPr>
              <w:t xml:space="preserve">      C</w:t>
            </w:r>
            <w:r>
              <w:rPr>
                <w:color w:val="auto"/>
                <w:sz w:val="24"/>
                <w:highlight w:val="none"/>
                <w:vertAlign w:val="subscript"/>
              </w:rPr>
              <w:t>sj</w:t>
            </w:r>
            <w:r>
              <w:rPr>
                <w:color w:val="auto"/>
                <w:sz w:val="24"/>
                <w:highlight w:val="none"/>
              </w:rPr>
              <w:t>：第i种污染物的评价标准，mg/m</w:t>
            </w:r>
            <w:r>
              <w:rPr>
                <w:color w:val="auto"/>
                <w:sz w:val="24"/>
                <w:highlight w:val="none"/>
                <w:vertAlign w:val="superscript"/>
              </w:rPr>
              <w:t>3</w:t>
            </w:r>
            <w:r>
              <w:rPr>
                <w:color w:val="auto"/>
                <w:sz w:val="24"/>
                <w:highlight w:val="none"/>
              </w:rPr>
              <w:t>；</w:t>
            </w:r>
          </w:p>
          <w:p w14:paraId="125910FA">
            <w:pPr>
              <w:spacing w:line="360" w:lineRule="auto"/>
              <w:ind w:firstLine="480"/>
              <w:rPr>
                <w:color w:val="auto"/>
                <w:sz w:val="24"/>
                <w:highlight w:val="none"/>
              </w:rPr>
            </w:pPr>
            <w:r>
              <w:rPr>
                <w:color w:val="auto"/>
                <w:sz w:val="24"/>
                <w:highlight w:val="none"/>
              </w:rPr>
              <w:t>当以上公式计算的污染指数I</w:t>
            </w:r>
            <w:r>
              <w:rPr>
                <w:color w:val="auto"/>
                <w:sz w:val="24"/>
                <w:highlight w:val="none"/>
                <w:vertAlign w:val="subscript"/>
              </w:rPr>
              <w:t>ij</w:t>
            </w:r>
            <w:r>
              <w:rPr>
                <w:color w:val="auto"/>
                <w:sz w:val="24"/>
                <w:highlight w:val="none"/>
              </w:rPr>
              <w:t>≥1时，即表明该项指标已经超过了规定的质量标准。</w:t>
            </w:r>
          </w:p>
          <w:p w14:paraId="38830750">
            <w:pPr>
              <w:spacing w:line="360" w:lineRule="auto"/>
              <w:ind w:firstLine="482"/>
              <w:rPr>
                <w:b/>
                <w:color w:val="auto"/>
                <w:sz w:val="24"/>
                <w:highlight w:val="none"/>
              </w:rPr>
            </w:pPr>
            <w:r>
              <w:rPr>
                <w:b/>
                <w:color w:val="auto"/>
                <w:sz w:val="24"/>
                <w:highlight w:val="none"/>
              </w:rPr>
              <w:t>（6）评价结果</w:t>
            </w:r>
          </w:p>
          <w:p w14:paraId="55368A7C">
            <w:pPr>
              <w:spacing w:line="360" w:lineRule="auto"/>
              <w:ind w:firstLine="480"/>
              <w:rPr>
                <w:color w:val="auto"/>
                <w:sz w:val="24"/>
                <w:highlight w:val="none"/>
              </w:rPr>
            </w:pPr>
            <w:r>
              <w:rPr>
                <w:color w:val="auto"/>
                <w:sz w:val="24"/>
                <w:highlight w:val="none"/>
              </w:rPr>
              <w:t>按照上述评价方法，本次区域大气环境质量现状评价结果汇总见表3.1.1-</w:t>
            </w:r>
            <w:r>
              <w:rPr>
                <w:rFonts w:hint="eastAsia"/>
                <w:color w:val="auto"/>
                <w:sz w:val="24"/>
                <w:highlight w:val="none"/>
                <w:lang w:val="en-US" w:eastAsia="zh-CN"/>
              </w:rPr>
              <w:t>5</w:t>
            </w:r>
            <w:r>
              <w:rPr>
                <w:color w:val="auto"/>
                <w:sz w:val="24"/>
                <w:highlight w:val="none"/>
              </w:rPr>
              <w:t>。</w:t>
            </w:r>
          </w:p>
          <w:p w14:paraId="6DCD54B8">
            <w:pPr>
              <w:spacing w:line="400" w:lineRule="exact"/>
              <w:jc w:val="center"/>
              <w:rPr>
                <w:b/>
                <w:bCs/>
                <w:color w:val="auto"/>
                <w:szCs w:val="21"/>
                <w:highlight w:val="none"/>
              </w:rPr>
            </w:pPr>
            <w:r>
              <w:rPr>
                <w:b/>
                <w:bCs/>
                <w:color w:val="auto"/>
                <w:szCs w:val="21"/>
                <w:highlight w:val="none"/>
              </w:rPr>
              <w:t>表3.1.1-</w:t>
            </w:r>
            <w:r>
              <w:rPr>
                <w:rFonts w:hint="eastAsia"/>
                <w:b/>
                <w:bCs/>
                <w:color w:val="auto"/>
                <w:szCs w:val="21"/>
                <w:highlight w:val="none"/>
                <w:lang w:val="en-US" w:eastAsia="zh-CN"/>
              </w:rPr>
              <w:t>5</w:t>
            </w:r>
            <w:r>
              <w:rPr>
                <w:b/>
                <w:bCs/>
                <w:color w:val="auto"/>
                <w:szCs w:val="21"/>
                <w:highlight w:val="none"/>
              </w:rPr>
              <w:t xml:space="preserve">  大气环境质量现状评价结果一览表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2"/>
              <w:gridCol w:w="1206"/>
              <w:gridCol w:w="1671"/>
              <w:gridCol w:w="1503"/>
              <w:gridCol w:w="1503"/>
              <w:gridCol w:w="1334"/>
            </w:tblGrid>
            <w:tr w14:paraId="7828E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2" w:type="dxa"/>
                  <w:vMerge w:val="restart"/>
                  <w:vAlign w:val="center"/>
                </w:tcPr>
                <w:p w14:paraId="6F41BBAA">
                  <w:pPr>
                    <w:pStyle w:val="82"/>
                    <w:spacing w:line="240" w:lineRule="auto"/>
                    <w:ind w:firstLine="0"/>
                    <w:rPr>
                      <w:b/>
                      <w:bCs/>
                      <w:color w:val="auto"/>
                      <w:szCs w:val="21"/>
                      <w:highlight w:val="none"/>
                    </w:rPr>
                  </w:pPr>
                  <w:r>
                    <w:rPr>
                      <w:b/>
                      <w:bCs/>
                      <w:color w:val="auto"/>
                      <w:szCs w:val="21"/>
                      <w:highlight w:val="none"/>
                    </w:rPr>
                    <w:t>监测点位</w:t>
                  </w:r>
                </w:p>
              </w:tc>
              <w:tc>
                <w:tcPr>
                  <w:tcW w:w="1205" w:type="dxa"/>
                  <w:vMerge w:val="restart"/>
                  <w:vAlign w:val="center"/>
                </w:tcPr>
                <w:p w14:paraId="41DFEF0B">
                  <w:pPr>
                    <w:pStyle w:val="82"/>
                    <w:spacing w:line="240" w:lineRule="auto"/>
                    <w:ind w:firstLine="0"/>
                    <w:rPr>
                      <w:b/>
                      <w:bCs/>
                      <w:color w:val="auto"/>
                      <w:szCs w:val="21"/>
                      <w:highlight w:val="none"/>
                    </w:rPr>
                  </w:pPr>
                  <w:r>
                    <w:rPr>
                      <w:b/>
                      <w:bCs/>
                      <w:color w:val="auto"/>
                      <w:szCs w:val="21"/>
                      <w:highlight w:val="none"/>
                    </w:rPr>
                    <w:t>监测项目</w:t>
                  </w:r>
                </w:p>
              </w:tc>
              <w:tc>
                <w:tcPr>
                  <w:tcW w:w="3172" w:type="dxa"/>
                  <w:gridSpan w:val="2"/>
                  <w:vAlign w:val="center"/>
                </w:tcPr>
                <w:p w14:paraId="5DA201FB">
                  <w:pPr>
                    <w:pStyle w:val="82"/>
                    <w:spacing w:line="240" w:lineRule="auto"/>
                    <w:ind w:firstLine="0"/>
                    <w:rPr>
                      <w:b/>
                      <w:bCs/>
                      <w:color w:val="auto"/>
                      <w:szCs w:val="21"/>
                      <w:highlight w:val="none"/>
                    </w:rPr>
                  </w:pPr>
                  <w:r>
                    <w:rPr>
                      <w:b/>
                      <w:bCs/>
                      <w:color w:val="auto"/>
                      <w:szCs w:val="21"/>
                      <w:highlight w:val="none"/>
                    </w:rPr>
                    <w:t>1小时（一次）平均浓度污染指数</w:t>
                  </w:r>
                </w:p>
              </w:tc>
              <w:tc>
                <w:tcPr>
                  <w:tcW w:w="2835" w:type="dxa"/>
                  <w:gridSpan w:val="2"/>
                  <w:vAlign w:val="center"/>
                </w:tcPr>
                <w:p w14:paraId="5E444BB5">
                  <w:pPr>
                    <w:pStyle w:val="82"/>
                    <w:spacing w:line="240" w:lineRule="auto"/>
                    <w:ind w:firstLine="0"/>
                    <w:rPr>
                      <w:b/>
                      <w:bCs/>
                      <w:color w:val="auto"/>
                      <w:szCs w:val="21"/>
                      <w:highlight w:val="none"/>
                    </w:rPr>
                  </w:pPr>
                  <w:r>
                    <w:rPr>
                      <w:b/>
                      <w:bCs/>
                      <w:color w:val="auto"/>
                      <w:szCs w:val="21"/>
                      <w:highlight w:val="none"/>
                    </w:rPr>
                    <w:t>日平均浓度污染指数</w:t>
                  </w:r>
                </w:p>
              </w:tc>
            </w:tr>
            <w:tr w14:paraId="39AF5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 w:hRule="atLeast"/>
                <w:jc w:val="center"/>
              </w:trPr>
              <w:tc>
                <w:tcPr>
                  <w:tcW w:w="752" w:type="dxa"/>
                  <w:vMerge w:val="continue"/>
                  <w:vAlign w:val="center"/>
                </w:tcPr>
                <w:p w14:paraId="5D4D44F2">
                  <w:pPr>
                    <w:pStyle w:val="82"/>
                    <w:spacing w:line="240" w:lineRule="auto"/>
                    <w:ind w:firstLine="0"/>
                    <w:rPr>
                      <w:b/>
                      <w:bCs/>
                      <w:color w:val="auto"/>
                      <w:szCs w:val="21"/>
                      <w:highlight w:val="none"/>
                    </w:rPr>
                  </w:pPr>
                </w:p>
              </w:tc>
              <w:tc>
                <w:tcPr>
                  <w:tcW w:w="1205" w:type="dxa"/>
                  <w:vMerge w:val="continue"/>
                  <w:vAlign w:val="center"/>
                </w:tcPr>
                <w:p w14:paraId="4050B190">
                  <w:pPr>
                    <w:pStyle w:val="82"/>
                    <w:spacing w:line="240" w:lineRule="auto"/>
                    <w:ind w:firstLine="0"/>
                    <w:rPr>
                      <w:b/>
                      <w:bCs/>
                      <w:color w:val="auto"/>
                      <w:szCs w:val="21"/>
                      <w:highlight w:val="none"/>
                    </w:rPr>
                  </w:pPr>
                </w:p>
              </w:tc>
              <w:tc>
                <w:tcPr>
                  <w:tcW w:w="1670" w:type="dxa"/>
                  <w:vAlign w:val="center"/>
                </w:tcPr>
                <w:p w14:paraId="18545CB6">
                  <w:pPr>
                    <w:pStyle w:val="82"/>
                    <w:spacing w:line="240" w:lineRule="auto"/>
                    <w:ind w:firstLine="0"/>
                    <w:rPr>
                      <w:b/>
                      <w:bCs/>
                      <w:color w:val="auto"/>
                      <w:szCs w:val="21"/>
                      <w:highlight w:val="none"/>
                    </w:rPr>
                  </w:pPr>
                  <w:r>
                    <w:rPr>
                      <w:b/>
                      <w:bCs/>
                      <w:color w:val="auto"/>
                      <w:szCs w:val="21"/>
                      <w:highlight w:val="none"/>
                    </w:rPr>
                    <w:t>最小值</w:t>
                  </w:r>
                </w:p>
              </w:tc>
              <w:tc>
                <w:tcPr>
                  <w:tcW w:w="1502" w:type="dxa"/>
                  <w:vAlign w:val="center"/>
                </w:tcPr>
                <w:p w14:paraId="603D96A2">
                  <w:pPr>
                    <w:pStyle w:val="82"/>
                    <w:spacing w:line="240" w:lineRule="auto"/>
                    <w:ind w:firstLine="0"/>
                    <w:rPr>
                      <w:b/>
                      <w:bCs/>
                      <w:color w:val="auto"/>
                      <w:szCs w:val="21"/>
                      <w:highlight w:val="none"/>
                    </w:rPr>
                  </w:pPr>
                  <w:r>
                    <w:rPr>
                      <w:b/>
                      <w:bCs/>
                      <w:color w:val="auto"/>
                      <w:szCs w:val="21"/>
                      <w:highlight w:val="none"/>
                    </w:rPr>
                    <w:t>最大值</w:t>
                  </w:r>
                </w:p>
              </w:tc>
              <w:tc>
                <w:tcPr>
                  <w:tcW w:w="1502" w:type="dxa"/>
                  <w:vAlign w:val="center"/>
                </w:tcPr>
                <w:p w14:paraId="021B73AE">
                  <w:pPr>
                    <w:pStyle w:val="82"/>
                    <w:spacing w:line="240" w:lineRule="auto"/>
                    <w:ind w:firstLine="0"/>
                    <w:rPr>
                      <w:b/>
                      <w:bCs/>
                      <w:color w:val="auto"/>
                      <w:szCs w:val="21"/>
                      <w:highlight w:val="none"/>
                    </w:rPr>
                  </w:pPr>
                  <w:r>
                    <w:rPr>
                      <w:b/>
                      <w:bCs/>
                      <w:color w:val="auto"/>
                      <w:szCs w:val="21"/>
                      <w:highlight w:val="none"/>
                    </w:rPr>
                    <w:t>最小值</w:t>
                  </w:r>
                </w:p>
              </w:tc>
              <w:tc>
                <w:tcPr>
                  <w:tcW w:w="1333" w:type="dxa"/>
                  <w:vAlign w:val="center"/>
                </w:tcPr>
                <w:p w14:paraId="2A98A12D">
                  <w:pPr>
                    <w:pStyle w:val="82"/>
                    <w:spacing w:line="240" w:lineRule="auto"/>
                    <w:ind w:firstLine="0"/>
                    <w:rPr>
                      <w:b/>
                      <w:bCs/>
                      <w:color w:val="auto"/>
                      <w:szCs w:val="21"/>
                      <w:highlight w:val="none"/>
                    </w:rPr>
                  </w:pPr>
                  <w:r>
                    <w:rPr>
                      <w:b/>
                      <w:bCs/>
                      <w:color w:val="auto"/>
                      <w:szCs w:val="21"/>
                      <w:highlight w:val="none"/>
                    </w:rPr>
                    <w:t>最大值</w:t>
                  </w:r>
                </w:p>
              </w:tc>
            </w:tr>
            <w:tr w14:paraId="1F760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2" w:type="dxa"/>
                  <w:vMerge w:val="restart"/>
                  <w:vAlign w:val="center"/>
                </w:tcPr>
                <w:p w14:paraId="5858C8B4">
                  <w:pPr>
                    <w:pStyle w:val="82"/>
                    <w:spacing w:line="240" w:lineRule="auto"/>
                    <w:ind w:firstLine="0"/>
                    <w:rPr>
                      <w:color w:val="auto"/>
                      <w:szCs w:val="21"/>
                      <w:highlight w:val="none"/>
                    </w:rPr>
                  </w:pPr>
                  <w:r>
                    <w:rPr>
                      <w:color w:val="auto"/>
                      <w:szCs w:val="21"/>
                      <w:highlight w:val="none"/>
                    </w:rPr>
                    <w:t>G</w:t>
                  </w:r>
                  <w:r>
                    <w:rPr>
                      <w:color w:val="auto"/>
                      <w:szCs w:val="21"/>
                      <w:highlight w:val="none"/>
                      <w:vertAlign w:val="subscript"/>
                    </w:rPr>
                    <w:t>1</w:t>
                  </w:r>
                </w:p>
              </w:tc>
              <w:tc>
                <w:tcPr>
                  <w:tcW w:w="1205" w:type="dxa"/>
                  <w:vAlign w:val="center"/>
                </w:tcPr>
                <w:p w14:paraId="25050B7C">
                  <w:pPr>
                    <w:pStyle w:val="82"/>
                    <w:spacing w:line="240" w:lineRule="auto"/>
                    <w:ind w:firstLine="0"/>
                    <w:rPr>
                      <w:rFonts w:hint="eastAsia" w:eastAsia="宋体"/>
                      <w:color w:val="auto"/>
                      <w:szCs w:val="21"/>
                      <w:highlight w:val="none"/>
                      <w:lang w:eastAsia="zh-CN"/>
                    </w:rPr>
                  </w:pPr>
                  <w:r>
                    <w:rPr>
                      <w:rFonts w:hint="eastAsia"/>
                      <w:color w:val="auto"/>
                      <w:szCs w:val="21"/>
                      <w:highlight w:val="none"/>
                      <w:lang w:val="en-US" w:eastAsia="zh-CN"/>
                    </w:rPr>
                    <w:t>氯化氢</w:t>
                  </w:r>
                </w:p>
              </w:tc>
              <w:tc>
                <w:tcPr>
                  <w:tcW w:w="1670" w:type="dxa"/>
                  <w:vAlign w:val="center"/>
                </w:tcPr>
                <w:p w14:paraId="3D63B247">
                  <w:pPr>
                    <w:pStyle w:val="82"/>
                    <w:spacing w:line="240" w:lineRule="auto"/>
                    <w:ind w:firstLine="0"/>
                    <w:rPr>
                      <w:rFonts w:hint="default" w:eastAsia="宋体"/>
                      <w:color w:val="auto"/>
                      <w:szCs w:val="21"/>
                      <w:highlight w:val="none"/>
                      <w:lang w:val="en-US" w:eastAsia="zh-CN"/>
                    </w:rPr>
                  </w:pPr>
                  <w:r>
                    <w:rPr>
                      <w:rFonts w:hint="eastAsia"/>
                      <w:color w:val="auto"/>
                      <w:szCs w:val="21"/>
                      <w:highlight w:val="none"/>
                      <w:lang w:val="en-US" w:eastAsia="zh-CN"/>
                    </w:rPr>
                    <w:t>＜0.4</w:t>
                  </w:r>
                </w:p>
              </w:tc>
              <w:tc>
                <w:tcPr>
                  <w:tcW w:w="1502" w:type="dxa"/>
                  <w:vAlign w:val="center"/>
                </w:tcPr>
                <w:p w14:paraId="70927CF6">
                  <w:pPr>
                    <w:pStyle w:val="82"/>
                    <w:spacing w:line="240" w:lineRule="auto"/>
                    <w:ind w:firstLine="0"/>
                    <w:rPr>
                      <w:color w:val="auto"/>
                      <w:szCs w:val="21"/>
                      <w:highlight w:val="none"/>
                    </w:rPr>
                  </w:pPr>
                  <w:r>
                    <w:rPr>
                      <w:rFonts w:hint="eastAsia"/>
                      <w:color w:val="auto"/>
                      <w:szCs w:val="21"/>
                      <w:highlight w:val="none"/>
                      <w:lang w:val="en-US" w:eastAsia="zh-CN"/>
                    </w:rPr>
                    <w:t>＜0.4</w:t>
                  </w:r>
                </w:p>
              </w:tc>
              <w:tc>
                <w:tcPr>
                  <w:tcW w:w="1502" w:type="dxa"/>
                  <w:vAlign w:val="center"/>
                </w:tcPr>
                <w:p w14:paraId="1503BBCC">
                  <w:pPr>
                    <w:pStyle w:val="82"/>
                    <w:spacing w:line="240" w:lineRule="auto"/>
                    <w:ind w:firstLine="0"/>
                    <w:rPr>
                      <w:color w:val="auto"/>
                      <w:szCs w:val="21"/>
                      <w:highlight w:val="none"/>
                    </w:rPr>
                  </w:pPr>
                  <w:r>
                    <w:rPr>
                      <w:color w:val="auto"/>
                      <w:szCs w:val="21"/>
                      <w:highlight w:val="none"/>
                    </w:rPr>
                    <w:t>/</w:t>
                  </w:r>
                </w:p>
              </w:tc>
              <w:tc>
                <w:tcPr>
                  <w:tcW w:w="1333" w:type="dxa"/>
                  <w:vAlign w:val="center"/>
                </w:tcPr>
                <w:p w14:paraId="1A005802">
                  <w:pPr>
                    <w:pStyle w:val="82"/>
                    <w:spacing w:line="240" w:lineRule="auto"/>
                    <w:ind w:firstLine="0"/>
                    <w:rPr>
                      <w:color w:val="auto"/>
                      <w:szCs w:val="21"/>
                      <w:highlight w:val="none"/>
                    </w:rPr>
                  </w:pPr>
                  <w:r>
                    <w:rPr>
                      <w:color w:val="auto"/>
                      <w:szCs w:val="21"/>
                      <w:highlight w:val="none"/>
                    </w:rPr>
                    <w:t>/</w:t>
                  </w:r>
                </w:p>
              </w:tc>
            </w:tr>
            <w:tr w14:paraId="5AC91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2" w:type="dxa"/>
                  <w:vMerge w:val="continue"/>
                  <w:vAlign w:val="center"/>
                </w:tcPr>
                <w:p w14:paraId="48B4598A">
                  <w:pPr>
                    <w:pStyle w:val="82"/>
                    <w:spacing w:line="240" w:lineRule="auto"/>
                    <w:ind w:firstLine="0"/>
                    <w:rPr>
                      <w:color w:val="auto"/>
                      <w:szCs w:val="21"/>
                      <w:highlight w:val="none"/>
                    </w:rPr>
                  </w:pPr>
                </w:p>
              </w:tc>
              <w:tc>
                <w:tcPr>
                  <w:tcW w:w="1205" w:type="dxa"/>
                  <w:vAlign w:val="center"/>
                </w:tcPr>
                <w:p w14:paraId="6035C40F">
                  <w:pPr>
                    <w:pStyle w:val="82"/>
                    <w:spacing w:line="240" w:lineRule="auto"/>
                    <w:ind w:firstLine="0"/>
                    <w:rPr>
                      <w:color w:val="auto"/>
                      <w:szCs w:val="21"/>
                      <w:highlight w:val="none"/>
                    </w:rPr>
                  </w:pPr>
                  <w:r>
                    <w:rPr>
                      <w:color w:val="auto"/>
                      <w:szCs w:val="21"/>
                      <w:highlight w:val="none"/>
                    </w:rPr>
                    <w:t>TSP</w:t>
                  </w:r>
                </w:p>
              </w:tc>
              <w:tc>
                <w:tcPr>
                  <w:tcW w:w="1670" w:type="dxa"/>
                  <w:vAlign w:val="center"/>
                </w:tcPr>
                <w:p w14:paraId="3E6E403D">
                  <w:pPr>
                    <w:pStyle w:val="82"/>
                    <w:spacing w:line="240" w:lineRule="auto"/>
                    <w:ind w:firstLine="0" w:firstLineChars="0"/>
                    <w:rPr>
                      <w:color w:val="auto"/>
                      <w:szCs w:val="21"/>
                      <w:highlight w:val="none"/>
                    </w:rPr>
                  </w:pPr>
                  <w:r>
                    <w:rPr>
                      <w:color w:val="auto"/>
                      <w:szCs w:val="21"/>
                      <w:highlight w:val="none"/>
                    </w:rPr>
                    <w:t>/</w:t>
                  </w:r>
                </w:p>
              </w:tc>
              <w:tc>
                <w:tcPr>
                  <w:tcW w:w="1502" w:type="dxa"/>
                  <w:vAlign w:val="center"/>
                </w:tcPr>
                <w:p w14:paraId="716F36DA">
                  <w:pPr>
                    <w:pStyle w:val="82"/>
                    <w:spacing w:line="240" w:lineRule="auto"/>
                    <w:ind w:firstLine="0" w:firstLineChars="0"/>
                    <w:rPr>
                      <w:color w:val="auto"/>
                      <w:szCs w:val="21"/>
                      <w:highlight w:val="none"/>
                    </w:rPr>
                  </w:pPr>
                  <w:r>
                    <w:rPr>
                      <w:color w:val="auto"/>
                      <w:szCs w:val="21"/>
                      <w:highlight w:val="none"/>
                    </w:rPr>
                    <w:t>/</w:t>
                  </w:r>
                </w:p>
              </w:tc>
              <w:tc>
                <w:tcPr>
                  <w:tcW w:w="1502" w:type="dxa"/>
                  <w:vAlign w:val="center"/>
                </w:tcPr>
                <w:p w14:paraId="29C77A53">
                  <w:pPr>
                    <w:pStyle w:val="82"/>
                    <w:spacing w:line="240" w:lineRule="auto"/>
                    <w:ind w:firstLine="0"/>
                    <w:rPr>
                      <w:rFonts w:hint="default" w:eastAsia="宋体"/>
                      <w:color w:val="auto"/>
                      <w:szCs w:val="21"/>
                      <w:highlight w:val="none"/>
                      <w:lang w:val="en-US" w:eastAsia="zh-CN"/>
                    </w:rPr>
                  </w:pPr>
                  <w:r>
                    <w:rPr>
                      <w:rFonts w:hint="eastAsia"/>
                      <w:color w:val="auto"/>
                      <w:szCs w:val="21"/>
                      <w:highlight w:val="none"/>
                      <w:lang w:val="en-US" w:eastAsia="zh-CN"/>
                    </w:rPr>
                    <w:t>0.3</w:t>
                  </w:r>
                </w:p>
              </w:tc>
              <w:tc>
                <w:tcPr>
                  <w:tcW w:w="1333" w:type="dxa"/>
                  <w:vAlign w:val="center"/>
                </w:tcPr>
                <w:p w14:paraId="219A24CC">
                  <w:pPr>
                    <w:pStyle w:val="82"/>
                    <w:spacing w:line="240" w:lineRule="auto"/>
                    <w:ind w:firstLine="0"/>
                    <w:rPr>
                      <w:rFonts w:hint="default" w:eastAsia="宋体"/>
                      <w:color w:val="auto"/>
                      <w:szCs w:val="21"/>
                      <w:highlight w:val="none"/>
                      <w:lang w:val="en-US" w:eastAsia="zh-CN"/>
                    </w:rPr>
                  </w:pPr>
                  <w:r>
                    <w:rPr>
                      <w:rFonts w:hint="eastAsia"/>
                      <w:color w:val="auto"/>
                      <w:szCs w:val="21"/>
                      <w:highlight w:val="none"/>
                      <w:lang w:val="en-US" w:eastAsia="zh-CN"/>
                    </w:rPr>
                    <w:t>0.32</w:t>
                  </w:r>
                </w:p>
              </w:tc>
            </w:tr>
            <w:tr w14:paraId="2C83C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2" w:type="dxa"/>
                  <w:vAlign w:val="center"/>
                </w:tcPr>
                <w:p w14:paraId="0BF398B3">
                  <w:pPr>
                    <w:pStyle w:val="82"/>
                    <w:spacing w:line="240" w:lineRule="auto"/>
                    <w:ind w:firstLine="0"/>
                    <w:rPr>
                      <w:color w:val="auto"/>
                      <w:szCs w:val="21"/>
                      <w:highlight w:val="none"/>
                    </w:rPr>
                  </w:pPr>
                  <w:r>
                    <w:rPr>
                      <w:color w:val="auto"/>
                      <w:szCs w:val="21"/>
                      <w:highlight w:val="none"/>
                    </w:rPr>
                    <w:t>G</w:t>
                  </w:r>
                  <w:r>
                    <w:rPr>
                      <w:color w:val="auto"/>
                      <w:szCs w:val="21"/>
                      <w:highlight w:val="none"/>
                      <w:vertAlign w:val="subscript"/>
                    </w:rPr>
                    <w:t>2</w:t>
                  </w:r>
                </w:p>
              </w:tc>
              <w:tc>
                <w:tcPr>
                  <w:tcW w:w="1205" w:type="dxa"/>
                  <w:vAlign w:val="center"/>
                </w:tcPr>
                <w:p w14:paraId="4FE04296">
                  <w:pPr>
                    <w:pStyle w:val="82"/>
                    <w:spacing w:line="240" w:lineRule="auto"/>
                    <w:ind w:firstLine="0"/>
                    <w:rPr>
                      <w:rFonts w:hint="eastAsia" w:eastAsia="宋体"/>
                      <w:color w:val="auto"/>
                      <w:szCs w:val="21"/>
                      <w:highlight w:val="none"/>
                      <w:lang w:eastAsia="zh-CN"/>
                    </w:rPr>
                  </w:pPr>
                  <w:r>
                    <w:rPr>
                      <w:rFonts w:hint="eastAsia"/>
                      <w:color w:val="auto"/>
                      <w:szCs w:val="21"/>
                      <w:highlight w:val="none"/>
                      <w:lang w:val="en-US" w:eastAsia="zh-CN"/>
                    </w:rPr>
                    <w:t>氟化物</w:t>
                  </w:r>
                </w:p>
              </w:tc>
              <w:tc>
                <w:tcPr>
                  <w:tcW w:w="1670" w:type="dxa"/>
                  <w:vAlign w:val="center"/>
                </w:tcPr>
                <w:p w14:paraId="6FB4520B">
                  <w:pPr>
                    <w:pStyle w:val="82"/>
                    <w:spacing w:line="240" w:lineRule="auto"/>
                    <w:ind w:firstLine="0"/>
                    <w:rPr>
                      <w:rFonts w:hint="default" w:eastAsia="宋体"/>
                      <w:color w:val="auto"/>
                      <w:szCs w:val="21"/>
                      <w:highlight w:val="none"/>
                      <w:lang w:val="en-US" w:eastAsia="zh-CN"/>
                    </w:rPr>
                  </w:pPr>
                  <w:r>
                    <w:rPr>
                      <w:rFonts w:hint="eastAsia"/>
                      <w:color w:val="auto"/>
                      <w:szCs w:val="21"/>
                      <w:highlight w:val="none"/>
                      <w:lang w:val="en-US" w:eastAsia="zh-CN"/>
                    </w:rPr>
                    <w:t>0.19</w:t>
                  </w:r>
                </w:p>
              </w:tc>
              <w:tc>
                <w:tcPr>
                  <w:tcW w:w="1502" w:type="dxa"/>
                  <w:vAlign w:val="center"/>
                </w:tcPr>
                <w:p w14:paraId="71534EC0">
                  <w:pPr>
                    <w:pStyle w:val="82"/>
                    <w:spacing w:line="240" w:lineRule="auto"/>
                    <w:ind w:firstLine="0"/>
                    <w:rPr>
                      <w:rFonts w:hint="default" w:eastAsia="宋体"/>
                      <w:color w:val="auto"/>
                      <w:szCs w:val="21"/>
                      <w:highlight w:val="none"/>
                      <w:lang w:val="en-US" w:eastAsia="zh-CN"/>
                    </w:rPr>
                  </w:pPr>
                  <w:r>
                    <w:rPr>
                      <w:rFonts w:hint="eastAsia"/>
                      <w:color w:val="auto"/>
                      <w:szCs w:val="21"/>
                      <w:highlight w:val="none"/>
                      <w:lang w:val="en-US" w:eastAsia="zh-CN"/>
                    </w:rPr>
                    <w:t>0.47</w:t>
                  </w:r>
                </w:p>
              </w:tc>
              <w:tc>
                <w:tcPr>
                  <w:tcW w:w="1502" w:type="dxa"/>
                  <w:vAlign w:val="center"/>
                </w:tcPr>
                <w:p w14:paraId="3AA19C8C">
                  <w:pPr>
                    <w:pStyle w:val="82"/>
                    <w:spacing w:line="240" w:lineRule="auto"/>
                    <w:ind w:firstLine="0"/>
                    <w:rPr>
                      <w:rFonts w:hint="default"/>
                      <w:color w:val="auto"/>
                      <w:szCs w:val="21"/>
                      <w:highlight w:val="none"/>
                      <w:lang w:val="en-US"/>
                    </w:rPr>
                  </w:pPr>
                  <w:r>
                    <w:rPr>
                      <w:rFonts w:hint="eastAsia"/>
                      <w:color w:val="auto"/>
                      <w:szCs w:val="21"/>
                      <w:highlight w:val="none"/>
                      <w:lang w:val="en-US" w:eastAsia="zh-CN"/>
                    </w:rPr>
                    <w:t>＜1</w:t>
                  </w:r>
                </w:p>
              </w:tc>
              <w:tc>
                <w:tcPr>
                  <w:tcW w:w="1333" w:type="dxa"/>
                  <w:vAlign w:val="center"/>
                </w:tcPr>
                <w:p w14:paraId="3D2B3D36">
                  <w:pPr>
                    <w:pStyle w:val="82"/>
                    <w:spacing w:line="240" w:lineRule="auto"/>
                    <w:ind w:firstLine="0"/>
                    <w:rPr>
                      <w:color w:val="auto"/>
                      <w:szCs w:val="21"/>
                      <w:highlight w:val="none"/>
                    </w:rPr>
                  </w:pPr>
                  <w:r>
                    <w:rPr>
                      <w:rFonts w:hint="eastAsia"/>
                      <w:color w:val="auto"/>
                      <w:szCs w:val="21"/>
                      <w:highlight w:val="none"/>
                      <w:lang w:val="en-US" w:eastAsia="zh-CN"/>
                    </w:rPr>
                    <w:t>＜1</w:t>
                  </w:r>
                </w:p>
              </w:tc>
            </w:tr>
          </w:tbl>
          <w:p w14:paraId="1D8B2360">
            <w:pPr>
              <w:pStyle w:val="109"/>
              <w:adjustRightInd/>
              <w:snapToGrid/>
              <w:spacing w:line="360" w:lineRule="auto"/>
              <w:ind w:firstLine="480" w:firstLineChars="200"/>
              <w:rPr>
                <w:color w:val="auto"/>
                <w:sz w:val="24"/>
                <w:szCs w:val="24"/>
                <w:highlight w:val="none"/>
              </w:rPr>
            </w:pPr>
            <w:r>
              <w:rPr>
                <w:color w:val="auto"/>
                <w:sz w:val="24"/>
                <w:szCs w:val="24"/>
                <w:highlight w:val="none"/>
              </w:rPr>
              <w:t>由</w:t>
            </w:r>
            <w:r>
              <w:rPr>
                <w:rFonts w:hint="eastAsia"/>
                <w:color w:val="auto"/>
                <w:sz w:val="24"/>
                <w:szCs w:val="24"/>
                <w:highlight w:val="none"/>
                <w:lang w:val="en-US" w:eastAsia="zh-CN"/>
              </w:rPr>
              <w:t>上表</w:t>
            </w:r>
            <w:r>
              <w:rPr>
                <w:color w:val="auto"/>
                <w:sz w:val="24"/>
                <w:szCs w:val="24"/>
                <w:highlight w:val="none"/>
              </w:rPr>
              <w:t>可见，拟建项目大气环境现状监测各监测点的Iij值均小于1，对应日均浓度、小时浓度均能满足《环境影响评价技术导则 大气环境》（HJ2.2-2018）附录D其他污染物空气质量浓度参考限值及其他相关标准的要求。</w:t>
            </w:r>
          </w:p>
          <w:p w14:paraId="5CB98D4B">
            <w:pPr>
              <w:pStyle w:val="109"/>
              <w:adjustRightInd/>
              <w:snapToGrid/>
              <w:spacing w:line="360" w:lineRule="auto"/>
              <w:ind w:firstLine="0"/>
              <w:rPr>
                <w:b/>
                <w:bCs/>
                <w:color w:val="auto"/>
                <w:sz w:val="24"/>
                <w:szCs w:val="24"/>
              </w:rPr>
            </w:pPr>
            <w:r>
              <w:rPr>
                <w:b/>
                <w:bCs/>
                <w:color w:val="auto"/>
                <w:sz w:val="24"/>
                <w:szCs w:val="24"/>
              </w:rPr>
              <w:t>3.1.2地表水环境</w:t>
            </w:r>
          </w:p>
          <w:p w14:paraId="632C8781">
            <w:pPr>
              <w:pStyle w:val="109"/>
              <w:numPr>
                <w:ilvl w:val="0"/>
                <w:numId w:val="2"/>
              </w:numPr>
              <w:adjustRightInd/>
              <w:snapToGrid/>
              <w:spacing w:line="360" w:lineRule="auto"/>
              <w:ind w:firstLine="480" w:firstLineChars="200"/>
              <w:rPr>
                <w:color w:val="auto"/>
                <w:sz w:val="24"/>
                <w:szCs w:val="24"/>
              </w:rPr>
            </w:pPr>
            <w:r>
              <w:rPr>
                <w:color w:val="auto"/>
                <w:sz w:val="24"/>
                <w:szCs w:val="24"/>
              </w:rPr>
              <w:t>地表水环境质量标准</w:t>
            </w:r>
          </w:p>
          <w:p w14:paraId="3FD9334A">
            <w:pPr>
              <w:pStyle w:val="107"/>
              <w:ind w:firstLine="480"/>
              <w:rPr>
                <w:rFonts w:ascii="Times New Roman" w:hAnsi="Times New Roman" w:cs="Times New Roman"/>
                <w:color w:val="auto"/>
              </w:rPr>
            </w:pPr>
            <w:r>
              <w:rPr>
                <w:rFonts w:ascii="Times New Roman" w:hAnsi="Times New Roman" w:cs="Times New Roman"/>
                <w:color w:val="auto"/>
              </w:rPr>
              <w:t>地表水体淮河、大涧沟水质执行《地表水环境质量标准》（GB3838-2002）中的Ⅲ类标准，具体见表3.1.2-1。</w:t>
            </w:r>
          </w:p>
          <w:p w14:paraId="28ABBB99">
            <w:pPr>
              <w:spacing w:line="400" w:lineRule="exact"/>
              <w:jc w:val="center"/>
              <w:rPr>
                <w:b/>
                <w:bCs/>
                <w:color w:val="auto"/>
                <w:szCs w:val="21"/>
              </w:rPr>
            </w:pPr>
            <w:r>
              <w:rPr>
                <w:b/>
                <w:bCs/>
                <w:color w:val="auto"/>
                <w:szCs w:val="21"/>
              </w:rPr>
              <w:t>表3.1.2-1  地表水环境质量标准单位：mg/L，除pH外</w:t>
            </w:r>
          </w:p>
          <w:tbl>
            <w:tblPr>
              <w:tblStyle w:val="32"/>
              <w:tblW w:w="4999"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108" w:type="dxa"/>
                <w:bottom w:w="0" w:type="dxa"/>
                <w:right w:w="108" w:type="dxa"/>
              </w:tblCellMar>
            </w:tblPr>
            <w:tblGrid>
              <w:gridCol w:w="2655"/>
              <w:gridCol w:w="2656"/>
              <w:gridCol w:w="2656"/>
            </w:tblGrid>
            <w:tr w14:paraId="3334FC0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bottom w:val="single" w:color="auto" w:sz="4" w:space="0"/>
                    <w:right w:val="single" w:color="auto" w:sz="4" w:space="0"/>
                  </w:tcBorders>
                  <w:vAlign w:val="center"/>
                </w:tcPr>
                <w:p w14:paraId="45B9DC95">
                  <w:pPr>
                    <w:pStyle w:val="82"/>
                    <w:spacing w:line="240" w:lineRule="auto"/>
                    <w:ind w:firstLine="0"/>
                    <w:rPr>
                      <w:b/>
                      <w:bCs/>
                      <w:color w:val="auto"/>
                      <w:kern w:val="0"/>
                      <w:szCs w:val="21"/>
                    </w:rPr>
                  </w:pPr>
                  <w:r>
                    <w:rPr>
                      <w:b/>
                      <w:bCs/>
                      <w:color w:val="auto"/>
                      <w:kern w:val="0"/>
                      <w:szCs w:val="21"/>
                    </w:rPr>
                    <w:t>污染物名称</w:t>
                  </w:r>
                </w:p>
              </w:tc>
              <w:tc>
                <w:tcPr>
                  <w:tcW w:w="2656" w:type="dxa"/>
                  <w:tcBorders>
                    <w:left w:val="single" w:color="auto" w:sz="4" w:space="0"/>
                    <w:bottom w:val="single" w:color="auto" w:sz="4" w:space="0"/>
                    <w:right w:val="single" w:color="auto" w:sz="4" w:space="0"/>
                  </w:tcBorders>
                  <w:vAlign w:val="center"/>
                </w:tcPr>
                <w:p w14:paraId="00F5CCAA">
                  <w:pPr>
                    <w:pStyle w:val="82"/>
                    <w:spacing w:line="240" w:lineRule="auto"/>
                    <w:ind w:firstLine="0"/>
                    <w:rPr>
                      <w:b/>
                      <w:bCs/>
                      <w:color w:val="auto"/>
                      <w:kern w:val="0"/>
                      <w:szCs w:val="21"/>
                    </w:rPr>
                  </w:pPr>
                  <w:r>
                    <w:rPr>
                      <w:b/>
                      <w:bCs/>
                      <w:color w:val="auto"/>
                      <w:kern w:val="0"/>
                      <w:szCs w:val="21"/>
                    </w:rPr>
                    <w:t>Ⅲ类</w:t>
                  </w:r>
                </w:p>
              </w:tc>
              <w:tc>
                <w:tcPr>
                  <w:tcW w:w="2656" w:type="dxa"/>
                  <w:tcBorders>
                    <w:left w:val="single" w:color="auto" w:sz="4" w:space="0"/>
                    <w:bottom w:val="single" w:color="auto" w:sz="4" w:space="0"/>
                  </w:tcBorders>
                  <w:vAlign w:val="center"/>
                </w:tcPr>
                <w:p w14:paraId="0BF40446">
                  <w:pPr>
                    <w:pStyle w:val="82"/>
                    <w:spacing w:line="240" w:lineRule="auto"/>
                    <w:ind w:firstLine="0"/>
                    <w:rPr>
                      <w:b/>
                      <w:bCs/>
                      <w:color w:val="auto"/>
                      <w:kern w:val="0"/>
                      <w:szCs w:val="21"/>
                    </w:rPr>
                  </w:pPr>
                  <w:r>
                    <w:rPr>
                      <w:b/>
                      <w:bCs/>
                      <w:color w:val="auto"/>
                      <w:kern w:val="0"/>
                      <w:szCs w:val="21"/>
                    </w:rPr>
                    <w:t>依据</w:t>
                  </w:r>
                </w:p>
              </w:tc>
            </w:tr>
            <w:tr w14:paraId="3300D44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49E75FDF">
                  <w:pPr>
                    <w:pStyle w:val="82"/>
                    <w:spacing w:line="240" w:lineRule="auto"/>
                    <w:ind w:firstLine="0"/>
                    <w:rPr>
                      <w:color w:val="auto"/>
                      <w:kern w:val="0"/>
                      <w:szCs w:val="21"/>
                    </w:rPr>
                  </w:pPr>
                  <w:r>
                    <w:rPr>
                      <w:color w:val="auto"/>
                      <w:kern w:val="0"/>
                      <w:szCs w:val="21"/>
                    </w:rPr>
                    <w:t>pH</w:t>
                  </w:r>
                </w:p>
              </w:tc>
              <w:tc>
                <w:tcPr>
                  <w:tcW w:w="2656" w:type="dxa"/>
                  <w:tcBorders>
                    <w:top w:val="single" w:color="auto" w:sz="4" w:space="0"/>
                    <w:left w:val="single" w:color="auto" w:sz="4" w:space="0"/>
                    <w:bottom w:val="single" w:color="auto" w:sz="4" w:space="0"/>
                    <w:right w:val="single" w:color="auto" w:sz="4" w:space="0"/>
                  </w:tcBorders>
                  <w:vAlign w:val="center"/>
                </w:tcPr>
                <w:p w14:paraId="7B219041">
                  <w:pPr>
                    <w:pStyle w:val="82"/>
                    <w:spacing w:line="240" w:lineRule="auto"/>
                    <w:ind w:firstLine="0"/>
                    <w:rPr>
                      <w:color w:val="auto"/>
                      <w:kern w:val="0"/>
                      <w:szCs w:val="21"/>
                    </w:rPr>
                  </w:pPr>
                  <w:r>
                    <w:rPr>
                      <w:color w:val="auto"/>
                      <w:kern w:val="0"/>
                      <w:szCs w:val="21"/>
                    </w:rPr>
                    <w:t>6~9</w:t>
                  </w:r>
                </w:p>
              </w:tc>
              <w:tc>
                <w:tcPr>
                  <w:tcW w:w="2656" w:type="dxa"/>
                  <w:vMerge w:val="restart"/>
                  <w:tcBorders>
                    <w:top w:val="single" w:color="auto" w:sz="4" w:space="0"/>
                    <w:left w:val="single" w:color="auto" w:sz="4" w:space="0"/>
                    <w:bottom w:val="single" w:color="auto" w:sz="4" w:space="0"/>
                  </w:tcBorders>
                  <w:vAlign w:val="center"/>
                </w:tcPr>
                <w:p w14:paraId="70D349EA">
                  <w:pPr>
                    <w:pStyle w:val="82"/>
                    <w:spacing w:line="240" w:lineRule="auto"/>
                    <w:ind w:firstLine="0"/>
                    <w:rPr>
                      <w:color w:val="auto"/>
                      <w:kern w:val="0"/>
                      <w:szCs w:val="21"/>
                    </w:rPr>
                  </w:pPr>
                  <w:r>
                    <w:rPr>
                      <w:color w:val="auto"/>
                      <w:kern w:val="0"/>
                      <w:szCs w:val="21"/>
                    </w:rPr>
                    <w:t>《地表水环境质量标准》（GB3838-2002）</w:t>
                  </w:r>
                </w:p>
              </w:tc>
            </w:tr>
            <w:tr w14:paraId="6DFC208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0854F831">
                  <w:pPr>
                    <w:pStyle w:val="82"/>
                    <w:spacing w:line="240" w:lineRule="auto"/>
                    <w:ind w:firstLine="0"/>
                    <w:rPr>
                      <w:color w:val="auto"/>
                      <w:kern w:val="0"/>
                      <w:szCs w:val="21"/>
                    </w:rPr>
                  </w:pPr>
                  <w:r>
                    <w:rPr>
                      <w:color w:val="auto"/>
                      <w:kern w:val="0"/>
                      <w:szCs w:val="21"/>
                    </w:rPr>
                    <w:t>COD</w:t>
                  </w:r>
                </w:p>
              </w:tc>
              <w:tc>
                <w:tcPr>
                  <w:tcW w:w="2656" w:type="dxa"/>
                  <w:tcBorders>
                    <w:top w:val="single" w:color="auto" w:sz="4" w:space="0"/>
                    <w:left w:val="single" w:color="auto" w:sz="4" w:space="0"/>
                    <w:bottom w:val="single" w:color="auto" w:sz="4" w:space="0"/>
                    <w:right w:val="single" w:color="auto" w:sz="4" w:space="0"/>
                  </w:tcBorders>
                  <w:vAlign w:val="center"/>
                </w:tcPr>
                <w:p w14:paraId="499EB8CE">
                  <w:pPr>
                    <w:pStyle w:val="82"/>
                    <w:spacing w:line="240" w:lineRule="auto"/>
                    <w:ind w:firstLine="0"/>
                    <w:rPr>
                      <w:color w:val="auto"/>
                      <w:kern w:val="0"/>
                      <w:szCs w:val="21"/>
                    </w:rPr>
                  </w:pPr>
                  <w:r>
                    <w:rPr>
                      <w:color w:val="auto"/>
                      <w:kern w:val="0"/>
                      <w:szCs w:val="21"/>
                    </w:rPr>
                    <w:t>≤20</w:t>
                  </w:r>
                </w:p>
              </w:tc>
              <w:tc>
                <w:tcPr>
                  <w:tcW w:w="2656" w:type="dxa"/>
                  <w:vMerge w:val="continue"/>
                  <w:tcBorders>
                    <w:top w:val="single" w:color="auto" w:sz="4" w:space="0"/>
                    <w:left w:val="single" w:color="auto" w:sz="4" w:space="0"/>
                    <w:bottom w:val="single" w:color="auto" w:sz="4" w:space="0"/>
                  </w:tcBorders>
                  <w:vAlign w:val="center"/>
                </w:tcPr>
                <w:p w14:paraId="22D8A02E">
                  <w:pPr>
                    <w:pStyle w:val="82"/>
                    <w:spacing w:line="240" w:lineRule="auto"/>
                    <w:ind w:firstLine="0"/>
                    <w:rPr>
                      <w:color w:val="auto"/>
                      <w:kern w:val="0"/>
                      <w:szCs w:val="21"/>
                    </w:rPr>
                  </w:pPr>
                </w:p>
              </w:tc>
            </w:tr>
            <w:tr w14:paraId="1D59F86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0F6D1B79">
                  <w:pPr>
                    <w:pStyle w:val="82"/>
                    <w:spacing w:line="240" w:lineRule="auto"/>
                    <w:ind w:firstLine="0"/>
                    <w:rPr>
                      <w:color w:val="auto"/>
                      <w:kern w:val="0"/>
                      <w:szCs w:val="21"/>
                    </w:rPr>
                  </w:pPr>
                  <w:r>
                    <w:rPr>
                      <w:color w:val="auto"/>
                      <w:kern w:val="0"/>
                      <w:szCs w:val="21"/>
                    </w:rPr>
                    <w:t>BOD</w:t>
                  </w:r>
                  <w:r>
                    <w:rPr>
                      <w:color w:val="auto"/>
                      <w:kern w:val="0"/>
                      <w:szCs w:val="21"/>
                      <w:vertAlign w:val="subscript"/>
                    </w:rPr>
                    <w:t>5</w:t>
                  </w:r>
                </w:p>
              </w:tc>
              <w:tc>
                <w:tcPr>
                  <w:tcW w:w="2656" w:type="dxa"/>
                  <w:tcBorders>
                    <w:top w:val="single" w:color="auto" w:sz="4" w:space="0"/>
                    <w:left w:val="single" w:color="auto" w:sz="4" w:space="0"/>
                    <w:bottom w:val="single" w:color="auto" w:sz="4" w:space="0"/>
                    <w:right w:val="single" w:color="auto" w:sz="4" w:space="0"/>
                  </w:tcBorders>
                  <w:vAlign w:val="center"/>
                </w:tcPr>
                <w:p w14:paraId="3ED5545A">
                  <w:pPr>
                    <w:pStyle w:val="82"/>
                    <w:spacing w:line="240" w:lineRule="auto"/>
                    <w:ind w:firstLine="0"/>
                    <w:rPr>
                      <w:color w:val="auto"/>
                      <w:kern w:val="0"/>
                      <w:szCs w:val="21"/>
                    </w:rPr>
                  </w:pPr>
                  <w:r>
                    <w:rPr>
                      <w:color w:val="auto"/>
                      <w:kern w:val="0"/>
                      <w:szCs w:val="21"/>
                    </w:rPr>
                    <w:t>≤4</w:t>
                  </w:r>
                </w:p>
              </w:tc>
              <w:tc>
                <w:tcPr>
                  <w:tcW w:w="2656" w:type="dxa"/>
                  <w:vMerge w:val="continue"/>
                  <w:tcBorders>
                    <w:top w:val="single" w:color="auto" w:sz="4" w:space="0"/>
                    <w:left w:val="single" w:color="auto" w:sz="4" w:space="0"/>
                    <w:bottom w:val="single" w:color="auto" w:sz="4" w:space="0"/>
                  </w:tcBorders>
                  <w:vAlign w:val="center"/>
                </w:tcPr>
                <w:p w14:paraId="06A60215">
                  <w:pPr>
                    <w:pStyle w:val="82"/>
                    <w:spacing w:line="240" w:lineRule="auto"/>
                    <w:ind w:firstLine="0"/>
                    <w:rPr>
                      <w:color w:val="auto"/>
                      <w:kern w:val="0"/>
                      <w:szCs w:val="21"/>
                    </w:rPr>
                  </w:pPr>
                </w:p>
              </w:tc>
            </w:tr>
            <w:tr w14:paraId="751A458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34990319">
                  <w:pPr>
                    <w:pStyle w:val="82"/>
                    <w:spacing w:line="240" w:lineRule="auto"/>
                    <w:ind w:firstLine="0"/>
                    <w:rPr>
                      <w:color w:val="auto"/>
                      <w:kern w:val="0"/>
                      <w:szCs w:val="21"/>
                    </w:rPr>
                  </w:pPr>
                  <w:r>
                    <w:rPr>
                      <w:color w:val="auto"/>
                      <w:kern w:val="0"/>
                      <w:szCs w:val="21"/>
                    </w:rPr>
                    <w:t>高锰酸盐指数</w:t>
                  </w:r>
                </w:p>
              </w:tc>
              <w:tc>
                <w:tcPr>
                  <w:tcW w:w="2656" w:type="dxa"/>
                  <w:tcBorders>
                    <w:top w:val="single" w:color="auto" w:sz="4" w:space="0"/>
                    <w:left w:val="single" w:color="auto" w:sz="4" w:space="0"/>
                    <w:bottom w:val="single" w:color="auto" w:sz="4" w:space="0"/>
                    <w:right w:val="single" w:color="auto" w:sz="4" w:space="0"/>
                  </w:tcBorders>
                  <w:vAlign w:val="center"/>
                </w:tcPr>
                <w:p w14:paraId="7E6CB29D">
                  <w:pPr>
                    <w:pStyle w:val="82"/>
                    <w:spacing w:line="240" w:lineRule="auto"/>
                    <w:ind w:firstLine="0"/>
                    <w:rPr>
                      <w:color w:val="auto"/>
                      <w:kern w:val="0"/>
                      <w:szCs w:val="21"/>
                    </w:rPr>
                  </w:pPr>
                  <w:r>
                    <w:rPr>
                      <w:color w:val="auto"/>
                      <w:kern w:val="0"/>
                      <w:szCs w:val="21"/>
                    </w:rPr>
                    <w:t>≤6</w:t>
                  </w:r>
                </w:p>
              </w:tc>
              <w:tc>
                <w:tcPr>
                  <w:tcW w:w="2656" w:type="dxa"/>
                  <w:vMerge w:val="continue"/>
                  <w:tcBorders>
                    <w:top w:val="single" w:color="auto" w:sz="4" w:space="0"/>
                    <w:left w:val="single" w:color="auto" w:sz="4" w:space="0"/>
                    <w:bottom w:val="single" w:color="auto" w:sz="4" w:space="0"/>
                  </w:tcBorders>
                  <w:vAlign w:val="center"/>
                </w:tcPr>
                <w:p w14:paraId="38E787A3">
                  <w:pPr>
                    <w:pStyle w:val="82"/>
                    <w:spacing w:line="240" w:lineRule="auto"/>
                    <w:ind w:firstLine="0"/>
                    <w:rPr>
                      <w:color w:val="auto"/>
                      <w:kern w:val="0"/>
                      <w:szCs w:val="21"/>
                    </w:rPr>
                  </w:pPr>
                </w:p>
              </w:tc>
            </w:tr>
            <w:tr w14:paraId="0E0E3A7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173" w:hRule="atLeast"/>
                <w:jc w:val="center"/>
              </w:trPr>
              <w:tc>
                <w:tcPr>
                  <w:tcW w:w="2655" w:type="dxa"/>
                  <w:tcBorders>
                    <w:top w:val="single" w:color="auto" w:sz="4" w:space="0"/>
                    <w:bottom w:val="single" w:color="auto" w:sz="4" w:space="0"/>
                    <w:right w:val="single" w:color="auto" w:sz="4" w:space="0"/>
                  </w:tcBorders>
                  <w:vAlign w:val="center"/>
                </w:tcPr>
                <w:p w14:paraId="44ECBFE2">
                  <w:pPr>
                    <w:pStyle w:val="82"/>
                    <w:spacing w:line="240" w:lineRule="auto"/>
                    <w:ind w:firstLine="0"/>
                    <w:rPr>
                      <w:color w:val="auto"/>
                      <w:kern w:val="0"/>
                      <w:szCs w:val="21"/>
                    </w:rPr>
                  </w:pPr>
                  <w:r>
                    <w:rPr>
                      <w:color w:val="auto"/>
                      <w:kern w:val="0"/>
                      <w:szCs w:val="21"/>
                    </w:rPr>
                    <w:t>NH</w:t>
                  </w:r>
                  <w:r>
                    <w:rPr>
                      <w:color w:val="auto"/>
                      <w:kern w:val="0"/>
                      <w:szCs w:val="21"/>
                      <w:vertAlign w:val="subscript"/>
                    </w:rPr>
                    <w:t>3</w:t>
                  </w:r>
                  <w:r>
                    <w:rPr>
                      <w:color w:val="auto"/>
                      <w:kern w:val="0"/>
                      <w:szCs w:val="21"/>
                    </w:rPr>
                    <w:t>-N</w:t>
                  </w:r>
                </w:p>
              </w:tc>
              <w:tc>
                <w:tcPr>
                  <w:tcW w:w="2656" w:type="dxa"/>
                  <w:tcBorders>
                    <w:top w:val="single" w:color="auto" w:sz="4" w:space="0"/>
                    <w:left w:val="single" w:color="auto" w:sz="4" w:space="0"/>
                    <w:bottom w:val="single" w:color="auto" w:sz="4" w:space="0"/>
                    <w:right w:val="single" w:color="auto" w:sz="4" w:space="0"/>
                  </w:tcBorders>
                  <w:vAlign w:val="center"/>
                </w:tcPr>
                <w:p w14:paraId="3C6B85D9">
                  <w:pPr>
                    <w:pStyle w:val="82"/>
                    <w:spacing w:line="240" w:lineRule="auto"/>
                    <w:ind w:firstLine="0"/>
                    <w:rPr>
                      <w:color w:val="auto"/>
                      <w:kern w:val="0"/>
                      <w:szCs w:val="21"/>
                    </w:rPr>
                  </w:pPr>
                  <w:r>
                    <w:rPr>
                      <w:color w:val="auto"/>
                      <w:kern w:val="0"/>
                      <w:szCs w:val="21"/>
                    </w:rPr>
                    <w:t>≤1.0</w:t>
                  </w:r>
                </w:p>
              </w:tc>
              <w:tc>
                <w:tcPr>
                  <w:tcW w:w="2656" w:type="dxa"/>
                  <w:vMerge w:val="continue"/>
                  <w:tcBorders>
                    <w:top w:val="single" w:color="auto" w:sz="4" w:space="0"/>
                    <w:left w:val="single" w:color="auto" w:sz="4" w:space="0"/>
                    <w:bottom w:val="single" w:color="auto" w:sz="4" w:space="0"/>
                  </w:tcBorders>
                  <w:vAlign w:val="center"/>
                </w:tcPr>
                <w:p w14:paraId="0BD1AFD4">
                  <w:pPr>
                    <w:pStyle w:val="82"/>
                    <w:spacing w:line="240" w:lineRule="auto"/>
                    <w:ind w:firstLine="0"/>
                    <w:rPr>
                      <w:color w:val="auto"/>
                      <w:kern w:val="0"/>
                      <w:szCs w:val="21"/>
                    </w:rPr>
                  </w:pPr>
                </w:p>
              </w:tc>
            </w:tr>
            <w:tr w14:paraId="77661BE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48A751A6">
                  <w:pPr>
                    <w:pStyle w:val="82"/>
                    <w:spacing w:line="240" w:lineRule="auto"/>
                    <w:ind w:firstLine="0"/>
                    <w:rPr>
                      <w:color w:val="auto"/>
                      <w:kern w:val="0"/>
                      <w:szCs w:val="21"/>
                    </w:rPr>
                  </w:pPr>
                  <w:r>
                    <w:rPr>
                      <w:color w:val="auto"/>
                      <w:kern w:val="0"/>
                      <w:szCs w:val="21"/>
                    </w:rPr>
                    <w:t>石油类</w:t>
                  </w:r>
                </w:p>
              </w:tc>
              <w:tc>
                <w:tcPr>
                  <w:tcW w:w="2656" w:type="dxa"/>
                  <w:tcBorders>
                    <w:top w:val="single" w:color="auto" w:sz="4" w:space="0"/>
                    <w:left w:val="single" w:color="auto" w:sz="4" w:space="0"/>
                    <w:bottom w:val="single" w:color="auto" w:sz="4" w:space="0"/>
                    <w:right w:val="single" w:color="auto" w:sz="4" w:space="0"/>
                  </w:tcBorders>
                  <w:vAlign w:val="center"/>
                </w:tcPr>
                <w:p w14:paraId="549508F6">
                  <w:pPr>
                    <w:pStyle w:val="82"/>
                    <w:spacing w:line="240" w:lineRule="auto"/>
                    <w:ind w:firstLine="0"/>
                    <w:rPr>
                      <w:color w:val="auto"/>
                      <w:kern w:val="0"/>
                      <w:szCs w:val="21"/>
                    </w:rPr>
                  </w:pPr>
                  <w:r>
                    <w:rPr>
                      <w:color w:val="auto"/>
                      <w:kern w:val="0"/>
                      <w:szCs w:val="21"/>
                    </w:rPr>
                    <w:t>≤0.05</w:t>
                  </w:r>
                </w:p>
              </w:tc>
              <w:tc>
                <w:tcPr>
                  <w:tcW w:w="2656" w:type="dxa"/>
                  <w:vMerge w:val="continue"/>
                  <w:tcBorders>
                    <w:top w:val="single" w:color="auto" w:sz="4" w:space="0"/>
                    <w:left w:val="single" w:color="auto" w:sz="4" w:space="0"/>
                    <w:bottom w:val="single" w:color="auto" w:sz="4" w:space="0"/>
                  </w:tcBorders>
                  <w:vAlign w:val="center"/>
                </w:tcPr>
                <w:p w14:paraId="5CC7C637">
                  <w:pPr>
                    <w:pStyle w:val="82"/>
                    <w:spacing w:line="240" w:lineRule="auto"/>
                    <w:ind w:firstLine="0"/>
                    <w:rPr>
                      <w:color w:val="auto"/>
                      <w:kern w:val="0"/>
                      <w:szCs w:val="21"/>
                    </w:rPr>
                  </w:pPr>
                </w:p>
              </w:tc>
            </w:tr>
            <w:tr w14:paraId="4B24893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61CE8960">
                  <w:pPr>
                    <w:pStyle w:val="82"/>
                    <w:spacing w:line="240" w:lineRule="auto"/>
                    <w:ind w:firstLine="0"/>
                    <w:rPr>
                      <w:color w:val="auto"/>
                      <w:kern w:val="0"/>
                      <w:szCs w:val="21"/>
                    </w:rPr>
                  </w:pPr>
                  <w:r>
                    <w:rPr>
                      <w:color w:val="auto"/>
                      <w:kern w:val="0"/>
                      <w:szCs w:val="21"/>
                    </w:rPr>
                    <w:t>总磷</w:t>
                  </w:r>
                </w:p>
              </w:tc>
              <w:tc>
                <w:tcPr>
                  <w:tcW w:w="2656" w:type="dxa"/>
                  <w:tcBorders>
                    <w:top w:val="single" w:color="auto" w:sz="4" w:space="0"/>
                    <w:left w:val="single" w:color="auto" w:sz="4" w:space="0"/>
                    <w:bottom w:val="single" w:color="auto" w:sz="4" w:space="0"/>
                    <w:right w:val="single" w:color="auto" w:sz="4" w:space="0"/>
                  </w:tcBorders>
                  <w:vAlign w:val="center"/>
                </w:tcPr>
                <w:p w14:paraId="50378FB3">
                  <w:pPr>
                    <w:pStyle w:val="82"/>
                    <w:spacing w:line="240" w:lineRule="auto"/>
                    <w:ind w:firstLine="0"/>
                    <w:rPr>
                      <w:color w:val="auto"/>
                      <w:kern w:val="0"/>
                      <w:szCs w:val="21"/>
                    </w:rPr>
                  </w:pPr>
                  <w:r>
                    <w:rPr>
                      <w:color w:val="auto"/>
                      <w:kern w:val="0"/>
                      <w:szCs w:val="21"/>
                    </w:rPr>
                    <w:t>≤0.2</w:t>
                  </w:r>
                </w:p>
              </w:tc>
              <w:tc>
                <w:tcPr>
                  <w:tcW w:w="2656" w:type="dxa"/>
                  <w:vMerge w:val="continue"/>
                  <w:tcBorders>
                    <w:top w:val="single" w:color="auto" w:sz="4" w:space="0"/>
                    <w:left w:val="single" w:color="auto" w:sz="4" w:space="0"/>
                    <w:bottom w:val="single" w:color="auto" w:sz="4" w:space="0"/>
                  </w:tcBorders>
                  <w:vAlign w:val="center"/>
                </w:tcPr>
                <w:p w14:paraId="1309BF78">
                  <w:pPr>
                    <w:pStyle w:val="82"/>
                    <w:spacing w:line="240" w:lineRule="auto"/>
                    <w:ind w:firstLine="0"/>
                    <w:rPr>
                      <w:color w:val="auto"/>
                      <w:kern w:val="0"/>
                      <w:szCs w:val="21"/>
                    </w:rPr>
                  </w:pPr>
                </w:p>
              </w:tc>
            </w:tr>
            <w:tr w14:paraId="13F6D0D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3820CB81">
                  <w:pPr>
                    <w:pStyle w:val="82"/>
                    <w:spacing w:line="240" w:lineRule="auto"/>
                    <w:ind w:firstLine="0"/>
                    <w:rPr>
                      <w:color w:val="auto"/>
                      <w:kern w:val="0"/>
                      <w:szCs w:val="21"/>
                    </w:rPr>
                  </w:pPr>
                  <w:r>
                    <w:rPr>
                      <w:color w:val="auto"/>
                      <w:kern w:val="0"/>
                      <w:szCs w:val="21"/>
                    </w:rPr>
                    <w:t>铜</w:t>
                  </w:r>
                </w:p>
              </w:tc>
              <w:tc>
                <w:tcPr>
                  <w:tcW w:w="2656" w:type="dxa"/>
                  <w:tcBorders>
                    <w:top w:val="single" w:color="auto" w:sz="4" w:space="0"/>
                    <w:left w:val="single" w:color="auto" w:sz="4" w:space="0"/>
                    <w:bottom w:val="single" w:color="auto" w:sz="4" w:space="0"/>
                    <w:right w:val="single" w:color="auto" w:sz="4" w:space="0"/>
                  </w:tcBorders>
                  <w:vAlign w:val="center"/>
                </w:tcPr>
                <w:p w14:paraId="79013E96">
                  <w:pPr>
                    <w:pStyle w:val="82"/>
                    <w:spacing w:line="240" w:lineRule="auto"/>
                    <w:ind w:firstLine="0"/>
                    <w:rPr>
                      <w:color w:val="auto"/>
                      <w:kern w:val="0"/>
                      <w:szCs w:val="21"/>
                    </w:rPr>
                  </w:pPr>
                  <w:r>
                    <w:rPr>
                      <w:color w:val="auto"/>
                      <w:kern w:val="0"/>
                      <w:szCs w:val="21"/>
                    </w:rPr>
                    <w:t>≤1.0</w:t>
                  </w:r>
                </w:p>
              </w:tc>
              <w:tc>
                <w:tcPr>
                  <w:tcW w:w="2656" w:type="dxa"/>
                  <w:vMerge w:val="continue"/>
                  <w:tcBorders>
                    <w:top w:val="single" w:color="auto" w:sz="4" w:space="0"/>
                    <w:left w:val="single" w:color="auto" w:sz="4" w:space="0"/>
                    <w:bottom w:val="single" w:color="auto" w:sz="4" w:space="0"/>
                  </w:tcBorders>
                  <w:vAlign w:val="center"/>
                </w:tcPr>
                <w:p w14:paraId="46EB43AB">
                  <w:pPr>
                    <w:pStyle w:val="82"/>
                    <w:spacing w:line="240" w:lineRule="auto"/>
                    <w:ind w:firstLine="0"/>
                    <w:rPr>
                      <w:color w:val="auto"/>
                      <w:kern w:val="0"/>
                      <w:szCs w:val="21"/>
                    </w:rPr>
                  </w:pPr>
                </w:p>
              </w:tc>
            </w:tr>
            <w:tr w14:paraId="7525819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350B9A4F">
                  <w:pPr>
                    <w:pStyle w:val="82"/>
                    <w:spacing w:line="240" w:lineRule="auto"/>
                    <w:ind w:firstLine="0"/>
                    <w:rPr>
                      <w:color w:val="auto"/>
                      <w:kern w:val="0"/>
                      <w:szCs w:val="21"/>
                    </w:rPr>
                  </w:pPr>
                  <w:r>
                    <w:rPr>
                      <w:color w:val="auto"/>
                      <w:kern w:val="0"/>
                      <w:szCs w:val="21"/>
                    </w:rPr>
                    <w:t>锌</w:t>
                  </w:r>
                </w:p>
              </w:tc>
              <w:tc>
                <w:tcPr>
                  <w:tcW w:w="2656" w:type="dxa"/>
                  <w:tcBorders>
                    <w:top w:val="single" w:color="auto" w:sz="4" w:space="0"/>
                    <w:left w:val="single" w:color="auto" w:sz="4" w:space="0"/>
                    <w:bottom w:val="single" w:color="auto" w:sz="4" w:space="0"/>
                    <w:right w:val="single" w:color="auto" w:sz="4" w:space="0"/>
                  </w:tcBorders>
                  <w:vAlign w:val="center"/>
                </w:tcPr>
                <w:p w14:paraId="6B65A976">
                  <w:pPr>
                    <w:pStyle w:val="82"/>
                    <w:spacing w:line="240" w:lineRule="auto"/>
                    <w:ind w:firstLine="0"/>
                    <w:rPr>
                      <w:color w:val="auto"/>
                      <w:kern w:val="0"/>
                      <w:szCs w:val="21"/>
                    </w:rPr>
                  </w:pPr>
                  <w:r>
                    <w:rPr>
                      <w:color w:val="auto"/>
                      <w:kern w:val="0"/>
                      <w:szCs w:val="21"/>
                    </w:rPr>
                    <w:t>≤1.0</w:t>
                  </w:r>
                </w:p>
              </w:tc>
              <w:tc>
                <w:tcPr>
                  <w:tcW w:w="2656" w:type="dxa"/>
                  <w:vMerge w:val="continue"/>
                  <w:tcBorders>
                    <w:top w:val="single" w:color="auto" w:sz="4" w:space="0"/>
                    <w:left w:val="single" w:color="auto" w:sz="4" w:space="0"/>
                    <w:bottom w:val="single" w:color="auto" w:sz="4" w:space="0"/>
                  </w:tcBorders>
                  <w:vAlign w:val="center"/>
                </w:tcPr>
                <w:p w14:paraId="6B9D84C7">
                  <w:pPr>
                    <w:pStyle w:val="82"/>
                    <w:spacing w:line="240" w:lineRule="auto"/>
                    <w:ind w:firstLine="0"/>
                    <w:rPr>
                      <w:color w:val="auto"/>
                      <w:kern w:val="0"/>
                      <w:szCs w:val="21"/>
                    </w:rPr>
                  </w:pPr>
                </w:p>
              </w:tc>
            </w:tr>
            <w:tr w14:paraId="1376FF5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1C1ADB1D">
                  <w:pPr>
                    <w:pStyle w:val="82"/>
                    <w:spacing w:line="240" w:lineRule="auto"/>
                    <w:ind w:firstLine="0"/>
                    <w:rPr>
                      <w:color w:val="auto"/>
                      <w:kern w:val="0"/>
                      <w:szCs w:val="21"/>
                    </w:rPr>
                  </w:pPr>
                  <w:r>
                    <w:rPr>
                      <w:color w:val="auto"/>
                      <w:kern w:val="0"/>
                      <w:szCs w:val="21"/>
                    </w:rPr>
                    <w:t>挥发酚</w:t>
                  </w:r>
                </w:p>
              </w:tc>
              <w:tc>
                <w:tcPr>
                  <w:tcW w:w="2656" w:type="dxa"/>
                  <w:tcBorders>
                    <w:top w:val="single" w:color="auto" w:sz="4" w:space="0"/>
                    <w:left w:val="single" w:color="auto" w:sz="4" w:space="0"/>
                    <w:bottom w:val="single" w:color="auto" w:sz="4" w:space="0"/>
                    <w:right w:val="single" w:color="auto" w:sz="4" w:space="0"/>
                  </w:tcBorders>
                  <w:vAlign w:val="center"/>
                </w:tcPr>
                <w:p w14:paraId="44B1AB90">
                  <w:pPr>
                    <w:pStyle w:val="82"/>
                    <w:spacing w:line="240" w:lineRule="auto"/>
                    <w:ind w:firstLine="0"/>
                    <w:rPr>
                      <w:color w:val="auto"/>
                      <w:kern w:val="0"/>
                      <w:szCs w:val="21"/>
                    </w:rPr>
                  </w:pPr>
                  <w:r>
                    <w:rPr>
                      <w:color w:val="auto"/>
                      <w:kern w:val="0"/>
                      <w:szCs w:val="21"/>
                    </w:rPr>
                    <w:t>≤0.005</w:t>
                  </w:r>
                </w:p>
              </w:tc>
              <w:tc>
                <w:tcPr>
                  <w:tcW w:w="2656" w:type="dxa"/>
                  <w:vMerge w:val="continue"/>
                  <w:tcBorders>
                    <w:top w:val="single" w:color="auto" w:sz="4" w:space="0"/>
                    <w:left w:val="single" w:color="auto" w:sz="4" w:space="0"/>
                    <w:bottom w:val="single" w:color="auto" w:sz="4" w:space="0"/>
                  </w:tcBorders>
                  <w:vAlign w:val="center"/>
                </w:tcPr>
                <w:p w14:paraId="75D12C6B">
                  <w:pPr>
                    <w:pStyle w:val="82"/>
                    <w:spacing w:line="240" w:lineRule="auto"/>
                    <w:ind w:firstLine="0"/>
                    <w:rPr>
                      <w:color w:val="auto"/>
                      <w:kern w:val="0"/>
                      <w:szCs w:val="21"/>
                    </w:rPr>
                  </w:pPr>
                </w:p>
              </w:tc>
            </w:tr>
            <w:tr w14:paraId="0622EEB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6190CA8B">
                  <w:pPr>
                    <w:pStyle w:val="82"/>
                    <w:spacing w:line="240" w:lineRule="auto"/>
                    <w:ind w:firstLine="0"/>
                    <w:rPr>
                      <w:color w:val="auto"/>
                      <w:kern w:val="0"/>
                      <w:szCs w:val="21"/>
                    </w:rPr>
                  </w:pPr>
                  <w:r>
                    <w:rPr>
                      <w:color w:val="auto"/>
                      <w:kern w:val="0"/>
                      <w:szCs w:val="21"/>
                    </w:rPr>
                    <w:t>阴离子表面活性剂</w:t>
                  </w:r>
                </w:p>
              </w:tc>
              <w:tc>
                <w:tcPr>
                  <w:tcW w:w="2656" w:type="dxa"/>
                  <w:tcBorders>
                    <w:top w:val="single" w:color="auto" w:sz="4" w:space="0"/>
                    <w:left w:val="single" w:color="auto" w:sz="4" w:space="0"/>
                    <w:bottom w:val="single" w:color="auto" w:sz="4" w:space="0"/>
                    <w:right w:val="single" w:color="auto" w:sz="4" w:space="0"/>
                  </w:tcBorders>
                  <w:vAlign w:val="center"/>
                </w:tcPr>
                <w:p w14:paraId="4F656E12">
                  <w:pPr>
                    <w:pStyle w:val="82"/>
                    <w:spacing w:line="240" w:lineRule="auto"/>
                    <w:ind w:firstLine="0"/>
                    <w:rPr>
                      <w:color w:val="auto"/>
                      <w:kern w:val="0"/>
                      <w:szCs w:val="21"/>
                    </w:rPr>
                  </w:pPr>
                  <w:r>
                    <w:rPr>
                      <w:color w:val="auto"/>
                      <w:kern w:val="0"/>
                      <w:szCs w:val="21"/>
                    </w:rPr>
                    <w:t>≤0.2</w:t>
                  </w:r>
                </w:p>
              </w:tc>
              <w:tc>
                <w:tcPr>
                  <w:tcW w:w="2656" w:type="dxa"/>
                  <w:vMerge w:val="continue"/>
                  <w:tcBorders>
                    <w:top w:val="single" w:color="auto" w:sz="4" w:space="0"/>
                    <w:left w:val="single" w:color="auto" w:sz="4" w:space="0"/>
                    <w:bottom w:val="single" w:color="auto" w:sz="4" w:space="0"/>
                  </w:tcBorders>
                  <w:vAlign w:val="center"/>
                </w:tcPr>
                <w:p w14:paraId="76B58349">
                  <w:pPr>
                    <w:pStyle w:val="82"/>
                    <w:spacing w:line="240" w:lineRule="auto"/>
                    <w:ind w:firstLine="0"/>
                    <w:rPr>
                      <w:color w:val="auto"/>
                      <w:kern w:val="0"/>
                      <w:szCs w:val="21"/>
                    </w:rPr>
                  </w:pPr>
                </w:p>
              </w:tc>
            </w:tr>
            <w:tr w14:paraId="01CAD33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79FA893B">
                  <w:pPr>
                    <w:pStyle w:val="82"/>
                    <w:spacing w:line="240" w:lineRule="auto"/>
                    <w:ind w:firstLine="0"/>
                    <w:rPr>
                      <w:color w:val="auto"/>
                      <w:kern w:val="0"/>
                      <w:szCs w:val="21"/>
                    </w:rPr>
                  </w:pPr>
                  <w:r>
                    <w:rPr>
                      <w:color w:val="auto"/>
                      <w:kern w:val="0"/>
                      <w:szCs w:val="21"/>
                    </w:rPr>
                    <w:t>粪大肠菌群数</w:t>
                  </w:r>
                </w:p>
              </w:tc>
              <w:tc>
                <w:tcPr>
                  <w:tcW w:w="2656" w:type="dxa"/>
                  <w:tcBorders>
                    <w:top w:val="single" w:color="auto" w:sz="4" w:space="0"/>
                    <w:left w:val="single" w:color="auto" w:sz="4" w:space="0"/>
                    <w:bottom w:val="single" w:color="auto" w:sz="4" w:space="0"/>
                    <w:right w:val="single" w:color="auto" w:sz="4" w:space="0"/>
                  </w:tcBorders>
                  <w:vAlign w:val="center"/>
                </w:tcPr>
                <w:p w14:paraId="57EA9FC3">
                  <w:pPr>
                    <w:pStyle w:val="82"/>
                    <w:spacing w:line="240" w:lineRule="auto"/>
                    <w:ind w:firstLine="0"/>
                    <w:rPr>
                      <w:color w:val="auto"/>
                      <w:kern w:val="0"/>
                      <w:szCs w:val="21"/>
                    </w:rPr>
                  </w:pPr>
                  <w:r>
                    <w:rPr>
                      <w:color w:val="auto"/>
                      <w:kern w:val="0"/>
                      <w:szCs w:val="21"/>
                    </w:rPr>
                    <w:t>≤10000个/L</w:t>
                  </w:r>
                </w:p>
              </w:tc>
              <w:tc>
                <w:tcPr>
                  <w:tcW w:w="2656" w:type="dxa"/>
                  <w:vMerge w:val="continue"/>
                  <w:tcBorders>
                    <w:top w:val="single" w:color="auto" w:sz="4" w:space="0"/>
                    <w:left w:val="single" w:color="auto" w:sz="4" w:space="0"/>
                    <w:bottom w:val="single" w:color="auto" w:sz="4" w:space="0"/>
                  </w:tcBorders>
                  <w:vAlign w:val="center"/>
                </w:tcPr>
                <w:p w14:paraId="60DF3B90">
                  <w:pPr>
                    <w:pStyle w:val="82"/>
                    <w:spacing w:line="240" w:lineRule="auto"/>
                    <w:ind w:firstLine="0"/>
                    <w:rPr>
                      <w:color w:val="auto"/>
                      <w:kern w:val="0"/>
                      <w:szCs w:val="21"/>
                    </w:rPr>
                  </w:pPr>
                </w:p>
              </w:tc>
            </w:tr>
            <w:tr w14:paraId="2698BEF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23" w:hRule="atLeast"/>
                <w:jc w:val="center"/>
              </w:trPr>
              <w:tc>
                <w:tcPr>
                  <w:tcW w:w="2655" w:type="dxa"/>
                  <w:tcBorders>
                    <w:top w:val="single" w:color="auto" w:sz="4" w:space="0"/>
                    <w:bottom w:val="single" w:color="auto" w:sz="4" w:space="0"/>
                    <w:right w:val="single" w:color="auto" w:sz="4" w:space="0"/>
                  </w:tcBorders>
                  <w:vAlign w:val="center"/>
                </w:tcPr>
                <w:p w14:paraId="0198C0CF">
                  <w:pPr>
                    <w:pStyle w:val="82"/>
                    <w:spacing w:line="240" w:lineRule="auto"/>
                    <w:ind w:firstLine="0"/>
                    <w:rPr>
                      <w:rFonts w:hint="eastAsia" w:eastAsia="宋体"/>
                      <w:color w:val="auto"/>
                      <w:kern w:val="0"/>
                      <w:szCs w:val="21"/>
                      <w:lang w:eastAsia="zh-CN"/>
                    </w:rPr>
                  </w:pPr>
                  <w:r>
                    <w:rPr>
                      <w:rFonts w:hint="eastAsia"/>
                      <w:color w:val="auto"/>
                      <w:kern w:val="0"/>
                      <w:szCs w:val="21"/>
                      <w:lang w:val="en-US" w:eastAsia="zh-CN"/>
                    </w:rPr>
                    <w:t>氟化物</w:t>
                  </w:r>
                </w:p>
              </w:tc>
              <w:tc>
                <w:tcPr>
                  <w:tcW w:w="2656" w:type="dxa"/>
                  <w:tcBorders>
                    <w:top w:val="single" w:color="auto" w:sz="4" w:space="0"/>
                    <w:left w:val="single" w:color="auto" w:sz="4" w:space="0"/>
                    <w:bottom w:val="single" w:color="auto" w:sz="4" w:space="0"/>
                    <w:right w:val="single" w:color="auto" w:sz="4" w:space="0"/>
                  </w:tcBorders>
                  <w:vAlign w:val="center"/>
                </w:tcPr>
                <w:p w14:paraId="7F92466F">
                  <w:pPr>
                    <w:pStyle w:val="82"/>
                    <w:spacing w:line="240" w:lineRule="auto"/>
                    <w:ind w:firstLine="0"/>
                    <w:rPr>
                      <w:rFonts w:hint="default" w:eastAsia="宋体"/>
                      <w:color w:val="auto"/>
                      <w:kern w:val="0"/>
                      <w:szCs w:val="21"/>
                      <w:lang w:val="en-US" w:eastAsia="zh-CN"/>
                    </w:rPr>
                  </w:pPr>
                  <w:r>
                    <w:rPr>
                      <w:color w:val="auto"/>
                      <w:kern w:val="0"/>
                      <w:szCs w:val="21"/>
                    </w:rPr>
                    <w:t>≤</w:t>
                  </w:r>
                  <w:r>
                    <w:rPr>
                      <w:rFonts w:hint="eastAsia"/>
                      <w:color w:val="auto"/>
                      <w:kern w:val="0"/>
                      <w:szCs w:val="21"/>
                      <w:lang w:val="en-US" w:eastAsia="zh-CN"/>
                    </w:rPr>
                    <w:t>1.0</w:t>
                  </w:r>
                </w:p>
              </w:tc>
              <w:tc>
                <w:tcPr>
                  <w:tcW w:w="2656" w:type="dxa"/>
                  <w:vMerge w:val="continue"/>
                  <w:tcBorders>
                    <w:top w:val="single" w:color="auto" w:sz="4" w:space="0"/>
                    <w:left w:val="single" w:color="auto" w:sz="4" w:space="0"/>
                    <w:bottom w:val="single" w:color="auto" w:sz="4" w:space="0"/>
                  </w:tcBorders>
                  <w:vAlign w:val="center"/>
                </w:tcPr>
                <w:p w14:paraId="07F0DA03">
                  <w:pPr>
                    <w:pStyle w:val="82"/>
                    <w:spacing w:line="240" w:lineRule="auto"/>
                    <w:ind w:firstLine="0"/>
                    <w:rPr>
                      <w:color w:val="auto"/>
                      <w:kern w:val="0"/>
                      <w:szCs w:val="21"/>
                    </w:rPr>
                  </w:pPr>
                </w:p>
              </w:tc>
            </w:tr>
          </w:tbl>
          <w:p w14:paraId="264D8B4F">
            <w:pPr>
              <w:pStyle w:val="109"/>
              <w:adjustRightInd/>
              <w:snapToGrid/>
              <w:spacing w:line="360" w:lineRule="auto"/>
              <w:ind w:firstLine="480" w:firstLineChars="200"/>
              <w:rPr>
                <w:color w:val="auto"/>
                <w:sz w:val="24"/>
                <w:szCs w:val="24"/>
              </w:rPr>
            </w:pPr>
            <w:r>
              <w:rPr>
                <w:color w:val="auto"/>
                <w:sz w:val="24"/>
                <w:szCs w:val="24"/>
              </w:rPr>
              <w:t>2、地表水环境质量现状</w:t>
            </w:r>
          </w:p>
          <w:p w14:paraId="2E58DF58">
            <w:pPr>
              <w:spacing w:line="360" w:lineRule="auto"/>
              <w:ind w:firstLine="480"/>
              <w:rPr>
                <w:color w:val="auto"/>
                <w:sz w:val="24"/>
              </w:rPr>
            </w:pPr>
            <w:r>
              <w:rPr>
                <w:color w:val="auto"/>
                <w:sz w:val="24"/>
              </w:rPr>
              <w:t>本项目地表水环境质量现状引用《</w:t>
            </w:r>
            <w:r>
              <w:rPr>
                <w:color w:val="auto"/>
                <w:kern w:val="0"/>
                <w:sz w:val="24"/>
              </w:rPr>
              <w:t>淮南经开化工园区总体发展规划（2021-2030）（2022年修编）环境影响报告书》</w:t>
            </w:r>
            <w:r>
              <w:rPr>
                <w:color w:val="auto"/>
                <w:sz w:val="24"/>
              </w:rPr>
              <w:t>中的监测数据，地表水监测时间2023年4月21日</w:t>
            </w:r>
            <w:r>
              <w:rPr>
                <w:rFonts w:hint="eastAsia"/>
                <w:color w:val="auto"/>
                <w:sz w:val="24"/>
              </w:rPr>
              <w:t>-</w:t>
            </w:r>
            <w:r>
              <w:rPr>
                <w:color w:val="auto"/>
                <w:sz w:val="24"/>
              </w:rPr>
              <w:t>4月23日，监测断面设置在大涧沟及淮南经济技术开发区污水处理厂排污口入淮河上游500m至下游5000m。</w:t>
            </w:r>
            <w:r>
              <w:rPr>
                <w:rFonts w:hint="eastAsia"/>
                <w:color w:val="auto"/>
                <w:sz w:val="24"/>
                <w:lang w:val="en-US" w:eastAsia="zh-CN"/>
              </w:rPr>
              <w:t>氟化物引用</w:t>
            </w:r>
            <w:r>
              <w:rPr>
                <w:rFonts w:hint="eastAsia"/>
                <w:color w:val="auto"/>
                <w:sz w:val="24"/>
                <w:lang w:eastAsia="zh-CN"/>
              </w:rPr>
              <w:t>“淮南经开化工园区年度监测”</w:t>
            </w:r>
            <w:r>
              <w:rPr>
                <w:color w:val="auto"/>
                <w:sz w:val="24"/>
              </w:rPr>
              <w:t>中的监测数据，监测时间202</w:t>
            </w:r>
            <w:r>
              <w:rPr>
                <w:rFonts w:hint="eastAsia"/>
                <w:color w:val="auto"/>
                <w:sz w:val="24"/>
                <w:lang w:val="en-US" w:eastAsia="zh-CN"/>
              </w:rPr>
              <w:t>4</w:t>
            </w:r>
            <w:r>
              <w:rPr>
                <w:color w:val="auto"/>
                <w:sz w:val="24"/>
              </w:rPr>
              <w:t>年</w:t>
            </w:r>
            <w:r>
              <w:rPr>
                <w:rFonts w:hint="eastAsia"/>
                <w:color w:val="auto"/>
                <w:sz w:val="24"/>
                <w:lang w:val="en-US" w:eastAsia="zh-CN"/>
              </w:rPr>
              <w:t>7</w:t>
            </w:r>
            <w:r>
              <w:rPr>
                <w:color w:val="auto"/>
                <w:sz w:val="24"/>
              </w:rPr>
              <w:t>月2</w:t>
            </w:r>
            <w:r>
              <w:rPr>
                <w:rFonts w:hint="eastAsia"/>
                <w:color w:val="auto"/>
                <w:sz w:val="24"/>
                <w:lang w:val="en-US" w:eastAsia="zh-CN"/>
              </w:rPr>
              <w:t>0</w:t>
            </w:r>
            <w:r>
              <w:rPr>
                <w:color w:val="auto"/>
                <w:sz w:val="24"/>
              </w:rPr>
              <w:t>日，监测断面设置在大涧沟及淮南经济技术开发区污水处理厂排污口入淮河上游500m至下游5000m。监测范围符合《环境影响评价技术导则 地表水环境》（HJ2.3-2018）要求。</w:t>
            </w:r>
          </w:p>
          <w:p w14:paraId="12426F1F">
            <w:pPr>
              <w:spacing w:line="360" w:lineRule="auto"/>
              <w:ind w:firstLine="480"/>
              <w:rPr>
                <w:color w:val="auto"/>
                <w:sz w:val="24"/>
                <w:shd w:val="clear" w:color="auto" w:fill="FFFFFF"/>
              </w:rPr>
            </w:pPr>
            <w:r>
              <w:rPr>
                <w:color w:val="auto"/>
                <w:sz w:val="24"/>
                <w:shd w:val="clear" w:color="auto" w:fill="FFFFFF"/>
              </w:rPr>
              <w:t>（1）监测点位</w:t>
            </w:r>
          </w:p>
          <w:p w14:paraId="5FC73834">
            <w:pPr>
              <w:spacing w:line="360" w:lineRule="auto"/>
              <w:ind w:firstLine="480"/>
              <w:rPr>
                <w:rFonts w:hint="eastAsia"/>
                <w:color w:val="auto"/>
                <w:sz w:val="24"/>
              </w:rPr>
            </w:pPr>
            <w:r>
              <w:rPr>
                <w:color w:val="auto"/>
                <w:sz w:val="24"/>
              </w:rPr>
              <w:t>根据项目评价区内水文特征、项目排污特征及纳污水体情况，断面布置情况见下表，断面位置见附图</w:t>
            </w:r>
            <w:r>
              <w:rPr>
                <w:rFonts w:hint="eastAsia"/>
                <w:color w:val="auto"/>
                <w:sz w:val="24"/>
              </w:rPr>
              <w:t>3</w:t>
            </w:r>
            <w:r>
              <w:rPr>
                <w:color w:val="auto"/>
                <w:sz w:val="24"/>
              </w:rPr>
              <w:t>。</w:t>
            </w:r>
            <w:r>
              <w:rPr>
                <w:rFonts w:hint="eastAsia"/>
                <w:color w:val="auto"/>
                <w:sz w:val="24"/>
              </w:rPr>
              <w:t xml:space="preserve"> </w:t>
            </w:r>
          </w:p>
          <w:p w14:paraId="480CBFB2">
            <w:pPr>
              <w:spacing w:line="400" w:lineRule="exact"/>
              <w:jc w:val="center"/>
              <w:rPr>
                <w:b/>
                <w:bCs/>
                <w:color w:val="auto"/>
                <w:szCs w:val="21"/>
              </w:rPr>
            </w:pPr>
            <w:r>
              <w:rPr>
                <w:b/>
                <w:bCs/>
                <w:color w:val="auto"/>
                <w:szCs w:val="21"/>
              </w:rPr>
              <w:t>表3.1.2-2  地表水环境质量现状监测断面一览表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0"/>
              <w:gridCol w:w="880"/>
              <w:gridCol w:w="3332"/>
              <w:gridCol w:w="896"/>
              <w:gridCol w:w="839"/>
              <w:gridCol w:w="1540"/>
            </w:tblGrid>
            <w:tr w14:paraId="41F3D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0" w:hRule="atLeast"/>
                <w:tblHeader/>
                <w:jc w:val="center"/>
              </w:trPr>
              <w:tc>
                <w:tcPr>
                  <w:tcW w:w="480" w:type="dxa"/>
                  <w:vAlign w:val="center"/>
                </w:tcPr>
                <w:p w14:paraId="0FD827CC">
                  <w:pPr>
                    <w:adjustRightInd w:val="0"/>
                    <w:snapToGrid w:val="0"/>
                    <w:jc w:val="center"/>
                    <w:rPr>
                      <w:color w:val="auto"/>
                      <w:szCs w:val="21"/>
                    </w:rPr>
                  </w:pPr>
                  <w:r>
                    <w:rPr>
                      <w:color w:val="auto"/>
                      <w:szCs w:val="21"/>
                    </w:rPr>
                    <w:t>编号</w:t>
                  </w:r>
                </w:p>
              </w:tc>
              <w:tc>
                <w:tcPr>
                  <w:tcW w:w="880" w:type="dxa"/>
                  <w:vAlign w:val="center"/>
                </w:tcPr>
                <w:p w14:paraId="0EA32CB1">
                  <w:pPr>
                    <w:adjustRightInd w:val="0"/>
                    <w:snapToGrid w:val="0"/>
                    <w:jc w:val="center"/>
                    <w:rPr>
                      <w:color w:val="auto"/>
                      <w:szCs w:val="21"/>
                    </w:rPr>
                  </w:pPr>
                  <w:r>
                    <w:rPr>
                      <w:color w:val="auto"/>
                      <w:szCs w:val="21"/>
                    </w:rPr>
                    <w:t>监测水系</w:t>
                  </w:r>
                </w:p>
              </w:tc>
              <w:tc>
                <w:tcPr>
                  <w:tcW w:w="3330" w:type="dxa"/>
                  <w:vAlign w:val="center"/>
                </w:tcPr>
                <w:p w14:paraId="0822F15B">
                  <w:pPr>
                    <w:adjustRightInd w:val="0"/>
                    <w:snapToGrid w:val="0"/>
                    <w:jc w:val="center"/>
                    <w:rPr>
                      <w:color w:val="auto"/>
                      <w:szCs w:val="21"/>
                    </w:rPr>
                  </w:pPr>
                  <w:r>
                    <w:rPr>
                      <w:color w:val="auto"/>
                      <w:szCs w:val="21"/>
                    </w:rPr>
                    <w:t>监测断面布设位置</w:t>
                  </w:r>
                </w:p>
              </w:tc>
              <w:tc>
                <w:tcPr>
                  <w:tcW w:w="896" w:type="dxa"/>
                  <w:vAlign w:val="center"/>
                </w:tcPr>
                <w:p w14:paraId="69FC90EF">
                  <w:pPr>
                    <w:adjustRightInd w:val="0"/>
                    <w:snapToGrid w:val="0"/>
                    <w:jc w:val="center"/>
                    <w:rPr>
                      <w:color w:val="auto"/>
                      <w:szCs w:val="21"/>
                    </w:rPr>
                  </w:pPr>
                  <w:r>
                    <w:rPr>
                      <w:color w:val="auto"/>
                      <w:szCs w:val="21"/>
                    </w:rPr>
                    <w:t>距离本项目距离</w:t>
                  </w:r>
                </w:p>
              </w:tc>
              <w:tc>
                <w:tcPr>
                  <w:tcW w:w="839" w:type="dxa"/>
                  <w:vAlign w:val="center"/>
                </w:tcPr>
                <w:p w14:paraId="094CC210">
                  <w:pPr>
                    <w:adjustRightInd w:val="0"/>
                    <w:snapToGrid w:val="0"/>
                    <w:jc w:val="center"/>
                    <w:rPr>
                      <w:color w:val="auto"/>
                      <w:szCs w:val="21"/>
                    </w:rPr>
                  </w:pPr>
                  <w:r>
                    <w:rPr>
                      <w:color w:val="auto"/>
                      <w:szCs w:val="21"/>
                    </w:rPr>
                    <w:t>环境功能控制目标</w:t>
                  </w:r>
                </w:p>
              </w:tc>
              <w:tc>
                <w:tcPr>
                  <w:tcW w:w="1539" w:type="dxa"/>
                  <w:vAlign w:val="center"/>
                </w:tcPr>
                <w:p w14:paraId="55DD9AFE">
                  <w:pPr>
                    <w:adjustRightInd w:val="0"/>
                    <w:snapToGrid w:val="0"/>
                    <w:jc w:val="center"/>
                    <w:rPr>
                      <w:color w:val="auto"/>
                      <w:szCs w:val="21"/>
                    </w:rPr>
                  </w:pPr>
                  <w:r>
                    <w:rPr>
                      <w:color w:val="auto"/>
                      <w:szCs w:val="21"/>
                    </w:rPr>
                    <w:t>监测因子（引用）</w:t>
                  </w:r>
                </w:p>
              </w:tc>
            </w:tr>
            <w:tr w14:paraId="2AE87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dxa"/>
                  <w:vAlign w:val="center"/>
                </w:tcPr>
                <w:p w14:paraId="7C2832E5">
                  <w:pPr>
                    <w:adjustRightInd w:val="0"/>
                    <w:snapToGrid w:val="0"/>
                    <w:jc w:val="center"/>
                    <w:rPr>
                      <w:color w:val="auto"/>
                      <w:szCs w:val="21"/>
                    </w:rPr>
                  </w:pPr>
                  <w:r>
                    <w:rPr>
                      <w:color w:val="auto"/>
                      <w:szCs w:val="21"/>
                    </w:rPr>
                    <w:t>W1</w:t>
                  </w:r>
                </w:p>
              </w:tc>
              <w:tc>
                <w:tcPr>
                  <w:tcW w:w="880" w:type="dxa"/>
                  <w:vAlign w:val="center"/>
                </w:tcPr>
                <w:p w14:paraId="31DDFB00">
                  <w:pPr>
                    <w:adjustRightInd w:val="0"/>
                    <w:snapToGrid w:val="0"/>
                    <w:jc w:val="center"/>
                    <w:rPr>
                      <w:color w:val="auto"/>
                      <w:szCs w:val="21"/>
                    </w:rPr>
                  </w:pPr>
                  <w:r>
                    <w:rPr>
                      <w:color w:val="auto"/>
                      <w:szCs w:val="21"/>
                    </w:rPr>
                    <w:t>大涧沟</w:t>
                  </w:r>
                </w:p>
              </w:tc>
              <w:tc>
                <w:tcPr>
                  <w:tcW w:w="3330" w:type="dxa"/>
                  <w:vAlign w:val="center"/>
                </w:tcPr>
                <w:p w14:paraId="174896DB">
                  <w:pPr>
                    <w:adjustRightInd w:val="0"/>
                    <w:snapToGrid w:val="0"/>
                    <w:jc w:val="center"/>
                    <w:rPr>
                      <w:color w:val="auto"/>
                      <w:szCs w:val="21"/>
                    </w:rPr>
                  </w:pPr>
                  <w:r>
                    <w:rPr>
                      <w:color w:val="auto"/>
                      <w:szCs w:val="21"/>
                    </w:rPr>
                    <w:t>大涧沟</w:t>
                  </w:r>
                </w:p>
              </w:tc>
              <w:tc>
                <w:tcPr>
                  <w:tcW w:w="896" w:type="dxa"/>
                  <w:vAlign w:val="center"/>
                </w:tcPr>
                <w:p w14:paraId="6B1AB2E6">
                  <w:pPr>
                    <w:adjustRightInd w:val="0"/>
                    <w:snapToGrid w:val="0"/>
                    <w:jc w:val="center"/>
                    <w:rPr>
                      <w:color w:val="auto"/>
                      <w:szCs w:val="21"/>
                    </w:rPr>
                  </w:pPr>
                  <w:r>
                    <w:rPr>
                      <w:color w:val="auto"/>
                      <w:szCs w:val="21"/>
                    </w:rPr>
                    <w:t>3000m</w:t>
                  </w:r>
                </w:p>
              </w:tc>
              <w:tc>
                <w:tcPr>
                  <w:tcW w:w="839" w:type="dxa"/>
                  <w:vMerge w:val="restart"/>
                  <w:vAlign w:val="center"/>
                </w:tcPr>
                <w:p w14:paraId="69025B16">
                  <w:pPr>
                    <w:adjustRightInd w:val="0"/>
                    <w:snapToGrid w:val="0"/>
                    <w:jc w:val="center"/>
                    <w:rPr>
                      <w:color w:val="auto"/>
                      <w:szCs w:val="21"/>
                    </w:rPr>
                  </w:pPr>
                  <w:r>
                    <w:rPr>
                      <w:color w:val="auto"/>
                      <w:szCs w:val="21"/>
                    </w:rPr>
                    <w:t>（GB3838-2002）</w:t>
                  </w:r>
                  <w:r>
                    <w:rPr>
                      <w:color w:val="auto"/>
                      <w:szCs w:val="21"/>
                    </w:rPr>
                    <w:fldChar w:fldCharType="begin"/>
                  </w:r>
                  <w:r>
                    <w:rPr>
                      <w:color w:val="auto"/>
                      <w:szCs w:val="21"/>
                    </w:rPr>
                    <w:instrText xml:space="preserve"> = 3 \* ROMAN </w:instrText>
                  </w:r>
                  <w:r>
                    <w:rPr>
                      <w:color w:val="auto"/>
                      <w:szCs w:val="21"/>
                    </w:rPr>
                    <w:fldChar w:fldCharType="separate"/>
                  </w:r>
                  <w:r>
                    <w:rPr>
                      <w:color w:val="auto"/>
                      <w:szCs w:val="21"/>
                    </w:rPr>
                    <w:t>Ⅲ</w:t>
                  </w:r>
                  <w:r>
                    <w:rPr>
                      <w:color w:val="auto"/>
                      <w:szCs w:val="21"/>
                    </w:rPr>
                    <w:fldChar w:fldCharType="end"/>
                  </w:r>
                  <w:r>
                    <w:rPr>
                      <w:color w:val="auto"/>
                      <w:szCs w:val="21"/>
                    </w:rPr>
                    <w:t>类</w:t>
                  </w:r>
                </w:p>
              </w:tc>
              <w:tc>
                <w:tcPr>
                  <w:tcW w:w="1539" w:type="dxa"/>
                  <w:vMerge w:val="restart"/>
                  <w:vAlign w:val="center"/>
                </w:tcPr>
                <w:p w14:paraId="57D50137">
                  <w:pPr>
                    <w:adjustRightInd w:val="0"/>
                    <w:snapToGrid w:val="0"/>
                    <w:jc w:val="center"/>
                    <w:rPr>
                      <w:rFonts w:hint="default" w:eastAsia="宋体"/>
                      <w:color w:val="auto"/>
                      <w:szCs w:val="21"/>
                      <w:lang w:val="en-US" w:eastAsia="zh-CN"/>
                    </w:rPr>
                  </w:pPr>
                  <w:r>
                    <w:rPr>
                      <w:color w:val="auto"/>
                      <w:szCs w:val="21"/>
                    </w:rPr>
                    <w:t>pH、高锰酸盐指数、COD、BOD</w:t>
                  </w:r>
                  <w:r>
                    <w:rPr>
                      <w:color w:val="auto"/>
                      <w:szCs w:val="21"/>
                      <w:vertAlign w:val="subscript"/>
                    </w:rPr>
                    <w:t>5</w:t>
                  </w:r>
                  <w:r>
                    <w:rPr>
                      <w:color w:val="auto"/>
                      <w:szCs w:val="21"/>
                    </w:rPr>
                    <w:t>、NH</w:t>
                  </w:r>
                  <w:r>
                    <w:rPr>
                      <w:color w:val="auto"/>
                      <w:szCs w:val="21"/>
                      <w:vertAlign w:val="subscript"/>
                    </w:rPr>
                    <w:t>3</w:t>
                  </w:r>
                  <w:r>
                    <w:rPr>
                      <w:color w:val="auto"/>
                      <w:szCs w:val="21"/>
                    </w:rPr>
                    <w:t>-N、TP、铜、锌、挥发酚、石油类、阴离子表面活性剂、粪大肠菌群数</w:t>
                  </w:r>
                  <w:r>
                    <w:rPr>
                      <w:rFonts w:hint="eastAsia"/>
                      <w:color w:val="auto"/>
                      <w:szCs w:val="21"/>
                      <w:lang w:eastAsia="zh-CN"/>
                    </w:rPr>
                    <w:t>、</w:t>
                  </w:r>
                  <w:r>
                    <w:rPr>
                      <w:rFonts w:hint="eastAsia"/>
                      <w:color w:val="auto"/>
                      <w:szCs w:val="21"/>
                      <w:lang w:val="en-US" w:eastAsia="zh-CN"/>
                    </w:rPr>
                    <w:t>氟化物</w:t>
                  </w:r>
                </w:p>
              </w:tc>
            </w:tr>
            <w:tr w14:paraId="3B151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80" w:type="dxa"/>
                  <w:vAlign w:val="center"/>
                </w:tcPr>
                <w:p w14:paraId="18D6A6A2">
                  <w:pPr>
                    <w:adjustRightInd w:val="0"/>
                    <w:snapToGrid w:val="0"/>
                    <w:jc w:val="center"/>
                    <w:rPr>
                      <w:color w:val="auto"/>
                      <w:szCs w:val="21"/>
                    </w:rPr>
                  </w:pPr>
                  <w:r>
                    <w:rPr>
                      <w:color w:val="auto"/>
                      <w:szCs w:val="21"/>
                    </w:rPr>
                    <w:t>W2</w:t>
                  </w:r>
                </w:p>
              </w:tc>
              <w:tc>
                <w:tcPr>
                  <w:tcW w:w="880" w:type="dxa"/>
                  <w:vMerge w:val="restart"/>
                  <w:vAlign w:val="center"/>
                </w:tcPr>
                <w:p w14:paraId="4C5554CC">
                  <w:pPr>
                    <w:adjustRightInd w:val="0"/>
                    <w:snapToGrid w:val="0"/>
                    <w:jc w:val="center"/>
                    <w:rPr>
                      <w:color w:val="auto"/>
                      <w:szCs w:val="21"/>
                    </w:rPr>
                  </w:pPr>
                  <w:r>
                    <w:rPr>
                      <w:color w:val="auto"/>
                      <w:szCs w:val="21"/>
                    </w:rPr>
                    <w:t>淮河</w:t>
                  </w:r>
                </w:p>
              </w:tc>
              <w:tc>
                <w:tcPr>
                  <w:tcW w:w="3330" w:type="dxa"/>
                  <w:vAlign w:val="center"/>
                </w:tcPr>
                <w:p w14:paraId="30E69C2E">
                  <w:pPr>
                    <w:adjustRightInd w:val="0"/>
                    <w:snapToGrid w:val="0"/>
                    <w:jc w:val="center"/>
                    <w:rPr>
                      <w:color w:val="auto"/>
                      <w:szCs w:val="21"/>
                    </w:rPr>
                  </w:pPr>
                  <w:r>
                    <w:rPr>
                      <w:color w:val="auto"/>
                      <w:szCs w:val="21"/>
                    </w:rPr>
                    <w:t>淮南经济技术开发区污水处理厂入淮河上游500m</w:t>
                  </w:r>
                </w:p>
              </w:tc>
              <w:tc>
                <w:tcPr>
                  <w:tcW w:w="896" w:type="dxa"/>
                  <w:vAlign w:val="center"/>
                </w:tcPr>
                <w:p w14:paraId="754EAF47">
                  <w:pPr>
                    <w:adjustRightInd w:val="0"/>
                    <w:snapToGrid w:val="0"/>
                    <w:jc w:val="center"/>
                    <w:rPr>
                      <w:color w:val="auto"/>
                      <w:szCs w:val="21"/>
                    </w:rPr>
                  </w:pPr>
                  <w:r>
                    <w:rPr>
                      <w:color w:val="auto"/>
                      <w:szCs w:val="21"/>
                    </w:rPr>
                    <w:t>5600m</w:t>
                  </w:r>
                </w:p>
              </w:tc>
              <w:tc>
                <w:tcPr>
                  <w:tcW w:w="839" w:type="dxa"/>
                  <w:vMerge w:val="continue"/>
                  <w:vAlign w:val="center"/>
                </w:tcPr>
                <w:p w14:paraId="60AE0798">
                  <w:pPr>
                    <w:adjustRightInd w:val="0"/>
                    <w:snapToGrid w:val="0"/>
                    <w:jc w:val="center"/>
                    <w:rPr>
                      <w:color w:val="auto"/>
                      <w:szCs w:val="21"/>
                    </w:rPr>
                  </w:pPr>
                </w:p>
              </w:tc>
              <w:tc>
                <w:tcPr>
                  <w:tcW w:w="1539" w:type="dxa"/>
                  <w:vMerge w:val="continue"/>
                  <w:vAlign w:val="center"/>
                </w:tcPr>
                <w:p w14:paraId="0CDF950C">
                  <w:pPr>
                    <w:adjustRightInd w:val="0"/>
                    <w:snapToGrid w:val="0"/>
                    <w:jc w:val="center"/>
                    <w:rPr>
                      <w:color w:val="auto"/>
                      <w:szCs w:val="21"/>
                    </w:rPr>
                  </w:pPr>
                </w:p>
              </w:tc>
            </w:tr>
            <w:tr w14:paraId="65EC8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0" w:type="dxa"/>
                  <w:vAlign w:val="center"/>
                </w:tcPr>
                <w:p w14:paraId="63968B71">
                  <w:pPr>
                    <w:adjustRightInd w:val="0"/>
                    <w:snapToGrid w:val="0"/>
                    <w:jc w:val="center"/>
                    <w:rPr>
                      <w:color w:val="auto"/>
                      <w:szCs w:val="21"/>
                    </w:rPr>
                  </w:pPr>
                  <w:r>
                    <w:rPr>
                      <w:color w:val="auto"/>
                      <w:szCs w:val="21"/>
                    </w:rPr>
                    <w:t>W3</w:t>
                  </w:r>
                </w:p>
              </w:tc>
              <w:tc>
                <w:tcPr>
                  <w:tcW w:w="880" w:type="dxa"/>
                  <w:vMerge w:val="continue"/>
                  <w:vAlign w:val="center"/>
                </w:tcPr>
                <w:p w14:paraId="67CC6ECD">
                  <w:pPr>
                    <w:adjustRightInd w:val="0"/>
                    <w:snapToGrid w:val="0"/>
                    <w:jc w:val="center"/>
                    <w:rPr>
                      <w:color w:val="auto"/>
                      <w:szCs w:val="21"/>
                    </w:rPr>
                  </w:pPr>
                </w:p>
              </w:tc>
              <w:tc>
                <w:tcPr>
                  <w:tcW w:w="3330" w:type="dxa"/>
                  <w:vAlign w:val="center"/>
                </w:tcPr>
                <w:p w14:paraId="374168ED">
                  <w:pPr>
                    <w:adjustRightInd w:val="0"/>
                    <w:snapToGrid w:val="0"/>
                    <w:jc w:val="center"/>
                    <w:rPr>
                      <w:color w:val="auto"/>
                      <w:szCs w:val="21"/>
                    </w:rPr>
                  </w:pPr>
                  <w:r>
                    <w:rPr>
                      <w:color w:val="auto"/>
                      <w:szCs w:val="21"/>
                    </w:rPr>
                    <w:t>淮南经济技术开发区污水处理厂入淮河下游500m</w:t>
                  </w:r>
                </w:p>
              </w:tc>
              <w:tc>
                <w:tcPr>
                  <w:tcW w:w="896" w:type="dxa"/>
                  <w:vAlign w:val="center"/>
                </w:tcPr>
                <w:p w14:paraId="10C15ADB">
                  <w:pPr>
                    <w:adjustRightInd w:val="0"/>
                    <w:snapToGrid w:val="0"/>
                    <w:jc w:val="center"/>
                    <w:rPr>
                      <w:color w:val="auto"/>
                      <w:szCs w:val="21"/>
                    </w:rPr>
                  </w:pPr>
                  <w:r>
                    <w:rPr>
                      <w:color w:val="auto"/>
                      <w:szCs w:val="21"/>
                    </w:rPr>
                    <w:t>5800m</w:t>
                  </w:r>
                </w:p>
              </w:tc>
              <w:tc>
                <w:tcPr>
                  <w:tcW w:w="839" w:type="dxa"/>
                  <w:vMerge w:val="continue"/>
                  <w:vAlign w:val="center"/>
                </w:tcPr>
                <w:p w14:paraId="539853A9">
                  <w:pPr>
                    <w:adjustRightInd w:val="0"/>
                    <w:snapToGrid w:val="0"/>
                    <w:jc w:val="center"/>
                    <w:rPr>
                      <w:color w:val="auto"/>
                      <w:szCs w:val="21"/>
                    </w:rPr>
                  </w:pPr>
                </w:p>
              </w:tc>
              <w:tc>
                <w:tcPr>
                  <w:tcW w:w="1539" w:type="dxa"/>
                  <w:vMerge w:val="continue"/>
                  <w:vAlign w:val="center"/>
                </w:tcPr>
                <w:p w14:paraId="09A1D1A2">
                  <w:pPr>
                    <w:adjustRightInd w:val="0"/>
                    <w:snapToGrid w:val="0"/>
                    <w:jc w:val="center"/>
                    <w:rPr>
                      <w:color w:val="auto"/>
                      <w:szCs w:val="21"/>
                    </w:rPr>
                  </w:pPr>
                </w:p>
              </w:tc>
            </w:tr>
            <w:tr w14:paraId="02AF3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0" w:type="dxa"/>
                  <w:vAlign w:val="center"/>
                </w:tcPr>
                <w:p w14:paraId="0855AE61">
                  <w:pPr>
                    <w:adjustRightInd w:val="0"/>
                    <w:snapToGrid w:val="0"/>
                    <w:jc w:val="center"/>
                    <w:rPr>
                      <w:color w:val="auto"/>
                      <w:szCs w:val="21"/>
                    </w:rPr>
                  </w:pPr>
                  <w:r>
                    <w:rPr>
                      <w:color w:val="auto"/>
                      <w:szCs w:val="21"/>
                    </w:rPr>
                    <w:t>W4</w:t>
                  </w:r>
                </w:p>
              </w:tc>
              <w:tc>
                <w:tcPr>
                  <w:tcW w:w="880" w:type="dxa"/>
                  <w:vMerge w:val="continue"/>
                  <w:vAlign w:val="center"/>
                </w:tcPr>
                <w:p w14:paraId="73914065">
                  <w:pPr>
                    <w:adjustRightInd w:val="0"/>
                    <w:snapToGrid w:val="0"/>
                    <w:jc w:val="center"/>
                    <w:rPr>
                      <w:color w:val="auto"/>
                      <w:szCs w:val="21"/>
                    </w:rPr>
                  </w:pPr>
                </w:p>
              </w:tc>
              <w:tc>
                <w:tcPr>
                  <w:tcW w:w="3330" w:type="dxa"/>
                  <w:vAlign w:val="center"/>
                </w:tcPr>
                <w:p w14:paraId="7E0C45AF">
                  <w:pPr>
                    <w:adjustRightInd w:val="0"/>
                    <w:snapToGrid w:val="0"/>
                    <w:jc w:val="center"/>
                    <w:rPr>
                      <w:color w:val="auto"/>
                      <w:szCs w:val="21"/>
                    </w:rPr>
                  </w:pPr>
                  <w:r>
                    <w:rPr>
                      <w:color w:val="auto"/>
                      <w:szCs w:val="21"/>
                    </w:rPr>
                    <w:t>淮南经济技术开发区污水处理厂入淮河下游2000m</w:t>
                  </w:r>
                </w:p>
              </w:tc>
              <w:tc>
                <w:tcPr>
                  <w:tcW w:w="896" w:type="dxa"/>
                  <w:vAlign w:val="center"/>
                </w:tcPr>
                <w:p w14:paraId="0B827C32">
                  <w:pPr>
                    <w:adjustRightInd w:val="0"/>
                    <w:snapToGrid w:val="0"/>
                    <w:jc w:val="center"/>
                    <w:rPr>
                      <w:color w:val="auto"/>
                      <w:szCs w:val="21"/>
                    </w:rPr>
                  </w:pPr>
                  <w:r>
                    <w:rPr>
                      <w:color w:val="auto"/>
                      <w:szCs w:val="21"/>
                    </w:rPr>
                    <w:t>5800m</w:t>
                  </w:r>
                </w:p>
              </w:tc>
              <w:tc>
                <w:tcPr>
                  <w:tcW w:w="839" w:type="dxa"/>
                  <w:vMerge w:val="continue"/>
                  <w:vAlign w:val="center"/>
                </w:tcPr>
                <w:p w14:paraId="0826CC06">
                  <w:pPr>
                    <w:adjustRightInd w:val="0"/>
                    <w:snapToGrid w:val="0"/>
                    <w:jc w:val="center"/>
                    <w:rPr>
                      <w:color w:val="auto"/>
                      <w:szCs w:val="21"/>
                    </w:rPr>
                  </w:pPr>
                </w:p>
              </w:tc>
              <w:tc>
                <w:tcPr>
                  <w:tcW w:w="1539" w:type="dxa"/>
                  <w:vMerge w:val="continue"/>
                  <w:vAlign w:val="center"/>
                </w:tcPr>
                <w:p w14:paraId="3187D605">
                  <w:pPr>
                    <w:adjustRightInd w:val="0"/>
                    <w:snapToGrid w:val="0"/>
                    <w:jc w:val="center"/>
                    <w:rPr>
                      <w:color w:val="auto"/>
                      <w:szCs w:val="21"/>
                    </w:rPr>
                  </w:pPr>
                </w:p>
              </w:tc>
            </w:tr>
            <w:tr w14:paraId="6B228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0" w:type="dxa"/>
                  <w:vAlign w:val="center"/>
                </w:tcPr>
                <w:p w14:paraId="379FF541">
                  <w:pPr>
                    <w:adjustRightInd w:val="0"/>
                    <w:snapToGrid w:val="0"/>
                    <w:jc w:val="center"/>
                    <w:rPr>
                      <w:color w:val="auto"/>
                      <w:szCs w:val="21"/>
                    </w:rPr>
                  </w:pPr>
                  <w:r>
                    <w:rPr>
                      <w:color w:val="auto"/>
                      <w:szCs w:val="21"/>
                    </w:rPr>
                    <w:t>W5</w:t>
                  </w:r>
                </w:p>
              </w:tc>
              <w:tc>
                <w:tcPr>
                  <w:tcW w:w="880" w:type="dxa"/>
                  <w:vMerge w:val="continue"/>
                  <w:vAlign w:val="center"/>
                </w:tcPr>
                <w:p w14:paraId="2B399594">
                  <w:pPr>
                    <w:adjustRightInd w:val="0"/>
                    <w:snapToGrid w:val="0"/>
                    <w:jc w:val="center"/>
                    <w:rPr>
                      <w:color w:val="auto"/>
                      <w:szCs w:val="21"/>
                    </w:rPr>
                  </w:pPr>
                </w:p>
              </w:tc>
              <w:tc>
                <w:tcPr>
                  <w:tcW w:w="3330" w:type="dxa"/>
                  <w:vAlign w:val="center"/>
                </w:tcPr>
                <w:p w14:paraId="51723636">
                  <w:pPr>
                    <w:adjustRightInd w:val="0"/>
                    <w:snapToGrid w:val="0"/>
                    <w:jc w:val="center"/>
                    <w:rPr>
                      <w:color w:val="auto"/>
                      <w:szCs w:val="21"/>
                    </w:rPr>
                  </w:pPr>
                  <w:r>
                    <w:rPr>
                      <w:color w:val="auto"/>
                      <w:szCs w:val="21"/>
                    </w:rPr>
                    <w:t>淮南经济技术开发区污水处理厂入淮河下游5000m</w:t>
                  </w:r>
                </w:p>
              </w:tc>
              <w:tc>
                <w:tcPr>
                  <w:tcW w:w="896" w:type="dxa"/>
                  <w:vAlign w:val="center"/>
                </w:tcPr>
                <w:p w14:paraId="58195CD1">
                  <w:pPr>
                    <w:adjustRightInd w:val="0"/>
                    <w:snapToGrid w:val="0"/>
                    <w:jc w:val="center"/>
                    <w:rPr>
                      <w:color w:val="auto"/>
                      <w:szCs w:val="21"/>
                    </w:rPr>
                  </w:pPr>
                  <w:r>
                    <w:rPr>
                      <w:color w:val="auto"/>
                      <w:szCs w:val="21"/>
                    </w:rPr>
                    <w:t>5900m</w:t>
                  </w:r>
                </w:p>
              </w:tc>
              <w:tc>
                <w:tcPr>
                  <w:tcW w:w="839" w:type="dxa"/>
                  <w:vMerge w:val="continue"/>
                  <w:vAlign w:val="center"/>
                </w:tcPr>
                <w:p w14:paraId="4C5D1F67">
                  <w:pPr>
                    <w:adjustRightInd w:val="0"/>
                    <w:snapToGrid w:val="0"/>
                    <w:jc w:val="center"/>
                    <w:rPr>
                      <w:color w:val="auto"/>
                      <w:szCs w:val="21"/>
                    </w:rPr>
                  </w:pPr>
                </w:p>
              </w:tc>
              <w:tc>
                <w:tcPr>
                  <w:tcW w:w="1539" w:type="dxa"/>
                  <w:vMerge w:val="continue"/>
                  <w:vAlign w:val="center"/>
                </w:tcPr>
                <w:p w14:paraId="59C14947">
                  <w:pPr>
                    <w:adjustRightInd w:val="0"/>
                    <w:snapToGrid w:val="0"/>
                    <w:jc w:val="center"/>
                    <w:rPr>
                      <w:color w:val="auto"/>
                      <w:szCs w:val="21"/>
                    </w:rPr>
                  </w:pPr>
                </w:p>
              </w:tc>
            </w:tr>
          </w:tbl>
          <w:p w14:paraId="33865E29">
            <w:pPr>
              <w:spacing w:line="360" w:lineRule="auto"/>
              <w:ind w:firstLine="480"/>
              <w:rPr>
                <w:color w:val="auto"/>
                <w:sz w:val="24"/>
              </w:rPr>
            </w:pPr>
            <w:r>
              <w:rPr>
                <w:color w:val="auto"/>
                <w:sz w:val="24"/>
              </w:rPr>
              <w:t>（2）监测项目</w:t>
            </w:r>
          </w:p>
          <w:p w14:paraId="10C4B79E">
            <w:pPr>
              <w:spacing w:line="360" w:lineRule="auto"/>
              <w:ind w:firstLine="480"/>
              <w:rPr>
                <w:bCs/>
                <w:color w:val="auto"/>
                <w:sz w:val="24"/>
              </w:rPr>
            </w:pPr>
            <w:r>
              <w:rPr>
                <w:color w:val="auto"/>
                <w:sz w:val="24"/>
              </w:rPr>
              <w:t>根据项目特点，本次地表水环境质量现状监测指标为pH、高锰酸盐指数、COD、BOD</w:t>
            </w:r>
            <w:r>
              <w:rPr>
                <w:color w:val="auto"/>
                <w:sz w:val="24"/>
                <w:vertAlign w:val="subscript"/>
              </w:rPr>
              <w:t>5</w:t>
            </w:r>
            <w:r>
              <w:rPr>
                <w:color w:val="auto"/>
                <w:sz w:val="24"/>
              </w:rPr>
              <w:t>、NH</w:t>
            </w:r>
            <w:r>
              <w:rPr>
                <w:color w:val="auto"/>
                <w:sz w:val="24"/>
                <w:vertAlign w:val="subscript"/>
              </w:rPr>
              <w:t>3</w:t>
            </w:r>
            <w:r>
              <w:rPr>
                <w:color w:val="auto"/>
                <w:sz w:val="24"/>
              </w:rPr>
              <w:t>-N、TP、铜、锌、挥发酚、石油类、阴离子表面活性剂、粪大肠菌群数</w:t>
            </w:r>
            <w:r>
              <w:rPr>
                <w:rFonts w:hint="eastAsia"/>
                <w:color w:val="auto"/>
                <w:sz w:val="24"/>
                <w:lang w:eastAsia="zh-CN"/>
              </w:rPr>
              <w:t>、</w:t>
            </w:r>
            <w:r>
              <w:rPr>
                <w:rFonts w:hint="eastAsia"/>
                <w:color w:val="auto"/>
                <w:sz w:val="24"/>
                <w:lang w:val="en-US" w:eastAsia="zh-CN"/>
              </w:rPr>
              <w:t>氟化物</w:t>
            </w:r>
            <w:r>
              <w:rPr>
                <w:color w:val="auto"/>
                <w:sz w:val="24"/>
              </w:rPr>
              <w:t>。</w:t>
            </w:r>
          </w:p>
          <w:p w14:paraId="57267ED1">
            <w:pPr>
              <w:spacing w:line="360" w:lineRule="auto"/>
              <w:ind w:firstLine="480"/>
              <w:rPr>
                <w:color w:val="auto"/>
                <w:sz w:val="24"/>
              </w:rPr>
            </w:pPr>
            <w:r>
              <w:rPr>
                <w:color w:val="auto"/>
                <w:sz w:val="24"/>
              </w:rPr>
              <w:t>（3）分析方法</w:t>
            </w:r>
          </w:p>
          <w:p w14:paraId="37DC1DEB">
            <w:pPr>
              <w:spacing w:line="360" w:lineRule="auto"/>
              <w:ind w:firstLine="480"/>
              <w:rPr>
                <w:color w:val="auto"/>
                <w:sz w:val="24"/>
              </w:rPr>
            </w:pPr>
            <w:r>
              <w:rPr>
                <w:color w:val="auto"/>
                <w:sz w:val="24"/>
              </w:rPr>
              <w:t>水质采样执行《水质采样方案设计技术规定》（HJ495-2009）、《水质采样技术指导》（HJ494-2009）、《水质采样样品的保存和管理技术规定》（HJ493-2009）。</w:t>
            </w:r>
          </w:p>
          <w:p w14:paraId="301FE850">
            <w:pPr>
              <w:spacing w:line="360" w:lineRule="auto"/>
              <w:ind w:firstLine="480"/>
              <w:rPr>
                <w:color w:val="auto"/>
                <w:sz w:val="24"/>
              </w:rPr>
            </w:pPr>
            <w:r>
              <w:rPr>
                <w:color w:val="auto"/>
                <w:sz w:val="24"/>
              </w:rPr>
              <w:t>（</w:t>
            </w:r>
            <w:r>
              <w:rPr>
                <w:rFonts w:hint="eastAsia"/>
                <w:color w:val="auto"/>
                <w:sz w:val="24"/>
                <w:lang w:val="en-US" w:eastAsia="zh-CN"/>
              </w:rPr>
              <w:t>4</w:t>
            </w:r>
            <w:r>
              <w:rPr>
                <w:color w:val="auto"/>
                <w:sz w:val="24"/>
              </w:rPr>
              <w:t>）评价方法</w:t>
            </w:r>
          </w:p>
          <w:p w14:paraId="018A47AC">
            <w:pPr>
              <w:spacing w:line="360" w:lineRule="auto"/>
              <w:ind w:firstLine="480"/>
              <w:rPr>
                <w:color w:val="auto"/>
                <w:sz w:val="24"/>
              </w:rPr>
            </w:pPr>
            <w:r>
              <w:rPr>
                <w:color w:val="auto"/>
                <w:sz w:val="24"/>
              </w:rPr>
              <w:t>本次地表水环境质量现状评价采用单项污染指数法，其计算公式如下：</w:t>
            </w:r>
          </w:p>
          <w:p w14:paraId="7DCD180A">
            <w:pPr>
              <w:spacing w:line="360" w:lineRule="auto"/>
              <w:ind w:firstLine="480"/>
              <w:jc w:val="center"/>
              <w:rPr>
                <w:color w:val="auto"/>
                <w:sz w:val="24"/>
              </w:rPr>
            </w:pPr>
            <w:r>
              <w:rPr>
                <w:color w:val="auto"/>
                <w:position w:val="-30"/>
                <w:sz w:val="24"/>
              </w:rPr>
              <w:drawing>
                <wp:inline distT="0" distB="0" distL="0" distR="0">
                  <wp:extent cx="571500" cy="476250"/>
                  <wp:effectExtent l="19050" t="0" r="0" b="0"/>
                  <wp:docPr id="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9"/>
                          <pic:cNvPicPr>
                            <a:picLocks noChangeAspect="1" noChangeArrowheads="1"/>
                          </pic:cNvPicPr>
                        </pic:nvPicPr>
                        <pic:blipFill>
                          <a:blip r:embed="rId17"/>
                          <a:srcRect/>
                          <a:stretch>
                            <a:fillRect/>
                          </a:stretch>
                        </pic:blipFill>
                        <pic:spPr>
                          <a:xfrm>
                            <a:off x="0" y="0"/>
                            <a:ext cx="571500" cy="476250"/>
                          </a:xfrm>
                          <a:prstGeom prst="rect">
                            <a:avLst/>
                          </a:prstGeom>
                          <a:noFill/>
                          <a:ln w="9525">
                            <a:noFill/>
                            <a:miter lim="800000"/>
                            <a:headEnd/>
                            <a:tailEnd/>
                          </a:ln>
                        </pic:spPr>
                      </pic:pic>
                    </a:graphicData>
                  </a:graphic>
                </wp:inline>
              </w:drawing>
            </w:r>
          </w:p>
          <w:p w14:paraId="38A8ECE3">
            <w:pPr>
              <w:spacing w:line="360" w:lineRule="auto"/>
              <w:ind w:firstLine="480"/>
              <w:jc w:val="left"/>
              <w:rPr>
                <w:color w:val="auto"/>
                <w:sz w:val="24"/>
              </w:rPr>
            </w:pPr>
            <w:r>
              <w:rPr>
                <w:color w:val="auto"/>
                <w:sz w:val="24"/>
              </w:rPr>
              <w:t>式中：</w:t>
            </w:r>
            <w:r>
              <w:rPr>
                <w:i/>
                <w:color w:val="auto"/>
                <w:sz w:val="24"/>
              </w:rPr>
              <w:t>S</w:t>
            </w:r>
            <w:r>
              <w:rPr>
                <w:i/>
                <w:color w:val="auto"/>
                <w:sz w:val="24"/>
                <w:vertAlign w:val="subscript"/>
              </w:rPr>
              <w:t xml:space="preserve">i </w:t>
            </w:r>
            <w:r>
              <w:rPr>
                <w:color w:val="auto"/>
                <w:sz w:val="24"/>
              </w:rPr>
              <w:t>—</w:t>
            </w:r>
            <w:r>
              <w:rPr>
                <w:i/>
                <w:color w:val="auto"/>
                <w:sz w:val="24"/>
              </w:rPr>
              <w:t>i</w:t>
            </w:r>
            <w:r>
              <w:rPr>
                <w:color w:val="auto"/>
                <w:sz w:val="24"/>
              </w:rPr>
              <w:t>种污染物分指数；</w:t>
            </w:r>
          </w:p>
          <w:p w14:paraId="1F63F5A6">
            <w:pPr>
              <w:spacing w:line="360" w:lineRule="auto"/>
              <w:ind w:firstLine="1260" w:firstLineChars="525"/>
              <w:jc w:val="left"/>
              <w:rPr>
                <w:color w:val="auto"/>
                <w:sz w:val="24"/>
              </w:rPr>
            </w:pPr>
            <w:r>
              <w:rPr>
                <w:i/>
                <w:color w:val="auto"/>
                <w:sz w:val="24"/>
              </w:rPr>
              <w:t>C</w:t>
            </w:r>
            <w:r>
              <w:rPr>
                <w:i/>
                <w:color w:val="auto"/>
                <w:sz w:val="24"/>
                <w:vertAlign w:val="subscript"/>
              </w:rPr>
              <w:t xml:space="preserve">i </w:t>
            </w:r>
            <w:r>
              <w:rPr>
                <w:color w:val="auto"/>
                <w:sz w:val="24"/>
              </w:rPr>
              <w:t>—</w:t>
            </w:r>
            <w:r>
              <w:rPr>
                <w:i/>
                <w:color w:val="auto"/>
                <w:sz w:val="24"/>
              </w:rPr>
              <w:t>i</w:t>
            </w:r>
            <w:r>
              <w:rPr>
                <w:color w:val="auto"/>
                <w:sz w:val="24"/>
              </w:rPr>
              <w:t>种污染物实测值（mg/L）；</w:t>
            </w:r>
          </w:p>
          <w:p w14:paraId="4D16EE62">
            <w:pPr>
              <w:spacing w:line="360" w:lineRule="auto"/>
              <w:ind w:firstLine="1200" w:firstLineChars="500"/>
              <w:rPr>
                <w:color w:val="auto"/>
                <w:sz w:val="24"/>
              </w:rPr>
            </w:pPr>
            <w:r>
              <w:rPr>
                <w:i/>
                <w:color w:val="auto"/>
                <w:sz w:val="24"/>
              </w:rPr>
              <w:t>C</w:t>
            </w:r>
            <w:r>
              <w:rPr>
                <w:i/>
                <w:color w:val="auto"/>
                <w:sz w:val="24"/>
                <w:vertAlign w:val="subscript"/>
              </w:rPr>
              <w:t>Si</w:t>
            </w:r>
            <w:r>
              <w:rPr>
                <w:color w:val="auto"/>
                <w:sz w:val="24"/>
              </w:rPr>
              <w:t>—</w:t>
            </w:r>
            <w:r>
              <w:rPr>
                <w:i/>
                <w:color w:val="auto"/>
                <w:sz w:val="24"/>
              </w:rPr>
              <w:t>i</w:t>
            </w:r>
            <w:r>
              <w:rPr>
                <w:color w:val="auto"/>
                <w:sz w:val="24"/>
              </w:rPr>
              <w:t>种污染物评价标准值（mg/L）。</w:t>
            </w:r>
          </w:p>
          <w:p w14:paraId="6F6AD0BC">
            <w:pPr>
              <w:spacing w:line="360" w:lineRule="auto"/>
              <w:ind w:firstLine="1257" w:firstLineChars="524"/>
              <w:jc w:val="left"/>
              <w:rPr>
                <w:color w:val="auto"/>
                <w:sz w:val="24"/>
              </w:rPr>
            </w:pPr>
            <w:r>
              <w:rPr>
                <w:color w:val="auto"/>
                <w:sz w:val="24"/>
              </w:rPr>
              <w:t>pH污染物指数计算公式如下：</w:t>
            </w:r>
          </w:p>
          <w:p w14:paraId="3740C185">
            <w:pPr>
              <w:spacing w:line="360" w:lineRule="auto"/>
              <w:ind w:firstLine="480"/>
              <w:jc w:val="center"/>
              <w:rPr>
                <w:color w:val="auto"/>
                <w:sz w:val="24"/>
              </w:rPr>
            </w:pPr>
            <w:r>
              <w:rPr>
                <w:color w:val="auto"/>
                <w:position w:val="-30"/>
                <w:sz w:val="24"/>
              </w:rPr>
              <w:drawing>
                <wp:inline distT="0" distB="0" distL="0" distR="0">
                  <wp:extent cx="1057275" cy="428625"/>
                  <wp:effectExtent l="19050" t="0" r="0" b="0"/>
                  <wp:docPr id="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0"/>
                          <pic:cNvPicPr>
                            <a:picLocks noChangeAspect="1" noChangeArrowheads="1"/>
                          </pic:cNvPicPr>
                        </pic:nvPicPr>
                        <pic:blipFill>
                          <a:blip r:embed="rId18"/>
                          <a:srcRect/>
                          <a:stretch>
                            <a:fillRect/>
                          </a:stretch>
                        </pic:blipFill>
                        <pic:spPr>
                          <a:xfrm>
                            <a:off x="0" y="0"/>
                            <a:ext cx="1057275" cy="428625"/>
                          </a:xfrm>
                          <a:prstGeom prst="rect">
                            <a:avLst/>
                          </a:prstGeom>
                          <a:noFill/>
                          <a:ln w="9525">
                            <a:noFill/>
                            <a:miter lim="800000"/>
                            <a:headEnd/>
                            <a:tailEnd/>
                          </a:ln>
                        </pic:spPr>
                      </pic:pic>
                    </a:graphicData>
                  </a:graphic>
                </wp:inline>
              </w:drawing>
            </w:r>
            <w:r>
              <w:rPr>
                <w:color w:val="auto"/>
                <w:sz w:val="24"/>
              </w:rPr>
              <w:t>（当pHj≤7.0时）；</w:t>
            </w:r>
          </w:p>
          <w:p w14:paraId="3EACE055">
            <w:pPr>
              <w:spacing w:line="360" w:lineRule="auto"/>
              <w:ind w:firstLine="480"/>
              <w:jc w:val="center"/>
              <w:rPr>
                <w:color w:val="auto"/>
                <w:sz w:val="24"/>
              </w:rPr>
            </w:pPr>
            <w:r>
              <w:rPr>
                <w:color w:val="auto"/>
                <w:position w:val="-30"/>
                <w:sz w:val="24"/>
              </w:rPr>
              <w:drawing>
                <wp:inline distT="0" distB="0" distL="0" distR="0">
                  <wp:extent cx="1038225" cy="419100"/>
                  <wp:effectExtent l="19050" t="0" r="9525" b="0"/>
                  <wp:docPr id="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1"/>
                          <pic:cNvPicPr>
                            <a:picLocks noChangeAspect="1" noChangeArrowheads="1"/>
                          </pic:cNvPicPr>
                        </pic:nvPicPr>
                        <pic:blipFill>
                          <a:blip r:embed="rId19"/>
                          <a:srcRect/>
                          <a:stretch>
                            <a:fillRect/>
                          </a:stretch>
                        </pic:blipFill>
                        <pic:spPr>
                          <a:xfrm>
                            <a:off x="0" y="0"/>
                            <a:ext cx="1038225" cy="419100"/>
                          </a:xfrm>
                          <a:prstGeom prst="rect">
                            <a:avLst/>
                          </a:prstGeom>
                          <a:noFill/>
                          <a:ln w="9525">
                            <a:noFill/>
                            <a:miter lim="800000"/>
                            <a:headEnd/>
                            <a:tailEnd/>
                          </a:ln>
                        </pic:spPr>
                      </pic:pic>
                    </a:graphicData>
                  </a:graphic>
                </wp:inline>
              </w:drawing>
            </w:r>
            <w:r>
              <w:rPr>
                <w:color w:val="auto"/>
                <w:sz w:val="24"/>
              </w:rPr>
              <w:t>（当pHj&gt;7.0时）；</w:t>
            </w:r>
          </w:p>
          <w:p w14:paraId="32A97615">
            <w:pPr>
              <w:spacing w:line="360" w:lineRule="auto"/>
              <w:ind w:firstLine="480"/>
              <w:rPr>
                <w:color w:val="auto"/>
                <w:sz w:val="24"/>
              </w:rPr>
            </w:pPr>
            <w:r>
              <w:rPr>
                <w:color w:val="auto"/>
                <w:sz w:val="24"/>
              </w:rPr>
              <w:t>式中：</w:t>
            </w:r>
            <w:r>
              <w:rPr>
                <w:i/>
                <w:color w:val="auto"/>
                <w:sz w:val="24"/>
              </w:rPr>
              <w:t>S</w:t>
            </w:r>
            <w:r>
              <w:rPr>
                <w:i/>
                <w:color w:val="auto"/>
                <w:sz w:val="24"/>
                <w:vertAlign w:val="subscript"/>
              </w:rPr>
              <w:t>pH</w:t>
            </w:r>
            <w:r>
              <w:rPr>
                <w:color w:val="auto"/>
                <w:sz w:val="24"/>
              </w:rPr>
              <w:t>—</w:t>
            </w:r>
            <w:r>
              <w:rPr>
                <w:i/>
                <w:color w:val="auto"/>
                <w:sz w:val="24"/>
              </w:rPr>
              <w:t>pH</w:t>
            </w:r>
            <w:r>
              <w:rPr>
                <w:color w:val="auto"/>
                <w:sz w:val="24"/>
              </w:rPr>
              <w:t>值的分指数；</w:t>
            </w:r>
          </w:p>
          <w:p w14:paraId="45B29426">
            <w:pPr>
              <w:spacing w:line="360" w:lineRule="auto"/>
              <w:ind w:firstLine="1200" w:firstLineChars="500"/>
              <w:rPr>
                <w:color w:val="auto"/>
                <w:sz w:val="24"/>
              </w:rPr>
            </w:pPr>
            <w:r>
              <w:rPr>
                <w:i/>
                <w:color w:val="auto"/>
                <w:sz w:val="24"/>
              </w:rPr>
              <w:t>pH</w:t>
            </w:r>
            <w:r>
              <w:rPr>
                <w:i/>
                <w:color w:val="auto"/>
                <w:sz w:val="24"/>
                <w:vertAlign w:val="subscript"/>
              </w:rPr>
              <w:t>j</w:t>
            </w:r>
            <w:r>
              <w:rPr>
                <w:color w:val="auto"/>
                <w:sz w:val="24"/>
              </w:rPr>
              <w:t>—</w:t>
            </w:r>
            <w:r>
              <w:rPr>
                <w:i/>
                <w:color w:val="auto"/>
                <w:sz w:val="24"/>
              </w:rPr>
              <w:t>pH</w:t>
            </w:r>
            <w:r>
              <w:rPr>
                <w:color w:val="auto"/>
                <w:sz w:val="24"/>
              </w:rPr>
              <w:t>实测值；</w:t>
            </w:r>
          </w:p>
          <w:p w14:paraId="50B994A1">
            <w:pPr>
              <w:spacing w:line="360" w:lineRule="auto"/>
              <w:ind w:firstLine="1080" w:firstLineChars="450"/>
              <w:rPr>
                <w:color w:val="auto"/>
                <w:sz w:val="24"/>
              </w:rPr>
            </w:pPr>
            <w:r>
              <w:rPr>
                <w:i/>
                <w:color w:val="auto"/>
                <w:sz w:val="24"/>
              </w:rPr>
              <w:t>pH</w:t>
            </w:r>
            <w:r>
              <w:rPr>
                <w:i/>
                <w:color w:val="auto"/>
                <w:sz w:val="24"/>
                <w:vertAlign w:val="subscript"/>
              </w:rPr>
              <w:t>Sd</w:t>
            </w:r>
            <w:r>
              <w:rPr>
                <w:color w:val="auto"/>
                <w:sz w:val="24"/>
              </w:rPr>
              <w:t>—</w:t>
            </w:r>
            <w:r>
              <w:rPr>
                <w:i/>
                <w:color w:val="auto"/>
                <w:sz w:val="24"/>
              </w:rPr>
              <w:t>pH</w:t>
            </w:r>
            <w:r>
              <w:rPr>
                <w:color w:val="auto"/>
                <w:sz w:val="24"/>
              </w:rPr>
              <w:t>值评价标准的下限值；</w:t>
            </w:r>
          </w:p>
          <w:p w14:paraId="06EA63F1">
            <w:pPr>
              <w:spacing w:line="360" w:lineRule="auto"/>
              <w:ind w:firstLine="1080" w:firstLineChars="450"/>
              <w:jc w:val="left"/>
              <w:rPr>
                <w:color w:val="auto"/>
                <w:sz w:val="24"/>
              </w:rPr>
            </w:pPr>
            <w:r>
              <w:rPr>
                <w:i/>
                <w:color w:val="auto"/>
                <w:sz w:val="24"/>
              </w:rPr>
              <w:t>pH</w:t>
            </w:r>
            <w:r>
              <w:rPr>
                <w:i/>
                <w:color w:val="auto"/>
                <w:sz w:val="24"/>
                <w:vertAlign w:val="subscript"/>
              </w:rPr>
              <w:t>Su</w:t>
            </w:r>
            <w:r>
              <w:rPr>
                <w:color w:val="auto"/>
                <w:sz w:val="24"/>
              </w:rPr>
              <w:t>—</w:t>
            </w:r>
            <w:r>
              <w:rPr>
                <w:i/>
                <w:color w:val="auto"/>
                <w:sz w:val="24"/>
              </w:rPr>
              <w:t>pH</w:t>
            </w:r>
            <w:r>
              <w:rPr>
                <w:color w:val="auto"/>
                <w:sz w:val="24"/>
              </w:rPr>
              <w:t>值评价标准的上限值。</w:t>
            </w:r>
          </w:p>
          <w:p w14:paraId="7948AD3B">
            <w:pPr>
              <w:spacing w:line="360" w:lineRule="auto"/>
              <w:ind w:firstLine="480"/>
              <w:rPr>
                <w:color w:val="auto"/>
                <w:sz w:val="24"/>
              </w:rPr>
            </w:pPr>
            <w:r>
              <w:rPr>
                <w:color w:val="auto"/>
                <w:sz w:val="24"/>
              </w:rPr>
              <w:t>当以上公式计算的污染指数I</w:t>
            </w:r>
            <w:r>
              <w:rPr>
                <w:color w:val="auto"/>
                <w:sz w:val="24"/>
                <w:vertAlign w:val="subscript"/>
              </w:rPr>
              <w:t>ij</w:t>
            </w:r>
            <w:r>
              <w:rPr>
                <w:color w:val="auto"/>
                <w:sz w:val="24"/>
              </w:rPr>
              <w:t>＞1时，即表明该项指标已经超过了规定的质量标准。当监测值低于检出限时，按检出限的一半作为监测值进行计算。</w:t>
            </w:r>
          </w:p>
          <w:p w14:paraId="4B11433C">
            <w:pPr>
              <w:spacing w:line="360" w:lineRule="auto"/>
              <w:ind w:firstLine="480"/>
              <w:rPr>
                <w:color w:val="auto"/>
                <w:sz w:val="24"/>
              </w:rPr>
            </w:pPr>
            <w:r>
              <w:rPr>
                <w:color w:val="auto"/>
                <w:sz w:val="24"/>
              </w:rPr>
              <w:t>（</w:t>
            </w:r>
            <w:r>
              <w:rPr>
                <w:rFonts w:hint="eastAsia"/>
                <w:color w:val="auto"/>
                <w:sz w:val="24"/>
                <w:lang w:val="en-US" w:eastAsia="zh-CN"/>
              </w:rPr>
              <w:t>5</w:t>
            </w:r>
            <w:r>
              <w:rPr>
                <w:color w:val="auto"/>
                <w:sz w:val="24"/>
              </w:rPr>
              <w:t>）评价结果</w:t>
            </w:r>
          </w:p>
          <w:p w14:paraId="76821CF2">
            <w:pPr>
              <w:spacing w:line="360" w:lineRule="auto"/>
              <w:ind w:firstLine="480" w:firstLineChars="200"/>
              <w:rPr>
                <w:color w:val="auto"/>
                <w:sz w:val="24"/>
              </w:rPr>
            </w:pPr>
            <w:r>
              <w:rPr>
                <w:color w:val="auto"/>
                <w:sz w:val="24"/>
              </w:rPr>
              <w:t>根据监测结果，统计出本次地表水环境质量评价结果汇总见</w:t>
            </w:r>
            <w:r>
              <w:rPr>
                <w:rFonts w:hint="eastAsia"/>
                <w:color w:val="auto"/>
                <w:sz w:val="24"/>
              </w:rPr>
              <w:t>下表</w:t>
            </w:r>
            <w:r>
              <w:rPr>
                <w:color w:val="auto"/>
                <w:sz w:val="24"/>
              </w:rPr>
              <w:t>。</w:t>
            </w:r>
          </w:p>
          <w:p w14:paraId="358D5180">
            <w:pPr>
              <w:spacing w:line="360" w:lineRule="auto"/>
              <w:ind w:firstLine="420" w:firstLineChars="200"/>
              <w:rPr>
                <w:color w:val="auto"/>
                <w:kern w:val="0"/>
                <w:szCs w:val="21"/>
              </w:rPr>
            </w:pPr>
          </w:p>
          <w:p w14:paraId="14B15529">
            <w:pPr>
              <w:spacing w:line="360" w:lineRule="auto"/>
              <w:ind w:firstLine="420" w:firstLineChars="200"/>
              <w:rPr>
                <w:color w:val="auto"/>
                <w:kern w:val="0"/>
                <w:szCs w:val="21"/>
              </w:rPr>
            </w:pPr>
          </w:p>
          <w:p w14:paraId="701BB760">
            <w:pPr>
              <w:spacing w:line="360" w:lineRule="auto"/>
              <w:ind w:firstLine="420" w:firstLineChars="200"/>
              <w:rPr>
                <w:color w:val="auto"/>
                <w:kern w:val="0"/>
                <w:szCs w:val="21"/>
              </w:rPr>
            </w:pPr>
          </w:p>
          <w:p w14:paraId="2F1DBB87">
            <w:pPr>
              <w:spacing w:line="360" w:lineRule="auto"/>
              <w:ind w:firstLine="420" w:firstLineChars="200"/>
              <w:rPr>
                <w:color w:val="auto"/>
                <w:kern w:val="0"/>
                <w:szCs w:val="21"/>
              </w:rPr>
            </w:pPr>
          </w:p>
          <w:p w14:paraId="709C56DF">
            <w:pPr>
              <w:spacing w:line="360" w:lineRule="auto"/>
              <w:ind w:firstLine="420" w:firstLineChars="200"/>
              <w:rPr>
                <w:color w:val="auto"/>
                <w:kern w:val="0"/>
                <w:szCs w:val="21"/>
              </w:rPr>
            </w:pPr>
          </w:p>
          <w:p w14:paraId="490A7D4B">
            <w:pPr>
              <w:spacing w:line="360" w:lineRule="auto"/>
              <w:ind w:firstLine="420" w:firstLineChars="200"/>
              <w:rPr>
                <w:color w:val="auto"/>
                <w:kern w:val="0"/>
                <w:szCs w:val="21"/>
              </w:rPr>
            </w:pPr>
          </w:p>
          <w:p w14:paraId="58740B3E">
            <w:pPr>
              <w:spacing w:line="360" w:lineRule="auto"/>
              <w:ind w:firstLine="420" w:firstLineChars="200"/>
              <w:rPr>
                <w:color w:val="auto"/>
                <w:kern w:val="0"/>
                <w:szCs w:val="21"/>
              </w:rPr>
            </w:pPr>
          </w:p>
          <w:p w14:paraId="4E8D7505">
            <w:pPr>
              <w:spacing w:line="360" w:lineRule="auto"/>
              <w:ind w:firstLine="420" w:firstLineChars="200"/>
              <w:rPr>
                <w:color w:val="auto"/>
                <w:kern w:val="0"/>
                <w:szCs w:val="21"/>
              </w:rPr>
            </w:pPr>
          </w:p>
          <w:p w14:paraId="11B5730D">
            <w:pPr>
              <w:spacing w:line="360" w:lineRule="auto"/>
              <w:ind w:firstLine="420" w:firstLineChars="200"/>
              <w:rPr>
                <w:color w:val="auto"/>
                <w:kern w:val="0"/>
                <w:szCs w:val="21"/>
              </w:rPr>
            </w:pPr>
          </w:p>
          <w:p w14:paraId="72251BEA">
            <w:pPr>
              <w:spacing w:line="360" w:lineRule="auto"/>
              <w:ind w:firstLine="420" w:firstLineChars="200"/>
              <w:rPr>
                <w:color w:val="auto"/>
                <w:kern w:val="0"/>
                <w:szCs w:val="21"/>
              </w:rPr>
            </w:pPr>
          </w:p>
          <w:p w14:paraId="17E96152">
            <w:pPr>
              <w:spacing w:line="360" w:lineRule="auto"/>
              <w:ind w:firstLine="420" w:firstLineChars="200"/>
              <w:rPr>
                <w:color w:val="auto"/>
                <w:kern w:val="0"/>
                <w:szCs w:val="21"/>
              </w:rPr>
            </w:pPr>
          </w:p>
          <w:p w14:paraId="0C874C7A">
            <w:pPr>
              <w:spacing w:line="360" w:lineRule="auto"/>
              <w:ind w:firstLine="420" w:firstLineChars="200"/>
              <w:rPr>
                <w:color w:val="auto"/>
                <w:kern w:val="0"/>
                <w:szCs w:val="21"/>
              </w:rPr>
            </w:pPr>
          </w:p>
          <w:p w14:paraId="456CB4AA">
            <w:pPr>
              <w:spacing w:line="360" w:lineRule="auto"/>
              <w:ind w:firstLine="420" w:firstLineChars="200"/>
              <w:rPr>
                <w:color w:val="auto"/>
                <w:kern w:val="0"/>
                <w:szCs w:val="21"/>
              </w:rPr>
            </w:pPr>
          </w:p>
          <w:p w14:paraId="3DC6FFBB">
            <w:pPr>
              <w:spacing w:line="360" w:lineRule="auto"/>
              <w:ind w:firstLine="420" w:firstLineChars="200"/>
              <w:rPr>
                <w:color w:val="auto"/>
                <w:kern w:val="0"/>
                <w:szCs w:val="21"/>
              </w:rPr>
            </w:pPr>
          </w:p>
        </w:tc>
      </w:tr>
    </w:tbl>
    <w:p w14:paraId="1CC8B54A">
      <w:pPr>
        <w:pStyle w:val="29"/>
        <w:jc w:val="center"/>
        <w:rPr>
          <w:rFonts w:ascii="Times New Roman" w:hAnsi="Times New Roman"/>
          <w:snapToGrid w:val="0"/>
          <w:color w:val="auto"/>
          <w:sz w:val="36"/>
          <w:szCs w:val="36"/>
        </w:rPr>
        <w:sectPr>
          <w:footerReference r:id="rId4" w:type="default"/>
          <w:pgSz w:w="11906" w:h="16838"/>
          <w:pgMar w:top="1701" w:right="1531" w:bottom="1701" w:left="1531" w:header="851" w:footer="851" w:gutter="0"/>
          <w:pgNumType w:start="1"/>
          <w:cols w:space="720" w:num="1"/>
          <w:docGrid w:linePitch="312" w:charSpace="0"/>
        </w:sectPr>
      </w:pPr>
    </w:p>
    <w:tbl>
      <w:tblPr>
        <w:tblStyle w:val="32"/>
        <w:tblW w:w="140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48"/>
      </w:tblGrid>
      <w:tr w14:paraId="484B9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24" w:hRule="atLeast"/>
        </w:trPr>
        <w:tc>
          <w:tcPr>
            <w:tcW w:w="14048" w:type="dxa"/>
          </w:tcPr>
          <w:p w14:paraId="4982EBB0">
            <w:pPr>
              <w:spacing w:line="400" w:lineRule="exact"/>
              <w:jc w:val="center"/>
              <w:rPr>
                <w:b/>
                <w:bCs/>
                <w:color w:val="auto"/>
                <w:szCs w:val="21"/>
              </w:rPr>
            </w:pPr>
            <w:r>
              <w:rPr>
                <w:b/>
                <w:bCs/>
                <w:color w:val="auto"/>
                <w:szCs w:val="21"/>
              </w:rPr>
              <w:t>表3.1.2-3  地表水环境质量现状评价结果一览表 单位：mg/L，粪大肠菌群数：个/L</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1"/>
              <w:gridCol w:w="1353"/>
              <w:gridCol w:w="967"/>
              <w:gridCol w:w="877"/>
              <w:gridCol w:w="995"/>
              <w:gridCol w:w="850"/>
              <w:gridCol w:w="918"/>
              <w:gridCol w:w="850"/>
              <w:gridCol w:w="851"/>
              <w:gridCol w:w="916"/>
              <w:gridCol w:w="985"/>
              <w:gridCol w:w="924"/>
              <w:gridCol w:w="777"/>
              <w:gridCol w:w="984"/>
              <w:gridCol w:w="984"/>
            </w:tblGrid>
            <w:tr w14:paraId="61F7C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blHeader/>
                <w:jc w:val="center"/>
              </w:trPr>
              <w:tc>
                <w:tcPr>
                  <w:tcW w:w="591" w:type="dxa"/>
                  <w:vAlign w:val="center"/>
                </w:tcPr>
                <w:p w14:paraId="1D001E43">
                  <w:pPr>
                    <w:widowControl/>
                    <w:adjustRightInd w:val="0"/>
                    <w:snapToGrid w:val="0"/>
                    <w:jc w:val="center"/>
                    <w:rPr>
                      <w:b/>
                      <w:bCs/>
                      <w:color w:val="auto"/>
                      <w:kern w:val="0"/>
                      <w:szCs w:val="21"/>
                    </w:rPr>
                  </w:pPr>
                  <w:r>
                    <w:rPr>
                      <w:b/>
                      <w:bCs/>
                      <w:color w:val="auto"/>
                      <w:kern w:val="0"/>
                      <w:szCs w:val="21"/>
                    </w:rPr>
                    <w:t>监测断面</w:t>
                  </w:r>
                </w:p>
              </w:tc>
              <w:tc>
                <w:tcPr>
                  <w:tcW w:w="1353" w:type="dxa"/>
                  <w:vAlign w:val="center"/>
                </w:tcPr>
                <w:p w14:paraId="424DEDD7">
                  <w:pPr>
                    <w:widowControl/>
                    <w:adjustRightInd w:val="0"/>
                    <w:snapToGrid w:val="0"/>
                    <w:jc w:val="center"/>
                    <w:rPr>
                      <w:rFonts w:hint="eastAsia" w:eastAsia="宋体"/>
                      <w:b/>
                      <w:bCs/>
                      <w:color w:val="auto"/>
                      <w:kern w:val="0"/>
                      <w:szCs w:val="21"/>
                      <w:lang w:eastAsia="zh-CN"/>
                    </w:rPr>
                  </w:pPr>
                  <w:r>
                    <w:rPr>
                      <w:b/>
                      <w:bCs/>
                      <w:color w:val="auto"/>
                      <w:kern w:val="0"/>
                      <w:szCs w:val="21"/>
                    </w:rPr>
                    <w:t>监测</w:t>
                  </w:r>
                  <w:r>
                    <w:rPr>
                      <w:rFonts w:hint="eastAsia"/>
                      <w:b/>
                      <w:bCs/>
                      <w:color w:val="auto"/>
                      <w:kern w:val="0"/>
                      <w:szCs w:val="21"/>
                      <w:lang w:val="en-US" w:eastAsia="zh-CN"/>
                    </w:rPr>
                    <w:t>情况</w:t>
                  </w:r>
                </w:p>
              </w:tc>
              <w:tc>
                <w:tcPr>
                  <w:tcW w:w="967" w:type="dxa"/>
                  <w:vAlign w:val="center"/>
                </w:tcPr>
                <w:p w14:paraId="700782B1">
                  <w:pPr>
                    <w:widowControl/>
                    <w:adjustRightInd w:val="0"/>
                    <w:snapToGrid w:val="0"/>
                    <w:jc w:val="center"/>
                    <w:rPr>
                      <w:b/>
                      <w:bCs/>
                      <w:color w:val="auto"/>
                      <w:kern w:val="0"/>
                      <w:szCs w:val="21"/>
                    </w:rPr>
                  </w:pPr>
                  <w:r>
                    <w:rPr>
                      <w:b/>
                      <w:bCs/>
                      <w:color w:val="auto"/>
                      <w:kern w:val="0"/>
                      <w:szCs w:val="21"/>
                    </w:rPr>
                    <w:t>pH</w:t>
                  </w:r>
                </w:p>
              </w:tc>
              <w:tc>
                <w:tcPr>
                  <w:tcW w:w="877" w:type="dxa"/>
                  <w:vAlign w:val="center"/>
                </w:tcPr>
                <w:p w14:paraId="4A41ADD2">
                  <w:pPr>
                    <w:widowControl/>
                    <w:adjustRightInd w:val="0"/>
                    <w:snapToGrid w:val="0"/>
                    <w:jc w:val="center"/>
                    <w:rPr>
                      <w:rFonts w:hint="eastAsia" w:eastAsia="宋体"/>
                      <w:b/>
                      <w:bCs/>
                      <w:color w:val="auto"/>
                      <w:kern w:val="0"/>
                      <w:szCs w:val="21"/>
                      <w:lang w:val="en-US" w:eastAsia="zh-CN"/>
                    </w:rPr>
                  </w:pPr>
                  <w:r>
                    <w:rPr>
                      <w:rFonts w:hint="eastAsia"/>
                      <w:b/>
                      <w:bCs/>
                      <w:color w:val="auto"/>
                      <w:kern w:val="0"/>
                      <w:szCs w:val="21"/>
                      <w:lang w:val="en-US" w:eastAsia="zh-CN"/>
                    </w:rPr>
                    <w:t>氟化物</w:t>
                  </w:r>
                </w:p>
              </w:tc>
              <w:tc>
                <w:tcPr>
                  <w:tcW w:w="995" w:type="dxa"/>
                  <w:vAlign w:val="center"/>
                </w:tcPr>
                <w:p w14:paraId="26DAD804">
                  <w:pPr>
                    <w:widowControl/>
                    <w:adjustRightInd w:val="0"/>
                    <w:snapToGrid w:val="0"/>
                    <w:jc w:val="center"/>
                    <w:rPr>
                      <w:b/>
                      <w:bCs/>
                      <w:color w:val="auto"/>
                      <w:kern w:val="0"/>
                      <w:szCs w:val="21"/>
                    </w:rPr>
                  </w:pPr>
                  <w:r>
                    <w:rPr>
                      <w:b/>
                      <w:bCs/>
                      <w:color w:val="auto"/>
                      <w:kern w:val="0"/>
                      <w:szCs w:val="21"/>
                    </w:rPr>
                    <w:t>高锰酸盐指数</w:t>
                  </w:r>
                </w:p>
              </w:tc>
              <w:tc>
                <w:tcPr>
                  <w:tcW w:w="850" w:type="dxa"/>
                  <w:vAlign w:val="center"/>
                </w:tcPr>
                <w:p w14:paraId="44F99BEF">
                  <w:pPr>
                    <w:widowControl/>
                    <w:adjustRightInd w:val="0"/>
                    <w:snapToGrid w:val="0"/>
                    <w:jc w:val="center"/>
                    <w:rPr>
                      <w:b/>
                      <w:bCs/>
                      <w:color w:val="auto"/>
                      <w:kern w:val="0"/>
                      <w:szCs w:val="21"/>
                    </w:rPr>
                  </w:pPr>
                  <w:r>
                    <w:rPr>
                      <w:b/>
                      <w:bCs/>
                      <w:color w:val="auto"/>
                      <w:kern w:val="0"/>
                      <w:szCs w:val="21"/>
                    </w:rPr>
                    <w:t>化学需氧量</w:t>
                  </w:r>
                </w:p>
              </w:tc>
              <w:tc>
                <w:tcPr>
                  <w:tcW w:w="918" w:type="dxa"/>
                  <w:vAlign w:val="center"/>
                </w:tcPr>
                <w:p w14:paraId="4054EDEE">
                  <w:pPr>
                    <w:widowControl/>
                    <w:adjustRightInd w:val="0"/>
                    <w:snapToGrid w:val="0"/>
                    <w:jc w:val="center"/>
                    <w:rPr>
                      <w:b/>
                      <w:bCs/>
                      <w:color w:val="auto"/>
                      <w:kern w:val="0"/>
                      <w:szCs w:val="21"/>
                    </w:rPr>
                  </w:pPr>
                  <w:r>
                    <w:rPr>
                      <w:b/>
                      <w:bCs/>
                      <w:color w:val="auto"/>
                      <w:kern w:val="0"/>
                      <w:szCs w:val="21"/>
                    </w:rPr>
                    <w:t>生化需氧量</w:t>
                  </w:r>
                </w:p>
              </w:tc>
              <w:tc>
                <w:tcPr>
                  <w:tcW w:w="850" w:type="dxa"/>
                  <w:vAlign w:val="center"/>
                </w:tcPr>
                <w:p w14:paraId="6EBB4060">
                  <w:pPr>
                    <w:widowControl/>
                    <w:adjustRightInd w:val="0"/>
                    <w:snapToGrid w:val="0"/>
                    <w:jc w:val="center"/>
                    <w:rPr>
                      <w:b/>
                      <w:bCs/>
                      <w:color w:val="auto"/>
                      <w:kern w:val="0"/>
                      <w:szCs w:val="21"/>
                    </w:rPr>
                  </w:pPr>
                  <w:r>
                    <w:rPr>
                      <w:b/>
                      <w:bCs/>
                      <w:color w:val="auto"/>
                      <w:kern w:val="0"/>
                      <w:szCs w:val="21"/>
                    </w:rPr>
                    <w:t>氨氮</w:t>
                  </w:r>
                </w:p>
              </w:tc>
              <w:tc>
                <w:tcPr>
                  <w:tcW w:w="851" w:type="dxa"/>
                  <w:vAlign w:val="center"/>
                </w:tcPr>
                <w:p w14:paraId="65D5E768">
                  <w:pPr>
                    <w:widowControl/>
                    <w:adjustRightInd w:val="0"/>
                    <w:snapToGrid w:val="0"/>
                    <w:jc w:val="center"/>
                    <w:rPr>
                      <w:b/>
                      <w:bCs/>
                      <w:color w:val="auto"/>
                      <w:kern w:val="0"/>
                      <w:szCs w:val="21"/>
                    </w:rPr>
                  </w:pPr>
                  <w:r>
                    <w:rPr>
                      <w:b/>
                      <w:bCs/>
                      <w:color w:val="auto"/>
                      <w:kern w:val="0"/>
                      <w:szCs w:val="21"/>
                    </w:rPr>
                    <w:t>总磷</w:t>
                  </w:r>
                </w:p>
              </w:tc>
              <w:tc>
                <w:tcPr>
                  <w:tcW w:w="916" w:type="dxa"/>
                  <w:vAlign w:val="center"/>
                </w:tcPr>
                <w:p w14:paraId="682C4519">
                  <w:pPr>
                    <w:widowControl/>
                    <w:adjustRightInd w:val="0"/>
                    <w:snapToGrid w:val="0"/>
                    <w:jc w:val="center"/>
                    <w:rPr>
                      <w:b/>
                      <w:bCs/>
                      <w:color w:val="auto"/>
                      <w:kern w:val="0"/>
                      <w:szCs w:val="21"/>
                    </w:rPr>
                  </w:pPr>
                  <w:r>
                    <w:rPr>
                      <w:b/>
                      <w:bCs/>
                      <w:color w:val="auto"/>
                      <w:kern w:val="0"/>
                      <w:szCs w:val="21"/>
                    </w:rPr>
                    <w:t>铜</w:t>
                  </w:r>
                </w:p>
              </w:tc>
              <w:tc>
                <w:tcPr>
                  <w:tcW w:w="985" w:type="dxa"/>
                  <w:vAlign w:val="center"/>
                </w:tcPr>
                <w:p w14:paraId="6DDCFC45">
                  <w:pPr>
                    <w:widowControl/>
                    <w:adjustRightInd w:val="0"/>
                    <w:snapToGrid w:val="0"/>
                    <w:jc w:val="center"/>
                    <w:rPr>
                      <w:b/>
                      <w:bCs/>
                      <w:color w:val="auto"/>
                      <w:kern w:val="0"/>
                      <w:szCs w:val="21"/>
                    </w:rPr>
                  </w:pPr>
                  <w:r>
                    <w:rPr>
                      <w:b/>
                      <w:bCs/>
                      <w:color w:val="auto"/>
                      <w:kern w:val="0"/>
                      <w:szCs w:val="21"/>
                    </w:rPr>
                    <w:t>锌</w:t>
                  </w:r>
                </w:p>
              </w:tc>
              <w:tc>
                <w:tcPr>
                  <w:tcW w:w="924" w:type="dxa"/>
                  <w:vAlign w:val="center"/>
                </w:tcPr>
                <w:p w14:paraId="2DBB1529">
                  <w:pPr>
                    <w:widowControl/>
                    <w:adjustRightInd w:val="0"/>
                    <w:snapToGrid w:val="0"/>
                    <w:jc w:val="center"/>
                    <w:rPr>
                      <w:b/>
                      <w:bCs/>
                      <w:color w:val="auto"/>
                      <w:kern w:val="0"/>
                      <w:szCs w:val="21"/>
                    </w:rPr>
                  </w:pPr>
                  <w:r>
                    <w:rPr>
                      <w:b/>
                      <w:bCs/>
                      <w:color w:val="auto"/>
                      <w:kern w:val="0"/>
                      <w:szCs w:val="21"/>
                    </w:rPr>
                    <w:t>挥发酚</w:t>
                  </w:r>
                </w:p>
              </w:tc>
              <w:tc>
                <w:tcPr>
                  <w:tcW w:w="777" w:type="dxa"/>
                  <w:vAlign w:val="center"/>
                </w:tcPr>
                <w:p w14:paraId="5AA99AA1">
                  <w:pPr>
                    <w:widowControl/>
                    <w:adjustRightInd w:val="0"/>
                    <w:snapToGrid w:val="0"/>
                    <w:jc w:val="center"/>
                    <w:rPr>
                      <w:b/>
                      <w:bCs/>
                      <w:color w:val="auto"/>
                      <w:kern w:val="0"/>
                      <w:szCs w:val="21"/>
                    </w:rPr>
                  </w:pPr>
                  <w:r>
                    <w:rPr>
                      <w:b/>
                      <w:bCs/>
                      <w:color w:val="auto"/>
                      <w:kern w:val="0"/>
                      <w:szCs w:val="21"/>
                    </w:rPr>
                    <w:t>石油类</w:t>
                  </w:r>
                </w:p>
              </w:tc>
              <w:tc>
                <w:tcPr>
                  <w:tcW w:w="984" w:type="dxa"/>
                  <w:vAlign w:val="center"/>
                </w:tcPr>
                <w:p w14:paraId="4FBB2EF2">
                  <w:pPr>
                    <w:widowControl/>
                    <w:adjustRightInd w:val="0"/>
                    <w:snapToGrid w:val="0"/>
                    <w:jc w:val="center"/>
                    <w:rPr>
                      <w:b/>
                      <w:bCs/>
                      <w:color w:val="auto"/>
                      <w:kern w:val="0"/>
                      <w:szCs w:val="21"/>
                    </w:rPr>
                  </w:pPr>
                  <w:r>
                    <w:rPr>
                      <w:b/>
                      <w:bCs/>
                      <w:color w:val="auto"/>
                      <w:kern w:val="0"/>
                      <w:szCs w:val="21"/>
                    </w:rPr>
                    <w:t>阴离子表面活性剂</w:t>
                  </w:r>
                </w:p>
              </w:tc>
              <w:tc>
                <w:tcPr>
                  <w:tcW w:w="984" w:type="dxa"/>
                  <w:vAlign w:val="center"/>
                </w:tcPr>
                <w:p w14:paraId="3D391C18">
                  <w:pPr>
                    <w:widowControl/>
                    <w:adjustRightInd w:val="0"/>
                    <w:snapToGrid w:val="0"/>
                    <w:jc w:val="center"/>
                    <w:rPr>
                      <w:b/>
                      <w:bCs/>
                      <w:color w:val="auto"/>
                      <w:kern w:val="0"/>
                      <w:szCs w:val="21"/>
                    </w:rPr>
                  </w:pPr>
                  <w:r>
                    <w:rPr>
                      <w:b/>
                      <w:bCs/>
                      <w:color w:val="auto"/>
                      <w:kern w:val="0"/>
                      <w:szCs w:val="21"/>
                    </w:rPr>
                    <w:t>粪大肠菌群数</w:t>
                  </w:r>
                </w:p>
              </w:tc>
            </w:tr>
            <w:tr w14:paraId="23183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restart"/>
                  <w:vAlign w:val="center"/>
                </w:tcPr>
                <w:p w14:paraId="2DB879FF">
                  <w:pPr>
                    <w:widowControl/>
                    <w:adjustRightInd w:val="0"/>
                    <w:snapToGrid w:val="0"/>
                    <w:jc w:val="center"/>
                    <w:rPr>
                      <w:color w:val="auto"/>
                      <w:kern w:val="0"/>
                      <w:szCs w:val="21"/>
                    </w:rPr>
                  </w:pPr>
                  <w:r>
                    <w:rPr>
                      <w:color w:val="auto"/>
                      <w:kern w:val="0"/>
                      <w:szCs w:val="21"/>
                    </w:rPr>
                    <w:t>W1</w:t>
                  </w:r>
                </w:p>
              </w:tc>
              <w:tc>
                <w:tcPr>
                  <w:tcW w:w="1353" w:type="dxa"/>
                  <w:vAlign w:val="center"/>
                </w:tcPr>
                <w:p w14:paraId="7630C6E7">
                  <w:pPr>
                    <w:pStyle w:val="82"/>
                    <w:spacing w:line="240" w:lineRule="auto"/>
                    <w:ind w:firstLine="0"/>
                    <w:rPr>
                      <w:color w:val="auto"/>
                      <w:szCs w:val="21"/>
                    </w:rPr>
                  </w:pPr>
                  <w:r>
                    <w:rPr>
                      <w:color w:val="auto"/>
                      <w:szCs w:val="21"/>
                    </w:rPr>
                    <w:t>最大值</w:t>
                  </w:r>
                </w:p>
              </w:tc>
              <w:tc>
                <w:tcPr>
                  <w:tcW w:w="967" w:type="dxa"/>
                  <w:vAlign w:val="center"/>
                </w:tcPr>
                <w:p w14:paraId="28CB2E46">
                  <w:pPr>
                    <w:widowControl/>
                    <w:jc w:val="center"/>
                    <w:textAlignment w:val="center"/>
                    <w:rPr>
                      <w:color w:val="auto"/>
                      <w:kern w:val="0"/>
                      <w:szCs w:val="21"/>
                    </w:rPr>
                  </w:pPr>
                  <w:r>
                    <w:rPr>
                      <w:color w:val="auto"/>
                      <w:kern w:val="0"/>
                      <w:szCs w:val="21"/>
                    </w:rPr>
                    <w:t>7.6</w:t>
                  </w:r>
                </w:p>
              </w:tc>
              <w:tc>
                <w:tcPr>
                  <w:tcW w:w="877" w:type="dxa"/>
                  <w:vAlign w:val="center"/>
                </w:tcPr>
                <w:p w14:paraId="716EEAE6">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0.82</w:t>
                  </w:r>
                </w:p>
              </w:tc>
              <w:tc>
                <w:tcPr>
                  <w:tcW w:w="995" w:type="dxa"/>
                  <w:vAlign w:val="center"/>
                </w:tcPr>
                <w:p w14:paraId="6EE67C78">
                  <w:pPr>
                    <w:widowControl/>
                    <w:jc w:val="center"/>
                    <w:textAlignment w:val="center"/>
                    <w:rPr>
                      <w:color w:val="auto"/>
                      <w:kern w:val="0"/>
                      <w:szCs w:val="21"/>
                    </w:rPr>
                  </w:pPr>
                  <w:r>
                    <w:rPr>
                      <w:color w:val="auto"/>
                      <w:kern w:val="0"/>
                      <w:szCs w:val="21"/>
                    </w:rPr>
                    <w:t>5.6</w:t>
                  </w:r>
                </w:p>
              </w:tc>
              <w:tc>
                <w:tcPr>
                  <w:tcW w:w="850" w:type="dxa"/>
                  <w:vAlign w:val="center"/>
                </w:tcPr>
                <w:p w14:paraId="32DB3AEF">
                  <w:pPr>
                    <w:widowControl/>
                    <w:jc w:val="center"/>
                    <w:textAlignment w:val="center"/>
                    <w:rPr>
                      <w:color w:val="auto"/>
                      <w:kern w:val="0"/>
                      <w:szCs w:val="21"/>
                    </w:rPr>
                  </w:pPr>
                  <w:r>
                    <w:rPr>
                      <w:color w:val="auto"/>
                      <w:kern w:val="0"/>
                      <w:szCs w:val="21"/>
                    </w:rPr>
                    <w:t>14</w:t>
                  </w:r>
                </w:p>
              </w:tc>
              <w:tc>
                <w:tcPr>
                  <w:tcW w:w="918" w:type="dxa"/>
                  <w:vAlign w:val="center"/>
                </w:tcPr>
                <w:p w14:paraId="039913CF">
                  <w:pPr>
                    <w:widowControl/>
                    <w:jc w:val="center"/>
                    <w:textAlignment w:val="center"/>
                    <w:rPr>
                      <w:color w:val="auto"/>
                      <w:kern w:val="0"/>
                      <w:szCs w:val="21"/>
                    </w:rPr>
                  </w:pPr>
                  <w:r>
                    <w:rPr>
                      <w:color w:val="auto"/>
                      <w:kern w:val="0"/>
                      <w:szCs w:val="21"/>
                    </w:rPr>
                    <w:t>2.7</w:t>
                  </w:r>
                </w:p>
              </w:tc>
              <w:tc>
                <w:tcPr>
                  <w:tcW w:w="850" w:type="dxa"/>
                  <w:vAlign w:val="center"/>
                </w:tcPr>
                <w:p w14:paraId="679A0297">
                  <w:pPr>
                    <w:widowControl/>
                    <w:jc w:val="center"/>
                    <w:textAlignment w:val="center"/>
                    <w:rPr>
                      <w:color w:val="auto"/>
                      <w:kern w:val="0"/>
                      <w:szCs w:val="21"/>
                    </w:rPr>
                  </w:pPr>
                  <w:r>
                    <w:rPr>
                      <w:color w:val="auto"/>
                      <w:kern w:val="0"/>
                      <w:szCs w:val="21"/>
                    </w:rPr>
                    <w:t>0.219</w:t>
                  </w:r>
                </w:p>
              </w:tc>
              <w:tc>
                <w:tcPr>
                  <w:tcW w:w="851" w:type="dxa"/>
                  <w:vAlign w:val="center"/>
                </w:tcPr>
                <w:p w14:paraId="00488B86">
                  <w:pPr>
                    <w:widowControl/>
                    <w:jc w:val="center"/>
                    <w:textAlignment w:val="center"/>
                    <w:rPr>
                      <w:color w:val="auto"/>
                      <w:kern w:val="0"/>
                      <w:szCs w:val="21"/>
                    </w:rPr>
                  </w:pPr>
                  <w:r>
                    <w:rPr>
                      <w:color w:val="auto"/>
                      <w:kern w:val="0"/>
                      <w:szCs w:val="21"/>
                    </w:rPr>
                    <w:t>0.09</w:t>
                  </w:r>
                </w:p>
              </w:tc>
              <w:tc>
                <w:tcPr>
                  <w:tcW w:w="916" w:type="dxa"/>
                  <w:vAlign w:val="center"/>
                </w:tcPr>
                <w:p w14:paraId="434796E4">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5D760A19">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555E498A">
                  <w:pPr>
                    <w:widowControl/>
                    <w:jc w:val="center"/>
                    <w:textAlignment w:val="center"/>
                    <w:rPr>
                      <w:color w:val="auto"/>
                      <w:kern w:val="0"/>
                      <w:szCs w:val="21"/>
                    </w:rPr>
                  </w:pPr>
                  <w:r>
                    <w:rPr>
                      <w:color w:val="auto"/>
                      <w:kern w:val="0"/>
                      <w:szCs w:val="21"/>
                    </w:rPr>
                    <w:t>0.1</w:t>
                  </w:r>
                </w:p>
              </w:tc>
              <w:tc>
                <w:tcPr>
                  <w:tcW w:w="777" w:type="dxa"/>
                  <w:vAlign w:val="center"/>
                </w:tcPr>
                <w:p w14:paraId="1168997C">
                  <w:pPr>
                    <w:widowControl/>
                    <w:jc w:val="center"/>
                    <w:textAlignment w:val="center"/>
                    <w:rPr>
                      <w:color w:val="auto"/>
                      <w:kern w:val="0"/>
                      <w:szCs w:val="21"/>
                    </w:rPr>
                  </w:pPr>
                  <w:r>
                    <w:rPr>
                      <w:color w:val="auto"/>
                      <w:kern w:val="0"/>
                      <w:szCs w:val="21"/>
                    </w:rPr>
                    <w:t>0.03</w:t>
                  </w:r>
                </w:p>
              </w:tc>
              <w:tc>
                <w:tcPr>
                  <w:tcW w:w="984" w:type="dxa"/>
                  <w:vAlign w:val="center"/>
                </w:tcPr>
                <w:p w14:paraId="6D086F46">
                  <w:pPr>
                    <w:widowControl/>
                    <w:jc w:val="center"/>
                    <w:textAlignment w:val="center"/>
                    <w:rPr>
                      <w:color w:val="auto"/>
                      <w:kern w:val="0"/>
                      <w:szCs w:val="21"/>
                    </w:rPr>
                  </w:pPr>
                  <w:r>
                    <w:rPr>
                      <w:color w:val="auto"/>
                      <w:kern w:val="0"/>
                      <w:szCs w:val="21"/>
                    </w:rPr>
                    <w:t>0.05</w:t>
                  </w:r>
                  <w:r>
                    <w:rPr>
                      <w:color w:val="auto"/>
                      <w:szCs w:val="21"/>
                    </w:rPr>
                    <w:t>L</w:t>
                  </w:r>
                </w:p>
              </w:tc>
              <w:tc>
                <w:tcPr>
                  <w:tcW w:w="984" w:type="dxa"/>
                  <w:vAlign w:val="center"/>
                </w:tcPr>
                <w:p w14:paraId="49D82F13">
                  <w:pPr>
                    <w:widowControl/>
                    <w:jc w:val="center"/>
                    <w:textAlignment w:val="center"/>
                    <w:rPr>
                      <w:color w:val="auto"/>
                      <w:kern w:val="0"/>
                      <w:szCs w:val="21"/>
                    </w:rPr>
                  </w:pPr>
                  <w:r>
                    <w:rPr>
                      <w:color w:val="auto"/>
                      <w:kern w:val="0"/>
                      <w:szCs w:val="21"/>
                    </w:rPr>
                    <w:t>5.4×10</w:t>
                  </w:r>
                  <w:r>
                    <w:rPr>
                      <w:color w:val="auto"/>
                      <w:kern w:val="0"/>
                      <w:szCs w:val="21"/>
                      <w:vertAlign w:val="superscript"/>
                    </w:rPr>
                    <w:t>3</w:t>
                  </w:r>
                </w:p>
              </w:tc>
            </w:tr>
            <w:tr w14:paraId="4F700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27C2A780">
                  <w:pPr>
                    <w:widowControl/>
                    <w:adjustRightInd w:val="0"/>
                    <w:snapToGrid w:val="0"/>
                    <w:jc w:val="center"/>
                    <w:rPr>
                      <w:color w:val="auto"/>
                      <w:kern w:val="0"/>
                      <w:szCs w:val="21"/>
                    </w:rPr>
                  </w:pPr>
                </w:p>
              </w:tc>
              <w:tc>
                <w:tcPr>
                  <w:tcW w:w="1353" w:type="dxa"/>
                  <w:vAlign w:val="center"/>
                </w:tcPr>
                <w:p w14:paraId="625E5F2A">
                  <w:pPr>
                    <w:pStyle w:val="82"/>
                    <w:spacing w:line="240" w:lineRule="auto"/>
                    <w:ind w:firstLine="0"/>
                    <w:rPr>
                      <w:color w:val="auto"/>
                      <w:szCs w:val="21"/>
                    </w:rPr>
                  </w:pPr>
                  <w:r>
                    <w:rPr>
                      <w:color w:val="auto"/>
                      <w:szCs w:val="21"/>
                    </w:rPr>
                    <w:t>最小值</w:t>
                  </w:r>
                </w:p>
              </w:tc>
              <w:tc>
                <w:tcPr>
                  <w:tcW w:w="967" w:type="dxa"/>
                  <w:vAlign w:val="center"/>
                </w:tcPr>
                <w:p w14:paraId="73D0A2CA">
                  <w:pPr>
                    <w:widowControl/>
                    <w:jc w:val="center"/>
                    <w:textAlignment w:val="center"/>
                    <w:rPr>
                      <w:color w:val="auto"/>
                      <w:kern w:val="0"/>
                      <w:szCs w:val="21"/>
                    </w:rPr>
                  </w:pPr>
                  <w:r>
                    <w:rPr>
                      <w:color w:val="auto"/>
                      <w:kern w:val="0"/>
                      <w:szCs w:val="21"/>
                    </w:rPr>
                    <w:t>7.4</w:t>
                  </w:r>
                </w:p>
              </w:tc>
              <w:tc>
                <w:tcPr>
                  <w:tcW w:w="877" w:type="dxa"/>
                  <w:vAlign w:val="center"/>
                </w:tcPr>
                <w:p w14:paraId="74FF9D2E">
                  <w:pPr>
                    <w:widowControl/>
                    <w:jc w:val="center"/>
                    <w:textAlignment w:val="center"/>
                    <w:rPr>
                      <w:color w:val="auto"/>
                      <w:kern w:val="0"/>
                      <w:szCs w:val="21"/>
                    </w:rPr>
                  </w:pPr>
                  <w:r>
                    <w:rPr>
                      <w:rFonts w:hint="eastAsia"/>
                      <w:color w:val="auto"/>
                      <w:kern w:val="0"/>
                      <w:szCs w:val="21"/>
                      <w:lang w:val="en-US" w:eastAsia="zh-CN"/>
                    </w:rPr>
                    <w:t>/</w:t>
                  </w:r>
                </w:p>
              </w:tc>
              <w:tc>
                <w:tcPr>
                  <w:tcW w:w="995" w:type="dxa"/>
                  <w:vAlign w:val="center"/>
                </w:tcPr>
                <w:p w14:paraId="720E6AA2">
                  <w:pPr>
                    <w:widowControl/>
                    <w:jc w:val="center"/>
                    <w:textAlignment w:val="center"/>
                    <w:rPr>
                      <w:color w:val="auto"/>
                      <w:kern w:val="0"/>
                      <w:szCs w:val="21"/>
                    </w:rPr>
                  </w:pPr>
                  <w:r>
                    <w:rPr>
                      <w:color w:val="auto"/>
                      <w:kern w:val="0"/>
                      <w:szCs w:val="21"/>
                    </w:rPr>
                    <w:t>3.4</w:t>
                  </w:r>
                </w:p>
              </w:tc>
              <w:tc>
                <w:tcPr>
                  <w:tcW w:w="850" w:type="dxa"/>
                  <w:vAlign w:val="center"/>
                </w:tcPr>
                <w:p w14:paraId="003D1C20">
                  <w:pPr>
                    <w:widowControl/>
                    <w:jc w:val="center"/>
                    <w:textAlignment w:val="center"/>
                    <w:rPr>
                      <w:color w:val="auto"/>
                      <w:kern w:val="0"/>
                      <w:szCs w:val="21"/>
                    </w:rPr>
                  </w:pPr>
                  <w:r>
                    <w:rPr>
                      <w:color w:val="auto"/>
                      <w:kern w:val="0"/>
                      <w:szCs w:val="21"/>
                    </w:rPr>
                    <w:t>12</w:t>
                  </w:r>
                </w:p>
              </w:tc>
              <w:tc>
                <w:tcPr>
                  <w:tcW w:w="918" w:type="dxa"/>
                  <w:vAlign w:val="center"/>
                </w:tcPr>
                <w:p w14:paraId="4D39E428">
                  <w:pPr>
                    <w:widowControl/>
                    <w:jc w:val="center"/>
                    <w:textAlignment w:val="center"/>
                    <w:rPr>
                      <w:color w:val="auto"/>
                      <w:kern w:val="0"/>
                      <w:szCs w:val="21"/>
                    </w:rPr>
                  </w:pPr>
                  <w:r>
                    <w:rPr>
                      <w:color w:val="auto"/>
                      <w:kern w:val="0"/>
                      <w:szCs w:val="21"/>
                    </w:rPr>
                    <w:t>2.5</w:t>
                  </w:r>
                </w:p>
              </w:tc>
              <w:tc>
                <w:tcPr>
                  <w:tcW w:w="850" w:type="dxa"/>
                  <w:vAlign w:val="center"/>
                </w:tcPr>
                <w:p w14:paraId="45A04DA9">
                  <w:pPr>
                    <w:widowControl/>
                    <w:jc w:val="center"/>
                    <w:textAlignment w:val="center"/>
                    <w:rPr>
                      <w:color w:val="auto"/>
                      <w:kern w:val="0"/>
                      <w:szCs w:val="21"/>
                    </w:rPr>
                  </w:pPr>
                  <w:r>
                    <w:rPr>
                      <w:color w:val="auto"/>
                      <w:kern w:val="0"/>
                      <w:szCs w:val="21"/>
                    </w:rPr>
                    <w:t>0.210</w:t>
                  </w:r>
                </w:p>
              </w:tc>
              <w:tc>
                <w:tcPr>
                  <w:tcW w:w="851" w:type="dxa"/>
                  <w:vAlign w:val="center"/>
                </w:tcPr>
                <w:p w14:paraId="53E6111E">
                  <w:pPr>
                    <w:widowControl/>
                    <w:jc w:val="center"/>
                    <w:textAlignment w:val="center"/>
                    <w:rPr>
                      <w:color w:val="auto"/>
                      <w:kern w:val="0"/>
                      <w:szCs w:val="21"/>
                    </w:rPr>
                  </w:pPr>
                  <w:r>
                    <w:rPr>
                      <w:color w:val="auto"/>
                      <w:kern w:val="0"/>
                      <w:szCs w:val="21"/>
                    </w:rPr>
                    <w:t>0.08</w:t>
                  </w:r>
                </w:p>
              </w:tc>
              <w:tc>
                <w:tcPr>
                  <w:tcW w:w="916" w:type="dxa"/>
                  <w:vAlign w:val="center"/>
                </w:tcPr>
                <w:p w14:paraId="221E7596">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35FFD91E">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28EE7112">
                  <w:pPr>
                    <w:widowControl/>
                    <w:jc w:val="center"/>
                    <w:textAlignment w:val="center"/>
                    <w:rPr>
                      <w:color w:val="auto"/>
                      <w:kern w:val="0"/>
                      <w:szCs w:val="21"/>
                    </w:rPr>
                  </w:pPr>
                  <w:r>
                    <w:rPr>
                      <w:color w:val="auto"/>
                      <w:kern w:val="0"/>
                      <w:szCs w:val="21"/>
                    </w:rPr>
                    <w:t>0.0008</w:t>
                  </w:r>
                </w:p>
              </w:tc>
              <w:tc>
                <w:tcPr>
                  <w:tcW w:w="777" w:type="dxa"/>
                  <w:vAlign w:val="center"/>
                </w:tcPr>
                <w:p w14:paraId="789231A9">
                  <w:pPr>
                    <w:widowControl/>
                    <w:jc w:val="center"/>
                    <w:textAlignment w:val="center"/>
                    <w:rPr>
                      <w:color w:val="auto"/>
                      <w:kern w:val="0"/>
                      <w:szCs w:val="21"/>
                    </w:rPr>
                  </w:pPr>
                  <w:r>
                    <w:rPr>
                      <w:color w:val="auto"/>
                      <w:kern w:val="0"/>
                      <w:szCs w:val="21"/>
                    </w:rPr>
                    <w:t>0.02</w:t>
                  </w:r>
                </w:p>
              </w:tc>
              <w:tc>
                <w:tcPr>
                  <w:tcW w:w="984" w:type="dxa"/>
                  <w:vAlign w:val="center"/>
                </w:tcPr>
                <w:p w14:paraId="43BF91BB">
                  <w:pPr>
                    <w:widowControl/>
                    <w:jc w:val="center"/>
                    <w:textAlignment w:val="center"/>
                    <w:rPr>
                      <w:color w:val="auto"/>
                      <w:kern w:val="0"/>
                      <w:szCs w:val="21"/>
                    </w:rPr>
                  </w:pPr>
                  <w:r>
                    <w:rPr>
                      <w:color w:val="auto"/>
                      <w:kern w:val="0"/>
                      <w:szCs w:val="21"/>
                    </w:rPr>
                    <w:t>0.04</w:t>
                  </w:r>
                  <w:r>
                    <w:rPr>
                      <w:color w:val="auto"/>
                      <w:szCs w:val="21"/>
                    </w:rPr>
                    <w:t>L</w:t>
                  </w:r>
                </w:p>
              </w:tc>
              <w:tc>
                <w:tcPr>
                  <w:tcW w:w="984" w:type="dxa"/>
                  <w:vAlign w:val="center"/>
                </w:tcPr>
                <w:p w14:paraId="10932D67">
                  <w:pPr>
                    <w:widowControl/>
                    <w:jc w:val="center"/>
                    <w:textAlignment w:val="center"/>
                    <w:rPr>
                      <w:color w:val="auto"/>
                      <w:kern w:val="0"/>
                      <w:szCs w:val="21"/>
                    </w:rPr>
                  </w:pPr>
                  <w:r>
                    <w:rPr>
                      <w:color w:val="auto"/>
                      <w:kern w:val="0"/>
                      <w:szCs w:val="21"/>
                    </w:rPr>
                    <w:t>3.5×10</w:t>
                  </w:r>
                  <w:r>
                    <w:rPr>
                      <w:color w:val="auto"/>
                      <w:kern w:val="0"/>
                      <w:szCs w:val="21"/>
                      <w:vertAlign w:val="superscript"/>
                    </w:rPr>
                    <w:t>3</w:t>
                  </w:r>
                </w:p>
              </w:tc>
            </w:tr>
            <w:tr w14:paraId="274BA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2F7BE5B6">
                  <w:pPr>
                    <w:widowControl/>
                    <w:adjustRightInd w:val="0"/>
                    <w:snapToGrid w:val="0"/>
                    <w:jc w:val="center"/>
                    <w:rPr>
                      <w:color w:val="auto"/>
                      <w:kern w:val="0"/>
                      <w:szCs w:val="21"/>
                    </w:rPr>
                  </w:pPr>
                </w:p>
              </w:tc>
              <w:tc>
                <w:tcPr>
                  <w:tcW w:w="1353" w:type="dxa"/>
                  <w:vAlign w:val="center"/>
                </w:tcPr>
                <w:p w14:paraId="3F48F668">
                  <w:pPr>
                    <w:widowControl/>
                    <w:adjustRightInd w:val="0"/>
                    <w:snapToGrid w:val="0"/>
                    <w:jc w:val="center"/>
                    <w:rPr>
                      <w:color w:val="auto"/>
                      <w:kern w:val="0"/>
                      <w:szCs w:val="21"/>
                    </w:rPr>
                  </w:pPr>
                  <w:r>
                    <w:rPr>
                      <w:color w:val="auto"/>
                      <w:kern w:val="0"/>
                      <w:szCs w:val="21"/>
                    </w:rPr>
                    <w:t>最大污染指数</w:t>
                  </w:r>
                </w:p>
              </w:tc>
              <w:tc>
                <w:tcPr>
                  <w:tcW w:w="967" w:type="dxa"/>
                  <w:vAlign w:val="center"/>
                </w:tcPr>
                <w:p w14:paraId="682FFF9B">
                  <w:pPr>
                    <w:widowControl/>
                    <w:jc w:val="center"/>
                    <w:textAlignment w:val="center"/>
                    <w:rPr>
                      <w:color w:val="auto"/>
                      <w:kern w:val="0"/>
                      <w:szCs w:val="21"/>
                    </w:rPr>
                  </w:pPr>
                  <w:r>
                    <w:rPr>
                      <w:color w:val="auto"/>
                      <w:kern w:val="0"/>
                      <w:szCs w:val="21"/>
                    </w:rPr>
                    <w:t>0.300</w:t>
                  </w:r>
                </w:p>
              </w:tc>
              <w:tc>
                <w:tcPr>
                  <w:tcW w:w="877" w:type="dxa"/>
                  <w:vAlign w:val="center"/>
                </w:tcPr>
                <w:p w14:paraId="606C059A">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0.82</w:t>
                  </w:r>
                </w:p>
              </w:tc>
              <w:tc>
                <w:tcPr>
                  <w:tcW w:w="995" w:type="dxa"/>
                  <w:vAlign w:val="center"/>
                </w:tcPr>
                <w:p w14:paraId="1A5B1C93">
                  <w:pPr>
                    <w:widowControl/>
                    <w:jc w:val="center"/>
                    <w:textAlignment w:val="center"/>
                    <w:rPr>
                      <w:color w:val="auto"/>
                      <w:kern w:val="0"/>
                      <w:szCs w:val="21"/>
                    </w:rPr>
                  </w:pPr>
                  <w:r>
                    <w:rPr>
                      <w:color w:val="auto"/>
                      <w:kern w:val="0"/>
                      <w:szCs w:val="21"/>
                    </w:rPr>
                    <w:t>0.933</w:t>
                  </w:r>
                </w:p>
              </w:tc>
              <w:tc>
                <w:tcPr>
                  <w:tcW w:w="850" w:type="dxa"/>
                  <w:vAlign w:val="center"/>
                </w:tcPr>
                <w:p w14:paraId="44E4EEAB">
                  <w:pPr>
                    <w:widowControl/>
                    <w:jc w:val="center"/>
                    <w:textAlignment w:val="center"/>
                    <w:rPr>
                      <w:color w:val="auto"/>
                      <w:kern w:val="0"/>
                      <w:szCs w:val="21"/>
                    </w:rPr>
                  </w:pPr>
                  <w:r>
                    <w:rPr>
                      <w:color w:val="auto"/>
                      <w:kern w:val="0"/>
                      <w:szCs w:val="21"/>
                    </w:rPr>
                    <w:t>0.700</w:t>
                  </w:r>
                </w:p>
              </w:tc>
              <w:tc>
                <w:tcPr>
                  <w:tcW w:w="918" w:type="dxa"/>
                  <w:vAlign w:val="center"/>
                </w:tcPr>
                <w:p w14:paraId="7753068F">
                  <w:pPr>
                    <w:widowControl/>
                    <w:jc w:val="center"/>
                    <w:textAlignment w:val="center"/>
                    <w:rPr>
                      <w:color w:val="auto"/>
                      <w:kern w:val="0"/>
                      <w:szCs w:val="21"/>
                    </w:rPr>
                  </w:pPr>
                  <w:r>
                    <w:rPr>
                      <w:color w:val="auto"/>
                      <w:kern w:val="0"/>
                      <w:szCs w:val="21"/>
                    </w:rPr>
                    <w:t>0.675</w:t>
                  </w:r>
                </w:p>
              </w:tc>
              <w:tc>
                <w:tcPr>
                  <w:tcW w:w="850" w:type="dxa"/>
                  <w:vAlign w:val="center"/>
                </w:tcPr>
                <w:p w14:paraId="1246832D">
                  <w:pPr>
                    <w:widowControl/>
                    <w:jc w:val="center"/>
                    <w:textAlignment w:val="center"/>
                    <w:rPr>
                      <w:color w:val="auto"/>
                      <w:kern w:val="0"/>
                      <w:szCs w:val="21"/>
                    </w:rPr>
                  </w:pPr>
                  <w:r>
                    <w:rPr>
                      <w:color w:val="auto"/>
                      <w:kern w:val="0"/>
                      <w:szCs w:val="21"/>
                    </w:rPr>
                    <w:t>0.219</w:t>
                  </w:r>
                </w:p>
              </w:tc>
              <w:tc>
                <w:tcPr>
                  <w:tcW w:w="851" w:type="dxa"/>
                  <w:vAlign w:val="center"/>
                </w:tcPr>
                <w:p w14:paraId="6D33924C">
                  <w:pPr>
                    <w:widowControl/>
                    <w:jc w:val="center"/>
                    <w:textAlignment w:val="center"/>
                    <w:rPr>
                      <w:color w:val="auto"/>
                      <w:kern w:val="0"/>
                      <w:szCs w:val="21"/>
                    </w:rPr>
                  </w:pPr>
                  <w:r>
                    <w:rPr>
                      <w:color w:val="auto"/>
                      <w:kern w:val="0"/>
                      <w:szCs w:val="21"/>
                    </w:rPr>
                    <w:t>0.450</w:t>
                  </w:r>
                </w:p>
              </w:tc>
              <w:tc>
                <w:tcPr>
                  <w:tcW w:w="916" w:type="dxa"/>
                  <w:vAlign w:val="center"/>
                </w:tcPr>
                <w:p w14:paraId="2D45D314">
                  <w:pPr>
                    <w:widowControl/>
                    <w:jc w:val="center"/>
                    <w:textAlignment w:val="center"/>
                    <w:rPr>
                      <w:color w:val="auto"/>
                      <w:kern w:val="0"/>
                      <w:szCs w:val="21"/>
                    </w:rPr>
                  </w:pPr>
                  <w:r>
                    <w:rPr>
                      <w:color w:val="auto"/>
                      <w:kern w:val="0"/>
                      <w:szCs w:val="21"/>
                    </w:rPr>
                    <w:t>0</w:t>
                  </w:r>
                </w:p>
              </w:tc>
              <w:tc>
                <w:tcPr>
                  <w:tcW w:w="985" w:type="dxa"/>
                  <w:vAlign w:val="center"/>
                </w:tcPr>
                <w:p w14:paraId="30100A89">
                  <w:pPr>
                    <w:widowControl/>
                    <w:jc w:val="center"/>
                    <w:textAlignment w:val="center"/>
                    <w:rPr>
                      <w:color w:val="auto"/>
                      <w:kern w:val="0"/>
                      <w:szCs w:val="21"/>
                    </w:rPr>
                  </w:pPr>
                  <w:r>
                    <w:rPr>
                      <w:color w:val="auto"/>
                      <w:kern w:val="0"/>
                      <w:szCs w:val="21"/>
                    </w:rPr>
                    <w:t>0</w:t>
                  </w:r>
                </w:p>
              </w:tc>
              <w:tc>
                <w:tcPr>
                  <w:tcW w:w="924" w:type="dxa"/>
                  <w:vAlign w:val="center"/>
                </w:tcPr>
                <w:p w14:paraId="3B7B6E53">
                  <w:pPr>
                    <w:widowControl/>
                    <w:jc w:val="center"/>
                    <w:textAlignment w:val="center"/>
                    <w:rPr>
                      <w:color w:val="auto"/>
                      <w:kern w:val="0"/>
                      <w:szCs w:val="21"/>
                    </w:rPr>
                  </w:pPr>
                  <w:r>
                    <w:rPr>
                      <w:color w:val="auto"/>
                      <w:kern w:val="0"/>
                      <w:szCs w:val="21"/>
                    </w:rPr>
                    <w:t>0.220</w:t>
                  </w:r>
                </w:p>
              </w:tc>
              <w:tc>
                <w:tcPr>
                  <w:tcW w:w="777" w:type="dxa"/>
                  <w:vAlign w:val="center"/>
                </w:tcPr>
                <w:p w14:paraId="49B5F885">
                  <w:pPr>
                    <w:widowControl/>
                    <w:jc w:val="center"/>
                    <w:textAlignment w:val="center"/>
                    <w:rPr>
                      <w:color w:val="auto"/>
                      <w:kern w:val="0"/>
                      <w:szCs w:val="21"/>
                    </w:rPr>
                  </w:pPr>
                  <w:r>
                    <w:rPr>
                      <w:color w:val="auto"/>
                      <w:kern w:val="0"/>
                      <w:szCs w:val="21"/>
                    </w:rPr>
                    <w:t>0.600</w:t>
                  </w:r>
                </w:p>
              </w:tc>
              <w:tc>
                <w:tcPr>
                  <w:tcW w:w="984" w:type="dxa"/>
                  <w:vAlign w:val="center"/>
                </w:tcPr>
                <w:p w14:paraId="70892384">
                  <w:pPr>
                    <w:widowControl/>
                    <w:jc w:val="center"/>
                    <w:textAlignment w:val="center"/>
                    <w:rPr>
                      <w:color w:val="auto"/>
                      <w:kern w:val="0"/>
                      <w:szCs w:val="21"/>
                    </w:rPr>
                  </w:pPr>
                  <w:r>
                    <w:rPr>
                      <w:color w:val="auto"/>
                      <w:kern w:val="0"/>
                      <w:szCs w:val="21"/>
                    </w:rPr>
                    <w:t>0</w:t>
                  </w:r>
                </w:p>
              </w:tc>
              <w:tc>
                <w:tcPr>
                  <w:tcW w:w="984" w:type="dxa"/>
                  <w:vAlign w:val="center"/>
                </w:tcPr>
                <w:p w14:paraId="153AB403">
                  <w:pPr>
                    <w:widowControl/>
                    <w:jc w:val="center"/>
                    <w:textAlignment w:val="center"/>
                    <w:rPr>
                      <w:color w:val="auto"/>
                      <w:kern w:val="0"/>
                      <w:szCs w:val="21"/>
                    </w:rPr>
                  </w:pPr>
                  <w:r>
                    <w:rPr>
                      <w:color w:val="auto"/>
                      <w:kern w:val="0"/>
                      <w:szCs w:val="21"/>
                    </w:rPr>
                    <w:t>0.540</w:t>
                  </w:r>
                </w:p>
              </w:tc>
            </w:tr>
            <w:tr w14:paraId="2E03F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7EF2F35E">
                  <w:pPr>
                    <w:widowControl/>
                    <w:adjustRightInd w:val="0"/>
                    <w:snapToGrid w:val="0"/>
                    <w:jc w:val="center"/>
                    <w:rPr>
                      <w:color w:val="auto"/>
                      <w:kern w:val="0"/>
                      <w:szCs w:val="21"/>
                    </w:rPr>
                  </w:pPr>
                </w:p>
              </w:tc>
              <w:tc>
                <w:tcPr>
                  <w:tcW w:w="1353" w:type="dxa"/>
                  <w:vAlign w:val="center"/>
                </w:tcPr>
                <w:p w14:paraId="696186F9">
                  <w:pPr>
                    <w:widowControl/>
                    <w:adjustRightInd w:val="0"/>
                    <w:snapToGrid w:val="0"/>
                    <w:jc w:val="center"/>
                    <w:rPr>
                      <w:color w:val="auto"/>
                      <w:kern w:val="0"/>
                      <w:szCs w:val="21"/>
                    </w:rPr>
                  </w:pPr>
                  <w:r>
                    <w:rPr>
                      <w:color w:val="auto"/>
                      <w:kern w:val="0"/>
                      <w:szCs w:val="21"/>
                    </w:rPr>
                    <w:t>超标率%</w:t>
                  </w:r>
                </w:p>
              </w:tc>
              <w:tc>
                <w:tcPr>
                  <w:tcW w:w="967" w:type="dxa"/>
                  <w:vAlign w:val="center"/>
                </w:tcPr>
                <w:p w14:paraId="4438AE08">
                  <w:pPr>
                    <w:widowControl/>
                    <w:adjustRightInd w:val="0"/>
                    <w:snapToGrid w:val="0"/>
                    <w:jc w:val="center"/>
                    <w:rPr>
                      <w:color w:val="auto"/>
                      <w:kern w:val="0"/>
                      <w:szCs w:val="21"/>
                    </w:rPr>
                  </w:pPr>
                  <w:r>
                    <w:rPr>
                      <w:color w:val="auto"/>
                      <w:kern w:val="0"/>
                      <w:szCs w:val="21"/>
                    </w:rPr>
                    <w:t>0</w:t>
                  </w:r>
                </w:p>
              </w:tc>
              <w:tc>
                <w:tcPr>
                  <w:tcW w:w="877" w:type="dxa"/>
                  <w:vAlign w:val="center"/>
                </w:tcPr>
                <w:p w14:paraId="47B5F93E">
                  <w:pPr>
                    <w:widowControl/>
                    <w:adjustRightInd w:val="0"/>
                    <w:snapToGrid w:val="0"/>
                    <w:jc w:val="center"/>
                    <w:rPr>
                      <w:color w:val="auto"/>
                      <w:kern w:val="0"/>
                      <w:szCs w:val="21"/>
                    </w:rPr>
                  </w:pPr>
                  <w:r>
                    <w:rPr>
                      <w:color w:val="auto"/>
                      <w:kern w:val="0"/>
                      <w:szCs w:val="21"/>
                    </w:rPr>
                    <w:t>0</w:t>
                  </w:r>
                </w:p>
              </w:tc>
              <w:tc>
                <w:tcPr>
                  <w:tcW w:w="995" w:type="dxa"/>
                  <w:vAlign w:val="center"/>
                </w:tcPr>
                <w:p w14:paraId="40C460FB">
                  <w:pPr>
                    <w:widowControl/>
                    <w:adjustRightInd w:val="0"/>
                    <w:snapToGrid w:val="0"/>
                    <w:jc w:val="center"/>
                    <w:rPr>
                      <w:color w:val="auto"/>
                      <w:kern w:val="0"/>
                      <w:szCs w:val="21"/>
                    </w:rPr>
                  </w:pPr>
                  <w:r>
                    <w:rPr>
                      <w:color w:val="auto"/>
                      <w:kern w:val="0"/>
                      <w:szCs w:val="21"/>
                    </w:rPr>
                    <w:t>0</w:t>
                  </w:r>
                </w:p>
              </w:tc>
              <w:tc>
                <w:tcPr>
                  <w:tcW w:w="850" w:type="dxa"/>
                  <w:vAlign w:val="center"/>
                </w:tcPr>
                <w:p w14:paraId="614F0D1C">
                  <w:pPr>
                    <w:widowControl/>
                    <w:adjustRightInd w:val="0"/>
                    <w:snapToGrid w:val="0"/>
                    <w:jc w:val="center"/>
                    <w:rPr>
                      <w:color w:val="auto"/>
                      <w:kern w:val="0"/>
                      <w:szCs w:val="21"/>
                    </w:rPr>
                  </w:pPr>
                  <w:r>
                    <w:rPr>
                      <w:color w:val="auto"/>
                      <w:kern w:val="0"/>
                      <w:szCs w:val="21"/>
                    </w:rPr>
                    <w:t>0</w:t>
                  </w:r>
                </w:p>
              </w:tc>
              <w:tc>
                <w:tcPr>
                  <w:tcW w:w="918" w:type="dxa"/>
                  <w:vAlign w:val="center"/>
                </w:tcPr>
                <w:p w14:paraId="065B440A">
                  <w:pPr>
                    <w:widowControl/>
                    <w:adjustRightInd w:val="0"/>
                    <w:snapToGrid w:val="0"/>
                    <w:jc w:val="center"/>
                    <w:rPr>
                      <w:color w:val="auto"/>
                      <w:kern w:val="0"/>
                      <w:szCs w:val="21"/>
                    </w:rPr>
                  </w:pPr>
                  <w:r>
                    <w:rPr>
                      <w:color w:val="auto"/>
                      <w:kern w:val="0"/>
                      <w:szCs w:val="21"/>
                    </w:rPr>
                    <w:t>0</w:t>
                  </w:r>
                </w:p>
              </w:tc>
              <w:tc>
                <w:tcPr>
                  <w:tcW w:w="850" w:type="dxa"/>
                  <w:vAlign w:val="center"/>
                </w:tcPr>
                <w:p w14:paraId="03E1F4DB">
                  <w:pPr>
                    <w:widowControl/>
                    <w:adjustRightInd w:val="0"/>
                    <w:snapToGrid w:val="0"/>
                    <w:jc w:val="center"/>
                    <w:rPr>
                      <w:color w:val="auto"/>
                      <w:kern w:val="0"/>
                      <w:szCs w:val="21"/>
                    </w:rPr>
                  </w:pPr>
                  <w:r>
                    <w:rPr>
                      <w:color w:val="auto"/>
                      <w:kern w:val="0"/>
                      <w:szCs w:val="21"/>
                    </w:rPr>
                    <w:t>0</w:t>
                  </w:r>
                </w:p>
              </w:tc>
              <w:tc>
                <w:tcPr>
                  <w:tcW w:w="851" w:type="dxa"/>
                  <w:vAlign w:val="center"/>
                </w:tcPr>
                <w:p w14:paraId="51A8BA0C">
                  <w:pPr>
                    <w:widowControl/>
                    <w:adjustRightInd w:val="0"/>
                    <w:snapToGrid w:val="0"/>
                    <w:jc w:val="center"/>
                    <w:rPr>
                      <w:color w:val="auto"/>
                      <w:kern w:val="0"/>
                      <w:szCs w:val="21"/>
                    </w:rPr>
                  </w:pPr>
                  <w:r>
                    <w:rPr>
                      <w:color w:val="auto"/>
                      <w:kern w:val="0"/>
                      <w:szCs w:val="21"/>
                    </w:rPr>
                    <w:t>0</w:t>
                  </w:r>
                </w:p>
              </w:tc>
              <w:tc>
                <w:tcPr>
                  <w:tcW w:w="916" w:type="dxa"/>
                  <w:vAlign w:val="center"/>
                </w:tcPr>
                <w:p w14:paraId="0FB4EC1D">
                  <w:pPr>
                    <w:widowControl/>
                    <w:adjustRightInd w:val="0"/>
                    <w:snapToGrid w:val="0"/>
                    <w:jc w:val="center"/>
                    <w:rPr>
                      <w:color w:val="auto"/>
                      <w:kern w:val="0"/>
                      <w:szCs w:val="21"/>
                    </w:rPr>
                  </w:pPr>
                  <w:r>
                    <w:rPr>
                      <w:color w:val="auto"/>
                      <w:kern w:val="0"/>
                      <w:szCs w:val="21"/>
                    </w:rPr>
                    <w:t>0</w:t>
                  </w:r>
                </w:p>
              </w:tc>
              <w:tc>
                <w:tcPr>
                  <w:tcW w:w="985" w:type="dxa"/>
                  <w:vAlign w:val="center"/>
                </w:tcPr>
                <w:p w14:paraId="4ACEA274">
                  <w:pPr>
                    <w:widowControl/>
                    <w:adjustRightInd w:val="0"/>
                    <w:snapToGrid w:val="0"/>
                    <w:jc w:val="center"/>
                    <w:rPr>
                      <w:color w:val="auto"/>
                      <w:kern w:val="0"/>
                      <w:szCs w:val="21"/>
                    </w:rPr>
                  </w:pPr>
                  <w:r>
                    <w:rPr>
                      <w:color w:val="auto"/>
                      <w:kern w:val="0"/>
                      <w:szCs w:val="21"/>
                    </w:rPr>
                    <w:t>0</w:t>
                  </w:r>
                </w:p>
              </w:tc>
              <w:tc>
                <w:tcPr>
                  <w:tcW w:w="924" w:type="dxa"/>
                  <w:vAlign w:val="center"/>
                </w:tcPr>
                <w:p w14:paraId="1AAAB61C">
                  <w:pPr>
                    <w:widowControl/>
                    <w:adjustRightInd w:val="0"/>
                    <w:snapToGrid w:val="0"/>
                    <w:jc w:val="center"/>
                    <w:rPr>
                      <w:color w:val="auto"/>
                      <w:kern w:val="0"/>
                      <w:szCs w:val="21"/>
                    </w:rPr>
                  </w:pPr>
                  <w:r>
                    <w:rPr>
                      <w:color w:val="auto"/>
                      <w:kern w:val="0"/>
                      <w:szCs w:val="21"/>
                    </w:rPr>
                    <w:t>0</w:t>
                  </w:r>
                </w:p>
              </w:tc>
              <w:tc>
                <w:tcPr>
                  <w:tcW w:w="777" w:type="dxa"/>
                  <w:vAlign w:val="center"/>
                </w:tcPr>
                <w:p w14:paraId="59744416">
                  <w:pPr>
                    <w:widowControl/>
                    <w:adjustRightInd w:val="0"/>
                    <w:snapToGrid w:val="0"/>
                    <w:jc w:val="center"/>
                    <w:rPr>
                      <w:color w:val="auto"/>
                      <w:kern w:val="0"/>
                      <w:szCs w:val="21"/>
                    </w:rPr>
                  </w:pPr>
                  <w:r>
                    <w:rPr>
                      <w:color w:val="auto"/>
                      <w:kern w:val="0"/>
                      <w:szCs w:val="21"/>
                    </w:rPr>
                    <w:t>0</w:t>
                  </w:r>
                </w:p>
              </w:tc>
              <w:tc>
                <w:tcPr>
                  <w:tcW w:w="984" w:type="dxa"/>
                  <w:vAlign w:val="center"/>
                </w:tcPr>
                <w:p w14:paraId="5927F6AC">
                  <w:pPr>
                    <w:widowControl/>
                    <w:adjustRightInd w:val="0"/>
                    <w:snapToGrid w:val="0"/>
                    <w:jc w:val="center"/>
                    <w:rPr>
                      <w:color w:val="auto"/>
                      <w:kern w:val="0"/>
                      <w:szCs w:val="21"/>
                    </w:rPr>
                  </w:pPr>
                  <w:r>
                    <w:rPr>
                      <w:color w:val="auto"/>
                      <w:kern w:val="0"/>
                      <w:szCs w:val="21"/>
                    </w:rPr>
                    <w:t>0</w:t>
                  </w:r>
                </w:p>
              </w:tc>
              <w:tc>
                <w:tcPr>
                  <w:tcW w:w="984" w:type="dxa"/>
                  <w:vAlign w:val="center"/>
                </w:tcPr>
                <w:p w14:paraId="4721E02F">
                  <w:pPr>
                    <w:widowControl/>
                    <w:adjustRightInd w:val="0"/>
                    <w:snapToGrid w:val="0"/>
                    <w:jc w:val="center"/>
                    <w:rPr>
                      <w:color w:val="auto"/>
                      <w:kern w:val="0"/>
                      <w:szCs w:val="21"/>
                    </w:rPr>
                  </w:pPr>
                  <w:r>
                    <w:rPr>
                      <w:color w:val="auto"/>
                      <w:kern w:val="0"/>
                      <w:szCs w:val="21"/>
                    </w:rPr>
                    <w:t>0</w:t>
                  </w:r>
                </w:p>
              </w:tc>
            </w:tr>
            <w:tr w14:paraId="1BF3A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6ED43D05">
                  <w:pPr>
                    <w:widowControl/>
                    <w:adjustRightInd w:val="0"/>
                    <w:snapToGrid w:val="0"/>
                    <w:jc w:val="center"/>
                    <w:rPr>
                      <w:color w:val="auto"/>
                      <w:kern w:val="0"/>
                      <w:szCs w:val="21"/>
                    </w:rPr>
                  </w:pPr>
                </w:p>
              </w:tc>
              <w:tc>
                <w:tcPr>
                  <w:tcW w:w="1353" w:type="dxa"/>
                  <w:vAlign w:val="center"/>
                </w:tcPr>
                <w:p w14:paraId="5730E82B">
                  <w:pPr>
                    <w:widowControl/>
                    <w:adjustRightInd w:val="0"/>
                    <w:snapToGrid w:val="0"/>
                    <w:jc w:val="center"/>
                    <w:rPr>
                      <w:color w:val="auto"/>
                      <w:kern w:val="0"/>
                      <w:szCs w:val="21"/>
                    </w:rPr>
                  </w:pPr>
                  <w:r>
                    <w:rPr>
                      <w:color w:val="auto"/>
                      <w:kern w:val="0"/>
                      <w:szCs w:val="21"/>
                    </w:rPr>
                    <w:t>达标情况</w:t>
                  </w:r>
                </w:p>
              </w:tc>
              <w:tc>
                <w:tcPr>
                  <w:tcW w:w="967" w:type="dxa"/>
                  <w:vAlign w:val="center"/>
                </w:tcPr>
                <w:p w14:paraId="4D6810AB">
                  <w:pPr>
                    <w:widowControl/>
                    <w:adjustRightInd w:val="0"/>
                    <w:snapToGrid w:val="0"/>
                    <w:jc w:val="center"/>
                    <w:rPr>
                      <w:color w:val="auto"/>
                      <w:kern w:val="0"/>
                      <w:szCs w:val="21"/>
                    </w:rPr>
                  </w:pPr>
                  <w:r>
                    <w:rPr>
                      <w:color w:val="auto"/>
                      <w:kern w:val="0"/>
                      <w:szCs w:val="21"/>
                    </w:rPr>
                    <w:t>达标</w:t>
                  </w:r>
                </w:p>
              </w:tc>
              <w:tc>
                <w:tcPr>
                  <w:tcW w:w="877" w:type="dxa"/>
                  <w:vAlign w:val="center"/>
                </w:tcPr>
                <w:p w14:paraId="625755A9">
                  <w:pPr>
                    <w:widowControl/>
                    <w:adjustRightInd w:val="0"/>
                    <w:snapToGrid w:val="0"/>
                    <w:jc w:val="center"/>
                    <w:rPr>
                      <w:color w:val="auto"/>
                      <w:kern w:val="0"/>
                      <w:szCs w:val="21"/>
                    </w:rPr>
                  </w:pPr>
                  <w:r>
                    <w:rPr>
                      <w:color w:val="auto"/>
                      <w:kern w:val="0"/>
                      <w:szCs w:val="21"/>
                    </w:rPr>
                    <w:t>达标</w:t>
                  </w:r>
                </w:p>
              </w:tc>
              <w:tc>
                <w:tcPr>
                  <w:tcW w:w="995" w:type="dxa"/>
                  <w:vAlign w:val="center"/>
                </w:tcPr>
                <w:p w14:paraId="4937DB52">
                  <w:pPr>
                    <w:widowControl/>
                    <w:adjustRightInd w:val="0"/>
                    <w:snapToGrid w:val="0"/>
                    <w:jc w:val="center"/>
                    <w:rPr>
                      <w:color w:val="auto"/>
                      <w:kern w:val="0"/>
                      <w:szCs w:val="21"/>
                    </w:rPr>
                  </w:pPr>
                  <w:r>
                    <w:rPr>
                      <w:color w:val="auto"/>
                      <w:kern w:val="0"/>
                      <w:szCs w:val="21"/>
                    </w:rPr>
                    <w:t>达标</w:t>
                  </w:r>
                </w:p>
              </w:tc>
              <w:tc>
                <w:tcPr>
                  <w:tcW w:w="850" w:type="dxa"/>
                  <w:vAlign w:val="center"/>
                </w:tcPr>
                <w:p w14:paraId="4DCE8388">
                  <w:pPr>
                    <w:widowControl/>
                    <w:adjustRightInd w:val="0"/>
                    <w:snapToGrid w:val="0"/>
                    <w:jc w:val="center"/>
                    <w:rPr>
                      <w:color w:val="auto"/>
                      <w:kern w:val="0"/>
                      <w:szCs w:val="21"/>
                    </w:rPr>
                  </w:pPr>
                  <w:r>
                    <w:rPr>
                      <w:color w:val="auto"/>
                      <w:kern w:val="0"/>
                      <w:szCs w:val="21"/>
                    </w:rPr>
                    <w:t>达标</w:t>
                  </w:r>
                </w:p>
              </w:tc>
              <w:tc>
                <w:tcPr>
                  <w:tcW w:w="918" w:type="dxa"/>
                  <w:vAlign w:val="center"/>
                </w:tcPr>
                <w:p w14:paraId="73549E74">
                  <w:pPr>
                    <w:widowControl/>
                    <w:adjustRightInd w:val="0"/>
                    <w:snapToGrid w:val="0"/>
                    <w:jc w:val="center"/>
                    <w:rPr>
                      <w:color w:val="auto"/>
                      <w:kern w:val="0"/>
                      <w:szCs w:val="21"/>
                    </w:rPr>
                  </w:pPr>
                  <w:r>
                    <w:rPr>
                      <w:color w:val="auto"/>
                      <w:kern w:val="0"/>
                      <w:szCs w:val="21"/>
                    </w:rPr>
                    <w:t>达标</w:t>
                  </w:r>
                </w:p>
              </w:tc>
              <w:tc>
                <w:tcPr>
                  <w:tcW w:w="850" w:type="dxa"/>
                  <w:vAlign w:val="center"/>
                </w:tcPr>
                <w:p w14:paraId="5499E9EF">
                  <w:pPr>
                    <w:widowControl/>
                    <w:adjustRightInd w:val="0"/>
                    <w:snapToGrid w:val="0"/>
                    <w:jc w:val="center"/>
                    <w:rPr>
                      <w:color w:val="auto"/>
                      <w:kern w:val="0"/>
                      <w:szCs w:val="21"/>
                    </w:rPr>
                  </w:pPr>
                  <w:r>
                    <w:rPr>
                      <w:color w:val="auto"/>
                      <w:kern w:val="0"/>
                      <w:szCs w:val="21"/>
                    </w:rPr>
                    <w:t>达标</w:t>
                  </w:r>
                </w:p>
              </w:tc>
              <w:tc>
                <w:tcPr>
                  <w:tcW w:w="851" w:type="dxa"/>
                  <w:vAlign w:val="center"/>
                </w:tcPr>
                <w:p w14:paraId="6F5AB346">
                  <w:pPr>
                    <w:widowControl/>
                    <w:adjustRightInd w:val="0"/>
                    <w:snapToGrid w:val="0"/>
                    <w:jc w:val="center"/>
                    <w:rPr>
                      <w:color w:val="auto"/>
                      <w:kern w:val="0"/>
                      <w:szCs w:val="21"/>
                    </w:rPr>
                  </w:pPr>
                  <w:r>
                    <w:rPr>
                      <w:color w:val="auto"/>
                      <w:kern w:val="0"/>
                      <w:szCs w:val="21"/>
                    </w:rPr>
                    <w:t>达标</w:t>
                  </w:r>
                </w:p>
              </w:tc>
              <w:tc>
                <w:tcPr>
                  <w:tcW w:w="916" w:type="dxa"/>
                  <w:vAlign w:val="center"/>
                </w:tcPr>
                <w:p w14:paraId="50FB6BAC">
                  <w:pPr>
                    <w:widowControl/>
                    <w:adjustRightInd w:val="0"/>
                    <w:snapToGrid w:val="0"/>
                    <w:jc w:val="center"/>
                    <w:rPr>
                      <w:color w:val="auto"/>
                      <w:kern w:val="0"/>
                      <w:szCs w:val="21"/>
                    </w:rPr>
                  </w:pPr>
                  <w:r>
                    <w:rPr>
                      <w:color w:val="auto"/>
                      <w:kern w:val="0"/>
                      <w:szCs w:val="21"/>
                    </w:rPr>
                    <w:t>达标</w:t>
                  </w:r>
                </w:p>
              </w:tc>
              <w:tc>
                <w:tcPr>
                  <w:tcW w:w="985" w:type="dxa"/>
                  <w:vAlign w:val="center"/>
                </w:tcPr>
                <w:p w14:paraId="0258E30E">
                  <w:pPr>
                    <w:widowControl/>
                    <w:adjustRightInd w:val="0"/>
                    <w:snapToGrid w:val="0"/>
                    <w:jc w:val="center"/>
                    <w:rPr>
                      <w:color w:val="auto"/>
                      <w:kern w:val="0"/>
                      <w:szCs w:val="21"/>
                    </w:rPr>
                  </w:pPr>
                  <w:r>
                    <w:rPr>
                      <w:color w:val="auto"/>
                      <w:kern w:val="0"/>
                      <w:szCs w:val="21"/>
                    </w:rPr>
                    <w:t>达标</w:t>
                  </w:r>
                </w:p>
              </w:tc>
              <w:tc>
                <w:tcPr>
                  <w:tcW w:w="924" w:type="dxa"/>
                  <w:vAlign w:val="center"/>
                </w:tcPr>
                <w:p w14:paraId="22E13853">
                  <w:pPr>
                    <w:widowControl/>
                    <w:adjustRightInd w:val="0"/>
                    <w:snapToGrid w:val="0"/>
                    <w:jc w:val="center"/>
                    <w:rPr>
                      <w:color w:val="auto"/>
                      <w:kern w:val="0"/>
                      <w:szCs w:val="21"/>
                    </w:rPr>
                  </w:pPr>
                  <w:r>
                    <w:rPr>
                      <w:color w:val="auto"/>
                      <w:kern w:val="0"/>
                      <w:szCs w:val="21"/>
                    </w:rPr>
                    <w:t>达标</w:t>
                  </w:r>
                </w:p>
              </w:tc>
              <w:tc>
                <w:tcPr>
                  <w:tcW w:w="777" w:type="dxa"/>
                  <w:vAlign w:val="center"/>
                </w:tcPr>
                <w:p w14:paraId="30897E67">
                  <w:pPr>
                    <w:widowControl/>
                    <w:adjustRightInd w:val="0"/>
                    <w:snapToGrid w:val="0"/>
                    <w:jc w:val="center"/>
                    <w:rPr>
                      <w:color w:val="auto"/>
                      <w:kern w:val="0"/>
                      <w:szCs w:val="21"/>
                    </w:rPr>
                  </w:pPr>
                  <w:r>
                    <w:rPr>
                      <w:color w:val="auto"/>
                      <w:kern w:val="0"/>
                      <w:szCs w:val="21"/>
                    </w:rPr>
                    <w:t>达标</w:t>
                  </w:r>
                </w:p>
              </w:tc>
              <w:tc>
                <w:tcPr>
                  <w:tcW w:w="984" w:type="dxa"/>
                  <w:vAlign w:val="center"/>
                </w:tcPr>
                <w:p w14:paraId="261C21DF">
                  <w:pPr>
                    <w:widowControl/>
                    <w:adjustRightInd w:val="0"/>
                    <w:snapToGrid w:val="0"/>
                    <w:jc w:val="center"/>
                    <w:rPr>
                      <w:color w:val="auto"/>
                      <w:kern w:val="0"/>
                      <w:szCs w:val="21"/>
                    </w:rPr>
                  </w:pPr>
                  <w:r>
                    <w:rPr>
                      <w:color w:val="auto"/>
                      <w:kern w:val="0"/>
                      <w:szCs w:val="21"/>
                    </w:rPr>
                    <w:t>达标</w:t>
                  </w:r>
                </w:p>
              </w:tc>
              <w:tc>
                <w:tcPr>
                  <w:tcW w:w="984" w:type="dxa"/>
                  <w:vAlign w:val="center"/>
                </w:tcPr>
                <w:p w14:paraId="2417EE9F">
                  <w:pPr>
                    <w:widowControl/>
                    <w:adjustRightInd w:val="0"/>
                    <w:snapToGrid w:val="0"/>
                    <w:jc w:val="center"/>
                    <w:rPr>
                      <w:color w:val="auto"/>
                      <w:kern w:val="0"/>
                      <w:szCs w:val="21"/>
                    </w:rPr>
                  </w:pPr>
                  <w:r>
                    <w:rPr>
                      <w:color w:val="auto"/>
                      <w:kern w:val="0"/>
                      <w:szCs w:val="21"/>
                    </w:rPr>
                    <w:t>达标</w:t>
                  </w:r>
                </w:p>
              </w:tc>
            </w:tr>
            <w:tr w14:paraId="2496B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restart"/>
                  <w:vAlign w:val="center"/>
                </w:tcPr>
                <w:p w14:paraId="34449464">
                  <w:pPr>
                    <w:widowControl/>
                    <w:adjustRightInd w:val="0"/>
                    <w:snapToGrid w:val="0"/>
                    <w:jc w:val="center"/>
                    <w:rPr>
                      <w:color w:val="auto"/>
                      <w:kern w:val="0"/>
                      <w:szCs w:val="21"/>
                    </w:rPr>
                  </w:pPr>
                  <w:r>
                    <w:rPr>
                      <w:color w:val="auto"/>
                      <w:kern w:val="0"/>
                      <w:szCs w:val="21"/>
                    </w:rPr>
                    <w:t>W2</w:t>
                  </w:r>
                </w:p>
              </w:tc>
              <w:tc>
                <w:tcPr>
                  <w:tcW w:w="1353" w:type="dxa"/>
                  <w:vAlign w:val="center"/>
                </w:tcPr>
                <w:p w14:paraId="3DEB8E22">
                  <w:pPr>
                    <w:pStyle w:val="82"/>
                    <w:spacing w:line="240" w:lineRule="auto"/>
                    <w:ind w:firstLine="0"/>
                    <w:rPr>
                      <w:color w:val="auto"/>
                      <w:szCs w:val="21"/>
                    </w:rPr>
                  </w:pPr>
                  <w:r>
                    <w:rPr>
                      <w:color w:val="auto"/>
                      <w:szCs w:val="21"/>
                    </w:rPr>
                    <w:t>最大值</w:t>
                  </w:r>
                </w:p>
              </w:tc>
              <w:tc>
                <w:tcPr>
                  <w:tcW w:w="967" w:type="dxa"/>
                  <w:vAlign w:val="center"/>
                </w:tcPr>
                <w:p w14:paraId="5C413040">
                  <w:pPr>
                    <w:widowControl/>
                    <w:jc w:val="center"/>
                    <w:textAlignment w:val="center"/>
                    <w:rPr>
                      <w:color w:val="auto"/>
                      <w:kern w:val="0"/>
                      <w:szCs w:val="21"/>
                    </w:rPr>
                  </w:pPr>
                  <w:r>
                    <w:rPr>
                      <w:color w:val="auto"/>
                      <w:kern w:val="0"/>
                      <w:szCs w:val="21"/>
                    </w:rPr>
                    <w:t>7.3</w:t>
                  </w:r>
                </w:p>
              </w:tc>
              <w:tc>
                <w:tcPr>
                  <w:tcW w:w="877" w:type="dxa"/>
                  <w:vAlign w:val="center"/>
                </w:tcPr>
                <w:p w14:paraId="7C4F7515">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0.42</w:t>
                  </w:r>
                </w:p>
              </w:tc>
              <w:tc>
                <w:tcPr>
                  <w:tcW w:w="995" w:type="dxa"/>
                  <w:vAlign w:val="center"/>
                </w:tcPr>
                <w:p w14:paraId="0D4A0082">
                  <w:pPr>
                    <w:widowControl/>
                    <w:jc w:val="center"/>
                    <w:textAlignment w:val="center"/>
                    <w:rPr>
                      <w:color w:val="auto"/>
                      <w:kern w:val="0"/>
                      <w:szCs w:val="21"/>
                    </w:rPr>
                  </w:pPr>
                  <w:r>
                    <w:rPr>
                      <w:color w:val="auto"/>
                      <w:kern w:val="0"/>
                      <w:szCs w:val="21"/>
                    </w:rPr>
                    <w:t>3.7</w:t>
                  </w:r>
                </w:p>
              </w:tc>
              <w:tc>
                <w:tcPr>
                  <w:tcW w:w="850" w:type="dxa"/>
                  <w:vAlign w:val="center"/>
                </w:tcPr>
                <w:p w14:paraId="056BE0F7">
                  <w:pPr>
                    <w:widowControl/>
                    <w:jc w:val="center"/>
                    <w:textAlignment w:val="center"/>
                    <w:rPr>
                      <w:color w:val="auto"/>
                      <w:kern w:val="0"/>
                      <w:szCs w:val="21"/>
                    </w:rPr>
                  </w:pPr>
                  <w:r>
                    <w:rPr>
                      <w:color w:val="auto"/>
                      <w:kern w:val="0"/>
                      <w:szCs w:val="21"/>
                    </w:rPr>
                    <w:t>13</w:t>
                  </w:r>
                </w:p>
              </w:tc>
              <w:tc>
                <w:tcPr>
                  <w:tcW w:w="918" w:type="dxa"/>
                  <w:vAlign w:val="center"/>
                </w:tcPr>
                <w:p w14:paraId="5FE23CF9">
                  <w:pPr>
                    <w:widowControl/>
                    <w:jc w:val="center"/>
                    <w:textAlignment w:val="center"/>
                    <w:rPr>
                      <w:color w:val="auto"/>
                      <w:kern w:val="0"/>
                      <w:szCs w:val="21"/>
                    </w:rPr>
                  </w:pPr>
                  <w:r>
                    <w:rPr>
                      <w:color w:val="auto"/>
                      <w:kern w:val="0"/>
                      <w:szCs w:val="21"/>
                    </w:rPr>
                    <w:t>2.6</w:t>
                  </w:r>
                </w:p>
              </w:tc>
              <w:tc>
                <w:tcPr>
                  <w:tcW w:w="850" w:type="dxa"/>
                  <w:vAlign w:val="center"/>
                </w:tcPr>
                <w:p w14:paraId="79FCD56F">
                  <w:pPr>
                    <w:widowControl/>
                    <w:jc w:val="center"/>
                    <w:textAlignment w:val="center"/>
                    <w:rPr>
                      <w:color w:val="auto"/>
                      <w:kern w:val="0"/>
                      <w:szCs w:val="21"/>
                    </w:rPr>
                  </w:pPr>
                  <w:r>
                    <w:rPr>
                      <w:color w:val="auto"/>
                      <w:kern w:val="0"/>
                      <w:szCs w:val="21"/>
                    </w:rPr>
                    <w:t>0.091</w:t>
                  </w:r>
                </w:p>
              </w:tc>
              <w:tc>
                <w:tcPr>
                  <w:tcW w:w="851" w:type="dxa"/>
                  <w:vAlign w:val="center"/>
                </w:tcPr>
                <w:p w14:paraId="16FB05CD">
                  <w:pPr>
                    <w:widowControl/>
                    <w:jc w:val="center"/>
                    <w:textAlignment w:val="center"/>
                    <w:rPr>
                      <w:color w:val="auto"/>
                      <w:kern w:val="0"/>
                      <w:szCs w:val="21"/>
                    </w:rPr>
                  </w:pPr>
                  <w:r>
                    <w:rPr>
                      <w:color w:val="auto"/>
                      <w:kern w:val="0"/>
                      <w:szCs w:val="21"/>
                    </w:rPr>
                    <w:t>0.04</w:t>
                  </w:r>
                </w:p>
              </w:tc>
              <w:tc>
                <w:tcPr>
                  <w:tcW w:w="916" w:type="dxa"/>
                  <w:vAlign w:val="center"/>
                </w:tcPr>
                <w:p w14:paraId="63A089E5">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5726F6A7">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3B445AE4">
                  <w:pPr>
                    <w:widowControl/>
                    <w:jc w:val="center"/>
                    <w:textAlignment w:val="center"/>
                    <w:rPr>
                      <w:color w:val="auto"/>
                      <w:kern w:val="0"/>
                      <w:szCs w:val="21"/>
                    </w:rPr>
                  </w:pPr>
                  <w:r>
                    <w:rPr>
                      <w:color w:val="auto"/>
                      <w:kern w:val="0"/>
                      <w:szCs w:val="21"/>
                    </w:rPr>
                    <w:t>0.0012</w:t>
                  </w:r>
                </w:p>
              </w:tc>
              <w:tc>
                <w:tcPr>
                  <w:tcW w:w="777" w:type="dxa"/>
                  <w:vAlign w:val="center"/>
                </w:tcPr>
                <w:p w14:paraId="16B89B8A">
                  <w:pPr>
                    <w:widowControl/>
                    <w:jc w:val="center"/>
                    <w:textAlignment w:val="center"/>
                    <w:rPr>
                      <w:color w:val="auto"/>
                      <w:kern w:val="0"/>
                      <w:szCs w:val="21"/>
                    </w:rPr>
                  </w:pPr>
                  <w:r>
                    <w:rPr>
                      <w:color w:val="auto"/>
                      <w:kern w:val="0"/>
                      <w:szCs w:val="21"/>
                    </w:rPr>
                    <w:t>0.03</w:t>
                  </w:r>
                </w:p>
              </w:tc>
              <w:tc>
                <w:tcPr>
                  <w:tcW w:w="984" w:type="dxa"/>
                  <w:vAlign w:val="center"/>
                </w:tcPr>
                <w:p w14:paraId="5C1A1052">
                  <w:pPr>
                    <w:widowControl/>
                    <w:jc w:val="center"/>
                    <w:textAlignment w:val="center"/>
                    <w:rPr>
                      <w:color w:val="auto"/>
                      <w:kern w:val="0"/>
                      <w:szCs w:val="21"/>
                    </w:rPr>
                  </w:pPr>
                  <w:r>
                    <w:rPr>
                      <w:color w:val="auto"/>
                      <w:kern w:val="0"/>
                      <w:szCs w:val="21"/>
                    </w:rPr>
                    <w:t>0.05</w:t>
                  </w:r>
                  <w:r>
                    <w:rPr>
                      <w:color w:val="auto"/>
                      <w:szCs w:val="21"/>
                    </w:rPr>
                    <w:t>L</w:t>
                  </w:r>
                </w:p>
              </w:tc>
              <w:tc>
                <w:tcPr>
                  <w:tcW w:w="984" w:type="dxa"/>
                  <w:vAlign w:val="center"/>
                </w:tcPr>
                <w:p w14:paraId="1F8782C9">
                  <w:pPr>
                    <w:widowControl/>
                    <w:jc w:val="center"/>
                    <w:textAlignment w:val="center"/>
                    <w:rPr>
                      <w:color w:val="auto"/>
                      <w:kern w:val="0"/>
                      <w:szCs w:val="21"/>
                    </w:rPr>
                  </w:pPr>
                  <w:r>
                    <w:rPr>
                      <w:color w:val="auto"/>
                      <w:kern w:val="0"/>
                      <w:szCs w:val="21"/>
                    </w:rPr>
                    <w:t>40</w:t>
                  </w:r>
                </w:p>
              </w:tc>
            </w:tr>
            <w:tr w14:paraId="55783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40561FA5">
                  <w:pPr>
                    <w:widowControl/>
                    <w:adjustRightInd w:val="0"/>
                    <w:snapToGrid w:val="0"/>
                    <w:jc w:val="center"/>
                    <w:rPr>
                      <w:color w:val="auto"/>
                      <w:kern w:val="0"/>
                      <w:szCs w:val="21"/>
                    </w:rPr>
                  </w:pPr>
                </w:p>
              </w:tc>
              <w:tc>
                <w:tcPr>
                  <w:tcW w:w="1353" w:type="dxa"/>
                  <w:vAlign w:val="center"/>
                </w:tcPr>
                <w:p w14:paraId="2060AAE0">
                  <w:pPr>
                    <w:pStyle w:val="82"/>
                    <w:spacing w:line="240" w:lineRule="auto"/>
                    <w:ind w:firstLine="0"/>
                    <w:rPr>
                      <w:color w:val="auto"/>
                      <w:szCs w:val="21"/>
                    </w:rPr>
                  </w:pPr>
                  <w:r>
                    <w:rPr>
                      <w:color w:val="auto"/>
                      <w:szCs w:val="21"/>
                    </w:rPr>
                    <w:t>最小值</w:t>
                  </w:r>
                </w:p>
              </w:tc>
              <w:tc>
                <w:tcPr>
                  <w:tcW w:w="967" w:type="dxa"/>
                  <w:vAlign w:val="center"/>
                </w:tcPr>
                <w:p w14:paraId="3A40ECFE">
                  <w:pPr>
                    <w:widowControl/>
                    <w:jc w:val="center"/>
                    <w:textAlignment w:val="center"/>
                    <w:rPr>
                      <w:color w:val="auto"/>
                      <w:kern w:val="0"/>
                      <w:szCs w:val="21"/>
                    </w:rPr>
                  </w:pPr>
                  <w:r>
                    <w:rPr>
                      <w:color w:val="auto"/>
                      <w:kern w:val="0"/>
                      <w:szCs w:val="21"/>
                    </w:rPr>
                    <w:t>7.2</w:t>
                  </w:r>
                </w:p>
              </w:tc>
              <w:tc>
                <w:tcPr>
                  <w:tcW w:w="877" w:type="dxa"/>
                  <w:vAlign w:val="center"/>
                </w:tcPr>
                <w:p w14:paraId="519FFE4B">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w:t>
                  </w:r>
                </w:p>
              </w:tc>
              <w:tc>
                <w:tcPr>
                  <w:tcW w:w="995" w:type="dxa"/>
                  <w:vAlign w:val="center"/>
                </w:tcPr>
                <w:p w14:paraId="02683F5C">
                  <w:pPr>
                    <w:widowControl/>
                    <w:jc w:val="center"/>
                    <w:textAlignment w:val="center"/>
                    <w:rPr>
                      <w:color w:val="auto"/>
                      <w:kern w:val="0"/>
                      <w:szCs w:val="21"/>
                    </w:rPr>
                  </w:pPr>
                  <w:r>
                    <w:rPr>
                      <w:color w:val="auto"/>
                      <w:kern w:val="0"/>
                      <w:szCs w:val="21"/>
                    </w:rPr>
                    <w:t>3.3</w:t>
                  </w:r>
                </w:p>
              </w:tc>
              <w:tc>
                <w:tcPr>
                  <w:tcW w:w="850" w:type="dxa"/>
                  <w:vAlign w:val="center"/>
                </w:tcPr>
                <w:p w14:paraId="652545AE">
                  <w:pPr>
                    <w:widowControl/>
                    <w:jc w:val="center"/>
                    <w:textAlignment w:val="center"/>
                    <w:rPr>
                      <w:color w:val="auto"/>
                      <w:kern w:val="0"/>
                      <w:szCs w:val="21"/>
                    </w:rPr>
                  </w:pPr>
                  <w:r>
                    <w:rPr>
                      <w:color w:val="auto"/>
                      <w:kern w:val="0"/>
                      <w:szCs w:val="21"/>
                    </w:rPr>
                    <w:t>13</w:t>
                  </w:r>
                </w:p>
              </w:tc>
              <w:tc>
                <w:tcPr>
                  <w:tcW w:w="918" w:type="dxa"/>
                  <w:vAlign w:val="center"/>
                </w:tcPr>
                <w:p w14:paraId="7921CF64">
                  <w:pPr>
                    <w:widowControl/>
                    <w:jc w:val="center"/>
                    <w:textAlignment w:val="center"/>
                    <w:rPr>
                      <w:color w:val="auto"/>
                      <w:kern w:val="0"/>
                      <w:szCs w:val="21"/>
                    </w:rPr>
                  </w:pPr>
                  <w:r>
                    <w:rPr>
                      <w:color w:val="auto"/>
                      <w:kern w:val="0"/>
                      <w:szCs w:val="21"/>
                    </w:rPr>
                    <w:t>2.6</w:t>
                  </w:r>
                </w:p>
              </w:tc>
              <w:tc>
                <w:tcPr>
                  <w:tcW w:w="850" w:type="dxa"/>
                  <w:vAlign w:val="center"/>
                </w:tcPr>
                <w:p w14:paraId="14C058ED">
                  <w:pPr>
                    <w:widowControl/>
                    <w:jc w:val="center"/>
                    <w:textAlignment w:val="center"/>
                    <w:rPr>
                      <w:color w:val="auto"/>
                      <w:kern w:val="0"/>
                      <w:szCs w:val="21"/>
                    </w:rPr>
                  </w:pPr>
                  <w:r>
                    <w:rPr>
                      <w:color w:val="auto"/>
                      <w:kern w:val="0"/>
                      <w:szCs w:val="21"/>
                    </w:rPr>
                    <w:t>0.073</w:t>
                  </w:r>
                </w:p>
              </w:tc>
              <w:tc>
                <w:tcPr>
                  <w:tcW w:w="851" w:type="dxa"/>
                  <w:vAlign w:val="center"/>
                </w:tcPr>
                <w:p w14:paraId="6314E7F2">
                  <w:pPr>
                    <w:widowControl/>
                    <w:jc w:val="center"/>
                    <w:textAlignment w:val="center"/>
                    <w:rPr>
                      <w:color w:val="auto"/>
                      <w:kern w:val="0"/>
                      <w:szCs w:val="21"/>
                    </w:rPr>
                  </w:pPr>
                  <w:r>
                    <w:rPr>
                      <w:color w:val="auto"/>
                      <w:kern w:val="0"/>
                      <w:szCs w:val="21"/>
                    </w:rPr>
                    <w:t>0.03</w:t>
                  </w:r>
                </w:p>
              </w:tc>
              <w:tc>
                <w:tcPr>
                  <w:tcW w:w="916" w:type="dxa"/>
                  <w:vAlign w:val="center"/>
                </w:tcPr>
                <w:p w14:paraId="4F7D7053">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4982613A">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35EB2421">
                  <w:pPr>
                    <w:widowControl/>
                    <w:jc w:val="center"/>
                    <w:textAlignment w:val="center"/>
                    <w:rPr>
                      <w:color w:val="auto"/>
                      <w:kern w:val="0"/>
                      <w:szCs w:val="21"/>
                    </w:rPr>
                  </w:pPr>
                  <w:r>
                    <w:rPr>
                      <w:color w:val="auto"/>
                      <w:kern w:val="0"/>
                      <w:szCs w:val="21"/>
                    </w:rPr>
                    <w:t>0.001</w:t>
                  </w:r>
                </w:p>
              </w:tc>
              <w:tc>
                <w:tcPr>
                  <w:tcW w:w="777" w:type="dxa"/>
                  <w:vAlign w:val="center"/>
                </w:tcPr>
                <w:p w14:paraId="553E650A">
                  <w:pPr>
                    <w:widowControl/>
                    <w:jc w:val="center"/>
                    <w:textAlignment w:val="center"/>
                    <w:rPr>
                      <w:color w:val="auto"/>
                      <w:kern w:val="0"/>
                      <w:szCs w:val="21"/>
                    </w:rPr>
                  </w:pPr>
                  <w:r>
                    <w:rPr>
                      <w:color w:val="auto"/>
                      <w:kern w:val="0"/>
                      <w:szCs w:val="21"/>
                    </w:rPr>
                    <w:t>0.01L</w:t>
                  </w:r>
                </w:p>
              </w:tc>
              <w:tc>
                <w:tcPr>
                  <w:tcW w:w="984" w:type="dxa"/>
                  <w:vAlign w:val="center"/>
                </w:tcPr>
                <w:p w14:paraId="3620EE74">
                  <w:pPr>
                    <w:widowControl/>
                    <w:jc w:val="center"/>
                    <w:textAlignment w:val="center"/>
                    <w:rPr>
                      <w:color w:val="auto"/>
                      <w:kern w:val="0"/>
                      <w:szCs w:val="21"/>
                    </w:rPr>
                  </w:pPr>
                  <w:r>
                    <w:rPr>
                      <w:color w:val="auto"/>
                      <w:kern w:val="0"/>
                      <w:szCs w:val="21"/>
                    </w:rPr>
                    <w:t>0.04</w:t>
                  </w:r>
                  <w:r>
                    <w:rPr>
                      <w:color w:val="auto"/>
                      <w:szCs w:val="21"/>
                    </w:rPr>
                    <w:t>L</w:t>
                  </w:r>
                </w:p>
              </w:tc>
              <w:tc>
                <w:tcPr>
                  <w:tcW w:w="984" w:type="dxa"/>
                  <w:vAlign w:val="center"/>
                </w:tcPr>
                <w:p w14:paraId="36CCE2C5">
                  <w:pPr>
                    <w:widowControl/>
                    <w:jc w:val="center"/>
                    <w:textAlignment w:val="center"/>
                    <w:rPr>
                      <w:color w:val="auto"/>
                      <w:kern w:val="0"/>
                      <w:szCs w:val="21"/>
                    </w:rPr>
                  </w:pPr>
                  <w:r>
                    <w:rPr>
                      <w:color w:val="auto"/>
                      <w:kern w:val="0"/>
                      <w:szCs w:val="21"/>
                    </w:rPr>
                    <w:t>20</w:t>
                  </w:r>
                </w:p>
              </w:tc>
            </w:tr>
            <w:tr w14:paraId="24355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55536082">
                  <w:pPr>
                    <w:widowControl/>
                    <w:adjustRightInd w:val="0"/>
                    <w:snapToGrid w:val="0"/>
                    <w:jc w:val="center"/>
                    <w:rPr>
                      <w:color w:val="auto"/>
                      <w:kern w:val="0"/>
                      <w:szCs w:val="21"/>
                    </w:rPr>
                  </w:pPr>
                </w:p>
              </w:tc>
              <w:tc>
                <w:tcPr>
                  <w:tcW w:w="1353" w:type="dxa"/>
                  <w:vAlign w:val="center"/>
                </w:tcPr>
                <w:p w14:paraId="25FA0928">
                  <w:pPr>
                    <w:widowControl/>
                    <w:adjustRightInd w:val="0"/>
                    <w:snapToGrid w:val="0"/>
                    <w:jc w:val="center"/>
                    <w:rPr>
                      <w:color w:val="auto"/>
                      <w:kern w:val="0"/>
                      <w:szCs w:val="21"/>
                    </w:rPr>
                  </w:pPr>
                  <w:r>
                    <w:rPr>
                      <w:color w:val="auto"/>
                      <w:kern w:val="0"/>
                      <w:szCs w:val="21"/>
                    </w:rPr>
                    <w:t>最大污染指数</w:t>
                  </w:r>
                </w:p>
              </w:tc>
              <w:tc>
                <w:tcPr>
                  <w:tcW w:w="967" w:type="dxa"/>
                  <w:vAlign w:val="center"/>
                </w:tcPr>
                <w:p w14:paraId="06CBDEA6">
                  <w:pPr>
                    <w:widowControl/>
                    <w:jc w:val="center"/>
                    <w:textAlignment w:val="center"/>
                    <w:rPr>
                      <w:color w:val="auto"/>
                      <w:kern w:val="0"/>
                      <w:szCs w:val="21"/>
                    </w:rPr>
                  </w:pPr>
                  <w:r>
                    <w:rPr>
                      <w:color w:val="auto"/>
                      <w:kern w:val="0"/>
                      <w:szCs w:val="21"/>
                    </w:rPr>
                    <w:t>0.150</w:t>
                  </w:r>
                </w:p>
              </w:tc>
              <w:tc>
                <w:tcPr>
                  <w:tcW w:w="877" w:type="dxa"/>
                  <w:vAlign w:val="center"/>
                </w:tcPr>
                <w:p w14:paraId="078B85D5">
                  <w:pPr>
                    <w:widowControl/>
                    <w:jc w:val="center"/>
                    <w:textAlignment w:val="center"/>
                    <w:rPr>
                      <w:color w:val="auto"/>
                      <w:kern w:val="0"/>
                      <w:szCs w:val="21"/>
                    </w:rPr>
                  </w:pPr>
                  <w:r>
                    <w:rPr>
                      <w:rFonts w:hint="eastAsia"/>
                      <w:color w:val="auto"/>
                      <w:kern w:val="0"/>
                      <w:szCs w:val="21"/>
                      <w:lang w:val="en-US" w:eastAsia="zh-CN"/>
                    </w:rPr>
                    <w:t>0.42</w:t>
                  </w:r>
                </w:p>
              </w:tc>
              <w:tc>
                <w:tcPr>
                  <w:tcW w:w="995" w:type="dxa"/>
                  <w:vAlign w:val="center"/>
                </w:tcPr>
                <w:p w14:paraId="319751DD">
                  <w:pPr>
                    <w:widowControl/>
                    <w:jc w:val="center"/>
                    <w:textAlignment w:val="center"/>
                    <w:rPr>
                      <w:color w:val="auto"/>
                      <w:kern w:val="0"/>
                      <w:szCs w:val="21"/>
                    </w:rPr>
                  </w:pPr>
                  <w:r>
                    <w:rPr>
                      <w:color w:val="auto"/>
                      <w:kern w:val="0"/>
                      <w:szCs w:val="21"/>
                    </w:rPr>
                    <w:t>0.617</w:t>
                  </w:r>
                </w:p>
              </w:tc>
              <w:tc>
                <w:tcPr>
                  <w:tcW w:w="850" w:type="dxa"/>
                  <w:vAlign w:val="center"/>
                </w:tcPr>
                <w:p w14:paraId="4D4606B4">
                  <w:pPr>
                    <w:widowControl/>
                    <w:jc w:val="center"/>
                    <w:textAlignment w:val="center"/>
                    <w:rPr>
                      <w:color w:val="auto"/>
                      <w:kern w:val="0"/>
                      <w:szCs w:val="21"/>
                    </w:rPr>
                  </w:pPr>
                  <w:r>
                    <w:rPr>
                      <w:color w:val="auto"/>
                      <w:kern w:val="0"/>
                      <w:szCs w:val="21"/>
                    </w:rPr>
                    <w:t>0.650</w:t>
                  </w:r>
                </w:p>
              </w:tc>
              <w:tc>
                <w:tcPr>
                  <w:tcW w:w="918" w:type="dxa"/>
                  <w:vAlign w:val="center"/>
                </w:tcPr>
                <w:p w14:paraId="40F8AF07">
                  <w:pPr>
                    <w:widowControl/>
                    <w:jc w:val="center"/>
                    <w:textAlignment w:val="center"/>
                    <w:rPr>
                      <w:color w:val="auto"/>
                      <w:kern w:val="0"/>
                      <w:szCs w:val="21"/>
                    </w:rPr>
                  </w:pPr>
                  <w:r>
                    <w:rPr>
                      <w:color w:val="auto"/>
                      <w:kern w:val="0"/>
                      <w:szCs w:val="21"/>
                    </w:rPr>
                    <w:t>0.650</w:t>
                  </w:r>
                </w:p>
              </w:tc>
              <w:tc>
                <w:tcPr>
                  <w:tcW w:w="850" w:type="dxa"/>
                  <w:vAlign w:val="center"/>
                </w:tcPr>
                <w:p w14:paraId="288C6818">
                  <w:pPr>
                    <w:widowControl/>
                    <w:jc w:val="center"/>
                    <w:textAlignment w:val="center"/>
                    <w:rPr>
                      <w:color w:val="auto"/>
                      <w:kern w:val="0"/>
                      <w:szCs w:val="21"/>
                    </w:rPr>
                  </w:pPr>
                  <w:r>
                    <w:rPr>
                      <w:color w:val="auto"/>
                      <w:kern w:val="0"/>
                      <w:szCs w:val="21"/>
                    </w:rPr>
                    <w:t>0.091</w:t>
                  </w:r>
                </w:p>
              </w:tc>
              <w:tc>
                <w:tcPr>
                  <w:tcW w:w="851" w:type="dxa"/>
                  <w:vAlign w:val="center"/>
                </w:tcPr>
                <w:p w14:paraId="437ACF4A">
                  <w:pPr>
                    <w:widowControl/>
                    <w:jc w:val="center"/>
                    <w:textAlignment w:val="center"/>
                    <w:rPr>
                      <w:color w:val="auto"/>
                      <w:kern w:val="0"/>
                      <w:szCs w:val="21"/>
                    </w:rPr>
                  </w:pPr>
                  <w:r>
                    <w:rPr>
                      <w:color w:val="auto"/>
                      <w:kern w:val="0"/>
                      <w:szCs w:val="21"/>
                    </w:rPr>
                    <w:t>0.200</w:t>
                  </w:r>
                </w:p>
              </w:tc>
              <w:tc>
                <w:tcPr>
                  <w:tcW w:w="916" w:type="dxa"/>
                  <w:vAlign w:val="center"/>
                </w:tcPr>
                <w:p w14:paraId="59E61941">
                  <w:pPr>
                    <w:widowControl/>
                    <w:jc w:val="center"/>
                    <w:textAlignment w:val="center"/>
                    <w:rPr>
                      <w:color w:val="auto"/>
                      <w:kern w:val="0"/>
                      <w:szCs w:val="21"/>
                    </w:rPr>
                  </w:pPr>
                  <w:r>
                    <w:rPr>
                      <w:color w:val="auto"/>
                      <w:kern w:val="0"/>
                      <w:szCs w:val="21"/>
                    </w:rPr>
                    <w:t>01</w:t>
                  </w:r>
                </w:p>
              </w:tc>
              <w:tc>
                <w:tcPr>
                  <w:tcW w:w="985" w:type="dxa"/>
                  <w:vAlign w:val="center"/>
                </w:tcPr>
                <w:p w14:paraId="03E78EBD">
                  <w:pPr>
                    <w:widowControl/>
                    <w:jc w:val="center"/>
                    <w:textAlignment w:val="center"/>
                    <w:rPr>
                      <w:color w:val="auto"/>
                      <w:kern w:val="0"/>
                      <w:szCs w:val="21"/>
                    </w:rPr>
                  </w:pPr>
                  <w:r>
                    <w:rPr>
                      <w:color w:val="auto"/>
                      <w:kern w:val="0"/>
                      <w:szCs w:val="21"/>
                    </w:rPr>
                    <w:t>0</w:t>
                  </w:r>
                </w:p>
              </w:tc>
              <w:tc>
                <w:tcPr>
                  <w:tcW w:w="924" w:type="dxa"/>
                  <w:vAlign w:val="center"/>
                </w:tcPr>
                <w:p w14:paraId="7155B6C9">
                  <w:pPr>
                    <w:widowControl/>
                    <w:jc w:val="center"/>
                    <w:textAlignment w:val="center"/>
                    <w:rPr>
                      <w:color w:val="auto"/>
                      <w:kern w:val="0"/>
                      <w:szCs w:val="21"/>
                    </w:rPr>
                  </w:pPr>
                  <w:r>
                    <w:rPr>
                      <w:color w:val="auto"/>
                      <w:kern w:val="0"/>
                      <w:szCs w:val="21"/>
                    </w:rPr>
                    <w:t>0.240</w:t>
                  </w:r>
                </w:p>
              </w:tc>
              <w:tc>
                <w:tcPr>
                  <w:tcW w:w="777" w:type="dxa"/>
                  <w:vAlign w:val="center"/>
                </w:tcPr>
                <w:p w14:paraId="590EDEED">
                  <w:pPr>
                    <w:widowControl/>
                    <w:jc w:val="center"/>
                    <w:textAlignment w:val="center"/>
                    <w:rPr>
                      <w:color w:val="auto"/>
                      <w:kern w:val="0"/>
                      <w:szCs w:val="21"/>
                    </w:rPr>
                  </w:pPr>
                  <w:r>
                    <w:rPr>
                      <w:color w:val="auto"/>
                      <w:kern w:val="0"/>
                      <w:szCs w:val="21"/>
                    </w:rPr>
                    <w:t>0.600</w:t>
                  </w:r>
                </w:p>
              </w:tc>
              <w:tc>
                <w:tcPr>
                  <w:tcW w:w="984" w:type="dxa"/>
                  <w:vAlign w:val="center"/>
                </w:tcPr>
                <w:p w14:paraId="719F18DA">
                  <w:pPr>
                    <w:widowControl/>
                    <w:jc w:val="center"/>
                    <w:textAlignment w:val="center"/>
                    <w:rPr>
                      <w:color w:val="auto"/>
                      <w:kern w:val="0"/>
                      <w:szCs w:val="21"/>
                    </w:rPr>
                  </w:pPr>
                  <w:r>
                    <w:rPr>
                      <w:color w:val="auto"/>
                      <w:kern w:val="0"/>
                      <w:szCs w:val="21"/>
                    </w:rPr>
                    <w:t>0</w:t>
                  </w:r>
                </w:p>
              </w:tc>
              <w:tc>
                <w:tcPr>
                  <w:tcW w:w="984" w:type="dxa"/>
                  <w:vAlign w:val="center"/>
                </w:tcPr>
                <w:p w14:paraId="75BA8153">
                  <w:pPr>
                    <w:widowControl/>
                    <w:jc w:val="center"/>
                    <w:textAlignment w:val="center"/>
                    <w:rPr>
                      <w:color w:val="auto"/>
                      <w:kern w:val="0"/>
                      <w:szCs w:val="21"/>
                    </w:rPr>
                  </w:pPr>
                  <w:r>
                    <w:rPr>
                      <w:color w:val="auto"/>
                      <w:kern w:val="0"/>
                      <w:szCs w:val="21"/>
                    </w:rPr>
                    <w:t>0.004</w:t>
                  </w:r>
                </w:p>
              </w:tc>
            </w:tr>
            <w:tr w14:paraId="0BA0F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637754C7">
                  <w:pPr>
                    <w:widowControl/>
                    <w:adjustRightInd w:val="0"/>
                    <w:snapToGrid w:val="0"/>
                    <w:jc w:val="center"/>
                    <w:rPr>
                      <w:color w:val="auto"/>
                      <w:kern w:val="0"/>
                      <w:szCs w:val="21"/>
                    </w:rPr>
                  </w:pPr>
                </w:p>
              </w:tc>
              <w:tc>
                <w:tcPr>
                  <w:tcW w:w="1353" w:type="dxa"/>
                  <w:vAlign w:val="center"/>
                </w:tcPr>
                <w:p w14:paraId="0BFF1B14">
                  <w:pPr>
                    <w:widowControl/>
                    <w:adjustRightInd w:val="0"/>
                    <w:snapToGrid w:val="0"/>
                    <w:jc w:val="center"/>
                    <w:rPr>
                      <w:color w:val="auto"/>
                      <w:kern w:val="0"/>
                      <w:szCs w:val="21"/>
                    </w:rPr>
                  </w:pPr>
                  <w:r>
                    <w:rPr>
                      <w:color w:val="auto"/>
                      <w:kern w:val="0"/>
                      <w:szCs w:val="21"/>
                    </w:rPr>
                    <w:t>超标率%</w:t>
                  </w:r>
                </w:p>
              </w:tc>
              <w:tc>
                <w:tcPr>
                  <w:tcW w:w="967" w:type="dxa"/>
                  <w:vAlign w:val="center"/>
                </w:tcPr>
                <w:p w14:paraId="3750BA78">
                  <w:pPr>
                    <w:widowControl/>
                    <w:adjustRightInd w:val="0"/>
                    <w:snapToGrid w:val="0"/>
                    <w:jc w:val="center"/>
                    <w:rPr>
                      <w:color w:val="auto"/>
                      <w:kern w:val="0"/>
                      <w:szCs w:val="21"/>
                    </w:rPr>
                  </w:pPr>
                  <w:r>
                    <w:rPr>
                      <w:color w:val="auto"/>
                      <w:kern w:val="0"/>
                      <w:szCs w:val="21"/>
                    </w:rPr>
                    <w:t>0</w:t>
                  </w:r>
                </w:p>
              </w:tc>
              <w:tc>
                <w:tcPr>
                  <w:tcW w:w="877" w:type="dxa"/>
                  <w:shd w:val="clear" w:color="auto" w:fill="auto"/>
                  <w:vAlign w:val="center"/>
                </w:tcPr>
                <w:p w14:paraId="01736F23">
                  <w:pPr>
                    <w:widowControl/>
                    <w:adjustRightInd w:val="0"/>
                    <w:snapToGrid w:val="0"/>
                    <w:jc w:val="center"/>
                    <w:rPr>
                      <w:rFonts w:ascii="Times New Roman" w:hAnsi="Times New Roman" w:eastAsia="宋体" w:cs="Times New Roman"/>
                      <w:color w:val="auto"/>
                      <w:kern w:val="0"/>
                      <w:sz w:val="21"/>
                      <w:szCs w:val="21"/>
                      <w:lang w:val="en-US" w:eastAsia="zh-CN" w:bidi="ar-SA"/>
                    </w:rPr>
                  </w:pPr>
                  <w:r>
                    <w:rPr>
                      <w:color w:val="auto"/>
                      <w:kern w:val="0"/>
                      <w:szCs w:val="21"/>
                    </w:rPr>
                    <w:t>0</w:t>
                  </w:r>
                </w:p>
              </w:tc>
              <w:tc>
                <w:tcPr>
                  <w:tcW w:w="995" w:type="dxa"/>
                  <w:vAlign w:val="center"/>
                </w:tcPr>
                <w:p w14:paraId="0B9C9094">
                  <w:pPr>
                    <w:widowControl/>
                    <w:adjustRightInd w:val="0"/>
                    <w:snapToGrid w:val="0"/>
                    <w:jc w:val="center"/>
                    <w:rPr>
                      <w:color w:val="auto"/>
                      <w:kern w:val="0"/>
                      <w:szCs w:val="21"/>
                    </w:rPr>
                  </w:pPr>
                  <w:r>
                    <w:rPr>
                      <w:color w:val="auto"/>
                      <w:kern w:val="0"/>
                      <w:szCs w:val="21"/>
                    </w:rPr>
                    <w:t>0</w:t>
                  </w:r>
                </w:p>
              </w:tc>
              <w:tc>
                <w:tcPr>
                  <w:tcW w:w="850" w:type="dxa"/>
                  <w:vAlign w:val="center"/>
                </w:tcPr>
                <w:p w14:paraId="63B02ADA">
                  <w:pPr>
                    <w:widowControl/>
                    <w:adjustRightInd w:val="0"/>
                    <w:snapToGrid w:val="0"/>
                    <w:jc w:val="center"/>
                    <w:rPr>
                      <w:color w:val="auto"/>
                      <w:kern w:val="0"/>
                      <w:szCs w:val="21"/>
                    </w:rPr>
                  </w:pPr>
                  <w:r>
                    <w:rPr>
                      <w:color w:val="auto"/>
                      <w:kern w:val="0"/>
                      <w:szCs w:val="21"/>
                    </w:rPr>
                    <w:t>0</w:t>
                  </w:r>
                </w:p>
              </w:tc>
              <w:tc>
                <w:tcPr>
                  <w:tcW w:w="918" w:type="dxa"/>
                  <w:vAlign w:val="center"/>
                </w:tcPr>
                <w:p w14:paraId="0A9F3F69">
                  <w:pPr>
                    <w:widowControl/>
                    <w:adjustRightInd w:val="0"/>
                    <w:snapToGrid w:val="0"/>
                    <w:jc w:val="center"/>
                    <w:rPr>
                      <w:color w:val="auto"/>
                      <w:kern w:val="0"/>
                      <w:szCs w:val="21"/>
                    </w:rPr>
                  </w:pPr>
                  <w:r>
                    <w:rPr>
                      <w:color w:val="auto"/>
                      <w:kern w:val="0"/>
                      <w:szCs w:val="21"/>
                    </w:rPr>
                    <w:t>0</w:t>
                  </w:r>
                </w:p>
              </w:tc>
              <w:tc>
                <w:tcPr>
                  <w:tcW w:w="850" w:type="dxa"/>
                  <w:vAlign w:val="center"/>
                </w:tcPr>
                <w:p w14:paraId="7587008B">
                  <w:pPr>
                    <w:widowControl/>
                    <w:adjustRightInd w:val="0"/>
                    <w:snapToGrid w:val="0"/>
                    <w:jc w:val="center"/>
                    <w:rPr>
                      <w:color w:val="auto"/>
                      <w:kern w:val="0"/>
                      <w:szCs w:val="21"/>
                    </w:rPr>
                  </w:pPr>
                  <w:r>
                    <w:rPr>
                      <w:color w:val="auto"/>
                      <w:kern w:val="0"/>
                      <w:szCs w:val="21"/>
                    </w:rPr>
                    <w:t>0</w:t>
                  </w:r>
                </w:p>
              </w:tc>
              <w:tc>
                <w:tcPr>
                  <w:tcW w:w="851" w:type="dxa"/>
                  <w:vAlign w:val="center"/>
                </w:tcPr>
                <w:p w14:paraId="0F10ADB1">
                  <w:pPr>
                    <w:widowControl/>
                    <w:adjustRightInd w:val="0"/>
                    <w:snapToGrid w:val="0"/>
                    <w:jc w:val="center"/>
                    <w:rPr>
                      <w:color w:val="auto"/>
                      <w:kern w:val="0"/>
                      <w:szCs w:val="21"/>
                    </w:rPr>
                  </w:pPr>
                  <w:r>
                    <w:rPr>
                      <w:color w:val="auto"/>
                      <w:kern w:val="0"/>
                      <w:szCs w:val="21"/>
                    </w:rPr>
                    <w:t>0</w:t>
                  </w:r>
                </w:p>
              </w:tc>
              <w:tc>
                <w:tcPr>
                  <w:tcW w:w="916" w:type="dxa"/>
                  <w:vAlign w:val="center"/>
                </w:tcPr>
                <w:p w14:paraId="37A878E2">
                  <w:pPr>
                    <w:widowControl/>
                    <w:adjustRightInd w:val="0"/>
                    <w:snapToGrid w:val="0"/>
                    <w:jc w:val="center"/>
                    <w:rPr>
                      <w:color w:val="auto"/>
                      <w:kern w:val="0"/>
                      <w:szCs w:val="21"/>
                    </w:rPr>
                  </w:pPr>
                  <w:r>
                    <w:rPr>
                      <w:color w:val="auto"/>
                      <w:kern w:val="0"/>
                      <w:szCs w:val="21"/>
                    </w:rPr>
                    <w:t>0</w:t>
                  </w:r>
                </w:p>
              </w:tc>
              <w:tc>
                <w:tcPr>
                  <w:tcW w:w="985" w:type="dxa"/>
                  <w:vAlign w:val="center"/>
                </w:tcPr>
                <w:p w14:paraId="5EDCF928">
                  <w:pPr>
                    <w:widowControl/>
                    <w:adjustRightInd w:val="0"/>
                    <w:snapToGrid w:val="0"/>
                    <w:jc w:val="center"/>
                    <w:rPr>
                      <w:color w:val="auto"/>
                      <w:kern w:val="0"/>
                      <w:szCs w:val="21"/>
                    </w:rPr>
                  </w:pPr>
                  <w:r>
                    <w:rPr>
                      <w:color w:val="auto"/>
                      <w:kern w:val="0"/>
                      <w:szCs w:val="21"/>
                    </w:rPr>
                    <w:t>0</w:t>
                  </w:r>
                </w:p>
              </w:tc>
              <w:tc>
                <w:tcPr>
                  <w:tcW w:w="924" w:type="dxa"/>
                  <w:vAlign w:val="center"/>
                </w:tcPr>
                <w:p w14:paraId="57B83330">
                  <w:pPr>
                    <w:widowControl/>
                    <w:adjustRightInd w:val="0"/>
                    <w:snapToGrid w:val="0"/>
                    <w:jc w:val="center"/>
                    <w:rPr>
                      <w:color w:val="auto"/>
                      <w:kern w:val="0"/>
                      <w:szCs w:val="21"/>
                    </w:rPr>
                  </w:pPr>
                  <w:r>
                    <w:rPr>
                      <w:color w:val="auto"/>
                      <w:kern w:val="0"/>
                      <w:szCs w:val="21"/>
                    </w:rPr>
                    <w:t>0</w:t>
                  </w:r>
                </w:p>
              </w:tc>
              <w:tc>
                <w:tcPr>
                  <w:tcW w:w="777" w:type="dxa"/>
                  <w:vAlign w:val="center"/>
                </w:tcPr>
                <w:p w14:paraId="36E44F0D">
                  <w:pPr>
                    <w:widowControl/>
                    <w:adjustRightInd w:val="0"/>
                    <w:snapToGrid w:val="0"/>
                    <w:jc w:val="center"/>
                    <w:rPr>
                      <w:color w:val="auto"/>
                      <w:kern w:val="0"/>
                      <w:szCs w:val="21"/>
                    </w:rPr>
                  </w:pPr>
                  <w:r>
                    <w:rPr>
                      <w:color w:val="auto"/>
                      <w:kern w:val="0"/>
                      <w:szCs w:val="21"/>
                    </w:rPr>
                    <w:t>0</w:t>
                  </w:r>
                </w:p>
              </w:tc>
              <w:tc>
                <w:tcPr>
                  <w:tcW w:w="984" w:type="dxa"/>
                  <w:vAlign w:val="center"/>
                </w:tcPr>
                <w:p w14:paraId="35686F30">
                  <w:pPr>
                    <w:widowControl/>
                    <w:adjustRightInd w:val="0"/>
                    <w:snapToGrid w:val="0"/>
                    <w:jc w:val="center"/>
                    <w:rPr>
                      <w:color w:val="auto"/>
                      <w:kern w:val="0"/>
                      <w:szCs w:val="21"/>
                    </w:rPr>
                  </w:pPr>
                  <w:r>
                    <w:rPr>
                      <w:color w:val="auto"/>
                      <w:kern w:val="0"/>
                      <w:szCs w:val="21"/>
                    </w:rPr>
                    <w:t>0</w:t>
                  </w:r>
                </w:p>
              </w:tc>
              <w:tc>
                <w:tcPr>
                  <w:tcW w:w="984" w:type="dxa"/>
                  <w:vAlign w:val="center"/>
                </w:tcPr>
                <w:p w14:paraId="2CA97BBF">
                  <w:pPr>
                    <w:widowControl/>
                    <w:adjustRightInd w:val="0"/>
                    <w:snapToGrid w:val="0"/>
                    <w:jc w:val="center"/>
                    <w:rPr>
                      <w:color w:val="auto"/>
                      <w:kern w:val="0"/>
                      <w:szCs w:val="21"/>
                    </w:rPr>
                  </w:pPr>
                  <w:r>
                    <w:rPr>
                      <w:color w:val="auto"/>
                      <w:kern w:val="0"/>
                      <w:szCs w:val="21"/>
                    </w:rPr>
                    <w:t>0</w:t>
                  </w:r>
                </w:p>
              </w:tc>
            </w:tr>
            <w:tr w14:paraId="017B8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6AD2E5FD">
                  <w:pPr>
                    <w:widowControl/>
                    <w:adjustRightInd w:val="0"/>
                    <w:snapToGrid w:val="0"/>
                    <w:jc w:val="center"/>
                    <w:rPr>
                      <w:color w:val="auto"/>
                      <w:kern w:val="0"/>
                      <w:szCs w:val="21"/>
                    </w:rPr>
                  </w:pPr>
                </w:p>
              </w:tc>
              <w:tc>
                <w:tcPr>
                  <w:tcW w:w="1353" w:type="dxa"/>
                  <w:vAlign w:val="center"/>
                </w:tcPr>
                <w:p w14:paraId="1927784B">
                  <w:pPr>
                    <w:widowControl/>
                    <w:adjustRightInd w:val="0"/>
                    <w:snapToGrid w:val="0"/>
                    <w:jc w:val="center"/>
                    <w:rPr>
                      <w:color w:val="auto"/>
                      <w:kern w:val="0"/>
                      <w:szCs w:val="21"/>
                    </w:rPr>
                  </w:pPr>
                  <w:r>
                    <w:rPr>
                      <w:color w:val="auto"/>
                      <w:kern w:val="0"/>
                      <w:szCs w:val="21"/>
                    </w:rPr>
                    <w:t>达标情况</w:t>
                  </w:r>
                </w:p>
              </w:tc>
              <w:tc>
                <w:tcPr>
                  <w:tcW w:w="967" w:type="dxa"/>
                  <w:vAlign w:val="center"/>
                </w:tcPr>
                <w:p w14:paraId="2B3B0CCA">
                  <w:pPr>
                    <w:widowControl/>
                    <w:adjustRightInd w:val="0"/>
                    <w:snapToGrid w:val="0"/>
                    <w:jc w:val="center"/>
                    <w:rPr>
                      <w:color w:val="auto"/>
                      <w:kern w:val="0"/>
                      <w:szCs w:val="21"/>
                    </w:rPr>
                  </w:pPr>
                  <w:r>
                    <w:rPr>
                      <w:color w:val="auto"/>
                      <w:kern w:val="0"/>
                      <w:szCs w:val="21"/>
                    </w:rPr>
                    <w:t>达标</w:t>
                  </w:r>
                </w:p>
              </w:tc>
              <w:tc>
                <w:tcPr>
                  <w:tcW w:w="877" w:type="dxa"/>
                  <w:shd w:val="clear" w:color="auto" w:fill="auto"/>
                  <w:vAlign w:val="center"/>
                </w:tcPr>
                <w:p w14:paraId="773283DB">
                  <w:pPr>
                    <w:widowControl/>
                    <w:adjustRightInd w:val="0"/>
                    <w:snapToGrid w:val="0"/>
                    <w:jc w:val="center"/>
                    <w:rPr>
                      <w:rFonts w:ascii="Times New Roman" w:hAnsi="Times New Roman" w:eastAsia="宋体" w:cs="Times New Roman"/>
                      <w:color w:val="auto"/>
                      <w:kern w:val="0"/>
                      <w:sz w:val="21"/>
                      <w:szCs w:val="21"/>
                      <w:lang w:val="en-US" w:eastAsia="zh-CN" w:bidi="ar-SA"/>
                    </w:rPr>
                  </w:pPr>
                  <w:r>
                    <w:rPr>
                      <w:color w:val="auto"/>
                      <w:kern w:val="0"/>
                      <w:szCs w:val="21"/>
                    </w:rPr>
                    <w:t>达标</w:t>
                  </w:r>
                </w:p>
              </w:tc>
              <w:tc>
                <w:tcPr>
                  <w:tcW w:w="995" w:type="dxa"/>
                  <w:vAlign w:val="center"/>
                </w:tcPr>
                <w:p w14:paraId="21A97982">
                  <w:pPr>
                    <w:widowControl/>
                    <w:adjustRightInd w:val="0"/>
                    <w:snapToGrid w:val="0"/>
                    <w:jc w:val="center"/>
                    <w:rPr>
                      <w:color w:val="auto"/>
                      <w:kern w:val="0"/>
                      <w:szCs w:val="21"/>
                    </w:rPr>
                  </w:pPr>
                  <w:r>
                    <w:rPr>
                      <w:color w:val="auto"/>
                      <w:kern w:val="0"/>
                      <w:szCs w:val="21"/>
                    </w:rPr>
                    <w:t>达标</w:t>
                  </w:r>
                </w:p>
              </w:tc>
              <w:tc>
                <w:tcPr>
                  <w:tcW w:w="850" w:type="dxa"/>
                  <w:vAlign w:val="center"/>
                </w:tcPr>
                <w:p w14:paraId="5F404E9E">
                  <w:pPr>
                    <w:widowControl/>
                    <w:adjustRightInd w:val="0"/>
                    <w:snapToGrid w:val="0"/>
                    <w:jc w:val="center"/>
                    <w:rPr>
                      <w:color w:val="auto"/>
                      <w:kern w:val="0"/>
                      <w:szCs w:val="21"/>
                    </w:rPr>
                  </w:pPr>
                  <w:r>
                    <w:rPr>
                      <w:color w:val="auto"/>
                      <w:kern w:val="0"/>
                      <w:szCs w:val="21"/>
                    </w:rPr>
                    <w:t>达标</w:t>
                  </w:r>
                </w:p>
              </w:tc>
              <w:tc>
                <w:tcPr>
                  <w:tcW w:w="918" w:type="dxa"/>
                  <w:vAlign w:val="center"/>
                </w:tcPr>
                <w:p w14:paraId="5B9A6156">
                  <w:pPr>
                    <w:widowControl/>
                    <w:adjustRightInd w:val="0"/>
                    <w:snapToGrid w:val="0"/>
                    <w:jc w:val="center"/>
                    <w:rPr>
                      <w:color w:val="auto"/>
                      <w:kern w:val="0"/>
                      <w:szCs w:val="21"/>
                    </w:rPr>
                  </w:pPr>
                  <w:r>
                    <w:rPr>
                      <w:color w:val="auto"/>
                      <w:kern w:val="0"/>
                      <w:szCs w:val="21"/>
                    </w:rPr>
                    <w:t>达标</w:t>
                  </w:r>
                </w:p>
              </w:tc>
              <w:tc>
                <w:tcPr>
                  <w:tcW w:w="850" w:type="dxa"/>
                  <w:vAlign w:val="center"/>
                </w:tcPr>
                <w:p w14:paraId="7D93904B">
                  <w:pPr>
                    <w:widowControl/>
                    <w:adjustRightInd w:val="0"/>
                    <w:snapToGrid w:val="0"/>
                    <w:jc w:val="center"/>
                    <w:rPr>
                      <w:color w:val="auto"/>
                      <w:kern w:val="0"/>
                      <w:szCs w:val="21"/>
                    </w:rPr>
                  </w:pPr>
                  <w:r>
                    <w:rPr>
                      <w:color w:val="auto"/>
                      <w:kern w:val="0"/>
                      <w:szCs w:val="21"/>
                    </w:rPr>
                    <w:t>达标</w:t>
                  </w:r>
                </w:p>
              </w:tc>
              <w:tc>
                <w:tcPr>
                  <w:tcW w:w="851" w:type="dxa"/>
                  <w:vAlign w:val="center"/>
                </w:tcPr>
                <w:p w14:paraId="4629A09C">
                  <w:pPr>
                    <w:widowControl/>
                    <w:adjustRightInd w:val="0"/>
                    <w:snapToGrid w:val="0"/>
                    <w:jc w:val="center"/>
                    <w:rPr>
                      <w:color w:val="auto"/>
                      <w:kern w:val="0"/>
                      <w:szCs w:val="21"/>
                    </w:rPr>
                  </w:pPr>
                  <w:r>
                    <w:rPr>
                      <w:color w:val="auto"/>
                      <w:kern w:val="0"/>
                      <w:szCs w:val="21"/>
                    </w:rPr>
                    <w:t>达标</w:t>
                  </w:r>
                </w:p>
              </w:tc>
              <w:tc>
                <w:tcPr>
                  <w:tcW w:w="916" w:type="dxa"/>
                  <w:vAlign w:val="center"/>
                </w:tcPr>
                <w:p w14:paraId="4DFEDA15">
                  <w:pPr>
                    <w:widowControl/>
                    <w:adjustRightInd w:val="0"/>
                    <w:snapToGrid w:val="0"/>
                    <w:jc w:val="center"/>
                    <w:rPr>
                      <w:color w:val="auto"/>
                      <w:kern w:val="0"/>
                      <w:szCs w:val="21"/>
                    </w:rPr>
                  </w:pPr>
                  <w:r>
                    <w:rPr>
                      <w:color w:val="auto"/>
                      <w:kern w:val="0"/>
                      <w:szCs w:val="21"/>
                    </w:rPr>
                    <w:t>达标</w:t>
                  </w:r>
                </w:p>
              </w:tc>
              <w:tc>
                <w:tcPr>
                  <w:tcW w:w="985" w:type="dxa"/>
                  <w:vAlign w:val="center"/>
                </w:tcPr>
                <w:p w14:paraId="7764829B">
                  <w:pPr>
                    <w:widowControl/>
                    <w:adjustRightInd w:val="0"/>
                    <w:snapToGrid w:val="0"/>
                    <w:jc w:val="center"/>
                    <w:rPr>
                      <w:color w:val="auto"/>
                      <w:kern w:val="0"/>
                      <w:szCs w:val="21"/>
                    </w:rPr>
                  </w:pPr>
                  <w:r>
                    <w:rPr>
                      <w:color w:val="auto"/>
                      <w:kern w:val="0"/>
                      <w:szCs w:val="21"/>
                    </w:rPr>
                    <w:t>达标</w:t>
                  </w:r>
                </w:p>
              </w:tc>
              <w:tc>
                <w:tcPr>
                  <w:tcW w:w="924" w:type="dxa"/>
                  <w:vAlign w:val="center"/>
                </w:tcPr>
                <w:p w14:paraId="37295BAE">
                  <w:pPr>
                    <w:widowControl/>
                    <w:adjustRightInd w:val="0"/>
                    <w:snapToGrid w:val="0"/>
                    <w:jc w:val="center"/>
                    <w:rPr>
                      <w:color w:val="auto"/>
                      <w:kern w:val="0"/>
                      <w:szCs w:val="21"/>
                    </w:rPr>
                  </w:pPr>
                  <w:r>
                    <w:rPr>
                      <w:color w:val="auto"/>
                      <w:kern w:val="0"/>
                      <w:szCs w:val="21"/>
                    </w:rPr>
                    <w:t>达标</w:t>
                  </w:r>
                </w:p>
              </w:tc>
              <w:tc>
                <w:tcPr>
                  <w:tcW w:w="777" w:type="dxa"/>
                  <w:vAlign w:val="center"/>
                </w:tcPr>
                <w:p w14:paraId="68229512">
                  <w:pPr>
                    <w:widowControl/>
                    <w:adjustRightInd w:val="0"/>
                    <w:snapToGrid w:val="0"/>
                    <w:jc w:val="center"/>
                    <w:rPr>
                      <w:color w:val="auto"/>
                      <w:kern w:val="0"/>
                      <w:szCs w:val="21"/>
                    </w:rPr>
                  </w:pPr>
                  <w:r>
                    <w:rPr>
                      <w:color w:val="auto"/>
                      <w:kern w:val="0"/>
                      <w:szCs w:val="21"/>
                    </w:rPr>
                    <w:t>达标</w:t>
                  </w:r>
                </w:p>
              </w:tc>
              <w:tc>
                <w:tcPr>
                  <w:tcW w:w="984" w:type="dxa"/>
                  <w:vAlign w:val="center"/>
                </w:tcPr>
                <w:p w14:paraId="3C5F680A">
                  <w:pPr>
                    <w:widowControl/>
                    <w:adjustRightInd w:val="0"/>
                    <w:snapToGrid w:val="0"/>
                    <w:jc w:val="center"/>
                    <w:rPr>
                      <w:color w:val="auto"/>
                      <w:kern w:val="0"/>
                      <w:szCs w:val="21"/>
                    </w:rPr>
                  </w:pPr>
                  <w:r>
                    <w:rPr>
                      <w:color w:val="auto"/>
                      <w:kern w:val="0"/>
                      <w:szCs w:val="21"/>
                    </w:rPr>
                    <w:t>达标</w:t>
                  </w:r>
                </w:p>
              </w:tc>
              <w:tc>
                <w:tcPr>
                  <w:tcW w:w="984" w:type="dxa"/>
                  <w:vAlign w:val="center"/>
                </w:tcPr>
                <w:p w14:paraId="02BCDCBF">
                  <w:pPr>
                    <w:widowControl/>
                    <w:adjustRightInd w:val="0"/>
                    <w:snapToGrid w:val="0"/>
                    <w:jc w:val="center"/>
                    <w:rPr>
                      <w:color w:val="auto"/>
                      <w:kern w:val="0"/>
                      <w:szCs w:val="21"/>
                    </w:rPr>
                  </w:pPr>
                  <w:r>
                    <w:rPr>
                      <w:color w:val="auto"/>
                      <w:kern w:val="0"/>
                      <w:szCs w:val="21"/>
                    </w:rPr>
                    <w:t>达标</w:t>
                  </w:r>
                </w:p>
              </w:tc>
            </w:tr>
            <w:tr w14:paraId="73723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restart"/>
                  <w:vAlign w:val="center"/>
                </w:tcPr>
                <w:p w14:paraId="061903AB">
                  <w:pPr>
                    <w:widowControl/>
                    <w:adjustRightInd w:val="0"/>
                    <w:snapToGrid w:val="0"/>
                    <w:jc w:val="center"/>
                    <w:rPr>
                      <w:color w:val="auto"/>
                      <w:kern w:val="0"/>
                      <w:szCs w:val="21"/>
                    </w:rPr>
                  </w:pPr>
                  <w:r>
                    <w:rPr>
                      <w:color w:val="auto"/>
                      <w:kern w:val="0"/>
                      <w:szCs w:val="21"/>
                    </w:rPr>
                    <w:t>W3</w:t>
                  </w:r>
                </w:p>
              </w:tc>
              <w:tc>
                <w:tcPr>
                  <w:tcW w:w="1353" w:type="dxa"/>
                  <w:vAlign w:val="center"/>
                </w:tcPr>
                <w:p w14:paraId="7DDD29BB">
                  <w:pPr>
                    <w:pStyle w:val="82"/>
                    <w:spacing w:line="240" w:lineRule="auto"/>
                    <w:ind w:firstLine="0"/>
                    <w:rPr>
                      <w:color w:val="auto"/>
                      <w:szCs w:val="21"/>
                    </w:rPr>
                  </w:pPr>
                  <w:r>
                    <w:rPr>
                      <w:color w:val="auto"/>
                      <w:szCs w:val="21"/>
                    </w:rPr>
                    <w:t>最大值</w:t>
                  </w:r>
                </w:p>
              </w:tc>
              <w:tc>
                <w:tcPr>
                  <w:tcW w:w="967" w:type="dxa"/>
                  <w:vAlign w:val="center"/>
                </w:tcPr>
                <w:p w14:paraId="3A0FD52E">
                  <w:pPr>
                    <w:widowControl/>
                    <w:jc w:val="center"/>
                    <w:textAlignment w:val="center"/>
                    <w:rPr>
                      <w:color w:val="auto"/>
                      <w:kern w:val="0"/>
                      <w:szCs w:val="21"/>
                    </w:rPr>
                  </w:pPr>
                  <w:r>
                    <w:rPr>
                      <w:color w:val="auto"/>
                      <w:kern w:val="0"/>
                      <w:szCs w:val="21"/>
                    </w:rPr>
                    <w:t>7.2</w:t>
                  </w:r>
                </w:p>
              </w:tc>
              <w:tc>
                <w:tcPr>
                  <w:tcW w:w="877" w:type="dxa"/>
                  <w:vAlign w:val="center"/>
                </w:tcPr>
                <w:p w14:paraId="2D3DCAD5">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0.41</w:t>
                  </w:r>
                </w:p>
              </w:tc>
              <w:tc>
                <w:tcPr>
                  <w:tcW w:w="995" w:type="dxa"/>
                  <w:vAlign w:val="center"/>
                </w:tcPr>
                <w:p w14:paraId="03C5C869">
                  <w:pPr>
                    <w:widowControl/>
                    <w:jc w:val="center"/>
                    <w:textAlignment w:val="center"/>
                    <w:rPr>
                      <w:color w:val="auto"/>
                      <w:kern w:val="0"/>
                      <w:szCs w:val="21"/>
                    </w:rPr>
                  </w:pPr>
                  <w:r>
                    <w:rPr>
                      <w:color w:val="auto"/>
                      <w:kern w:val="0"/>
                      <w:szCs w:val="21"/>
                    </w:rPr>
                    <w:t>3.5</w:t>
                  </w:r>
                </w:p>
              </w:tc>
              <w:tc>
                <w:tcPr>
                  <w:tcW w:w="850" w:type="dxa"/>
                  <w:vAlign w:val="center"/>
                </w:tcPr>
                <w:p w14:paraId="798BCBFA">
                  <w:pPr>
                    <w:widowControl/>
                    <w:jc w:val="center"/>
                    <w:textAlignment w:val="center"/>
                    <w:rPr>
                      <w:color w:val="auto"/>
                      <w:kern w:val="0"/>
                      <w:szCs w:val="21"/>
                    </w:rPr>
                  </w:pPr>
                  <w:r>
                    <w:rPr>
                      <w:color w:val="auto"/>
                      <w:kern w:val="0"/>
                      <w:szCs w:val="21"/>
                    </w:rPr>
                    <w:t>12</w:t>
                  </w:r>
                </w:p>
              </w:tc>
              <w:tc>
                <w:tcPr>
                  <w:tcW w:w="918" w:type="dxa"/>
                  <w:vAlign w:val="center"/>
                </w:tcPr>
                <w:p w14:paraId="6296FB41">
                  <w:pPr>
                    <w:widowControl/>
                    <w:jc w:val="center"/>
                    <w:textAlignment w:val="center"/>
                    <w:rPr>
                      <w:color w:val="auto"/>
                      <w:kern w:val="0"/>
                      <w:szCs w:val="21"/>
                    </w:rPr>
                  </w:pPr>
                  <w:r>
                    <w:rPr>
                      <w:color w:val="auto"/>
                      <w:kern w:val="0"/>
                      <w:szCs w:val="21"/>
                    </w:rPr>
                    <w:t>2.4</w:t>
                  </w:r>
                </w:p>
              </w:tc>
              <w:tc>
                <w:tcPr>
                  <w:tcW w:w="850" w:type="dxa"/>
                  <w:vAlign w:val="center"/>
                </w:tcPr>
                <w:p w14:paraId="222F7347">
                  <w:pPr>
                    <w:widowControl/>
                    <w:jc w:val="center"/>
                    <w:textAlignment w:val="center"/>
                    <w:rPr>
                      <w:color w:val="auto"/>
                      <w:kern w:val="0"/>
                      <w:szCs w:val="21"/>
                    </w:rPr>
                  </w:pPr>
                  <w:r>
                    <w:rPr>
                      <w:color w:val="auto"/>
                      <w:kern w:val="0"/>
                      <w:szCs w:val="21"/>
                    </w:rPr>
                    <w:t>0.16</w:t>
                  </w:r>
                </w:p>
              </w:tc>
              <w:tc>
                <w:tcPr>
                  <w:tcW w:w="851" w:type="dxa"/>
                  <w:vAlign w:val="center"/>
                </w:tcPr>
                <w:p w14:paraId="0066DB1C">
                  <w:pPr>
                    <w:widowControl/>
                    <w:jc w:val="center"/>
                    <w:textAlignment w:val="center"/>
                    <w:rPr>
                      <w:color w:val="auto"/>
                      <w:kern w:val="0"/>
                      <w:szCs w:val="21"/>
                    </w:rPr>
                  </w:pPr>
                  <w:r>
                    <w:rPr>
                      <w:color w:val="auto"/>
                      <w:kern w:val="0"/>
                      <w:szCs w:val="21"/>
                    </w:rPr>
                    <w:t>0.05</w:t>
                  </w:r>
                </w:p>
              </w:tc>
              <w:tc>
                <w:tcPr>
                  <w:tcW w:w="916" w:type="dxa"/>
                  <w:vAlign w:val="center"/>
                </w:tcPr>
                <w:p w14:paraId="70E896B9">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49ED4B97">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15774C73">
                  <w:pPr>
                    <w:widowControl/>
                    <w:jc w:val="center"/>
                    <w:textAlignment w:val="center"/>
                    <w:rPr>
                      <w:color w:val="auto"/>
                      <w:kern w:val="0"/>
                      <w:szCs w:val="21"/>
                    </w:rPr>
                  </w:pPr>
                  <w:r>
                    <w:rPr>
                      <w:color w:val="auto"/>
                      <w:kern w:val="0"/>
                      <w:szCs w:val="21"/>
                    </w:rPr>
                    <w:t>0.0011</w:t>
                  </w:r>
                </w:p>
              </w:tc>
              <w:tc>
                <w:tcPr>
                  <w:tcW w:w="777" w:type="dxa"/>
                  <w:vAlign w:val="center"/>
                </w:tcPr>
                <w:p w14:paraId="041E9BF6">
                  <w:pPr>
                    <w:widowControl/>
                    <w:jc w:val="center"/>
                    <w:textAlignment w:val="center"/>
                    <w:rPr>
                      <w:color w:val="auto"/>
                      <w:kern w:val="0"/>
                      <w:szCs w:val="21"/>
                    </w:rPr>
                  </w:pPr>
                  <w:r>
                    <w:rPr>
                      <w:color w:val="auto"/>
                      <w:kern w:val="0"/>
                      <w:szCs w:val="21"/>
                    </w:rPr>
                    <w:t>0.03</w:t>
                  </w:r>
                </w:p>
              </w:tc>
              <w:tc>
                <w:tcPr>
                  <w:tcW w:w="984" w:type="dxa"/>
                  <w:vAlign w:val="center"/>
                </w:tcPr>
                <w:p w14:paraId="7940FFC8">
                  <w:pPr>
                    <w:widowControl/>
                    <w:jc w:val="center"/>
                    <w:textAlignment w:val="center"/>
                    <w:rPr>
                      <w:color w:val="auto"/>
                      <w:kern w:val="0"/>
                      <w:szCs w:val="21"/>
                    </w:rPr>
                  </w:pPr>
                  <w:r>
                    <w:rPr>
                      <w:color w:val="auto"/>
                      <w:kern w:val="0"/>
                      <w:szCs w:val="21"/>
                    </w:rPr>
                    <w:t>0.05</w:t>
                  </w:r>
                  <w:r>
                    <w:rPr>
                      <w:color w:val="auto"/>
                      <w:szCs w:val="21"/>
                    </w:rPr>
                    <w:t>L</w:t>
                  </w:r>
                </w:p>
              </w:tc>
              <w:tc>
                <w:tcPr>
                  <w:tcW w:w="984" w:type="dxa"/>
                  <w:vAlign w:val="center"/>
                </w:tcPr>
                <w:p w14:paraId="168417FD">
                  <w:pPr>
                    <w:widowControl/>
                    <w:jc w:val="center"/>
                    <w:textAlignment w:val="center"/>
                    <w:rPr>
                      <w:color w:val="auto"/>
                      <w:kern w:val="0"/>
                      <w:szCs w:val="21"/>
                    </w:rPr>
                  </w:pPr>
                  <w:r>
                    <w:rPr>
                      <w:color w:val="auto"/>
                      <w:kern w:val="0"/>
                      <w:szCs w:val="21"/>
                    </w:rPr>
                    <w:t>50</w:t>
                  </w:r>
                </w:p>
              </w:tc>
            </w:tr>
            <w:tr w14:paraId="2DC03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5347BD73">
                  <w:pPr>
                    <w:widowControl/>
                    <w:adjustRightInd w:val="0"/>
                    <w:snapToGrid w:val="0"/>
                    <w:jc w:val="center"/>
                    <w:rPr>
                      <w:color w:val="auto"/>
                      <w:kern w:val="0"/>
                      <w:szCs w:val="21"/>
                    </w:rPr>
                  </w:pPr>
                </w:p>
              </w:tc>
              <w:tc>
                <w:tcPr>
                  <w:tcW w:w="1353" w:type="dxa"/>
                  <w:vAlign w:val="center"/>
                </w:tcPr>
                <w:p w14:paraId="198A33E9">
                  <w:pPr>
                    <w:pStyle w:val="82"/>
                    <w:spacing w:line="240" w:lineRule="auto"/>
                    <w:ind w:firstLine="0"/>
                    <w:rPr>
                      <w:color w:val="auto"/>
                      <w:szCs w:val="21"/>
                    </w:rPr>
                  </w:pPr>
                  <w:r>
                    <w:rPr>
                      <w:color w:val="auto"/>
                      <w:szCs w:val="21"/>
                    </w:rPr>
                    <w:t>最小值</w:t>
                  </w:r>
                </w:p>
              </w:tc>
              <w:tc>
                <w:tcPr>
                  <w:tcW w:w="967" w:type="dxa"/>
                  <w:vAlign w:val="center"/>
                </w:tcPr>
                <w:p w14:paraId="0231A91E">
                  <w:pPr>
                    <w:widowControl/>
                    <w:jc w:val="center"/>
                    <w:textAlignment w:val="center"/>
                    <w:rPr>
                      <w:color w:val="auto"/>
                      <w:kern w:val="0"/>
                      <w:szCs w:val="21"/>
                    </w:rPr>
                  </w:pPr>
                  <w:r>
                    <w:rPr>
                      <w:color w:val="auto"/>
                      <w:kern w:val="0"/>
                      <w:szCs w:val="21"/>
                    </w:rPr>
                    <w:t>7.1</w:t>
                  </w:r>
                </w:p>
              </w:tc>
              <w:tc>
                <w:tcPr>
                  <w:tcW w:w="877" w:type="dxa"/>
                  <w:vAlign w:val="center"/>
                </w:tcPr>
                <w:p w14:paraId="414FE3E8">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w:t>
                  </w:r>
                </w:p>
              </w:tc>
              <w:tc>
                <w:tcPr>
                  <w:tcW w:w="995" w:type="dxa"/>
                  <w:vAlign w:val="center"/>
                </w:tcPr>
                <w:p w14:paraId="3938D209">
                  <w:pPr>
                    <w:widowControl/>
                    <w:jc w:val="center"/>
                    <w:textAlignment w:val="center"/>
                    <w:rPr>
                      <w:color w:val="auto"/>
                      <w:kern w:val="0"/>
                      <w:szCs w:val="21"/>
                    </w:rPr>
                  </w:pPr>
                  <w:r>
                    <w:rPr>
                      <w:color w:val="auto"/>
                      <w:kern w:val="0"/>
                      <w:szCs w:val="21"/>
                    </w:rPr>
                    <w:t>3.4</w:t>
                  </w:r>
                </w:p>
              </w:tc>
              <w:tc>
                <w:tcPr>
                  <w:tcW w:w="850" w:type="dxa"/>
                  <w:vAlign w:val="center"/>
                </w:tcPr>
                <w:p w14:paraId="045C0E5B">
                  <w:pPr>
                    <w:widowControl/>
                    <w:jc w:val="center"/>
                    <w:textAlignment w:val="center"/>
                    <w:rPr>
                      <w:color w:val="auto"/>
                      <w:kern w:val="0"/>
                      <w:szCs w:val="21"/>
                    </w:rPr>
                  </w:pPr>
                  <w:r>
                    <w:rPr>
                      <w:color w:val="auto"/>
                      <w:kern w:val="0"/>
                      <w:szCs w:val="21"/>
                    </w:rPr>
                    <w:t>11</w:t>
                  </w:r>
                </w:p>
              </w:tc>
              <w:tc>
                <w:tcPr>
                  <w:tcW w:w="918" w:type="dxa"/>
                  <w:vAlign w:val="center"/>
                </w:tcPr>
                <w:p w14:paraId="5CDD80C1">
                  <w:pPr>
                    <w:widowControl/>
                    <w:jc w:val="center"/>
                    <w:textAlignment w:val="center"/>
                    <w:rPr>
                      <w:color w:val="auto"/>
                      <w:kern w:val="0"/>
                      <w:szCs w:val="21"/>
                    </w:rPr>
                  </w:pPr>
                  <w:r>
                    <w:rPr>
                      <w:color w:val="auto"/>
                      <w:kern w:val="0"/>
                      <w:szCs w:val="21"/>
                    </w:rPr>
                    <w:t>2.2</w:t>
                  </w:r>
                </w:p>
              </w:tc>
              <w:tc>
                <w:tcPr>
                  <w:tcW w:w="850" w:type="dxa"/>
                  <w:vAlign w:val="center"/>
                </w:tcPr>
                <w:p w14:paraId="2496EF76">
                  <w:pPr>
                    <w:widowControl/>
                    <w:jc w:val="center"/>
                    <w:textAlignment w:val="center"/>
                    <w:rPr>
                      <w:color w:val="auto"/>
                      <w:kern w:val="0"/>
                      <w:szCs w:val="21"/>
                    </w:rPr>
                  </w:pPr>
                  <w:r>
                    <w:rPr>
                      <w:color w:val="auto"/>
                      <w:kern w:val="0"/>
                      <w:szCs w:val="21"/>
                    </w:rPr>
                    <w:t>0.154</w:t>
                  </w:r>
                </w:p>
              </w:tc>
              <w:tc>
                <w:tcPr>
                  <w:tcW w:w="851" w:type="dxa"/>
                  <w:vAlign w:val="center"/>
                </w:tcPr>
                <w:p w14:paraId="338DC1D3">
                  <w:pPr>
                    <w:widowControl/>
                    <w:jc w:val="center"/>
                    <w:textAlignment w:val="center"/>
                    <w:rPr>
                      <w:color w:val="auto"/>
                      <w:kern w:val="0"/>
                      <w:szCs w:val="21"/>
                    </w:rPr>
                  </w:pPr>
                  <w:r>
                    <w:rPr>
                      <w:color w:val="auto"/>
                      <w:kern w:val="0"/>
                      <w:szCs w:val="21"/>
                    </w:rPr>
                    <w:t>0.03</w:t>
                  </w:r>
                </w:p>
              </w:tc>
              <w:tc>
                <w:tcPr>
                  <w:tcW w:w="916" w:type="dxa"/>
                  <w:vAlign w:val="center"/>
                </w:tcPr>
                <w:p w14:paraId="142603C6">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09C73645">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31C70780">
                  <w:pPr>
                    <w:widowControl/>
                    <w:jc w:val="center"/>
                    <w:textAlignment w:val="center"/>
                    <w:rPr>
                      <w:color w:val="auto"/>
                      <w:kern w:val="0"/>
                      <w:szCs w:val="21"/>
                    </w:rPr>
                  </w:pPr>
                  <w:r>
                    <w:rPr>
                      <w:color w:val="auto"/>
                      <w:kern w:val="0"/>
                      <w:szCs w:val="21"/>
                    </w:rPr>
                    <w:t>0.0009</w:t>
                  </w:r>
                </w:p>
              </w:tc>
              <w:tc>
                <w:tcPr>
                  <w:tcW w:w="777" w:type="dxa"/>
                  <w:vAlign w:val="center"/>
                </w:tcPr>
                <w:p w14:paraId="488970A3">
                  <w:pPr>
                    <w:widowControl/>
                    <w:jc w:val="center"/>
                    <w:textAlignment w:val="center"/>
                    <w:rPr>
                      <w:color w:val="auto"/>
                      <w:kern w:val="0"/>
                      <w:szCs w:val="21"/>
                    </w:rPr>
                  </w:pPr>
                  <w:r>
                    <w:rPr>
                      <w:color w:val="auto"/>
                      <w:kern w:val="0"/>
                      <w:szCs w:val="21"/>
                    </w:rPr>
                    <w:t>0.02</w:t>
                  </w:r>
                </w:p>
              </w:tc>
              <w:tc>
                <w:tcPr>
                  <w:tcW w:w="984" w:type="dxa"/>
                  <w:vAlign w:val="center"/>
                </w:tcPr>
                <w:p w14:paraId="37411663">
                  <w:pPr>
                    <w:widowControl/>
                    <w:jc w:val="center"/>
                    <w:textAlignment w:val="center"/>
                    <w:rPr>
                      <w:color w:val="auto"/>
                      <w:kern w:val="0"/>
                      <w:szCs w:val="21"/>
                    </w:rPr>
                  </w:pPr>
                  <w:r>
                    <w:rPr>
                      <w:color w:val="auto"/>
                      <w:kern w:val="0"/>
                      <w:szCs w:val="21"/>
                    </w:rPr>
                    <w:t>0.04</w:t>
                  </w:r>
                  <w:r>
                    <w:rPr>
                      <w:color w:val="auto"/>
                      <w:szCs w:val="21"/>
                    </w:rPr>
                    <w:t>L</w:t>
                  </w:r>
                </w:p>
              </w:tc>
              <w:tc>
                <w:tcPr>
                  <w:tcW w:w="984" w:type="dxa"/>
                  <w:vAlign w:val="center"/>
                </w:tcPr>
                <w:p w14:paraId="4F6F1F13">
                  <w:pPr>
                    <w:widowControl/>
                    <w:jc w:val="center"/>
                    <w:textAlignment w:val="center"/>
                    <w:rPr>
                      <w:color w:val="auto"/>
                      <w:kern w:val="0"/>
                      <w:szCs w:val="21"/>
                    </w:rPr>
                  </w:pPr>
                  <w:r>
                    <w:rPr>
                      <w:color w:val="auto"/>
                      <w:kern w:val="0"/>
                      <w:szCs w:val="21"/>
                    </w:rPr>
                    <w:t>40</w:t>
                  </w:r>
                </w:p>
              </w:tc>
            </w:tr>
            <w:tr w14:paraId="54229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223779DF">
                  <w:pPr>
                    <w:widowControl/>
                    <w:adjustRightInd w:val="0"/>
                    <w:snapToGrid w:val="0"/>
                    <w:jc w:val="center"/>
                    <w:rPr>
                      <w:color w:val="auto"/>
                      <w:kern w:val="0"/>
                      <w:szCs w:val="21"/>
                    </w:rPr>
                  </w:pPr>
                </w:p>
              </w:tc>
              <w:tc>
                <w:tcPr>
                  <w:tcW w:w="1353" w:type="dxa"/>
                  <w:vAlign w:val="center"/>
                </w:tcPr>
                <w:p w14:paraId="3E17C6D6">
                  <w:pPr>
                    <w:widowControl/>
                    <w:adjustRightInd w:val="0"/>
                    <w:snapToGrid w:val="0"/>
                    <w:jc w:val="center"/>
                    <w:rPr>
                      <w:color w:val="auto"/>
                      <w:kern w:val="0"/>
                      <w:szCs w:val="21"/>
                    </w:rPr>
                  </w:pPr>
                  <w:r>
                    <w:rPr>
                      <w:color w:val="auto"/>
                      <w:kern w:val="0"/>
                      <w:szCs w:val="21"/>
                    </w:rPr>
                    <w:t>最大污染指数</w:t>
                  </w:r>
                </w:p>
              </w:tc>
              <w:tc>
                <w:tcPr>
                  <w:tcW w:w="967" w:type="dxa"/>
                  <w:vAlign w:val="center"/>
                </w:tcPr>
                <w:p w14:paraId="66F14E8A">
                  <w:pPr>
                    <w:widowControl/>
                    <w:jc w:val="center"/>
                    <w:textAlignment w:val="center"/>
                    <w:rPr>
                      <w:color w:val="auto"/>
                      <w:kern w:val="0"/>
                      <w:szCs w:val="21"/>
                    </w:rPr>
                  </w:pPr>
                  <w:r>
                    <w:rPr>
                      <w:color w:val="auto"/>
                      <w:kern w:val="0"/>
                      <w:szCs w:val="21"/>
                    </w:rPr>
                    <w:t>0.100</w:t>
                  </w:r>
                </w:p>
              </w:tc>
              <w:tc>
                <w:tcPr>
                  <w:tcW w:w="877" w:type="dxa"/>
                  <w:vAlign w:val="center"/>
                </w:tcPr>
                <w:p w14:paraId="056B7B37">
                  <w:pPr>
                    <w:widowControl/>
                    <w:jc w:val="center"/>
                    <w:textAlignment w:val="center"/>
                    <w:rPr>
                      <w:color w:val="auto"/>
                      <w:kern w:val="0"/>
                      <w:szCs w:val="21"/>
                    </w:rPr>
                  </w:pPr>
                  <w:r>
                    <w:rPr>
                      <w:rFonts w:hint="eastAsia"/>
                      <w:color w:val="auto"/>
                      <w:kern w:val="0"/>
                      <w:szCs w:val="21"/>
                      <w:lang w:val="en-US" w:eastAsia="zh-CN"/>
                    </w:rPr>
                    <w:t>0.41</w:t>
                  </w:r>
                </w:p>
              </w:tc>
              <w:tc>
                <w:tcPr>
                  <w:tcW w:w="995" w:type="dxa"/>
                  <w:vAlign w:val="center"/>
                </w:tcPr>
                <w:p w14:paraId="43FD9BC5">
                  <w:pPr>
                    <w:widowControl/>
                    <w:jc w:val="center"/>
                    <w:textAlignment w:val="center"/>
                    <w:rPr>
                      <w:color w:val="auto"/>
                      <w:kern w:val="0"/>
                      <w:szCs w:val="21"/>
                    </w:rPr>
                  </w:pPr>
                  <w:r>
                    <w:rPr>
                      <w:color w:val="auto"/>
                      <w:kern w:val="0"/>
                      <w:szCs w:val="21"/>
                    </w:rPr>
                    <w:t>0.583</w:t>
                  </w:r>
                </w:p>
              </w:tc>
              <w:tc>
                <w:tcPr>
                  <w:tcW w:w="850" w:type="dxa"/>
                  <w:vAlign w:val="center"/>
                </w:tcPr>
                <w:p w14:paraId="657BDC9C">
                  <w:pPr>
                    <w:widowControl/>
                    <w:jc w:val="center"/>
                    <w:textAlignment w:val="center"/>
                    <w:rPr>
                      <w:color w:val="auto"/>
                      <w:kern w:val="0"/>
                      <w:szCs w:val="21"/>
                    </w:rPr>
                  </w:pPr>
                  <w:r>
                    <w:rPr>
                      <w:color w:val="auto"/>
                      <w:kern w:val="0"/>
                      <w:szCs w:val="21"/>
                    </w:rPr>
                    <w:t>0.600</w:t>
                  </w:r>
                </w:p>
              </w:tc>
              <w:tc>
                <w:tcPr>
                  <w:tcW w:w="918" w:type="dxa"/>
                  <w:vAlign w:val="center"/>
                </w:tcPr>
                <w:p w14:paraId="37262D5A">
                  <w:pPr>
                    <w:widowControl/>
                    <w:jc w:val="center"/>
                    <w:textAlignment w:val="center"/>
                    <w:rPr>
                      <w:color w:val="auto"/>
                      <w:kern w:val="0"/>
                      <w:szCs w:val="21"/>
                    </w:rPr>
                  </w:pPr>
                  <w:r>
                    <w:rPr>
                      <w:color w:val="auto"/>
                      <w:kern w:val="0"/>
                      <w:szCs w:val="21"/>
                    </w:rPr>
                    <w:t>0.600</w:t>
                  </w:r>
                </w:p>
              </w:tc>
              <w:tc>
                <w:tcPr>
                  <w:tcW w:w="850" w:type="dxa"/>
                  <w:vAlign w:val="center"/>
                </w:tcPr>
                <w:p w14:paraId="0A62F449">
                  <w:pPr>
                    <w:widowControl/>
                    <w:jc w:val="center"/>
                    <w:textAlignment w:val="center"/>
                    <w:rPr>
                      <w:color w:val="auto"/>
                      <w:kern w:val="0"/>
                      <w:szCs w:val="21"/>
                    </w:rPr>
                  </w:pPr>
                  <w:r>
                    <w:rPr>
                      <w:color w:val="auto"/>
                      <w:kern w:val="0"/>
                      <w:szCs w:val="21"/>
                    </w:rPr>
                    <w:t>0.160</w:t>
                  </w:r>
                </w:p>
              </w:tc>
              <w:tc>
                <w:tcPr>
                  <w:tcW w:w="851" w:type="dxa"/>
                  <w:vAlign w:val="center"/>
                </w:tcPr>
                <w:p w14:paraId="1DF94B5A">
                  <w:pPr>
                    <w:widowControl/>
                    <w:jc w:val="center"/>
                    <w:textAlignment w:val="center"/>
                    <w:rPr>
                      <w:color w:val="auto"/>
                      <w:kern w:val="0"/>
                      <w:szCs w:val="21"/>
                    </w:rPr>
                  </w:pPr>
                  <w:r>
                    <w:rPr>
                      <w:color w:val="auto"/>
                      <w:kern w:val="0"/>
                      <w:szCs w:val="21"/>
                    </w:rPr>
                    <w:t>0.250</w:t>
                  </w:r>
                </w:p>
              </w:tc>
              <w:tc>
                <w:tcPr>
                  <w:tcW w:w="916" w:type="dxa"/>
                  <w:vAlign w:val="center"/>
                </w:tcPr>
                <w:p w14:paraId="3F6B50CA">
                  <w:pPr>
                    <w:widowControl/>
                    <w:jc w:val="center"/>
                    <w:textAlignment w:val="center"/>
                    <w:rPr>
                      <w:color w:val="auto"/>
                      <w:kern w:val="0"/>
                      <w:szCs w:val="21"/>
                    </w:rPr>
                  </w:pPr>
                  <w:r>
                    <w:rPr>
                      <w:color w:val="auto"/>
                      <w:kern w:val="0"/>
                      <w:szCs w:val="21"/>
                    </w:rPr>
                    <w:t>0</w:t>
                  </w:r>
                </w:p>
              </w:tc>
              <w:tc>
                <w:tcPr>
                  <w:tcW w:w="985" w:type="dxa"/>
                  <w:vAlign w:val="center"/>
                </w:tcPr>
                <w:p w14:paraId="71C1F3CA">
                  <w:pPr>
                    <w:widowControl/>
                    <w:jc w:val="center"/>
                    <w:textAlignment w:val="center"/>
                    <w:rPr>
                      <w:color w:val="auto"/>
                      <w:kern w:val="0"/>
                      <w:szCs w:val="21"/>
                    </w:rPr>
                  </w:pPr>
                  <w:r>
                    <w:rPr>
                      <w:color w:val="auto"/>
                      <w:kern w:val="0"/>
                      <w:szCs w:val="21"/>
                    </w:rPr>
                    <w:t>0</w:t>
                  </w:r>
                </w:p>
              </w:tc>
              <w:tc>
                <w:tcPr>
                  <w:tcW w:w="924" w:type="dxa"/>
                  <w:vAlign w:val="center"/>
                </w:tcPr>
                <w:p w14:paraId="29F2F110">
                  <w:pPr>
                    <w:widowControl/>
                    <w:jc w:val="center"/>
                    <w:textAlignment w:val="center"/>
                    <w:rPr>
                      <w:color w:val="auto"/>
                      <w:kern w:val="0"/>
                      <w:szCs w:val="21"/>
                    </w:rPr>
                  </w:pPr>
                  <w:r>
                    <w:rPr>
                      <w:color w:val="auto"/>
                      <w:kern w:val="0"/>
                      <w:szCs w:val="21"/>
                    </w:rPr>
                    <w:t>0.220</w:t>
                  </w:r>
                </w:p>
              </w:tc>
              <w:tc>
                <w:tcPr>
                  <w:tcW w:w="777" w:type="dxa"/>
                  <w:vAlign w:val="center"/>
                </w:tcPr>
                <w:p w14:paraId="1FDA6B26">
                  <w:pPr>
                    <w:widowControl/>
                    <w:jc w:val="center"/>
                    <w:textAlignment w:val="center"/>
                    <w:rPr>
                      <w:color w:val="auto"/>
                      <w:kern w:val="0"/>
                      <w:szCs w:val="21"/>
                    </w:rPr>
                  </w:pPr>
                  <w:r>
                    <w:rPr>
                      <w:color w:val="auto"/>
                      <w:kern w:val="0"/>
                      <w:szCs w:val="21"/>
                    </w:rPr>
                    <w:t>0.600</w:t>
                  </w:r>
                </w:p>
              </w:tc>
              <w:tc>
                <w:tcPr>
                  <w:tcW w:w="984" w:type="dxa"/>
                  <w:vAlign w:val="center"/>
                </w:tcPr>
                <w:p w14:paraId="2B2E1CC7">
                  <w:pPr>
                    <w:widowControl/>
                    <w:jc w:val="center"/>
                    <w:textAlignment w:val="center"/>
                    <w:rPr>
                      <w:color w:val="auto"/>
                      <w:kern w:val="0"/>
                      <w:szCs w:val="21"/>
                    </w:rPr>
                  </w:pPr>
                  <w:r>
                    <w:rPr>
                      <w:color w:val="auto"/>
                      <w:kern w:val="0"/>
                      <w:szCs w:val="21"/>
                    </w:rPr>
                    <w:t>0</w:t>
                  </w:r>
                </w:p>
              </w:tc>
              <w:tc>
                <w:tcPr>
                  <w:tcW w:w="984" w:type="dxa"/>
                  <w:vAlign w:val="center"/>
                </w:tcPr>
                <w:p w14:paraId="09987554">
                  <w:pPr>
                    <w:widowControl/>
                    <w:jc w:val="center"/>
                    <w:textAlignment w:val="center"/>
                    <w:rPr>
                      <w:color w:val="auto"/>
                      <w:kern w:val="0"/>
                      <w:szCs w:val="21"/>
                    </w:rPr>
                  </w:pPr>
                  <w:r>
                    <w:rPr>
                      <w:color w:val="auto"/>
                      <w:kern w:val="0"/>
                      <w:szCs w:val="21"/>
                    </w:rPr>
                    <w:t>0.005</w:t>
                  </w:r>
                </w:p>
              </w:tc>
            </w:tr>
            <w:tr w14:paraId="0847C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1A0698D0">
                  <w:pPr>
                    <w:widowControl/>
                    <w:adjustRightInd w:val="0"/>
                    <w:snapToGrid w:val="0"/>
                    <w:jc w:val="center"/>
                    <w:rPr>
                      <w:color w:val="auto"/>
                      <w:kern w:val="0"/>
                      <w:szCs w:val="21"/>
                    </w:rPr>
                  </w:pPr>
                </w:p>
              </w:tc>
              <w:tc>
                <w:tcPr>
                  <w:tcW w:w="1353" w:type="dxa"/>
                  <w:vAlign w:val="center"/>
                </w:tcPr>
                <w:p w14:paraId="3B3A89B8">
                  <w:pPr>
                    <w:widowControl/>
                    <w:adjustRightInd w:val="0"/>
                    <w:snapToGrid w:val="0"/>
                    <w:jc w:val="center"/>
                    <w:rPr>
                      <w:color w:val="auto"/>
                      <w:kern w:val="0"/>
                      <w:szCs w:val="21"/>
                    </w:rPr>
                  </w:pPr>
                  <w:r>
                    <w:rPr>
                      <w:color w:val="auto"/>
                      <w:kern w:val="0"/>
                      <w:szCs w:val="21"/>
                    </w:rPr>
                    <w:t>超标率%</w:t>
                  </w:r>
                </w:p>
              </w:tc>
              <w:tc>
                <w:tcPr>
                  <w:tcW w:w="967" w:type="dxa"/>
                  <w:vAlign w:val="center"/>
                </w:tcPr>
                <w:p w14:paraId="7C5AE010">
                  <w:pPr>
                    <w:widowControl/>
                    <w:adjustRightInd w:val="0"/>
                    <w:snapToGrid w:val="0"/>
                    <w:jc w:val="center"/>
                    <w:rPr>
                      <w:color w:val="auto"/>
                      <w:kern w:val="0"/>
                      <w:szCs w:val="21"/>
                    </w:rPr>
                  </w:pPr>
                  <w:r>
                    <w:rPr>
                      <w:color w:val="auto"/>
                      <w:kern w:val="0"/>
                      <w:szCs w:val="21"/>
                    </w:rPr>
                    <w:t>0</w:t>
                  </w:r>
                </w:p>
              </w:tc>
              <w:tc>
                <w:tcPr>
                  <w:tcW w:w="877" w:type="dxa"/>
                  <w:shd w:val="clear" w:color="auto" w:fill="auto"/>
                  <w:vAlign w:val="center"/>
                </w:tcPr>
                <w:p w14:paraId="6F10B79C">
                  <w:pPr>
                    <w:widowControl/>
                    <w:adjustRightInd w:val="0"/>
                    <w:snapToGrid w:val="0"/>
                    <w:jc w:val="center"/>
                    <w:rPr>
                      <w:rFonts w:ascii="Times New Roman" w:hAnsi="Times New Roman" w:eastAsia="宋体" w:cs="Times New Roman"/>
                      <w:color w:val="auto"/>
                      <w:kern w:val="0"/>
                      <w:sz w:val="21"/>
                      <w:szCs w:val="21"/>
                      <w:lang w:val="en-US" w:eastAsia="zh-CN" w:bidi="ar-SA"/>
                    </w:rPr>
                  </w:pPr>
                  <w:r>
                    <w:rPr>
                      <w:color w:val="auto"/>
                      <w:kern w:val="0"/>
                      <w:szCs w:val="21"/>
                    </w:rPr>
                    <w:t>0</w:t>
                  </w:r>
                </w:p>
              </w:tc>
              <w:tc>
                <w:tcPr>
                  <w:tcW w:w="995" w:type="dxa"/>
                  <w:vAlign w:val="center"/>
                </w:tcPr>
                <w:p w14:paraId="5D4158D4">
                  <w:pPr>
                    <w:widowControl/>
                    <w:adjustRightInd w:val="0"/>
                    <w:snapToGrid w:val="0"/>
                    <w:jc w:val="center"/>
                    <w:rPr>
                      <w:color w:val="auto"/>
                      <w:kern w:val="0"/>
                      <w:szCs w:val="21"/>
                    </w:rPr>
                  </w:pPr>
                  <w:r>
                    <w:rPr>
                      <w:color w:val="auto"/>
                      <w:kern w:val="0"/>
                      <w:szCs w:val="21"/>
                    </w:rPr>
                    <w:t>0</w:t>
                  </w:r>
                </w:p>
              </w:tc>
              <w:tc>
                <w:tcPr>
                  <w:tcW w:w="850" w:type="dxa"/>
                  <w:vAlign w:val="center"/>
                </w:tcPr>
                <w:p w14:paraId="3F8F4565">
                  <w:pPr>
                    <w:widowControl/>
                    <w:adjustRightInd w:val="0"/>
                    <w:snapToGrid w:val="0"/>
                    <w:jc w:val="center"/>
                    <w:rPr>
                      <w:color w:val="auto"/>
                      <w:kern w:val="0"/>
                      <w:szCs w:val="21"/>
                    </w:rPr>
                  </w:pPr>
                  <w:r>
                    <w:rPr>
                      <w:color w:val="auto"/>
                      <w:kern w:val="0"/>
                      <w:szCs w:val="21"/>
                    </w:rPr>
                    <w:t>0</w:t>
                  </w:r>
                </w:p>
              </w:tc>
              <w:tc>
                <w:tcPr>
                  <w:tcW w:w="918" w:type="dxa"/>
                  <w:vAlign w:val="center"/>
                </w:tcPr>
                <w:p w14:paraId="74924C73">
                  <w:pPr>
                    <w:widowControl/>
                    <w:adjustRightInd w:val="0"/>
                    <w:snapToGrid w:val="0"/>
                    <w:jc w:val="center"/>
                    <w:rPr>
                      <w:color w:val="auto"/>
                      <w:kern w:val="0"/>
                      <w:szCs w:val="21"/>
                    </w:rPr>
                  </w:pPr>
                  <w:r>
                    <w:rPr>
                      <w:color w:val="auto"/>
                      <w:kern w:val="0"/>
                      <w:szCs w:val="21"/>
                    </w:rPr>
                    <w:t>0</w:t>
                  </w:r>
                </w:p>
              </w:tc>
              <w:tc>
                <w:tcPr>
                  <w:tcW w:w="850" w:type="dxa"/>
                  <w:vAlign w:val="center"/>
                </w:tcPr>
                <w:p w14:paraId="391E908C">
                  <w:pPr>
                    <w:widowControl/>
                    <w:adjustRightInd w:val="0"/>
                    <w:snapToGrid w:val="0"/>
                    <w:jc w:val="center"/>
                    <w:rPr>
                      <w:color w:val="auto"/>
                      <w:kern w:val="0"/>
                      <w:szCs w:val="21"/>
                    </w:rPr>
                  </w:pPr>
                  <w:r>
                    <w:rPr>
                      <w:color w:val="auto"/>
                      <w:kern w:val="0"/>
                      <w:szCs w:val="21"/>
                    </w:rPr>
                    <w:t>0</w:t>
                  </w:r>
                </w:p>
              </w:tc>
              <w:tc>
                <w:tcPr>
                  <w:tcW w:w="851" w:type="dxa"/>
                  <w:vAlign w:val="center"/>
                </w:tcPr>
                <w:p w14:paraId="5BD10F63">
                  <w:pPr>
                    <w:widowControl/>
                    <w:adjustRightInd w:val="0"/>
                    <w:snapToGrid w:val="0"/>
                    <w:jc w:val="center"/>
                    <w:rPr>
                      <w:color w:val="auto"/>
                      <w:kern w:val="0"/>
                      <w:szCs w:val="21"/>
                    </w:rPr>
                  </w:pPr>
                  <w:r>
                    <w:rPr>
                      <w:color w:val="auto"/>
                      <w:kern w:val="0"/>
                      <w:szCs w:val="21"/>
                    </w:rPr>
                    <w:t>0</w:t>
                  </w:r>
                </w:p>
              </w:tc>
              <w:tc>
                <w:tcPr>
                  <w:tcW w:w="916" w:type="dxa"/>
                  <w:vAlign w:val="center"/>
                </w:tcPr>
                <w:p w14:paraId="6A4D4A29">
                  <w:pPr>
                    <w:widowControl/>
                    <w:adjustRightInd w:val="0"/>
                    <w:snapToGrid w:val="0"/>
                    <w:jc w:val="center"/>
                    <w:rPr>
                      <w:color w:val="auto"/>
                      <w:kern w:val="0"/>
                      <w:szCs w:val="21"/>
                    </w:rPr>
                  </w:pPr>
                  <w:r>
                    <w:rPr>
                      <w:color w:val="auto"/>
                      <w:kern w:val="0"/>
                      <w:szCs w:val="21"/>
                    </w:rPr>
                    <w:t>0</w:t>
                  </w:r>
                </w:p>
              </w:tc>
              <w:tc>
                <w:tcPr>
                  <w:tcW w:w="985" w:type="dxa"/>
                  <w:vAlign w:val="center"/>
                </w:tcPr>
                <w:p w14:paraId="6ACC2BB2">
                  <w:pPr>
                    <w:widowControl/>
                    <w:adjustRightInd w:val="0"/>
                    <w:snapToGrid w:val="0"/>
                    <w:jc w:val="center"/>
                    <w:rPr>
                      <w:color w:val="auto"/>
                      <w:kern w:val="0"/>
                      <w:szCs w:val="21"/>
                    </w:rPr>
                  </w:pPr>
                  <w:r>
                    <w:rPr>
                      <w:color w:val="auto"/>
                      <w:kern w:val="0"/>
                      <w:szCs w:val="21"/>
                    </w:rPr>
                    <w:t>0</w:t>
                  </w:r>
                </w:p>
              </w:tc>
              <w:tc>
                <w:tcPr>
                  <w:tcW w:w="924" w:type="dxa"/>
                  <w:vAlign w:val="center"/>
                </w:tcPr>
                <w:p w14:paraId="50EF9D1A">
                  <w:pPr>
                    <w:widowControl/>
                    <w:adjustRightInd w:val="0"/>
                    <w:snapToGrid w:val="0"/>
                    <w:jc w:val="center"/>
                    <w:rPr>
                      <w:color w:val="auto"/>
                      <w:kern w:val="0"/>
                      <w:szCs w:val="21"/>
                    </w:rPr>
                  </w:pPr>
                  <w:r>
                    <w:rPr>
                      <w:color w:val="auto"/>
                      <w:kern w:val="0"/>
                      <w:szCs w:val="21"/>
                    </w:rPr>
                    <w:t>0</w:t>
                  </w:r>
                </w:p>
              </w:tc>
              <w:tc>
                <w:tcPr>
                  <w:tcW w:w="777" w:type="dxa"/>
                  <w:vAlign w:val="center"/>
                </w:tcPr>
                <w:p w14:paraId="707255B4">
                  <w:pPr>
                    <w:widowControl/>
                    <w:adjustRightInd w:val="0"/>
                    <w:snapToGrid w:val="0"/>
                    <w:jc w:val="center"/>
                    <w:rPr>
                      <w:color w:val="auto"/>
                      <w:kern w:val="0"/>
                      <w:szCs w:val="21"/>
                    </w:rPr>
                  </w:pPr>
                  <w:r>
                    <w:rPr>
                      <w:color w:val="auto"/>
                      <w:kern w:val="0"/>
                      <w:szCs w:val="21"/>
                    </w:rPr>
                    <w:t>0</w:t>
                  </w:r>
                </w:p>
              </w:tc>
              <w:tc>
                <w:tcPr>
                  <w:tcW w:w="984" w:type="dxa"/>
                  <w:vAlign w:val="center"/>
                </w:tcPr>
                <w:p w14:paraId="3EE2D6F3">
                  <w:pPr>
                    <w:widowControl/>
                    <w:adjustRightInd w:val="0"/>
                    <w:snapToGrid w:val="0"/>
                    <w:jc w:val="center"/>
                    <w:rPr>
                      <w:color w:val="auto"/>
                      <w:kern w:val="0"/>
                      <w:szCs w:val="21"/>
                    </w:rPr>
                  </w:pPr>
                  <w:r>
                    <w:rPr>
                      <w:color w:val="auto"/>
                      <w:kern w:val="0"/>
                      <w:szCs w:val="21"/>
                    </w:rPr>
                    <w:t>0</w:t>
                  </w:r>
                </w:p>
              </w:tc>
              <w:tc>
                <w:tcPr>
                  <w:tcW w:w="984" w:type="dxa"/>
                  <w:vAlign w:val="center"/>
                </w:tcPr>
                <w:p w14:paraId="3D391346">
                  <w:pPr>
                    <w:widowControl/>
                    <w:adjustRightInd w:val="0"/>
                    <w:snapToGrid w:val="0"/>
                    <w:jc w:val="center"/>
                    <w:rPr>
                      <w:color w:val="auto"/>
                      <w:kern w:val="0"/>
                      <w:szCs w:val="21"/>
                    </w:rPr>
                  </w:pPr>
                  <w:r>
                    <w:rPr>
                      <w:color w:val="auto"/>
                      <w:kern w:val="0"/>
                      <w:szCs w:val="21"/>
                    </w:rPr>
                    <w:t>0</w:t>
                  </w:r>
                </w:p>
              </w:tc>
            </w:tr>
            <w:tr w14:paraId="2242A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68C602BA">
                  <w:pPr>
                    <w:widowControl/>
                    <w:adjustRightInd w:val="0"/>
                    <w:snapToGrid w:val="0"/>
                    <w:jc w:val="center"/>
                    <w:rPr>
                      <w:color w:val="auto"/>
                      <w:kern w:val="0"/>
                      <w:szCs w:val="21"/>
                    </w:rPr>
                  </w:pPr>
                </w:p>
              </w:tc>
              <w:tc>
                <w:tcPr>
                  <w:tcW w:w="1353" w:type="dxa"/>
                  <w:vAlign w:val="center"/>
                </w:tcPr>
                <w:p w14:paraId="68F9F28F">
                  <w:pPr>
                    <w:widowControl/>
                    <w:adjustRightInd w:val="0"/>
                    <w:snapToGrid w:val="0"/>
                    <w:jc w:val="center"/>
                    <w:rPr>
                      <w:color w:val="auto"/>
                      <w:kern w:val="0"/>
                      <w:szCs w:val="21"/>
                    </w:rPr>
                  </w:pPr>
                  <w:r>
                    <w:rPr>
                      <w:color w:val="auto"/>
                      <w:kern w:val="0"/>
                      <w:szCs w:val="21"/>
                    </w:rPr>
                    <w:t>达标情况</w:t>
                  </w:r>
                </w:p>
              </w:tc>
              <w:tc>
                <w:tcPr>
                  <w:tcW w:w="967" w:type="dxa"/>
                  <w:vAlign w:val="center"/>
                </w:tcPr>
                <w:p w14:paraId="6C21B701">
                  <w:pPr>
                    <w:widowControl/>
                    <w:adjustRightInd w:val="0"/>
                    <w:snapToGrid w:val="0"/>
                    <w:jc w:val="center"/>
                    <w:rPr>
                      <w:color w:val="auto"/>
                      <w:kern w:val="0"/>
                      <w:szCs w:val="21"/>
                    </w:rPr>
                  </w:pPr>
                  <w:r>
                    <w:rPr>
                      <w:color w:val="auto"/>
                      <w:kern w:val="0"/>
                      <w:szCs w:val="21"/>
                    </w:rPr>
                    <w:t>达标</w:t>
                  </w:r>
                </w:p>
              </w:tc>
              <w:tc>
                <w:tcPr>
                  <w:tcW w:w="877" w:type="dxa"/>
                  <w:shd w:val="clear" w:color="auto" w:fill="auto"/>
                  <w:vAlign w:val="center"/>
                </w:tcPr>
                <w:p w14:paraId="5ADE806B">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color w:val="auto"/>
                      <w:kern w:val="0"/>
                      <w:szCs w:val="21"/>
                    </w:rPr>
                    <w:t>达标</w:t>
                  </w:r>
                </w:p>
              </w:tc>
              <w:tc>
                <w:tcPr>
                  <w:tcW w:w="995" w:type="dxa"/>
                  <w:vAlign w:val="center"/>
                </w:tcPr>
                <w:p w14:paraId="7CF2149B">
                  <w:pPr>
                    <w:widowControl/>
                    <w:adjustRightInd w:val="0"/>
                    <w:snapToGrid w:val="0"/>
                    <w:jc w:val="center"/>
                    <w:rPr>
                      <w:color w:val="auto"/>
                      <w:kern w:val="0"/>
                      <w:szCs w:val="21"/>
                    </w:rPr>
                  </w:pPr>
                  <w:r>
                    <w:rPr>
                      <w:color w:val="auto"/>
                      <w:kern w:val="0"/>
                      <w:szCs w:val="21"/>
                    </w:rPr>
                    <w:t>达标</w:t>
                  </w:r>
                </w:p>
              </w:tc>
              <w:tc>
                <w:tcPr>
                  <w:tcW w:w="850" w:type="dxa"/>
                  <w:vAlign w:val="center"/>
                </w:tcPr>
                <w:p w14:paraId="79B71A75">
                  <w:pPr>
                    <w:widowControl/>
                    <w:adjustRightInd w:val="0"/>
                    <w:snapToGrid w:val="0"/>
                    <w:jc w:val="center"/>
                    <w:rPr>
                      <w:color w:val="auto"/>
                      <w:kern w:val="0"/>
                      <w:szCs w:val="21"/>
                    </w:rPr>
                  </w:pPr>
                  <w:r>
                    <w:rPr>
                      <w:color w:val="auto"/>
                      <w:kern w:val="0"/>
                      <w:szCs w:val="21"/>
                    </w:rPr>
                    <w:t>达标</w:t>
                  </w:r>
                </w:p>
              </w:tc>
              <w:tc>
                <w:tcPr>
                  <w:tcW w:w="918" w:type="dxa"/>
                  <w:vAlign w:val="center"/>
                </w:tcPr>
                <w:p w14:paraId="4BE878E3">
                  <w:pPr>
                    <w:widowControl/>
                    <w:adjustRightInd w:val="0"/>
                    <w:snapToGrid w:val="0"/>
                    <w:jc w:val="center"/>
                    <w:rPr>
                      <w:color w:val="auto"/>
                      <w:kern w:val="0"/>
                      <w:szCs w:val="21"/>
                    </w:rPr>
                  </w:pPr>
                  <w:r>
                    <w:rPr>
                      <w:color w:val="auto"/>
                      <w:kern w:val="0"/>
                      <w:szCs w:val="21"/>
                    </w:rPr>
                    <w:t>达标</w:t>
                  </w:r>
                </w:p>
              </w:tc>
              <w:tc>
                <w:tcPr>
                  <w:tcW w:w="850" w:type="dxa"/>
                  <w:vAlign w:val="center"/>
                </w:tcPr>
                <w:p w14:paraId="6EA585FC">
                  <w:pPr>
                    <w:widowControl/>
                    <w:adjustRightInd w:val="0"/>
                    <w:snapToGrid w:val="0"/>
                    <w:jc w:val="center"/>
                    <w:rPr>
                      <w:color w:val="auto"/>
                      <w:kern w:val="0"/>
                      <w:szCs w:val="21"/>
                    </w:rPr>
                  </w:pPr>
                  <w:r>
                    <w:rPr>
                      <w:color w:val="auto"/>
                      <w:kern w:val="0"/>
                      <w:szCs w:val="21"/>
                    </w:rPr>
                    <w:t>达标</w:t>
                  </w:r>
                </w:p>
              </w:tc>
              <w:tc>
                <w:tcPr>
                  <w:tcW w:w="851" w:type="dxa"/>
                  <w:vAlign w:val="center"/>
                </w:tcPr>
                <w:p w14:paraId="52161545">
                  <w:pPr>
                    <w:widowControl/>
                    <w:adjustRightInd w:val="0"/>
                    <w:snapToGrid w:val="0"/>
                    <w:jc w:val="center"/>
                    <w:rPr>
                      <w:color w:val="auto"/>
                      <w:kern w:val="0"/>
                      <w:szCs w:val="21"/>
                    </w:rPr>
                  </w:pPr>
                  <w:r>
                    <w:rPr>
                      <w:color w:val="auto"/>
                      <w:kern w:val="0"/>
                      <w:szCs w:val="21"/>
                    </w:rPr>
                    <w:t>达标</w:t>
                  </w:r>
                </w:p>
              </w:tc>
              <w:tc>
                <w:tcPr>
                  <w:tcW w:w="916" w:type="dxa"/>
                  <w:vAlign w:val="center"/>
                </w:tcPr>
                <w:p w14:paraId="7E087AAF">
                  <w:pPr>
                    <w:widowControl/>
                    <w:adjustRightInd w:val="0"/>
                    <w:snapToGrid w:val="0"/>
                    <w:jc w:val="center"/>
                    <w:rPr>
                      <w:color w:val="auto"/>
                      <w:kern w:val="0"/>
                      <w:szCs w:val="21"/>
                    </w:rPr>
                  </w:pPr>
                  <w:r>
                    <w:rPr>
                      <w:color w:val="auto"/>
                      <w:kern w:val="0"/>
                      <w:szCs w:val="21"/>
                    </w:rPr>
                    <w:t>达标</w:t>
                  </w:r>
                </w:p>
              </w:tc>
              <w:tc>
                <w:tcPr>
                  <w:tcW w:w="985" w:type="dxa"/>
                  <w:vAlign w:val="center"/>
                </w:tcPr>
                <w:p w14:paraId="1F4778AB">
                  <w:pPr>
                    <w:widowControl/>
                    <w:adjustRightInd w:val="0"/>
                    <w:snapToGrid w:val="0"/>
                    <w:jc w:val="center"/>
                    <w:rPr>
                      <w:color w:val="auto"/>
                      <w:kern w:val="0"/>
                      <w:szCs w:val="21"/>
                    </w:rPr>
                  </w:pPr>
                  <w:r>
                    <w:rPr>
                      <w:color w:val="auto"/>
                      <w:kern w:val="0"/>
                      <w:szCs w:val="21"/>
                    </w:rPr>
                    <w:t>达标</w:t>
                  </w:r>
                </w:p>
              </w:tc>
              <w:tc>
                <w:tcPr>
                  <w:tcW w:w="924" w:type="dxa"/>
                  <w:vAlign w:val="center"/>
                </w:tcPr>
                <w:p w14:paraId="5AB31393">
                  <w:pPr>
                    <w:widowControl/>
                    <w:adjustRightInd w:val="0"/>
                    <w:snapToGrid w:val="0"/>
                    <w:jc w:val="center"/>
                    <w:rPr>
                      <w:color w:val="auto"/>
                      <w:kern w:val="0"/>
                      <w:szCs w:val="21"/>
                    </w:rPr>
                  </w:pPr>
                  <w:r>
                    <w:rPr>
                      <w:color w:val="auto"/>
                      <w:kern w:val="0"/>
                      <w:szCs w:val="21"/>
                    </w:rPr>
                    <w:t>达标</w:t>
                  </w:r>
                </w:p>
              </w:tc>
              <w:tc>
                <w:tcPr>
                  <w:tcW w:w="777" w:type="dxa"/>
                  <w:vAlign w:val="center"/>
                </w:tcPr>
                <w:p w14:paraId="4A6DB128">
                  <w:pPr>
                    <w:widowControl/>
                    <w:adjustRightInd w:val="0"/>
                    <w:snapToGrid w:val="0"/>
                    <w:jc w:val="center"/>
                    <w:rPr>
                      <w:color w:val="auto"/>
                      <w:kern w:val="0"/>
                      <w:szCs w:val="21"/>
                    </w:rPr>
                  </w:pPr>
                  <w:r>
                    <w:rPr>
                      <w:color w:val="auto"/>
                      <w:kern w:val="0"/>
                      <w:szCs w:val="21"/>
                    </w:rPr>
                    <w:t>达标</w:t>
                  </w:r>
                </w:p>
              </w:tc>
              <w:tc>
                <w:tcPr>
                  <w:tcW w:w="984" w:type="dxa"/>
                  <w:vAlign w:val="center"/>
                </w:tcPr>
                <w:p w14:paraId="531EFF72">
                  <w:pPr>
                    <w:widowControl/>
                    <w:adjustRightInd w:val="0"/>
                    <w:snapToGrid w:val="0"/>
                    <w:jc w:val="center"/>
                    <w:rPr>
                      <w:color w:val="auto"/>
                      <w:kern w:val="0"/>
                      <w:szCs w:val="21"/>
                    </w:rPr>
                  </w:pPr>
                  <w:r>
                    <w:rPr>
                      <w:color w:val="auto"/>
                      <w:kern w:val="0"/>
                      <w:szCs w:val="21"/>
                    </w:rPr>
                    <w:t>达标</w:t>
                  </w:r>
                </w:p>
              </w:tc>
              <w:tc>
                <w:tcPr>
                  <w:tcW w:w="984" w:type="dxa"/>
                  <w:vAlign w:val="center"/>
                </w:tcPr>
                <w:p w14:paraId="56836B77">
                  <w:pPr>
                    <w:widowControl/>
                    <w:adjustRightInd w:val="0"/>
                    <w:snapToGrid w:val="0"/>
                    <w:jc w:val="center"/>
                    <w:rPr>
                      <w:color w:val="auto"/>
                      <w:kern w:val="0"/>
                      <w:szCs w:val="21"/>
                    </w:rPr>
                  </w:pPr>
                  <w:r>
                    <w:rPr>
                      <w:color w:val="auto"/>
                      <w:kern w:val="0"/>
                      <w:szCs w:val="21"/>
                    </w:rPr>
                    <w:t>达标</w:t>
                  </w:r>
                </w:p>
              </w:tc>
            </w:tr>
            <w:tr w14:paraId="3A468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restart"/>
                  <w:vAlign w:val="center"/>
                </w:tcPr>
                <w:p w14:paraId="68ACB646">
                  <w:pPr>
                    <w:widowControl/>
                    <w:adjustRightInd w:val="0"/>
                    <w:snapToGrid w:val="0"/>
                    <w:jc w:val="center"/>
                    <w:rPr>
                      <w:color w:val="auto"/>
                      <w:kern w:val="0"/>
                      <w:szCs w:val="21"/>
                    </w:rPr>
                  </w:pPr>
                  <w:r>
                    <w:rPr>
                      <w:color w:val="auto"/>
                      <w:kern w:val="0"/>
                      <w:szCs w:val="21"/>
                    </w:rPr>
                    <w:t>W4</w:t>
                  </w:r>
                </w:p>
              </w:tc>
              <w:tc>
                <w:tcPr>
                  <w:tcW w:w="1353" w:type="dxa"/>
                  <w:vAlign w:val="center"/>
                </w:tcPr>
                <w:p w14:paraId="0C5868F8">
                  <w:pPr>
                    <w:pStyle w:val="82"/>
                    <w:spacing w:line="240" w:lineRule="auto"/>
                    <w:ind w:firstLine="0"/>
                    <w:rPr>
                      <w:color w:val="auto"/>
                      <w:szCs w:val="21"/>
                    </w:rPr>
                  </w:pPr>
                  <w:r>
                    <w:rPr>
                      <w:color w:val="auto"/>
                      <w:szCs w:val="21"/>
                    </w:rPr>
                    <w:t>最大值</w:t>
                  </w:r>
                </w:p>
              </w:tc>
              <w:tc>
                <w:tcPr>
                  <w:tcW w:w="967" w:type="dxa"/>
                  <w:vAlign w:val="center"/>
                </w:tcPr>
                <w:p w14:paraId="4EFD2669">
                  <w:pPr>
                    <w:widowControl/>
                    <w:jc w:val="center"/>
                    <w:textAlignment w:val="center"/>
                    <w:rPr>
                      <w:color w:val="auto"/>
                      <w:kern w:val="0"/>
                      <w:szCs w:val="21"/>
                    </w:rPr>
                  </w:pPr>
                  <w:r>
                    <w:rPr>
                      <w:color w:val="auto"/>
                      <w:kern w:val="0"/>
                      <w:szCs w:val="21"/>
                    </w:rPr>
                    <w:t>7.3</w:t>
                  </w:r>
                </w:p>
              </w:tc>
              <w:tc>
                <w:tcPr>
                  <w:tcW w:w="877" w:type="dxa"/>
                  <w:vAlign w:val="center"/>
                </w:tcPr>
                <w:p w14:paraId="7A97A276">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0.41</w:t>
                  </w:r>
                </w:p>
              </w:tc>
              <w:tc>
                <w:tcPr>
                  <w:tcW w:w="995" w:type="dxa"/>
                  <w:vAlign w:val="center"/>
                </w:tcPr>
                <w:p w14:paraId="3745801C">
                  <w:pPr>
                    <w:widowControl/>
                    <w:jc w:val="center"/>
                    <w:textAlignment w:val="center"/>
                    <w:rPr>
                      <w:color w:val="auto"/>
                      <w:kern w:val="0"/>
                      <w:szCs w:val="21"/>
                    </w:rPr>
                  </w:pPr>
                  <w:r>
                    <w:rPr>
                      <w:color w:val="auto"/>
                      <w:kern w:val="0"/>
                      <w:szCs w:val="21"/>
                    </w:rPr>
                    <w:t>3.7</w:t>
                  </w:r>
                </w:p>
              </w:tc>
              <w:tc>
                <w:tcPr>
                  <w:tcW w:w="850" w:type="dxa"/>
                  <w:vAlign w:val="center"/>
                </w:tcPr>
                <w:p w14:paraId="1F14D14D">
                  <w:pPr>
                    <w:widowControl/>
                    <w:jc w:val="center"/>
                    <w:textAlignment w:val="center"/>
                    <w:rPr>
                      <w:color w:val="auto"/>
                      <w:kern w:val="0"/>
                      <w:szCs w:val="21"/>
                    </w:rPr>
                  </w:pPr>
                  <w:r>
                    <w:rPr>
                      <w:color w:val="auto"/>
                      <w:kern w:val="0"/>
                      <w:szCs w:val="21"/>
                    </w:rPr>
                    <w:t>14</w:t>
                  </w:r>
                </w:p>
              </w:tc>
              <w:tc>
                <w:tcPr>
                  <w:tcW w:w="918" w:type="dxa"/>
                  <w:vAlign w:val="center"/>
                </w:tcPr>
                <w:p w14:paraId="37A31B22">
                  <w:pPr>
                    <w:widowControl/>
                    <w:jc w:val="center"/>
                    <w:textAlignment w:val="center"/>
                    <w:rPr>
                      <w:color w:val="auto"/>
                      <w:kern w:val="0"/>
                      <w:szCs w:val="21"/>
                    </w:rPr>
                  </w:pPr>
                  <w:r>
                    <w:rPr>
                      <w:color w:val="auto"/>
                      <w:kern w:val="0"/>
                      <w:szCs w:val="21"/>
                    </w:rPr>
                    <w:t>2.4</w:t>
                  </w:r>
                </w:p>
              </w:tc>
              <w:tc>
                <w:tcPr>
                  <w:tcW w:w="850" w:type="dxa"/>
                  <w:vAlign w:val="center"/>
                </w:tcPr>
                <w:p w14:paraId="18DA2BD5">
                  <w:pPr>
                    <w:widowControl/>
                    <w:jc w:val="center"/>
                    <w:textAlignment w:val="center"/>
                    <w:rPr>
                      <w:color w:val="auto"/>
                      <w:kern w:val="0"/>
                      <w:szCs w:val="21"/>
                    </w:rPr>
                  </w:pPr>
                  <w:r>
                    <w:rPr>
                      <w:color w:val="auto"/>
                      <w:kern w:val="0"/>
                      <w:szCs w:val="21"/>
                    </w:rPr>
                    <w:t>0.079</w:t>
                  </w:r>
                </w:p>
              </w:tc>
              <w:tc>
                <w:tcPr>
                  <w:tcW w:w="851" w:type="dxa"/>
                  <w:vAlign w:val="center"/>
                </w:tcPr>
                <w:p w14:paraId="552E6169">
                  <w:pPr>
                    <w:widowControl/>
                    <w:jc w:val="center"/>
                    <w:textAlignment w:val="center"/>
                    <w:rPr>
                      <w:color w:val="auto"/>
                      <w:kern w:val="0"/>
                      <w:szCs w:val="21"/>
                    </w:rPr>
                  </w:pPr>
                  <w:r>
                    <w:rPr>
                      <w:color w:val="auto"/>
                      <w:kern w:val="0"/>
                      <w:szCs w:val="21"/>
                    </w:rPr>
                    <w:t>0.04</w:t>
                  </w:r>
                </w:p>
              </w:tc>
              <w:tc>
                <w:tcPr>
                  <w:tcW w:w="916" w:type="dxa"/>
                  <w:vAlign w:val="center"/>
                </w:tcPr>
                <w:p w14:paraId="0D8F12AE">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45DED9D6">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72E17070">
                  <w:pPr>
                    <w:widowControl/>
                    <w:jc w:val="center"/>
                    <w:textAlignment w:val="center"/>
                    <w:rPr>
                      <w:color w:val="auto"/>
                      <w:kern w:val="0"/>
                      <w:szCs w:val="21"/>
                    </w:rPr>
                  </w:pPr>
                  <w:r>
                    <w:rPr>
                      <w:color w:val="auto"/>
                      <w:kern w:val="0"/>
                      <w:szCs w:val="21"/>
                    </w:rPr>
                    <w:t>0.0015</w:t>
                  </w:r>
                </w:p>
              </w:tc>
              <w:tc>
                <w:tcPr>
                  <w:tcW w:w="777" w:type="dxa"/>
                  <w:vAlign w:val="center"/>
                </w:tcPr>
                <w:p w14:paraId="64876283">
                  <w:pPr>
                    <w:widowControl/>
                    <w:jc w:val="center"/>
                    <w:textAlignment w:val="center"/>
                    <w:rPr>
                      <w:color w:val="auto"/>
                      <w:kern w:val="0"/>
                      <w:szCs w:val="21"/>
                    </w:rPr>
                  </w:pPr>
                  <w:r>
                    <w:rPr>
                      <w:color w:val="auto"/>
                      <w:kern w:val="0"/>
                      <w:szCs w:val="21"/>
                    </w:rPr>
                    <w:t>0.02</w:t>
                  </w:r>
                </w:p>
              </w:tc>
              <w:tc>
                <w:tcPr>
                  <w:tcW w:w="984" w:type="dxa"/>
                  <w:vAlign w:val="center"/>
                </w:tcPr>
                <w:p w14:paraId="704C626D">
                  <w:pPr>
                    <w:widowControl/>
                    <w:jc w:val="center"/>
                    <w:textAlignment w:val="center"/>
                    <w:rPr>
                      <w:color w:val="auto"/>
                      <w:kern w:val="0"/>
                      <w:szCs w:val="21"/>
                    </w:rPr>
                  </w:pPr>
                  <w:r>
                    <w:rPr>
                      <w:color w:val="auto"/>
                      <w:kern w:val="0"/>
                      <w:szCs w:val="21"/>
                    </w:rPr>
                    <w:t>0.05</w:t>
                  </w:r>
                  <w:r>
                    <w:rPr>
                      <w:color w:val="auto"/>
                      <w:szCs w:val="21"/>
                    </w:rPr>
                    <w:t>L</w:t>
                  </w:r>
                </w:p>
              </w:tc>
              <w:tc>
                <w:tcPr>
                  <w:tcW w:w="984" w:type="dxa"/>
                  <w:vAlign w:val="center"/>
                </w:tcPr>
                <w:p w14:paraId="25C24678">
                  <w:pPr>
                    <w:widowControl/>
                    <w:jc w:val="center"/>
                    <w:textAlignment w:val="center"/>
                    <w:rPr>
                      <w:color w:val="auto"/>
                      <w:kern w:val="0"/>
                      <w:szCs w:val="21"/>
                    </w:rPr>
                  </w:pPr>
                  <w:r>
                    <w:rPr>
                      <w:color w:val="auto"/>
                      <w:kern w:val="0"/>
                      <w:szCs w:val="21"/>
                    </w:rPr>
                    <w:t>20</w:t>
                  </w:r>
                </w:p>
              </w:tc>
            </w:tr>
            <w:tr w14:paraId="6CFCD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45DF16AE">
                  <w:pPr>
                    <w:widowControl/>
                    <w:adjustRightInd w:val="0"/>
                    <w:snapToGrid w:val="0"/>
                    <w:jc w:val="center"/>
                    <w:rPr>
                      <w:color w:val="auto"/>
                      <w:kern w:val="0"/>
                      <w:szCs w:val="21"/>
                    </w:rPr>
                  </w:pPr>
                </w:p>
              </w:tc>
              <w:tc>
                <w:tcPr>
                  <w:tcW w:w="1353" w:type="dxa"/>
                  <w:vAlign w:val="center"/>
                </w:tcPr>
                <w:p w14:paraId="00B0A582">
                  <w:pPr>
                    <w:pStyle w:val="82"/>
                    <w:spacing w:line="240" w:lineRule="auto"/>
                    <w:ind w:firstLine="0"/>
                    <w:rPr>
                      <w:color w:val="auto"/>
                      <w:szCs w:val="21"/>
                    </w:rPr>
                  </w:pPr>
                  <w:r>
                    <w:rPr>
                      <w:color w:val="auto"/>
                      <w:szCs w:val="21"/>
                    </w:rPr>
                    <w:t>最小值</w:t>
                  </w:r>
                </w:p>
              </w:tc>
              <w:tc>
                <w:tcPr>
                  <w:tcW w:w="967" w:type="dxa"/>
                  <w:vAlign w:val="center"/>
                </w:tcPr>
                <w:p w14:paraId="7106530A">
                  <w:pPr>
                    <w:widowControl/>
                    <w:jc w:val="center"/>
                    <w:textAlignment w:val="center"/>
                    <w:rPr>
                      <w:color w:val="auto"/>
                      <w:kern w:val="0"/>
                      <w:szCs w:val="21"/>
                    </w:rPr>
                  </w:pPr>
                  <w:r>
                    <w:rPr>
                      <w:color w:val="auto"/>
                      <w:kern w:val="0"/>
                      <w:szCs w:val="21"/>
                    </w:rPr>
                    <w:t>7.2</w:t>
                  </w:r>
                </w:p>
              </w:tc>
              <w:tc>
                <w:tcPr>
                  <w:tcW w:w="877" w:type="dxa"/>
                  <w:vAlign w:val="center"/>
                </w:tcPr>
                <w:p w14:paraId="334F3008">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w:t>
                  </w:r>
                </w:p>
              </w:tc>
              <w:tc>
                <w:tcPr>
                  <w:tcW w:w="995" w:type="dxa"/>
                  <w:vAlign w:val="center"/>
                </w:tcPr>
                <w:p w14:paraId="10E60BEE">
                  <w:pPr>
                    <w:widowControl/>
                    <w:jc w:val="center"/>
                    <w:textAlignment w:val="center"/>
                    <w:rPr>
                      <w:color w:val="auto"/>
                      <w:kern w:val="0"/>
                      <w:szCs w:val="21"/>
                    </w:rPr>
                  </w:pPr>
                  <w:r>
                    <w:rPr>
                      <w:color w:val="auto"/>
                      <w:kern w:val="0"/>
                      <w:szCs w:val="21"/>
                    </w:rPr>
                    <w:t>3.2</w:t>
                  </w:r>
                </w:p>
              </w:tc>
              <w:tc>
                <w:tcPr>
                  <w:tcW w:w="850" w:type="dxa"/>
                  <w:vAlign w:val="center"/>
                </w:tcPr>
                <w:p w14:paraId="272935AD">
                  <w:pPr>
                    <w:widowControl/>
                    <w:jc w:val="center"/>
                    <w:textAlignment w:val="center"/>
                    <w:rPr>
                      <w:color w:val="auto"/>
                      <w:kern w:val="0"/>
                      <w:szCs w:val="21"/>
                    </w:rPr>
                  </w:pPr>
                  <w:r>
                    <w:rPr>
                      <w:color w:val="auto"/>
                      <w:kern w:val="0"/>
                      <w:szCs w:val="21"/>
                    </w:rPr>
                    <w:t>12</w:t>
                  </w:r>
                </w:p>
              </w:tc>
              <w:tc>
                <w:tcPr>
                  <w:tcW w:w="918" w:type="dxa"/>
                  <w:vAlign w:val="center"/>
                </w:tcPr>
                <w:p w14:paraId="59853805">
                  <w:pPr>
                    <w:widowControl/>
                    <w:jc w:val="center"/>
                    <w:textAlignment w:val="center"/>
                    <w:rPr>
                      <w:color w:val="auto"/>
                      <w:kern w:val="0"/>
                      <w:szCs w:val="21"/>
                    </w:rPr>
                  </w:pPr>
                  <w:r>
                    <w:rPr>
                      <w:color w:val="auto"/>
                      <w:kern w:val="0"/>
                      <w:szCs w:val="21"/>
                    </w:rPr>
                    <w:t>2.4</w:t>
                  </w:r>
                </w:p>
              </w:tc>
              <w:tc>
                <w:tcPr>
                  <w:tcW w:w="850" w:type="dxa"/>
                  <w:vAlign w:val="center"/>
                </w:tcPr>
                <w:p w14:paraId="44B2705E">
                  <w:pPr>
                    <w:widowControl/>
                    <w:jc w:val="center"/>
                    <w:textAlignment w:val="center"/>
                    <w:rPr>
                      <w:color w:val="auto"/>
                      <w:kern w:val="0"/>
                      <w:szCs w:val="21"/>
                    </w:rPr>
                  </w:pPr>
                  <w:r>
                    <w:rPr>
                      <w:color w:val="auto"/>
                      <w:kern w:val="0"/>
                      <w:szCs w:val="21"/>
                    </w:rPr>
                    <w:t>0.07</w:t>
                  </w:r>
                </w:p>
              </w:tc>
              <w:tc>
                <w:tcPr>
                  <w:tcW w:w="851" w:type="dxa"/>
                  <w:vAlign w:val="center"/>
                </w:tcPr>
                <w:p w14:paraId="6C9EB794">
                  <w:pPr>
                    <w:widowControl/>
                    <w:jc w:val="center"/>
                    <w:textAlignment w:val="center"/>
                    <w:rPr>
                      <w:color w:val="auto"/>
                      <w:kern w:val="0"/>
                      <w:szCs w:val="21"/>
                    </w:rPr>
                  </w:pPr>
                  <w:r>
                    <w:rPr>
                      <w:color w:val="auto"/>
                      <w:kern w:val="0"/>
                      <w:szCs w:val="21"/>
                    </w:rPr>
                    <w:t>0.03</w:t>
                  </w:r>
                </w:p>
              </w:tc>
              <w:tc>
                <w:tcPr>
                  <w:tcW w:w="916" w:type="dxa"/>
                  <w:vAlign w:val="center"/>
                </w:tcPr>
                <w:p w14:paraId="65F14FD7">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11FB862A">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7DC1B9DE">
                  <w:pPr>
                    <w:widowControl/>
                    <w:jc w:val="center"/>
                    <w:textAlignment w:val="center"/>
                    <w:rPr>
                      <w:color w:val="auto"/>
                      <w:kern w:val="0"/>
                      <w:szCs w:val="21"/>
                    </w:rPr>
                  </w:pPr>
                  <w:r>
                    <w:rPr>
                      <w:color w:val="auto"/>
                      <w:kern w:val="0"/>
                      <w:szCs w:val="21"/>
                    </w:rPr>
                    <w:t>0.0009</w:t>
                  </w:r>
                </w:p>
              </w:tc>
              <w:tc>
                <w:tcPr>
                  <w:tcW w:w="777" w:type="dxa"/>
                  <w:vAlign w:val="center"/>
                </w:tcPr>
                <w:p w14:paraId="052C257F">
                  <w:pPr>
                    <w:widowControl/>
                    <w:jc w:val="center"/>
                    <w:textAlignment w:val="center"/>
                    <w:rPr>
                      <w:color w:val="auto"/>
                      <w:kern w:val="0"/>
                      <w:szCs w:val="21"/>
                    </w:rPr>
                  </w:pPr>
                  <w:r>
                    <w:rPr>
                      <w:color w:val="auto"/>
                      <w:kern w:val="0"/>
                      <w:szCs w:val="21"/>
                    </w:rPr>
                    <w:t>0.01</w:t>
                  </w:r>
                </w:p>
              </w:tc>
              <w:tc>
                <w:tcPr>
                  <w:tcW w:w="984" w:type="dxa"/>
                  <w:vAlign w:val="center"/>
                </w:tcPr>
                <w:p w14:paraId="2351C810">
                  <w:pPr>
                    <w:widowControl/>
                    <w:jc w:val="center"/>
                    <w:textAlignment w:val="center"/>
                    <w:rPr>
                      <w:color w:val="auto"/>
                      <w:kern w:val="0"/>
                      <w:szCs w:val="21"/>
                    </w:rPr>
                  </w:pPr>
                  <w:r>
                    <w:rPr>
                      <w:color w:val="auto"/>
                      <w:kern w:val="0"/>
                      <w:szCs w:val="21"/>
                    </w:rPr>
                    <w:t>0.04</w:t>
                  </w:r>
                  <w:r>
                    <w:rPr>
                      <w:color w:val="auto"/>
                      <w:szCs w:val="21"/>
                    </w:rPr>
                    <w:t>L</w:t>
                  </w:r>
                </w:p>
              </w:tc>
              <w:tc>
                <w:tcPr>
                  <w:tcW w:w="984" w:type="dxa"/>
                  <w:vAlign w:val="center"/>
                </w:tcPr>
                <w:p w14:paraId="66065B4D">
                  <w:pPr>
                    <w:widowControl/>
                    <w:jc w:val="center"/>
                    <w:textAlignment w:val="center"/>
                    <w:rPr>
                      <w:color w:val="auto"/>
                      <w:kern w:val="0"/>
                      <w:szCs w:val="21"/>
                    </w:rPr>
                  </w:pPr>
                  <w:r>
                    <w:rPr>
                      <w:color w:val="auto"/>
                      <w:kern w:val="0"/>
                      <w:szCs w:val="21"/>
                    </w:rPr>
                    <w:t>&lt;20</w:t>
                  </w:r>
                </w:p>
              </w:tc>
            </w:tr>
            <w:tr w14:paraId="65CD6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32FA3733">
                  <w:pPr>
                    <w:widowControl/>
                    <w:adjustRightInd w:val="0"/>
                    <w:snapToGrid w:val="0"/>
                    <w:jc w:val="center"/>
                    <w:rPr>
                      <w:color w:val="auto"/>
                      <w:kern w:val="0"/>
                      <w:szCs w:val="21"/>
                    </w:rPr>
                  </w:pPr>
                </w:p>
              </w:tc>
              <w:tc>
                <w:tcPr>
                  <w:tcW w:w="1353" w:type="dxa"/>
                  <w:vAlign w:val="center"/>
                </w:tcPr>
                <w:p w14:paraId="42173F48">
                  <w:pPr>
                    <w:widowControl/>
                    <w:adjustRightInd w:val="0"/>
                    <w:snapToGrid w:val="0"/>
                    <w:jc w:val="center"/>
                    <w:rPr>
                      <w:color w:val="auto"/>
                      <w:kern w:val="0"/>
                      <w:szCs w:val="21"/>
                    </w:rPr>
                  </w:pPr>
                  <w:r>
                    <w:rPr>
                      <w:color w:val="auto"/>
                      <w:kern w:val="0"/>
                      <w:szCs w:val="21"/>
                    </w:rPr>
                    <w:t>最大污染指数</w:t>
                  </w:r>
                </w:p>
              </w:tc>
              <w:tc>
                <w:tcPr>
                  <w:tcW w:w="967" w:type="dxa"/>
                  <w:vAlign w:val="center"/>
                </w:tcPr>
                <w:p w14:paraId="04F8B59F">
                  <w:pPr>
                    <w:widowControl/>
                    <w:jc w:val="center"/>
                    <w:textAlignment w:val="center"/>
                    <w:rPr>
                      <w:color w:val="auto"/>
                      <w:kern w:val="0"/>
                      <w:szCs w:val="21"/>
                    </w:rPr>
                  </w:pPr>
                  <w:r>
                    <w:rPr>
                      <w:color w:val="auto"/>
                      <w:kern w:val="0"/>
                      <w:szCs w:val="21"/>
                    </w:rPr>
                    <w:t>0.150</w:t>
                  </w:r>
                </w:p>
              </w:tc>
              <w:tc>
                <w:tcPr>
                  <w:tcW w:w="877" w:type="dxa"/>
                  <w:vAlign w:val="center"/>
                </w:tcPr>
                <w:p w14:paraId="09004635">
                  <w:pPr>
                    <w:widowControl/>
                    <w:jc w:val="center"/>
                    <w:textAlignment w:val="center"/>
                    <w:rPr>
                      <w:color w:val="auto"/>
                      <w:kern w:val="0"/>
                      <w:szCs w:val="21"/>
                    </w:rPr>
                  </w:pPr>
                  <w:r>
                    <w:rPr>
                      <w:rFonts w:hint="eastAsia"/>
                      <w:color w:val="auto"/>
                      <w:kern w:val="0"/>
                      <w:szCs w:val="21"/>
                      <w:lang w:val="en-US" w:eastAsia="zh-CN"/>
                    </w:rPr>
                    <w:t>0.41</w:t>
                  </w:r>
                </w:p>
              </w:tc>
              <w:tc>
                <w:tcPr>
                  <w:tcW w:w="995" w:type="dxa"/>
                  <w:vAlign w:val="center"/>
                </w:tcPr>
                <w:p w14:paraId="370FD393">
                  <w:pPr>
                    <w:widowControl/>
                    <w:jc w:val="center"/>
                    <w:textAlignment w:val="center"/>
                    <w:rPr>
                      <w:color w:val="auto"/>
                      <w:kern w:val="0"/>
                      <w:szCs w:val="21"/>
                    </w:rPr>
                  </w:pPr>
                  <w:r>
                    <w:rPr>
                      <w:color w:val="auto"/>
                      <w:kern w:val="0"/>
                      <w:szCs w:val="21"/>
                    </w:rPr>
                    <w:t>0.617</w:t>
                  </w:r>
                </w:p>
              </w:tc>
              <w:tc>
                <w:tcPr>
                  <w:tcW w:w="850" w:type="dxa"/>
                  <w:vAlign w:val="center"/>
                </w:tcPr>
                <w:p w14:paraId="1A0716EA">
                  <w:pPr>
                    <w:widowControl/>
                    <w:jc w:val="center"/>
                    <w:textAlignment w:val="center"/>
                    <w:rPr>
                      <w:color w:val="auto"/>
                      <w:kern w:val="0"/>
                      <w:szCs w:val="21"/>
                    </w:rPr>
                  </w:pPr>
                  <w:r>
                    <w:rPr>
                      <w:color w:val="auto"/>
                      <w:kern w:val="0"/>
                      <w:szCs w:val="21"/>
                    </w:rPr>
                    <w:t>0.700</w:t>
                  </w:r>
                </w:p>
              </w:tc>
              <w:tc>
                <w:tcPr>
                  <w:tcW w:w="918" w:type="dxa"/>
                  <w:vAlign w:val="center"/>
                </w:tcPr>
                <w:p w14:paraId="42984E86">
                  <w:pPr>
                    <w:widowControl/>
                    <w:jc w:val="center"/>
                    <w:textAlignment w:val="center"/>
                    <w:rPr>
                      <w:color w:val="auto"/>
                      <w:kern w:val="0"/>
                      <w:szCs w:val="21"/>
                    </w:rPr>
                  </w:pPr>
                  <w:r>
                    <w:rPr>
                      <w:color w:val="auto"/>
                      <w:kern w:val="0"/>
                      <w:szCs w:val="21"/>
                    </w:rPr>
                    <w:t>0.600</w:t>
                  </w:r>
                </w:p>
              </w:tc>
              <w:tc>
                <w:tcPr>
                  <w:tcW w:w="850" w:type="dxa"/>
                  <w:vAlign w:val="center"/>
                </w:tcPr>
                <w:p w14:paraId="32BFE68E">
                  <w:pPr>
                    <w:widowControl/>
                    <w:jc w:val="center"/>
                    <w:textAlignment w:val="center"/>
                    <w:rPr>
                      <w:color w:val="auto"/>
                      <w:kern w:val="0"/>
                      <w:szCs w:val="21"/>
                    </w:rPr>
                  </w:pPr>
                  <w:r>
                    <w:rPr>
                      <w:color w:val="auto"/>
                      <w:kern w:val="0"/>
                      <w:szCs w:val="21"/>
                    </w:rPr>
                    <w:t>0.079</w:t>
                  </w:r>
                </w:p>
              </w:tc>
              <w:tc>
                <w:tcPr>
                  <w:tcW w:w="851" w:type="dxa"/>
                  <w:vAlign w:val="center"/>
                </w:tcPr>
                <w:p w14:paraId="343FD040">
                  <w:pPr>
                    <w:widowControl/>
                    <w:jc w:val="center"/>
                    <w:textAlignment w:val="center"/>
                    <w:rPr>
                      <w:color w:val="auto"/>
                      <w:kern w:val="0"/>
                      <w:szCs w:val="21"/>
                    </w:rPr>
                  </w:pPr>
                  <w:r>
                    <w:rPr>
                      <w:color w:val="auto"/>
                      <w:kern w:val="0"/>
                      <w:szCs w:val="21"/>
                    </w:rPr>
                    <w:t>0.200</w:t>
                  </w:r>
                </w:p>
              </w:tc>
              <w:tc>
                <w:tcPr>
                  <w:tcW w:w="916" w:type="dxa"/>
                  <w:vAlign w:val="center"/>
                </w:tcPr>
                <w:p w14:paraId="3DA43E26">
                  <w:pPr>
                    <w:widowControl/>
                    <w:jc w:val="center"/>
                    <w:textAlignment w:val="center"/>
                    <w:rPr>
                      <w:color w:val="auto"/>
                      <w:kern w:val="0"/>
                      <w:szCs w:val="21"/>
                    </w:rPr>
                  </w:pPr>
                  <w:r>
                    <w:rPr>
                      <w:color w:val="auto"/>
                      <w:kern w:val="0"/>
                      <w:szCs w:val="21"/>
                    </w:rPr>
                    <w:t>0</w:t>
                  </w:r>
                </w:p>
              </w:tc>
              <w:tc>
                <w:tcPr>
                  <w:tcW w:w="985" w:type="dxa"/>
                  <w:vAlign w:val="center"/>
                </w:tcPr>
                <w:p w14:paraId="397BE539">
                  <w:pPr>
                    <w:widowControl/>
                    <w:jc w:val="center"/>
                    <w:textAlignment w:val="center"/>
                    <w:rPr>
                      <w:color w:val="auto"/>
                      <w:kern w:val="0"/>
                      <w:szCs w:val="21"/>
                    </w:rPr>
                  </w:pPr>
                  <w:r>
                    <w:rPr>
                      <w:color w:val="auto"/>
                      <w:kern w:val="0"/>
                      <w:szCs w:val="21"/>
                    </w:rPr>
                    <w:t>0</w:t>
                  </w:r>
                </w:p>
              </w:tc>
              <w:tc>
                <w:tcPr>
                  <w:tcW w:w="924" w:type="dxa"/>
                  <w:vAlign w:val="center"/>
                </w:tcPr>
                <w:p w14:paraId="4F888B4B">
                  <w:pPr>
                    <w:widowControl/>
                    <w:jc w:val="center"/>
                    <w:textAlignment w:val="center"/>
                    <w:rPr>
                      <w:color w:val="auto"/>
                      <w:kern w:val="0"/>
                      <w:szCs w:val="21"/>
                    </w:rPr>
                  </w:pPr>
                  <w:r>
                    <w:rPr>
                      <w:color w:val="auto"/>
                      <w:kern w:val="0"/>
                      <w:szCs w:val="21"/>
                    </w:rPr>
                    <w:t>0.300</w:t>
                  </w:r>
                </w:p>
              </w:tc>
              <w:tc>
                <w:tcPr>
                  <w:tcW w:w="777" w:type="dxa"/>
                  <w:vAlign w:val="center"/>
                </w:tcPr>
                <w:p w14:paraId="03E67F64">
                  <w:pPr>
                    <w:widowControl/>
                    <w:jc w:val="center"/>
                    <w:textAlignment w:val="center"/>
                    <w:rPr>
                      <w:color w:val="auto"/>
                      <w:kern w:val="0"/>
                      <w:szCs w:val="21"/>
                    </w:rPr>
                  </w:pPr>
                  <w:r>
                    <w:rPr>
                      <w:color w:val="auto"/>
                      <w:kern w:val="0"/>
                      <w:szCs w:val="21"/>
                    </w:rPr>
                    <w:t>0.400</w:t>
                  </w:r>
                </w:p>
              </w:tc>
              <w:tc>
                <w:tcPr>
                  <w:tcW w:w="984" w:type="dxa"/>
                  <w:vAlign w:val="center"/>
                </w:tcPr>
                <w:p w14:paraId="4BE72A64">
                  <w:pPr>
                    <w:widowControl/>
                    <w:jc w:val="center"/>
                    <w:textAlignment w:val="center"/>
                    <w:rPr>
                      <w:color w:val="auto"/>
                      <w:kern w:val="0"/>
                      <w:szCs w:val="21"/>
                    </w:rPr>
                  </w:pPr>
                  <w:r>
                    <w:rPr>
                      <w:color w:val="auto"/>
                      <w:kern w:val="0"/>
                      <w:szCs w:val="21"/>
                    </w:rPr>
                    <w:t>0</w:t>
                  </w:r>
                </w:p>
              </w:tc>
              <w:tc>
                <w:tcPr>
                  <w:tcW w:w="984" w:type="dxa"/>
                  <w:vAlign w:val="center"/>
                </w:tcPr>
                <w:p w14:paraId="03B5A022">
                  <w:pPr>
                    <w:widowControl/>
                    <w:jc w:val="center"/>
                    <w:textAlignment w:val="center"/>
                    <w:rPr>
                      <w:color w:val="auto"/>
                      <w:kern w:val="0"/>
                      <w:szCs w:val="21"/>
                    </w:rPr>
                  </w:pPr>
                  <w:r>
                    <w:rPr>
                      <w:color w:val="auto"/>
                      <w:kern w:val="0"/>
                      <w:szCs w:val="21"/>
                    </w:rPr>
                    <w:t>0.002</w:t>
                  </w:r>
                </w:p>
              </w:tc>
            </w:tr>
            <w:tr w14:paraId="2D73C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0AB372C5">
                  <w:pPr>
                    <w:widowControl/>
                    <w:adjustRightInd w:val="0"/>
                    <w:snapToGrid w:val="0"/>
                    <w:jc w:val="center"/>
                    <w:rPr>
                      <w:color w:val="auto"/>
                      <w:kern w:val="0"/>
                      <w:szCs w:val="21"/>
                    </w:rPr>
                  </w:pPr>
                </w:p>
              </w:tc>
              <w:tc>
                <w:tcPr>
                  <w:tcW w:w="1353" w:type="dxa"/>
                  <w:vAlign w:val="center"/>
                </w:tcPr>
                <w:p w14:paraId="5A412BD4">
                  <w:pPr>
                    <w:widowControl/>
                    <w:adjustRightInd w:val="0"/>
                    <w:snapToGrid w:val="0"/>
                    <w:jc w:val="center"/>
                    <w:rPr>
                      <w:color w:val="auto"/>
                      <w:kern w:val="0"/>
                      <w:szCs w:val="21"/>
                    </w:rPr>
                  </w:pPr>
                  <w:r>
                    <w:rPr>
                      <w:color w:val="auto"/>
                      <w:kern w:val="0"/>
                      <w:szCs w:val="21"/>
                    </w:rPr>
                    <w:t>超标率%</w:t>
                  </w:r>
                </w:p>
              </w:tc>
              <w:tc>
                <w:tcPr>
                  <w:tcW w:w="967" w:type="dxa"/>
                  <w:vAlign w:val="center"/>
                </w:tcPr>
                <w:p w14:paraId="59C423B1">
                  <w:pPr>
                    <w:widowControl/>
                    <w:adjustRightInd w:val="0"/>
                    <w:snapToGrid w:val="0"/>
                    <w:jc w:val="center"/>
                    <w:rPr>
                      <w:color w:val="auto"/>
                      <w:kern w:val="0"/>
                      <w:szCs w:val="21"/>
                    </w:rPr>
                  </w:pPr>
                  <w:r>
                    <w:rPr>
                      <w:color w:val="auto"/>
                      <w:kern w:val="0"/>
                      <w:szCs w:val="21"/>
                    </w:rPr>
                    <w:t>0</w:t>
                  </w:r>
                </w:p>
              </w:tc>
              <w:tc>
                <w:tcPr>
                  <w:tcW w:w="877" w:type="dxa"/>
                  <w:shd w:val="clear" w:color="auto" w:fill="auto"/>
                  <w:vAlign w:val="center"/>
                </w:tcPr>
                <w:p w14:paraId="4CC5960E">
                  <w:pPr>
                    <w:widowControl/>
                    <w:adjustRightInd w:val="0"/>
                    <w:snapToGrid w:val="0"/>
                    <w:jc w:val="center"/>
                    <w:rPr>
                      <w:rFonts w:ascii="Times New Roman" w:hAnsi="Times New Roman" w:eastAsia="宋体" w:cs="Times New Roman"/>
                      <w:color w:val="auto"/>
                      <w:kern w:val="0"/>
                      <w:sz w:val="21"/>
                      <w:szCs w:val="21"/>
                      <w:lang w:val="en-US" w:eastAsia="zh-CN" w:bidi="ar-SA"/>
                    </w:rPr>
                  </w:pPr>
                  <w:r>
                    <w:rPr>
                      <w:color w:val="auto"/>
                      <w:kern w:val="0"/>
                      <w:szCs w:val="21"/>
                    </w:rPr>
                    <w:t>0</w:t>
                  </w:r>
                </w:p>
              </w:tc>
              <w:tc>
                <w:tcPr>
                  <w:tcW w:w="995" w:type="dxa"/>
                  <w:vAlign w:val="center"/>
                </w:tcPr>
                <w:p w14:paraId="3FF84EA1">
                  <w:pPr>
                    <w:widowControl/>
                    <w:adjustRightInd w:val="0"/>
                    <w:snapToGrid w:val="0"/>
                    <w:jc w:val="center"/>
                    <w:rPr>
                      <w:color w:val="auto"/>
                      <w:kern w:val="0"/>
                      <w:szCs w:val="21"/>
                    </w:rPr>
                  </w:pPr>
                  <w:r>
                    <w:rPr>
                      <w:color w:val="auto"/>
                      <w:kern w:val="0"/>
                      <w:szCs w:val="21"/>
                    </w:rPr>
                    <w:t>0</w:t>
                  </w:r>
                </w:p>
              </w:tc>
              <w:tc>
                <w:tcPr>
                  <w:tcW w:w="850" w:type="dxa"/>
                  <w:vAlign w:val="center"/>
                </w:tcPr>
                <w:p w14:paraId="1A2850F4">
                  <w:pPr>
                    <w:widowControl/>
                    <w:adjustRightInd w:val="0"/>
                    <w:snapToGrid w:val="0"/>
                    <w:jc w:val="center"/>
                    <w:rPr>
                      <w:color w:val="auto"/>
                      <w:kern w:val="0"/>
                      <w:szCs w:val="21"/>
                    </w:rPr>
                  </w:pPr>
                  <w:r>
                    <w:rPr>
                      <w:color w:val="auto"/>
                      <w:kern w:val="0"/>
                      <w:szCs w:val="21"/>
                    </w:rPr>
                    <w:t>0</w:t>
                  </w:r>
                </w:p>
              </w:tc>
              <w:tc>
                <w:tcPr>
                  <w:tcW w:w="918" w:type="dxa"/>
                  <w:vAlign w:val="center"/>
                </w:tcPr>
                <w:p w14:paraId="185ADE4A">
                  <w:pPr>
                    <w:widowControl/>
                    <w:adjustRightInd w:val="0"/>
                    <w:snapToGrid w:val="0"/>
                    <w:jc w:val="center"/>
                    <w:rPr>
                      <w:color w:val="auto"/>
                      <w:kern w:val="0"/>
                      <w:szCs w:val="21"/>
                    </w:rPr>
                  </w:pPr>
                  <w:r>
                    <w:rPr>
                      <w:color w:val="auto"/>
                      <w:kern w:val="0"/>
                      <w:szCs w:val="21"/>
                    </w:rPr>
                    <w:t>0</w:t>
                  </w:r>
                </w:p>
              </w:tc>
              <w:tc>
                <w:tcPr>
                  <w:tcW w:w="850" w:type="dxa"/>
                  <w:vAlign w:val="center"/>
                </w:tcPr>
                <w:p w14:paraId="347D33FC">
                  <w:pPr>
                    <w:widowControl/>
                    <w:adjustRightInd w:val="0"/>
                    <w:snapToGrid w:val="0"/>
                    <w:jc w:val="center"/>
                    <w:rPr>
                      <w:color w:val="auto"/>
                      <w:kern w:val="0"/>
                      <w:szCs w:val="21"/>
                    </w:rPr>
                  </w:pPr>
                  <w:r>
                    <w:rPr>
                      <w:color w:val="auto"/>
                      <w:kern w:val="0"/>
                      <w:szCs w:val="21"/>
                    </w:rPr>
                    <w:t>0</w:t>
                  </w:r>
                </w:p>
              </w:tc>
              <w:tc>
                <w:tcPr>
                  <w:tcW w:w="851" w:type="dxa"/>
                  <w:vAlign w:val="center"/>
                </w:tcPr>
                <w:p w14:paraId="4DE03CB6">
                  <w:pPr>
                    <w:widowControl/>
                    <w:adjustRightInd w:val="0"/>
                    <w:snapToGrid w:val="0"/>
                    <w:jc w:val="center"/>
                    <w:rPr>
                      <w:color w:val="auto"/>
                      <w:kern w:val="0"/>
                      <w:szCs w:val="21"/>
                    </w:rPr>
                  </w:pPr>
                  <w:r>
                    <w:rPr>
                      <w:color w:val="auto"/>
                      <w:kern w:val="0"/>
                      <w:szCs w:val="21"/>
                    </w:rPr>
                    <w:t>0</w:t>
                  </w:r>
                </w:p>
              </w:tc>
              <w:tc>
                <w:tcPr>
                  <w:tcW w:w="916" w:type="dxa"/>
                  <w:vAlign w:val="center"/>
                </w:tcPr>
                <w:p w14:paraId="4B90C28C">
                  <w:pPr>
                    <w:widowControl/>
                    <w:adjustRightInd w:val="0"/>
                    <w:snapToGrid w:val="0"/>
                    <w:jc w:val="center"/>
                    <w:rPr>
                      <w:color w:val="auto"/>
                      <w:kern w:val="0"/>
                      <w:szCs w:val="21"/>
                    </w:rPr>
                  </w:pPr>
                  <w:r>
                    <w:rPr>
                      <w:color w:val="auto"/>
                      <w:kern w:val="0"/>
                      <w:szCs w:val="21"/>
                    </w:rPr>
                    <w:t>0</w:t>
                  </w:r>
                </w:p>
              </w:tc>
              <w:tc>
                <w:tcPr>
                  <w:tcW w:w="985" w:type="dxa"/>
                  <w:vAlign w:val="center"/>
                </w:tcPr>
                <w:p w14:paraId="7C13FE90">
                  <w:pPr>
                    <w:widowControl/>
                    <w:adjustRightInd w:val="0"/>
                    <w:snapToGrid w:val="0"/>
                    <w:jc w:val="center"/>
                    <w:rPr>
                      <w:color w:val="auto"/>
                      <w:kern w:val="0"/>
                      <w:szCs w:val="21"/>
                    </w:rPr>
                  </w:pPr>
                  <w:r>
                    <w:rPr>
                      <w:color w:val="auto"/>
                      <w:kern w:val="0"/>
                      <w:szCs w:val="21"/>
                    </w:rPr>
                    <w:t>0</w:t>
                  </w:r>
                </w:p>
              </w:tc>
              <w:tc>
                <w:tcPr>
                  <w:tcW w:w="924" w:type="dxa"/>
                  <w:vAlign w:val="center"/>
                </w:tcPr>
                <w:p w14:paraId="5318E680">
                  <w:pPr>
                    <w:widowControl/>
                    <w:adjustRightInd w:val="0"/>
                    <w:snapToGrid w:val="0"/>
                    <w:jc w:val="center"/>
                    <w:rPr>
                      <w:color w:val="auto"/>
                      <w:kern w:val="0"/>
                      <w:szCs w:val="21"/>
                    </w:rPr>
                  </w:pPr>
                  <w:r>
                    <w:rPr>
                      <w:color w:val="auto"/>
                      <w:kern w:val="0"/>
                      <w:szCs w:val="21"/>
                    </w:rPr>
                    <w:t>0</w:t>
                  </w:r>
                </w:p>
              </w:tc>
              <w:tc>
                <w:tcPr>
                  <w:tcW w:w="777" w:type="dxa"/>
                  <w:vAlign w:val="center"/>
                </w:tcPr>
                <w:p w14:paraId="1B44DE8D">
                  <w:pPr>
                    <w:widowControl/>
                    <w:adjustRightInd w:val="0"/>
                    <w:snapToGrid w:val="0"/>
                    <w:jc w:val="center"/>
                    <w:rPr>
                      <w:color w:val="auto"/>
                      <w:kern w:val="0"/>
                      <w:szCs w:val="21"/>
                    </w:rPr>
                  </w:pPr>
                  <w:r>
                    <w:rPr>
                      <w:color w:val="auto"/>
                      <w:kern w:val="0"/>
                      <w:szCs w:val="21"/>
                    </w:rPr>
                    <w:t>0</w:t>
                  </w:r>
                </w:p>
              </w:tc>
              <w:tc>
                <w:tcPr>
                  <w:tcW w:w="984" w:type="dxa"/>
                  <w:vAlign w:val="center"/>
                </w:tcPr>
                <w:p w14:paraId="32BE9DAF">
                  <w:pPr>
                    <w:widowControl/>
                    <w:adjustRightInd w:val="0"/>
                    <w:snapToGrid w:val="0"/>
                    <w:jc w:val="center"/>
                    <w:rPr>
                      <w:color w:val="auto"/>
                      <w:kern w:val="0"/>
                      <w:szCs w:val="21"/>
                    </w:rPr>
                  </w:pPr>
                  <w:r>
                    <w:rPr>
                      <w:color w:val="auto"/>
                      <w:kern w:val="0"/>
                      <w:szCs w:val="21"/>
                    </w:rPr>
                    <w:t>0</w:t>
                  </w:r>
                </w:p>
              </w:tc>
              <w:tc>
                <w:tcPr>
                  <w:tcW w:w="984" w:type="dxa"/>
                  <w:vAlign w:val="center"/>
                </w:tcPr>
                <w:p w14:paraId="20431BAD">
                  <w:pPr>
                    <w:widowControl/>
                    <w:adjustRightInd w:val="0"/>
                    <w:snapToGrid w:val="0"/>
                    <w:jc w:val="center"/>
                    <w:rPr>
                      <w:color w:val="auto"/>
                      <w:kern w:val="0"/>
                      <w:szCs w:val="21"/>
                    </w:rPr>
                  </w:pPr>
                  <w:r>
                    <w:rPr>
                      <w:color w:val="auto"/>
                      <w:kern w:val="0"/>
                      <w:szCs w:val="21"/>
                    </w:rPr>
                    <w:t>0</w:t>
                  </w:r>
                </w:p>
              </w:tc>
            </w:tr>
            <w:tr w14:paraId="407CF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41132C59">
                  <w:pPr>
                    <w:widowControl/>
                    <w:adjustRightInd w:val="0"/>
                    <w:snapToGrid w:val="0"/>
                    <w:jc w:val="center"/>
                    <w:rPr>
                      <w:color w:val="auto"/>
                      <w:kern w:val="0"/>
                      <w:szCs w:val="21"/>
                    </w:rPr>
                  </w:pPr>
                </w:p>
              </w:tc>
              <w:tc>
                <w:tcPr>
                  <w:tcW w:w="1353" w:type="dxa"/>
                  <w:vAlign w:val="center"/>
                </w:tcPr>
                <w:p w14:paraId="26A99A9A">
                  <w:pPr>
                    <w:widowControl/>
                    <w:adjustRightInd w:val="0"/>
                    <w:snapToGrid w:val="0"/>
                    <w:jc w:val="center"/>
                    <w:rPr>
                      <w:color w:val="auto"/>
                      <w:kern w:val="0"/>
                      <w:szCs w:val="21"/>
                    </w:rPr>
                  </w:pPr>
                  <w:r>
                    <w:rPr>
                      <w:color w:val="auto"/>
                      <w:kern w:val="0"/>
                      <w:szCs w:val="21"/>
                    </w:rPr>
                    <w:t>达标情况</w:t>
                  </w:r>
                </w:p>
              </w:tc>
              <w:tc>
                <w:tcPr>
                  <w:tcW w:w="967" w:type="dxa"/>
                  <w:vAlign w:val="center"/>
                </w:tcPr>
                <w:p w14:paraId="604473DC">
                  <w:pPr>
                    <w:widowControl/>
                    <w:adjustRightInd w:val="0"/>
                    <w:snapToGrid w:val="0"/>
                    <w:jc w:val="center"/>
                    <w:rPr>
                      <w:color w:val="auto"/>
                      <w:kern w:val="0"/>
                      <w:szCs w:val="21"/>
                    </w:rPr>
                  </w:pPr>
                  <w:r>
                    <w:rPr>
                      <w:color w:val="auto"/>
                      <w:kern w:val="0"/>
                      <w:szCs w:val="21"/>
                    </w:rPr>
                    <w:t>达标</w:t>
                  </w:r>
                </w:p>
              </w:tc>
              <w:tc>
                <w:tcPr>
                  <w:tcW w:w="877" w:type="dxa"/>
                  <w:shd w:val="clear" w:color="auto" w:fill="auto"/>
                  <w:vAlign w:val="center"/>
                </w:tcPr>
                <w:p w14:paraId="4E7EE669">
                  <w:pPr>
                    <w:widowControl/>
                    <w:adjustRightInd w:val="0"/>
                    <w:snapToGrid w:val="0"/>
                    <w:jc w:val="center"/>
                    <w:rPr>
                      <w:rFonts w:ascii="Times New Roman" w:hAnsi="Times New Roman" w:eastAsia="宋体" w:cs="Times New Roman"/>
                      <w:color w:val="auto"/>
                      <w:kern w:val="0"/>
                      <w:sz w:val="21"/>
                      <w:szCs w:val="21"/>
                      <w:lang w:val="en-US" w:eastAsia="zh-CN" w:bidi="ar-SA"/>
                    </w:rPr>
                  </w:pPr>
                  <w:r>
                    <w:rPr>
                      <w:color w:val="auto"/>
                      <w:kern w:val="0"/>
                      <w:szCs w:val="21"/>
                    </w:rPr>
                    <w:t>达标</w:t>
                  </w:r>
                </w:p>
              </w:tc>
              <w:tc>
                <w:tcPr>
                  <w:tcW w:w="995" w:type="dxa"/>
                  <w:vAlign w:val="center"/>
                </w:tcPr>
                <w:p w14:paraId="624759E6">
                  <w:pPr>
                    <w:widowControl/>
                    <w:adjustRightInd w:val="0"/>
                    <w:snapToGrid w:val="0"/>
                    <w:jc w:val="center"/>
                    <w:rPr>
                      <w:color w:val="auto"/>
                      <w:kern w:val="0"/>
                      <w:szCs w:val="21"/>
                    </w:rPr>
                  </w:pPr>
                  <w:r>
                    <w:rPr>
                      <w:color w:val="auto"/>
                      <w:kern w:val="0"/>
                      <w:szCs w:val="21"/>
                    </w:rPr>
                    <w:t>达标</w:t>
                  </w:r>
                </w:p>
              </w:tc>
              <w:tc>
                <w:tcPr>
                  <w:tcW w:w="850" w:type="dxa"/>
                  <w:vAlign w:val="center"/>
                </w:tcPr>
                <w:p w14:paraId="19BD6A50">
                  <w:pPr>
                    <w:widowControl/>
                    <w:adjustRightInd w:val="0"/>
                    <w:snapToGrid w:val="0"/>
                    <w:jc w:val="center"/>
                    <w:rPr>
                      <w:color w:val="auto"/>
                      <w:kern w:val="0"/>
                      <w:szCs w:val="21"/>
                    </w:rPr>
                  </w:pPr>
                  <w:r>
                    <w:rPr>
                      <w:color w:val="auto"/>
                      <w:kern w:val="0"/>
                      <w:szCs w:val="21"/>
                    </w:rPr>
                    <w:t>达标</w:t>
                  </w:r>
                </w:p>
              </w:tc>
              <w:tc>
                <w:tcPr>
                  <w:tcW w:w="918" w:type="dxa"/>
                  <w:vAlign w:val="center"/>
                </w:tcPr>
                <w:p w14:paraId="0A44E0CD">
                  <w:pPr>
                    <w:widowControl/>
                    <w:adjustRightInd w:val="0"/>
                    <w:snapToGrid w:val="0"/>
                    <w:jc w:val="center"/>
                    <w:rPr>
                      <w:color w:val="auto"/>
                      <w:kern w:val="0"/>
                      <w:szCs w:val="21"/>
                    </w:rPr>
                  </w:pPr>
                  <w:r>
                    <w:rPr>
                      <w:color w:val="auto"/>
                      <w:kern w:val="0"/>
                      <w:szCs w:val="21"/>
                    </w:rPr>
                    <w:t>达标</w:t>
                  </w:r>
                </w:p>
              </w:tc>
              <w:tc>
                <w:tcPr>
                  <w:tcW w:w="850" w:type="dxa"/>
                  <w:vAlign w:val="center"/>
                </w:tcPr>
                <w:p w14:paraId="0D71CE08">
                  <w:pPr>
                    <w:widowControl/>
                    <w:adjustRightInd w:val="0"/>
                    <w:snapToGrid w:val="0"/>
                    <w:jc w:val="center"/>
                    <w:rPr>
                      <w:color w:val="auto"/>
                      <w:kern w:val="0"/>
                      <w:szCs w:val="21"/>
                    </w:rPr>
                  </w:pPr>
                  <w:r>
                    <w:rPr>
                      <w:color w:val="auto"/>
                      <w:kern w:val="0"/>
                      <w:szCs w:val="21"/>
                    </w:rPr>
                    <w:t>达标</w:t>
                  </w:r>
                </w:p>
              </w:tc>
              <w:tc>
                <w:tcPr>
                  <w:tcW w:w="851" w:type="dxa"/>
                  <w:vAlign w:val="center"/>
                </w:tcPr>
                <w:p w14:paraId="49A81324">
                  <w:pPr>
                    <w:widowControl/>
                    <w:adjustRightInd w:val="0"/>
                    <w:snapToGrid w:val="0"/>
                    <w:jc w:val="center"/>
                    <w:rPr>
                      <w:color w:val="auto"/>
                      <w:kern w:val="0"/>
                      <w:szCs w:val="21"/>
                    </w:rPr>
                  </w:pPr>
                  <w:r>
                    <w:rPr>
                      <w:color w:val="auto"/>
                      <w:kern w:val="0"/>
                      <w:szCs w:val="21"/>
                    </w:rPr>
                    <w:t>达标</w:t>
                  </w:r>
                </w:p>
              </w:tc>
              <w:tc>
                <w:tcPr>
                  <w:tcW w:w="916" w:type="dxa"/>
                  <w:vAlign w:val="center"/>
                </w:tcPr>
                <w:p w14:paraId="5A9A3821">
                  <w:pPr>
                    <w:widowControl/>
                    <w:adjustRightInd w:val="0"/>
                    <w:snapToGrid w:val="0"/>
                    <w:jc w:val="center"/>
                    <w:rPr>
                      <w:color w:val="auto"/>
                      <w:kern w:val="0"/>
                      <w:szCs w:val="21"/>
                    </w:rPr>
                  </w:pPr>
                  <w:r>
                    <w:rPr>
                      <w:color w:val="auto"/>
                      <w:kern w:val="0"/>
                      <w:szCs w:val="21"/>
                    </w:rPr>
                    <w:t>达标</w:t>
                  </w:r>
                </w:p>
              </w:tc>
              <w:tc>
                <w:tcPr>
                  <w:tcW w:w="985" w:type="dxa"/>
                  <w:vAlign w:val="center"/>
                </w:tcPr>
                <w:p w14:paraId="64C7991B">
                  <w:pPr>
                    <w:widowControl/>
                    <w:adjustRightInd w:val="0"/>
                    <w:snapToGrid w:val="0"/>
                    <w:jc w:val="center"/>
                    <w:rPr>
                      <w:color w:val="auto"/>
                      <w:kern w:val="0"/>
                      <w:szCs w:val="21"/>
                    </w:rPr>
                  </w:pPr>
                  <w:r>
                    <w:rPr>
                      <w:color w:val="auto"/>
                      <w:kern w:val="0"/>
                      <w:szCs w:val="21"/>
                    </w:rPr>
                    <w:t>达标</w:t>
                  </w:r>
                </w:p>
              </w:tc>
              <w:tc>
                <w:tcPr>
                  <w:tcW w:w="924" w:type="dxa"/>
                  <w:vAlign w:val="center"/>
                </w:tcPr>
                <w:p w14:paraId="51509A03">
                  <w:pPr>
                    <w:widowControl/>
                    <w:adjustRightInd w:val="0"/>
                    <w:snapToGrid w:val="0"/>
                    <w:jc w:val="center"/>
                    <w:rPr>
                      <w:color w:val="auto"/>
                      <w:kern w:val="0"/>
                      <w:szCs w:val="21"/>
                    </w:rPr>
                  </w:pPr>
                  <w:r>
                    <w:rPr>
                      <w:color w:val="auto"/>
                      <w:kern w:val="0"/>
                      <w:szCs w:val="21"/>
                    </w:rPr>
                    <w:t>达标</w:t>
                  </w:r>
                </w:p>
              </w:tc>
              <w:tc>
                <w:tcPr>
                  <w:tcW w:w="777" w:type="dxa"/>
                  <w:vAlign w:val="center"/>
                </w:tcPr>
                <w:p w14:paraId="643F231F">
                  <w:pPr>
                    <w:widowControl/>
                    <w:adjustRightInd w:val="0"/>
                    <w:snapToGrid w:val="0"/>
                    <w:jc w:val="center"/>
                    <w:rPr>
                      <w:color w:val="auto"/>
                      <w:kern w:val="0"/>
                      <w:szCs w:val="21"/>
                    </w:rPr>
                  </w:pPr>
                  <w:r>
                    <w:rPr>
                      <w:color w:val="auto"/>
                      <w:kern w:val="0"/>
                      <w:szCs w:val="21"/>
                    </w:rPr>
                    <w:t>达标</w:t>
                  </w:r>
                </w:p>
              </w:tc>
              <w:tc>
                <w:tcPr>
                  <w:tcW w:w="984" w:type="dxa"/>
                  <w:vAlign w:val="center"/>
                </w:tcPr>
                <w:p w14:paraId="7C46E362">
                  <w:pPr>
                    <w:widowControl/>
                    <w:adjustRightInd w:val="0"/>
                    <w:snapToGrid w:val="0"/>
                    <w:jc w:val="center"/>
                    <w:rPr>
                      <w:color w:val="auto"/>
                      <w:kern w:val="0"/>
                      <w:szCs w:val="21"/>
                    </w:rPr>
                  </w:pPr>
                  <w:r>
                    <w:rPr>
                      <w:color w:val="auto"/>
                      <w:kern w:val="0"/>
                      <w:szCs w:val="21"/>
                    </w:rPr>
                    <w:t>达标</w:t>
                  </w:r>
                </w:p>
              </w:tc>
              <w:tc>
                <w:tcPr>
                  <w:tcW w:w="984" w:type="dxa"/>
                  <w:vAlign w:val="center"/>
                </w:tcPr>
                <w:p w14:paraId="75108C8C">
                  <w:pPr>
                    <w:widowControl/>
                    <w:adjustRightInd w:val="0"/>
                    <w:snapToGrid w:val="0"/>
                    <w:jc w:val="center"/>
                    <w:rPr>
                      <w:color w:val="auto"/>
                      <w:kern w:val="0"/>
                      <w:szCs w:val="21"/>
                    </w:rPr>
                  </w:pPr>
                  <w:r>
                    <w:rPr>
                      <w:color w:val="auto"/>
                      <w:kern w:val="0"/>
                      <w:szCs w:val="21"/>
                    </w:rPr>
                    <w:t>达标</w:t>
                  </w:r>
                </w:p>
              </w:tc>
            </w:tr>
            <w:tr w14:paraId="204A5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restart"/>
                  <w:vAlign w:val="center"/>
                </w:tcPr>
                <w:p w14:paraId="15FAB4C4">
                  <w:pPr>
                    <w:widowControl/>
                    <w:adjustRightInd w:val="0"/>
                    <w:snapToGrid w:val="0"/>
                    <w:jc w:val="center"/>
                    <w:rPr>
                      <w:color w:val="auto"/>
                      <w:kern w:val="0"/>
                      <w:szCs w:val="21"/>
                    </w:rPr>
                  </w:pPr>
                  <w:r>
                    <w:rPr>
                      <w:color w:val="auto"/>
                      <w:kern w:val="0"/>
                      <w:szCs w:val="21"/>
                    </w:rPr>
                    <w:t>W5</w:t>
                  </w:r>
                </w:p>
              </w:tc>
              <w:tc>
                <w:tcPr>
                  <w:tcW w:w="1353" w:type="dxa"/>
                  <w:vAlign w:val="center"/>
                </w:tcPr>
                <w:p w14:paraId="26233821">
                  <w:pPr>
                    <w:pStyle w:val="82"/>
                    <w:spacing w:line="240" w:lineRule="auto"/>
                    <w:ind w:firstLine="0"/>
                    <w:rPr>
                      <w:color w:val="auto"/>
                      <w:szCs w:val="21"/>
                    </w:rPr>
                  </w:pPr>
                  <w:r>
                    <w:rPr>
                      <w:color w:val="auto"/>
                      <w:szCs w:val="21"/>
                    </w:rPr>
                    <w:t>最大值</w:t>
                  </w:r>
                </w:p>
              </w:tc>
              <w:tc>
                <w:tcPr>
                  <w:tcW w:w="967" w:type="dxa"/>
                  <w:vAlign w:val="center"/>
                </w:tcPr>
                <w:p w14:paraId="28CFD486">
                  <w:pPr>
                    <w:widowControl/>
                    <w:jc w:val="center"/>
                    <w:textAlignment w:val="center"/>
                    <w:rPr>
                      <w:color w:val="auto"/>
                      <w:kern w:val="0"/>
                      <w:szCs w:val="21"/>
                    </w:rPr>
                  </w:pPr>
                  <w:r>
                    <w:rPr>
                      <w:color w:val="auto"/>
                      <w:kern w:val="0"/>
                      <w:szCs w:val="21"/>
                    </w:rPr>
                    <w:t>7.3</w:t>
                  </w:r>
                </w:p>
              </w:tc>
              <w:tc>
                <w:tcPr>
                  <w:tcW w:w="877" w:type="dxa"/>
                  <w:vAlign w:val="center"/>
                </w:tcPr>
                <w:p w14:paraId="31A19D7C">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0.39</w:t>
                  </w:r>
                </w:p>
              </w:tc>
              <w:tc>
                <w:tcPr>
                  <w:tcW w:w="995" w:type="dxa"/>
                  <w:vAlign w:val="center"/>
                </w:tcPr>
                <w:p w14:paraId="2726A3F5">
                  <w:pPr>
                    <w:widowControl/>
                    <w:jc w:val="center"/>
                    <w:textAlignment w:val="center"/>
                    <w:rPr>
                      <w:color w:val="auto"/>
                      <w:kern w:val="0"/>
                      <w:szCs w:val="21"/>
                    </w:rPr>
                  </w:pPr>
                  <w:r>
                    <w:rPr>
                      <w:color w:val="auto"/>
                      <w:kern w:val="0"/>
                      <w:szCs w:val="21"/>
                    </w:rPr>
                    <w:t>3.5</w:t>
                  </w:r>
                </w:p>
              </w:tc>
              <w:tc>
                <w:tcPr>
                  <w:tcW w:w="850" w:type="dxa"/>
                  <w:vAlign w:val="center"/>
                </w:tcPr>
                <w:p w14:paraId="1F26534A">
                  <w:pPr>
                    <w:widowControl/>
                    <w:jc w:val="center"/>
                    <w:textAlignment w:val="center"/>
                    <w:rPr>
                      <w:color w:val="auto"/>
                      <w:kern w:val="0"/>
                      <w:szCs w:val="21"/>
                    </w:rPr>
                  </w:pPr>
                  <w:r>
                    <w:rPr>
                      <w:color w:val="auto"/>
                      <w:kern w:val="0"/>
                      <w:szCs w:val="21"/>
                    </w:rPr>
                    <w:t>13</w:t>
                  </w:r>
                </w:p>
              </w:tc>
              <w:tc>
                <w:tcPr>
                  <w:tcW w:w="918" w:type="dxa"/>
                  <w:vAlign w:val="center"/>
                </w:tcPr>
                <w:p w14:paraId="1E5C4AF2">
                  <w:pPr>
                    <w:widowControl/>
                    <w:jc w:val="center"/>
                    <w:textAlignment w:val="center"/>
                    <w:rPr>
                      <w:color w:val="auto"/>
                      <w:kern w:val="0"/>
                      <w:szCs w:val="21"/>
                    </w:rPr>
                  </w:pPr>
                  <w:r>
                    <w:rPr>
                      <w:color w:val="auto"/>
                      <w:kern w:val="0"/>
                      <w:szCs w:val="21"/>
                    </w:rPr>
                    <w:t>2.6</w:t>
                  </w:r>
                </w:p>
              </w:tc>
              <w:tc>
                <w:tcPr>
                  <w:tcW w:w="850" w:type="dxa"/>
                  <w:vAlign w:val="center"/>
                </w:tcPr>
                <w:p w14:paraId="6BB05F28">
                  <w:pPr>
                    <w:widowControl/>
                    <w:jc w:val="center"/>
                    <w:textAlignment w:val="center"/>
                    <w:rPr>
                      <w:color w:val="auto"/>
                      <w:kern w:val="0"/>
                      <w:szCs w:val="21"/>
                    </w:rPr>
                  </w:pPr>
                  <w:r>
                    <w:rPr>
                      <w:color w:val="auto"/>
                      <w:kern w:val="0"/>
                      <w:szCs w:val="21"/>
                    </w:rPr>
                    <w:t>0.139</w:t>
                  </w:r>
                </w:p>
              </w:tc>
              <w:tc>
                <w:tcPr>
                  <w:tcW w:w="851" w:type="dxa"/>
                  <w:vAlign w:val="center"/>
                </w:tcPr>
                <w:p w14:paraId="45012C2F">
                  <w:pPr>
                    <w:widowControl/>
                    <w:jc w:val="center"/>
                    <w:textAlignment w:val="center"/>
                    <w:rPr>
                      <w:color w:val="auto"/>
                      <w:kern w:val="0"/>
                      <w:szCs w:val="21"/>
                    </w:rPr>
                  </w:pPr>
                  <w:r>
                    <w:rPr>
                      <w:color w:val="auto"/>
                      <w:kern w:val="0"/>
                      <w:szCs w:val="21"/>
                    </w:rPr>
                    <w:t>0.04</w:t>
                  </w:r>
                </w:p>
              </w:tc>
              <w:tc>
                <w:tcPr>
                  <w:tcW w:w="916" w:type="dxa"/>
                  <w:vAlign w:val="center"/>
                </w:tcPr>
                <w:p w14:paraId="632CBEC7">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1999C41E">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6B955891">
                  <w:pPr>
                    <w:widowControl/>
                    <w:jc w:val="center"/>
                    <w:textAlignment w:val="center"/>
                    <w:rPr>
                      <w:color w:val="auto"/>
                      <w:kern w:val="0"/>
                      <w:szCs w:val="21"/>
                    </w:rPr>
                  </w:pPr>
                  <w:r>
                    <w:rPr>
                      <w:color w:val="auto"/>
                      <w:kern w:val="0"/>
                      <w:szCs w:val="21"/>
                    </w:rPr>
                    <w:t>0.0011</w:t>
                  </w:r>
                </w:p>
              </w:tc>
              <w:tc>
                <w:tcPr>
                  <w:tcW w:w="777" w:type="dxa"/>
                  <w:vAlign w:val="center"/>
                </w:tcPr>
                <w:p w14:paraId="3ADB81AF">
                  <w:pPr>
                    <w:widowControl/>
                    <w:jc w:val="center"/>
                    <w:textAlignment w:val="center"/>
                    <w:rPr>
                      <w:color w:val="auto"/>
                      <w:kern w:val="0"/>
                      <w:szCs w:val="21"/>
                    </w:rPr>
                  </w:pPr>
                  <w:r>
                    <w:rPr>
                      <w:color w:val="auto"/>
                      <w:kern w:val="0"/>
                      <w:szCs w:val="21"/>
                    </w:rPr>
                    <w:t>0.02</w:t>
                  </w:r>
                </w:p>
              </w:tc>
              <w:tc>
                <w:tcPr>
                  <w:tcW w:w="984" w:type="dxa"/>
                  <w:vAlign w:val="center"/>
                </w:tcPr>
                <w:p w14:paraId="1B10244F">
                  <w:pPr>
                    <w:widowControl/>
                    <w:jc w:val="center"/>
                    <w:textAlignment w:val="center"/>
                    <w:rPr>
                      <w:color w:val="auto"/>
                      <w:kern w:val="0"/>
                      <w:szCs w:val="21"/>
                    </w:rPr>
                  </w:pPr>
                  <w:r>
                    <w:rPr>
                      <w:color w:val="auto"/>
                      <w:kern w:val="0"/>
                      <w:szCs w:val="21"/>
                    </w:rPr>
                    <w:t>0.05</w:t>
                  </w:r>
                  <w:r>
                    <w:rPr>
                      <w:color w:val="auto"/>
                      <w:szCs w:val="21"/>
                    </w:rPr>
                    <w:t>L</w:t>
                  </w:r>
                </w:p>
              </w:tc>
              <w:tc>
                <w:tcPr>
                  <w:tcW w:w="984" w:type="dxa"/>
                  <w:vAlign w:val="center"/>
                </w:tcPr>
                <w:p w14:paraId="6680D2FA">
                  <w:pPr>
                    <w:widowControl/>
                    <w:jc w:val="center"/>
                    <w:textAlignment w:val="center"/>
                    <w:rPr>
                      <w:color w:val="auto"/>
                      <w:kern w:val="0"/>
                      <w:szCs w:val="21"/>
                    </w:rPr>
                  </w:pPr>
                  <w:r>
                    <w:rPr>
                      <w:color w:val="auto"/>
                      <w:kern w:val="0"/>
                      <w:szCs w:val="21"/>
                    </w:rPr>
                    <w:t>&lt;20</w:t>
                  </w:r>
                </w:p>
              </w:tc>
            </w:tr>
            <w:tr w14:paraId="5B221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21FDE232">
                  <w:pPr>
                    <w:widowControl/>
                    <w:adjustRightInd w:val="0"/>
                    <w:snapToGrid w:val="0"/>
                    <w:jc w:val="center"/>
                    <w:rPr>
                      <w:color w:val="auto"/>
                      <w:kern w:val="0"/>
                      <w:szCs w:val="21"/>
                    </w:rPr>
                  </w:pPr>
                </w:p>
              </w:tc>
              <w:tc>
                <w:tcPr>
                  <w:tcW w:w="1353" w:type="dxa"/>
                  <w:vAlign w:val="center"/>
                </w:tcPr>
                <w:p w14:paraId="20BC6378">
                  <w:pPr>
                    <w:pStyle w:val="82"/>
                    <w:spacing w:line="240" w:lineRule="auto"/>
                    <w:ind w:firstLine="0"/>
                    <w:rPr>
                      <w:color w:val="auto"/>
                      <w:szCs w:val="21"/>
                    </w:rPr>
                  </w:pPr>
                  <w:r>
                    <w:rPr>
                      <w:color w:val="auto"/>
                      <w:szCs w:val="21"/>
                    </w:rPr>
                    <w:t>最小值</w:t>
                  </w:r>
                </w:p>
              </w:tc>
              <w:tc>
                <w:tcPr>
                  <w:tcW w:w="967" w:type="dxa"/>
                  <w:vAlign w:val="center"/>
                </w:tcPr>
                <w:p w14:paraId="13BDBC43">
                  <w:pPr>
                    <w:widowControl/>
                    <w:jc w:val="center"/>
                    <w:textAlignment w:val="center"/>
                    <w:rPr>
                      <w:color w:val="auto"/>
                      <w:kern w:val="0"/>
                      <w:szCs w:val="21"/>
                    </w:rPr>
                  </w:pPr>
                  <w:r>
                    <w:rPr>
                      <w:color w:val="auto"/>
                      <w:kern w:val="0"/>
                      <w:szCs w:val="21"/>
                    </w:rPr>
                    <w:t>7.2</w:t>
                  </w:r>
                </w:p>
              </w:tc>
              <w:tc>
                <w:tcPr>
                  <w:tcW w:w="877" w:type="dxa"/>
                  <w:vAlign w:val="center"/>
                </w:tcPr>
                <w:p w14:paraId="005E4851">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w:t>
                  </w:r>
                </w:p>
              </w:tc>
              <w:tc>
                <w:tcPr>
                  <w:tcW w:w="995" w:type="dxa"/>
                  <w:vAlign w:val="center"/>
                </w:tcPr>
                <w:p w14:paraId="1423F4E1">
                  <w:pPr>
                    <w:widowControl/>
                    <w:jc w:val="center"/>
                    <w:textAlignment w:val="center"/>
                    <w:rPr>
                      <w:color w:val="auto"/>
                      <w:kern w:val="0"/>
                      <w:szCs w:val="21"/>
                    </w:rPr>
                  </w:pPr>
                  <w:r>
                    <w:rPr>
                      <w:color w:val="auto"/>
                      <w:kern w:val="0"/>
                      <w:szCs w:val="21"/>
                    </w:rPr>
                    <w:t>3.4</w:t>
                  </w:r>
                </w:p>
              </w:tc>
              <w:tc>
                <w:tcPr>
                  <w:tcW w:w="850" w:type="dxa"/>
                  <w:vAlign w:val="center"/>
                </w:tcPr>
                <w:p w14:paraId="00552698">
                  <w:pPr>
                    <w:widowControl/>
                    <w:jc w:val="center"/>
                    <w:textAlignment w:val="center"/>
                    <w:rPr>
                      <w:color w:val="auto"/>
                      <w:kern w:val="0"/>
                      <w:szCs w:val="21"/>
                    </w:rPr>
                  </w:pPr>
                  <w:r>
                    <w:rPr>
                      <w:color w:val="auto"/>
                      <w:kern w:val="0"/>
                      <w:szCs w:val="21"/>
                    </w:rPr>
                    <w:t>11</w:t>
                  </w:r>
                </w:p>
              </w:tc>
              <w:tc>
                <w:tcPr>
                  <w:tcW w:w="918" w:type="dxa"/>
                  <w:vAlign w:val="center"/>
                </w:tcPr>
                <w:p w14:paraId="5E15DC18">
                  <w:pPr>
                    <w:widowControl/>
                    <w:jc w:val="center"/>
                    <w:textAlignment w:val="center"/>
                    <w:rPr>
                      <w:color w:val="auto"/>
                      <w:kern w:val="0"/>
                      <w:szCs w:val="21"/>
                    </w:rPr>
                  </w:pPr>
                  <w:r>
                    <w:rPr>
                      <w:color w:val="auto"/>
                      <w:kern w:val="0"/>
                      <w:szCs w:val="21"/>
                    </w:rPr>
                    <w:t>2.2</w:t>
                  </w:r>
                </w:p>
              </w:tc>
              <w:tc>
                <w:tcPr>
                  <w:tcW w:w="850" w:type="dxa"/>
                  <w:vAlign w:val="center"/>
                </w:tcPr>
                <w:p w14:paraId="51352322">
                  <w:pPr>
                    <w:widowControl/>
                    <w:jc w:val="center"/>
                    <w:textAlignment w:val="center"/>
                    <w:rPr>
                      <w:color w:val="auto"/>
                      <w:kern w:val="0"/>
                      <w:szCs w:val="21"/>
                    </w:rPr>
                  </w:pPr>
                  <w:r>
                    <w:rPr>
                      <w:color w:val="auto"/>
                      <w:kern w:val="0"/>
                      <w:szCs w:val="21"/>
                    </w:rPr>
                    <w:t>0.136</w:t>
                  </w:r>
                </w:p>
              </w:tc>
              <w:tc>
                <w:tcPr>
                  <w:tcW w:w="851" w:type="dxa"/>
                  <w:vAlign w:val="center"/>
                </w:tcPr>
                <w:p w14:paraId="0A445EE7">
                  <w:pPr>
                    <w:widowControl/>
                    <w:jc w:val="center"/>
                    <w:textAlignment w:val="center"/>
                    <w:rPr>
                      <w:color w:val="auto"/>
                      <w:kern w:val="0"/>
                      <w:szCs w:val="21"/>
                    </w:rPr>
                  </w:pPr>
                  <w:r>
                    <w:rPr>
                      <w:color w:val="auto"/>
                      <w:kern w:val="0"/>
                      <w:szCs w:val="21"/>
                    </w:rPr>
                    <w:t>0.03</w:t>
                  </w:r>
                </w:p>
              </w:tc>
              <w:tc>
                <w:tcPr>
                  <w:tcW w:w="916" w:type="dxa"/>
                  <w:vAlign w:val="center"/>
                </w:tcPr>
                <w:p w14:paraId="18A5F48C">
                  <w:pPr>
                    <w:widowControl/>
                    <w:jc w:val="center"/>
                    <w:textAlignment w:val="center"/>
                    <w:rPr>
                      <w:color w:val="auto"/>
                      <w:kern w:val="0"/>
                      <w:szCs w:val="21"/>
                    </w:rPr>
                  </w:pPr>
                  <w:r>
                    <w:rPr>
                      <w:color w:val="auto"/>
                      <w:kern w:val="0"/>
                      <w:szCs w:val="21"/>
                    </w:rPr>
                    <w:t>0.04</w:t>
                  </w:r>
                  <w:r>
                    <w:rPr>
                      <w:color w:val="auto"/>
                      <w:szCs w:val="21"/>
                    </w:rPr>
                    <w:t>L</w:t>
                  </w:r>
                </w:p>
              </w:tc>
              <w:tc>
                <w:tcPr>
                  <w:tcW w:w="985" w:type="dxa"/>
                  <w:vAlign w:val="center"/>
                </w:tcPr>
                <w:p w14:paraId="1A54A0B0">
                  <w:pPr>
                    <w:widowControl/>
                    <w:jc w:val="center"/>
                    <w:textAlignment w:val="center"/>
                    <w:rPr>
                      <w:color w:val="auto"/>
                      <w:kern w:val="0"/>
                      <w:szCs w:val="21"/>
                    </w:rPr>
                  </w:pPr>
                  <w:r>
                    <w:rPr>
                      <w:color w:val="auto"/>
                      <w:kern w:val="0"/>
                      <w:szCs w:val="21"/>
                    </w:rPr>
                    <w:t>0.009</w:t>
                  </w:r>
                  <w:r>
                    <w:rPr>
                      <w:color w:val="auto"/>
                      <w:szCs w:val="21"/>
                    </w:rPr>
                    <w:t>L</w:t>
                  </w:r>
                </w:p>
              </w:tc>
              <w:tc>
                <w:tcPr>
                  <w:tcW w:w="924" w:type="dxa"/>
                  <w:vAlign w:val="center"/>
                </w:tcPr>
                <w:p w14:paraId="6C4266B7">
                  <w:pPr>
                    <w:widowControl/>
                    <w:jc w:val="center"/>
                    <w:textAlignment w:val="center"/>
                    <w:rPr>
                      <w:color w:val="auto"/>
                      <w:kern w:val="0"/>
                      <w:szCs w:val="21"/>
                    </w:rPr>
                  </w:pPr>
                  <w:r>
                    <w:rPr>
                      <w:color w:val="auto"/>
                      <w:kern w:val="0"/>
                      <w:szCs w:val="21"/>
                    </w:rPr>
                    <w:t>0.0009</w:t>
                  </w:r>
                </w:p>
              </w:tc>
              <w:tc>
                <w:tcPr>
                  <w:tcW w:w="777" w:type="dxa"/>
                  <w:vAlign w:val="center"/>
                </w:tcPr>
                <w:p w14:paraId="33D36598">
                  <w:pPr>
                    <w:widowControl/>
                    <w:jc w:val="center"/>
                    <w:textAlignment w:val="center"/>
                    <w:rPr>
                      <w:color w:val="auto"/>
                      <w:kern w:val="0"/>
                      <w:szCs w:val="21"/>
                    </w:rPr>
                  </w:pPr>
                  <w:r>
                    <w:rPr>
                      <w:color w:val="auto"/>
                      <w:kern w:val="0"/>
                      <w:szCs w:val="21"/>
                    </w:rPr>
                    <w:t>0.01</w:t>
                  </w:r>
                </w:p>
              </w:tc>
              <w:tc>
                <w:tcPr>
                  <w:tcW w:w="984" w:type="dxa"/>
                  <w:vAlign w:val="center"/>
                </w:tcPr>
                <w:p w14:paraId="0D53F896">
                  <w:pPr>
                    <w:widowControl/>
                    <w:jc w:val="center"/>
                    <w:textAlignment w:val="center"/>
                    <w:rPr>
                      <w:color w:val="auto"/>
                      <w:kern w:val="0"/>
                      <w:szCs w:val="21"/>
                    </w:rPr>
                  </w:pPr>
                  <w:r>
                    <w:rPr>
                      <w:color w:val="auto"/>
                      <w:kern w:val="0"/>
                      <w:szCs w:val="21"/>
                    </w:rPr>
                    <w:t>0.04</w:t>
                  </w:r>
                  <w:r>
                    <w:rPr>
                      <w:color w:val="auto"/>
                      <w:szCs w:val="21"/>
                    </w:rPr>
                    <w:t>L</w:t>
                  </w:r>
                </w:p>
              </w:tc>
              <w:tc>
                <w:tcPr>
                  <w:tcW w:w="984" w:type="dxa"/>
                  <w:vAlign w:val="center"/>
                </w:tcPr>
                <w:p w14:paraId="4CBD88AC">
                  <w:pPr>
                    <w:widowControl/>
                    <w:jc w:val="center"/>
                    <w:textAlignment w:val="center"/>
                    <w:rPr>
                      <w:color w:val="auto"/>
                      <w:kern w:val="0"/>
                      <w:szCs w:val="21"/>
                    </w:rPr>
                  </w:pPr>
                  <w:r>
                    <w:rPr>
                      <w:color w:val="auto"/>
                      <w:kern w:val="0"/>
                      <w:szCs w:val="21"/>
                    </w:rPr>
                    <w:t>&lt;20</w:t>
                  </w:r>
                </w:p>
              </w:tc>
            </w:tr>
            <w:tr w14:paraId="77E60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18FB2E87">
                  <w:pPr>
                    <w:widowControl/>
                    <w:adjustRightInd w:val="0"/>
                    <w:snapToGrid w:val="0"/>
                    <w:jc w:val="center"/>
                    <w:rPr>
                      <w:color w:val="auto"/>
                      <w:kern w:val="0"/>
                      <w:szCs w:val="21"/>
                    </w:rPr>
                  </w:pPr>
                </w:p>
              </w:tc>
              <w:tc>
                <w:tcPr>
                  <w:tcW w:w="1353" w:type="dxa"/>
                  <w:vAlign w:val="center"/>
                </w:tcPr>
                <w:p w14:paraId="02CC752B">
                  <w:pPr>
                    <w:widowControl/>
                    <w:adjustRightInd w:val="0"/>
                    <w:snapToGrid w:val="0"/>
                    <w:jc w:val="center"/>
                    <w:rPr>
                      <w:color w:val="auto"/>
                      <w:kern w:val="0"/>
                      <w:szCs w:val="21"/>
                    </w:rPr>
                  </w:pPr>
                  <w:r>
                    <w:rPr>
                      <w:color w:val="auto"/>
                      <w:kern w:val="0"/>
                      <w:szCs w:val="21"/>
                    </w:rPr>
                    <w:t>最大污染指数</w:t>
                  </w:r>
                </w:p>
              </w:tc>
              <w:tc>
                <w:tcPr>
                  <w:tcW w:w="967" w:type="dxa"/>
                  <w:vAlign w:val="center"/>
                </w:tcPr>
                <w:p w14:paraId="0DBE577B">
                  <w:pPr>
                    <w:widowControl/>
                    <w:jc w:val="center"/>
                    <w:textAlignment w:val="center"/>
                    <w:rPr>
                      <w:color w:val="auto"/>
                      <w:kern w:val="0"/>
                      <w:szCs w:val="21"/>
                    </w:rPr>
                  </w:pPr>
                  <w:r>
                    <w:rPr>
                      <w:color w:val="auto"/>
                      <w:kern w:val="0"/>
                      <w:szCs w:val="21"/>
                    </w:rPr>
                    <w:t>0.150</w:t>
                  </w:r>
                </w:p>
              </w:tc>
              <w:tc>
                <w:tcPr>
                  <w:tcW w:w="877" w:type="dxa"/>
                  <w:vAlign w:val="center"/>
                </w:tcPr>
                <w:p w14:paraId="0EF9474A">
                  <w:pPr>
                    <w:widowControl/>
                    <w:jc w:val="center"/>
                    <w:textAlignment w:val="center"/>
                    <w:rPr>
                      <w:color w:val="auto"/>
                      <w:kern w:val="0"/>
                      <w:szCs w:val="21"/>
                    </w:rPr>
                  </w:pPr>
                  <w:r>
                    <w:rPr>
                      <w:rFonts w:hint="eastAsia"/>
                      <w:color w:val="auto"/>
                      <w:kern w:val="0"/>
                      <w:szCs w:val="21"/>
                      <w:lang w:val="en-US" w:eastAsia="zh-CN"/>
                    </w:rPr>
                    <w:t>0.39</w:t>
                  </w:r>
                </w:p>
              </w:tc>
              <w:tc>
                <w:tcPr>
                  <w:tcW w:w="995" w:type="dxa"/>
                  <w:vAlign w:val="center"/>
                </w:tcPr>
                <w:p w14:paraId="1F730E1E">
                  <w:pPr>
                    <w:widowControl/>
                    <w:jc w:val="center"/>
                    <w:textAlignment w:val="center"/>
                    <w:rPr>
                      <w:color w:val="auto"/>
                      <w:kern w:val="0"/>
                      <w:szCs w:val="21"/>
                    </w:rPr>
                  </w:pPr>
                  <w:r>
                    <w:rPr>
                      <w:color w:val="auto"/>
                      <w:kern w:val="0"/>
                      <w:szCs w:val="21"/>
                    </w:rPr>
                    <w:t>0.583</w:t>
                  </w:r>
                </w:p>
              </w:tc>
              <w:tc>
                <w:tcPr>
                  <w:tcW w:w="850" w:type="dxa"/>
                  <w:vAlign w:val="center"/>
                </w:tcPr>
                <w:p w14:paraId="7A446AD0">
                  <w:pPr>
                    <w:widowControl/>
                    <w:jc w:val="center"/>
                    <w:textAlignment w:val="center"/>
                    <w:rPr>
                      <w:color w:val="auto"/>
                      <w:kern w:val="0"/>
                      <w:szCs w:val="21"/>
                    </w:rPr>
                  </w:pPr>
                  <w:r>
                    <w:rPr>
                      <w:color w:val="auto"/>
                      <w:kern w:val="0"/>
                      <w:szCs w:val="21"/>
                    </w:rPr>
                    <w:t>0.650</w:t>
                  </w:r>
                </w:p>
              </w:tc>
              <w:tc>
                <w:tcPr>
                  <w:tcW w:w="918" w:type="dxa"/>
                  <w:vAlign w:val="center"/>
                </w:tcPr>
                <w:p w14:paraId="2AECFE43">
                  <w:pPr>
                    <w:widowControl/>
                    <w:jc w:val="center"/>
                    <w:textAlignment w:val="center"/>
                    <w:rPr>
                      <w:color w:val="auto"/>
                      <w:kern w:val="0"/>
                      <w:szCs w:val="21"/>
                    </w:rPr>
                  </w:pPr>
                  <w:r>
                    <w:rPr>
                      <w:color w:val="auto"/>
                      <w:kern w:val="0"/>
                      <w:szCs w:val="21"/>
                    </w:rPr>
                    <w:t>0.650</w:t>
                  </w:r>
                </w:p>
              </w:tc>
              <w:tc>
                <w:tcPr>
                  <w:tcW w:w="850" w:type="dxa"/>
                  <w:vAlign w:val="center"/>
                </w:tcPr>
                <w:p w14:paraId="36D142BE">
                  <w:pPr>
                    <w:widowControl/>
                    <w:jc w:val="center"/>
                    <w:textAlignment w:val="center"/>
                    <w:rPr>
                      <w:color w:val="auto"/>
                      <w:kern w:val="0"/>
                      <w:szCs w:val="21"/>
                    </w:rPr>
                  </w:pPr>
                  <w:r>
                    <w:rPr>
                      <w:color w:val="auto"/>
                      <w:kern w:val="0"/>
                      <w:szCs w:val="21"/>
                    </w:rPr>
                    <w:t>0.139</w:t>
                  </w:r>
                </w:p>
              </w:tc>
              <w:tc>
                <w:tcPr>
                  <w:tcW w:w="851" w:type="dxa"/>
                  <w:vAlign w:val="center"/>
                </w:tcPr>
                <w:p w14:paraId="3E9AF45C">
                  <w:pPr>
                    <w:widowControl/>
                    <w:jc w:val="center"/>
                    <w:textAlignment w:val="center"/>
                    <w:rPr>
                      <w:color w:val="auto"/>
                      <w:kern w:val="0"/>
                      <w:szCs w:val="21"/>
                    </w:rPr>
                  </w:pPr>
                  <w:r>
                    <w:rPr>
                      <w:color w:val="auto"/>
                      <w:kern w:val="0"/>
                      <w:szCs w:val="21"/>
                    </w:rPr>
                    <w:t>0.200</w:t>
                  </w:r>
                </w:p>
              </w:tc>
              <w:tc>
                <w:tcPr>
                  <w:tcW w:w="916" w:type="dxa"/>
                  <w:vAlign w:val="center"/>
                </w:tcPr>
                <w:p w14:paraId="7A8529AC">
                  <w:pPr>
                    <w:widowControl/>
                    <w:jc w:val="center"/>
                    <w:textAlignment w:val="center"/>
                    <w:rPr>
                      <w:color w:val="auto"/>
                      <w:kern w:val="0"/>
                      <w:szCs w:val="21"/>
                    </w:rPr>
                  </w:pPr>
                  <w:r>
                    <w:rPr>
                      <w:color w:val="auto"/>
                      <w:kern w:val="0"/>
                      <w:szCs w:val="21"/>
                    </w:rPr>
                    <w:t>0</w:t>
                  </w:r>
                </w:p>
              </w:tc>
              <w:tc>
                <w:tcPr>
                  <w:tcW w:w="985" w:type="dxa"/>
                  <w:vAlign w:val="center"/>
                </w:tcPr>
                <w:p w14:paraId="65C41734">
                  <w:pPr>
                    <w:widowControl/>
                    <w:jc w:val="center"/>
                    <w:textAlignment w:val="center"/>
                    <w:rPr>
                      <w:color w:val="auto"/>
                      <w:kern w:val="0"/>
                      <w:szCs w:val="21"/>
                    </w:rPr>
                  </w:pPr>
                  <w:r>
                    <w:rPr>
                      <w:color w:val="auto"/>
                      <w:kern w:val="0"/>
                      <w:szCs w:val="21"/>
                    </w:rPr>
                    <w:t>0</w:t>
                  </w:r>
                </w:p>
              </w:tc>
              <w:tc>
                <w:tcPr>
                  <w:tcW w:w="924" w:type="dxa"/>
                  <w:vAlign w:val="center"/>
                </w:tcPr>
                <w:p w14:paraId="6C42F61F">
                  <w:pPr>
                    <w:widowControl/>
                    <w:jc w:val="center"/>
                    <w:textAlignment w:val="center"/>
                    <w:rPr>
                      <w:color w:val="auto"/>
                      <w:kern w:val="0"/>
                      <w:szCs w:val="21"/>
                    </w:rPr>
                  </w:pPr>
                  <w:r>
                    <w:rPr>
                      <w:color w:val="auto"/>
                      <w:kern w:val="0"/>
                      <w:szCs w:val="21"/>
                    </w:rPr>
                    <w:t>0.220</w:t>
                  </w:r>
                </w:p>
              </w:tc>
              <w:tc>
                <w:tcPr>
                  <w:tcW w:w="777" w:type="dxa"/>
                  <w:vAlign w:val="center"/>
                </w:tcPr>
                <w:p w14:paraId="48CA8C65">
                  <w:pPr>
                    <w:widowControl/>
                    <w:jc w:val="center"/>
                    <w:textAlignment w:val="center"/>
                    <w:rPr>
                      <w:color w:val="auto"/>
                      <w:kern w:val="0"/>
                      <w:szCs w:val="21"/>
                    </w:rPr>
                  </w:pPr>
                  <w:r>
                    <w:rPr>
                      <w:color w:val="auto"/>
                      <w:kern w:val="0"/>
                      <w:szCs w:val="21"/>
                    </w:rPr>
                    <w:t>0.400</w:t>
                  </w:r>
                </w:p>
              </w:tc>
              <w:tc>
                <w:tcPr>
                  <w:tcW w:w="984" w:type="dxa"/>
                  <w:vAlign w:val="center"/>
                </w:tcPr>
                <w:p w14:paraId="1F3C7611">
                  <w:pPr>
                    <w:widowControl/>
                    <w:jc w:val="center"/>
                    <w:textAlignment w:val="center"/>
                    <w:rPr>
                      <w:color w:val="auto"/>
                      <w:kern w:val="0"/>
                      <w:szCs w:val="21"/>
                    </w:rPr>
                  </w:pPr>
                  <w:r>
                    <w:rPr>
                      <w:color w:val="auto"/>
                      <w:kern w:val="0"/>
                      <w:szCs w:val="21"/>
                    </w:rPr>
                    <w:t>0</w:t>
                  </w:r>
                </w:p>
              </w:tc>
              <w:tc>
                <w:tcPr>
                  <w:tcW w:w="984" w:type="dxa"/>
                  <w:vAlign w:val="center"/>
                </w:tcPr>
                <w:p w14:paraId="0F24A485">
                  <w:pPr>
                    <w:widowControl/>
                    <w:jc w:val="center"/>
                    <w:textAlignment w:val="center"/>
                    <w:rPr>
                      <w:color w:val="auto"/>
                      <w:kern w:val="0"/>
                      <w:szCs w:val="21"/>
                    </w:rPr>
                  </w:pPr>
                  <w:r>
                    <w:rPr>
                      <w:color w:val="auto"/>
                      <w:kern w:val="0"/>
                      <w:szCs w:val="21"/>
                    </w:rPr>
                    <w:t>0</w:t>
                  </w:r>
                </w:p>
              </w:tc>
            </w:tr>
            <w:tr w14:paraId="0769A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6BB23A27">
                  <w:pPr>
                    <w:widowControl/>
                    <w:adjustRightInd w:val="0"/>
                    <w:snapToGrid w:val="0"/>
                    <w:jc w:val="center"/>
                    <w:rPr>
                      <w:color w:val="auto"/>
                      <w:kern w:val="0"/>
                      <w:szCs w:val="21"/>
                    </w:rPr>
                  </w:pPr>
                </w:p>
              </w:tc>
              <w:tc>
                <w:tcPr>
                  <w:tcW w:w="1353" w:type="dxa"/>
                  <w:vAlign w:val="center"/>
                </w:tcPr>
                <w:p w14:paraId="74E0A4FB">
                  <w:pPr>
                    <w:widowControl/>
                    <w:adjustRightInd w:val="0"/>
                    <w:snapToGrid w:val="0"/>
                    <w:jc w:val="center"/>
                    <w:rPr>
                      <w:color w:val="auto"/>
                      <w:kern w:val="0"/>
                      <w:szCs w:val="21"/>
                    </w:rPr>
                  </w:pPr>
                  <w:r>
                    <w:rPr>
                      <w:color w:val="auto"/>
                      <w:kern w:val="0"/>
                      <w:szCs w:val="21"/>
                    </w:rPr>
                    <w:t>超标率%</w:t>
                  </w:r>
                </w:p>
              </w:tc>
              <w:tc>
                <w:tcPr>
                  <w:tcW w:w="967" w:type="dxa"/>
                  <w:vAlign w:val="center"/>
                </w:tcPr>
                <w:p w14:paraId="5EA31875">
                  <w:pPr>
                    <w:widowControl/>
                    <w:adjustRightInd w:val="0"/>
                    <w:snapToGrid w:val="0"/>
                    <w:jc w:val="center"/>
                    <w:rPr>
                      <w:color w:val="auto"/>
                      <w:kern w:val="0"/>
                      <w:szCs w:val="21"/>
                    </w:rPr>
                  </w:pPr>
                  <w:r>
                    <w:rPr>
                      <w:color w:val="auto"/>
                      <w:kern w:val="0"/>
                      <w:szCs w:val="21"/>
                    </w:rPr>
                    <w:t>0</w:t>
                  </w:r>
                </w:p>
              </w:tc>
              <w:tc>
                <w:tcPr>
                  <w:tcW w:w="877" w:type="dxa"/>
                  <w:vAlign w:val="center"/>
                </w:tcPr>
                <w:p w14:paraId="27BFB2FC">
                  <w:pPr>
                    <w:widowControl/>
                    <w:adjustRightInd w:val="0"/>
                    <w:snapToGrid w:val="0"/>
                    <w:jc w:val="center"/>
                    <w:rPr>
                      <w:color w:val="auto"/>
                      <w:kern w:val="0"/>
                      <w:szCs w:val="21"/>
                    </w:rPr>
                  </w:pPr>
                  <w:r>
                    <w:rPr>
                      <w:color w:val="auto"/>
                      <w:kern w:val="0"/>
                      <w:szCs w:val="21"/>
                    </w:rPr>
                    <w:t>0</w:t>
                  </w:r>
                </w:p>
              </w:tc>
              <w:tc>
                <w:tcPr>
                  <w:tcW w:w="995" w:type="dxa"/>
                  <w:vAlign w:val="center"/>
                </w:tcPr>
                <w:p w14:paraId="42DD90C8">
                  <w:pPr>
                    <w:widowControl/>
                    <w:adjustRightInd w:val="0"/>
                    <w:snapToGrid w:val="0"/>
                    <w:jc w:val="center"/>
                    <w:rPr>
                      <w:color w:val="auto"/>
                      <w:kern w:val="0"/>
                      <w:szCs w:val="21"/>
                    </w:rPr>
                  </w:pPr>
                  <w:r>
                    <w:rPr>
                      <w:color w:val="auto"/>
                      <w:kern w:val="0"/>
                      <w:szCs w:val="21"/>
                    </w:rPr>
                    <w:t>0</w:t>
                  </w:r>
                </w:p>
              </w:tc>
              <w:tc>
                <w:tcPr>
                  <w:tcW w:w="850" w:type="dxa"/>
                  <w:vAlign w:val="center"/>
                </w:tcPr>
                <w:p w14:paraId="02C47B77">
                  <w:pPr>
                    <w:widowControl/>
                    <w:adjustRightInd w:val="0"/>
                    <w:snapToGrid w:val="0"/>
                    <w:jc w:val="center"/>
                    <w:rPr>
                      <w:color w:val="auto"/>
                      <w:kern w:val="0"/>
                      <w:szCs w:val="21"/>
                    </w:rPr>
                  </w:pPr>
                  <w:r>
                    <w:rPr>
                      <w:color w:val="auto"/>
                      <w:kern w:val="0"/>
                      <w:szCs w:val="21"/>
                    </w:rPr>
                    <w:t>0</w:t>
                  </w:r>
                </w:p>
              </w:tc>
              <w:tc>
                <w:tcPr>
                  <w:tcW w:w="918" w:type="dxa"/>
                  <w:vAlign w:val="center"/>
                </w:tcPr>
                <w:p w14:paraId="781880E8">
                  <w:pPr>
                    <w:widowControl/>
                    <w:adjustRightInd w:val="0"/>
                    <w:snapToGrid w:val="0"/>
                    <w:jc w:val="center"/>
                    <w:rPr>
                      <w:color w:val="auto"/>
                      <w:kern w:val="0"/>
                      <w:szCs w:val="21"/>
                    </w:rPr>
                  </w:pPr>
                  <w:r>
                    <w:rPr>
                      <w:color w:val="auto"/>
                      <w:kern w:val="0"/>
                      <w:szCs w:val="21"/>
                    </w:rPr>
                    <w:t>0</w:t>
                  </w:r>
                </w:p>
              </w:tc>
              <w:tc>
                <w:tcPr>
                  <w:tcW w:w="850" w:type="dxa"/>
                  <w:vAlign w:val="center"/>
                </w:tcPr>
                <w:p w14:paraId="6471EF00">
                  <w:pPr>
                    <w:widowControl/>
                    <w:adjustRightInd w:val="0"/>
                    <w:snapToGrid w:val="0"/>
                    <w:jc w:val="center"/>
                    <w:rPr>
                      <w:color w:val="auto"/>
                      <w:kern w:val="0"/>
                      <w:szCs w:val="21"/>
                    </w:rPr>
                  </w:pPr>
                  <w:r>
                    <w:rPr>
                      <w:color w:val="auto"/>
                      <w:kern w:val="0"/>
                      <w:szCs w:val="21"/>
                    </w:rPr>
                    <w:t>0</w:t>
                  </w:r>
                </w:p>
              </w:tc>
              <w:tc>
                <w:tcPr>
                  <w:tcW w:w="851" w:type="dxa"/>
                  <w:vAlign w:val="center"/>
                </w:tcPr>
                <w:p w14:paraId="1864B6DE">
                  <w:pPr>
                    <w:widowControl/>
                    <w:adjustRightInd w:val="0"/>
                    <w:snapToGrid w:val="0"/>
                    <w:jc w:val="center"/>
                    <w:rPr>
                      <w:color w:val="auto"/>
                      <w:kern w:val="0"/>
                      <w:szCs w:val="21"/>
                    </w:rPr>
                  </w:pPr>
                  <w:r>
                    <w:rPr>
                      <w:color w:val="auto"/>
                      <w:kern w:val="0"/>
                      <w:szCs w:val="21"/>
                    </w:rPr>
                    <w:t>0</w:t>
                  </w:r>
                </w:p>
              </w:tc>
              <w:tc>
                <w:tcPr>
                  <w:tcW w:w="916" w:type="dxa"/>
                  <w:vAlign w:val="center"/>
                </w:tcPr>
                <w:p w14:paraId="744C4E6A">
                  <w:pPr>
                    <w:widowControl/>
                    <w:adjustRightInd w:val="0"/>
                    <w:snapToGrid w:val="0"/>
                    <w:jc w:val="center"/>
                    <w:rPr>
                      <w:color w:val="auto"/>
                      <w:kern w:val="0"/>
                      <w:szCs w:val="21"/>
                    </w:rPr>
                  </w:pPr>
                  <w:r>
                    <w:rPr>
                      <w:color w:val="auto"/>
                      <w:kern w:val="0"/>
                      <w:szCs w:val="21"/>
                    </w:rPr>
                    <w:t>0</w:t>
                  </w:r>
                </w:p>
              </w:tc>
              <w:tc>
                <w:tcPr>
                  <w:tcW w:w="985" w:type="dxa"/>
                  <w:vAlign w:val="center"/>
                </w:tcPr>
                <w:p w14:paraId="1995F1ED">
                  <w:pPr>
                    <w:widowControl/>
                    <w:adjustRightInd w:val="0"/>
                    <w:snapToGrid w:val="0"/>
                    <w:jc w:val="center"/>
                    <w:rPr>
                      <w:color w:val="auto"/>
                      <w:kern w:val="0"/>
                      <w:szCs w:val="21"/>
                    </w:rPr>
                  </w:pPr>
                  <w:r>
                    <w:rPr>
                      <w:color w:val="auto"/>
                      <w:kern w:val="0"/>
                      <w:szCs w:val="21"/>
                    </w:rPr>
                    <w:t>0</w:t>
                  </w:r>
                </w:p>
              </w:tc>
              <w:tc>
                <w:tcPr>
                  <w:tcW w:w="924" w:type="dxa"/>
                  <w:vAlign w:val="center"/>
                </w:tcPr>
                <w:p w14:paraId="72372C1F">
                  <w:pPr>
                    <w:widowControl/>
                    <w:adjustRightInd w:val="0"/>
                    <w:snapToGrid w:val="0"/>
                    <w:jc w:val="center"/>
                    <w:rPr>
                      <w:color w:val="auto"/>
                      <w:kern w:val="0"/>
                      <w:szCs w:val="21"/>
                    </w:rPr>
                  </w:pPr>
                  <w:r>
                    <w:rPr>
                      <w:color w:val="auto"/>
                      <w:kern w:val="0"/>
                      <w:szCs w:val="21"/>
                    </w:rPr>
                    <w:t>0</w:t>
                  </w:r>
                </w:p>
              </w:tc>
              <w:tc>
                <w:tcPr>
                  <w:tcW w:w="777" w:type="dxa"/>
                  <w:vAlign w:val="center"/>
                </w:tcPr>
                <w:p w14:paraId="65998227">
                  <w:pPr>
                    <w:widowControl/>
                    <w:adjustRightInd w:val="0"/>
                    <w:snapToGrid w:val="0"/>
                    <w:jc w:val="center"/>
                    <w:rPr>
                      <w:color w:val="auto"/>
                      <w:kern w:val="0"/>
                      <w:szCs w:val="21"/>
                    </w:rPr>
                  </w:pPr>
                  <w:r>
                    <w:rPr>
                      <w:color w:val="auto"/>
                      <w:kern w:val="0"/>
                      <w:szCs w:val="21"/>
                    </w:rPr>
                    <w:t>0</w:t>
                  </w:r>
                </w:p>
              </w:tc>
              <w:tc>
                <w:tcPr>
                  <w:tcW w:w="984" w:type="dxa"/>
                  <w:vAlign w:val="center"/>
                </w:tcPr>
                <w:p w14:paraId="670F0E9E">
                  <w:pPr>
                    <w:widowControl/>
                    <w:adjustRightInd w:val="0"/>
                    <w:snapToGrid w:val="0"/>
                    <w:jc w:val="center"/>
                    <w:rPr>
                      <w:color w:val="auto"/>
                      <w:kern w:val="0"/>
                      <w:szCs w:val="21"/>
                    </w:rPr>
                  </w:pPr>
                  <w:r>
                    <w:rPr>
                      <w:color w:val="auto"/>
                      <w:kern w:val="0"/>
                      <w:szCs w:val="21"/>
                    </w:rPr>
                    <w:t>0</w:t>
                  </w:r>
                </w:p>
              </w:tc>
              <w:tc>
                <w:tcPr>
                  <w:tcW w:w="984" w:type="dxa"/>
                  <w:vAlign w:val="center"/>
                </w:tcPr>
                <w:p w14:paraId="564ED5A2">
                  <w:pPr>
                    <w:widowControl/>
                    <w:adjustRightInd w:val="0"/>
                    <w:snapToGrid w:val="0"/>
                    <w:jc w:val="center"/>
                    <w:rPr>
                      <w:color w:val="auto"/>
                      <w:kern w:val="0"/>
                      <w:szCs w:val="21"/>
                    </w:rPr>
                  </w:pPr>
                  <w:r>
                    <w:rPr>
                      <w:color w:val="auto"/>
                      <w:kern w:val="0"/>
                      <w:szCs w:val="21"/>
                    </w:rPr>
                    <w:t>0</w:t>
                  </w:r>
                </w:p>
              </w:tc>
            </w:tr>
            <w:tr w14:paraId="5AC55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91" w:type="dxa"/>
                  <w:vMerge w:val="continue"/>
                  <w:vAlign w:val="center"/>
                </w:tcPr>
                <w:p w14:paraId="7956BC57">
                  <w:pPr>
                    <w:widowControl/>
                    <w:adjustRightInd w:val="0"/>
                    <w:snapToGrid w:val="0"/>
                    <w:jc w:val="center"/>
                    <w:rPr>
                      <w:color w:val="auto"/>
                      <w:kern w:val="0"/>
                      <w:szCs w:val="21"/>
                    </w:rPr>
                  </w:pPr>
                </w:p>
              </w:tc>
              <w:tc>
                <w:tcPr>
                  <w:tcW w:w="1353" w:type="dxa"/>
                  <w:vAlign w:val="center"/>
                </w:tcPr>
                <w:p w14:paraId="4388FAA3">
                  <w:pPr>
                    <w:widowControl/>
                    <w:adjustRightInd w:val="0"/>
                    <w:snapToGrid w:val="0"/>
                    <w:jc w:val="center"/>
                    <w:rPr>
                      <w:color w:val="auto"/>
                      <w:kern w:val="0"/>
                      <w:szCs w:val="21"/>
                    </w:rPr>
                  </w:pPr>
                  <w:r>
                    <w:rPr>
                      <w:color w:val="auto"/>
                      <w:kern w:val="0"/>
                      <w:szCs w:val="21"/>
                    </w:rPr>
                    <w:t>达标情况</w:t>
                  </w:r>
                </w:p>
              </w:tc>
              <w:tc>
                <w:tcPr>
                  <w:tcW w:w="967" w:type="dxa"/>
                  <w:vAlign w:val="center"/>
                </w:tcPr>
                <w:p w14:paraId="7D8132C4">
                  <w:pPr>
                    <w:widowControl/>
                    <w:adjustRightInd w:val="0"/>
                    <w:snapToGrid w:val="0"/>
                    <w:jc w:val="center"/>
                    <w:rPr>
                      <w:color w:val="auto"/>
                      <w:kern w:val="0"/>
                      <w:szCs w:val="21"/>
                    </w:rPr>
                  </w:pPr>
                  <w:r>
                    <w:rPr>
                      <w:color w:val="auto"/>
                      <w:kern w:val="0"/>
                      <w:szCs w:val="21"/>
                    </w:rPr>
                    <w:t>达标</w:t>
                  </w:r>
                </w:p>
              </w:tc>
              <w:tc>
                <w:tcPr>
                  <w:tcW w:w="877" w:type="dxa"/>
                  <w:vAlign w:val="center"/>
                </w:tcPr>
                <w:p w14:paraId="541AA3CE">
                  <w:pPr>
                    <w:widowControl/>
                    <w:adjustRightInd w:val="0"/>
                    <w:snapToGrid w:val="0"/>
                    <w:jc w:val="center"/>
                    <w:rPr>
                      <w:color w:val="auto"/>
                      <w:kern w:val="0"/>
                      <w:szCs w:val="21"/>
                    </w:rPr>
                  </w:pPr>
                  <w:r>
                    <w:rPr>
                      <w:color w:val="auto"/>
                      <w:kern w:val="0"/>
                      <w:szCs w:val="21"/>
                    </w:rPr>
                    <w:t>达标</w:t>
                  </w:r>
                </w:p>
              </w:tc>
              <w:tc>
                <w:tcPr>
                  <w:tcW w:w="995" w:type="dxa"/>
                  <w:vAlign w:val="center"/>
                </w:tcPr>
                <w:p w14:paraId="5F97DD84">
                  <w:pPr>
                    <w:widowControl/>
                    <w:adjustRightInd w:val="0"/>
                    <w:snapToGrid w:val="0"/>
                    <w:jc w:val="center"/>
                    <w:rPr>
                      <w:color w:val="auto"/>
                      <w:kern w:val="0"/>
                      <w:szCs w:val="21"/>
                    </w:rPr>
                  </w:pPr>
                  <w:r>
                    <w:rPr>
                      <w:color w:val="auto"/>
                      <w:kern w:val="0"/>
                      <w:szCs w:val="21"/>
                    </w:rPr>
                    <w:t>达标</w:t>
                  </w:r>
                </w:p>
              </w:tc>
              <w:tc>
                <w:tcPr>
                  <w:tcW w:w="850" w:type="dxa"/>
                  <w:vAlign w:val="center"/>
                </w:tcPr>
                <w:p w14:paraId="52522254">
                  <w:pPr>
                    <w:widowControl/>
                    <w:adjustRightInd w:val="0"/>
                    <w:snapToGrid w:val="0"/>
                    <w:jc w:val="center"/>
                    <w:rPr>
                      <w:color w:val="auto"/>
                      <w:kern w:val="0"/>
                      <w:szCs w:val="21"/>
                    </w:rPr>
                  </w:pPr>
                  <w:r>
                    <w:rPr>
                      <w:color w:val="auto"/>
                      <w:kern w:val="0"/>
                      <w:szCs w:val="21"/>
                    </w:rPr>
                    <w:t>达标</w:t>
                  </w:r>
                </w:p>
              </w:tc>
              <w:tc>
                <w:tcPr>
                  <w:tcW w:w="918" w:type="dxa"/>
                  <w:vAlign w:val="center"/>
                </w:tcPr>
                <w:p w14:paraId="7FACCC4C">
                  <w:pPr>
                    <w:widowControl/>
                    <w:adjustRightInd w:val="0"/>
                    <w:snapToGrid w:val="0"/>
                    <w:jc w:val="center"/>
                    <w:rPr>
                      <w:color w:val="auto"/>
                      <w:kern w:val="0"/>
                      <w:szCs w:val="21"/>
                    </w:rPr>
                  </w:pPr>
                  <w:r>
                    <w:rPr>
                      <w:color w:val="auto"/>
                      <w:kern w:val="0"/>
                      <w:szCs w:val="21"/>
                    </w:rPr>
                    <w:t>达标</w:t>
                  </w:r>
                </w:p>
              </w:tc>
              <w:tc>
                <w:tcPr>
                  <w:tcW w:w="850" w:type="dxa"/>
                  <w:vAlign w:val="center"/>
                </w:tcPr>
                <w:p w14:paraId="748C30C9">
                  <w:pPr>
                    <w:widowControl/>
                    <w:adjustRightInd w:val="0"/>
                    <w:snapToGrid w:val="0"/>
                    <w:jc w:val="center"/>
                    <w:rPr>
                      <w:color w:val="auto"/>
                      <w:kern w:val="0"/>
                      <w:szCs w:val="21"/>
                    </w:rPr>
                  </w:pPr>
                  <w:r>
                    <w:rPr>
                      <w:color w:val="auto"/>
                      <w:kern w:val="0"/>
                      <w:szCs w:val="21"/>
                    </w:rPr>
                    <w:t>达标</w:t>
                  </w:r>
                </w:p>
              </w:tc>
              <w:tc>
                <w:tcPr>
                  <w:tcW w:w="851" w:type="dxa"/>
                  <w:vAlign w:val="center"/>
                </w:tcPr>
                <w:p w14:paraId="2C25FB0C">
                  <w:pPr>
                    <w:widowControl/>
                    <w:adjustRightInd w:val="0"/>
                    <w:snapToGrid w:val="0"/>
                    <w:jc w:val="center"/>
                    <w:rPr>
                      <w:color w:val="auto"/>
                      <w:kern w:val="0"/>
                      <w:szCs w:val="21"/>
                    </w:rPr>
                  </w:pPr>
                  <w:r>
                    <w:rPr>
                      <w:color w:val="auto"/>
                      <w:kern w:val="0"/>
                      <w:szCs w:val="21"/>
                    </w:rPr>
                    <w:t>达标</w:t>
                  </w:r>
                </w:p>
              </w:tc>
              <w:tc>
                <w:tcPr>
                  <w:tcW w:w="916" w:type="dxa"/>
                  <w:vAlign w:val="center"/>
                </w:tcPr>
                <w:p w14:paraId="746DCFA5">
                  <w:pPr>
                    <w:widowControl/>
                    <w:adjustRightInd w:val="0"/>
                    <w:snapToGrid w:val="0"/>
                    <w:jc w:val="center"/>
                    <w:rPr>
                      <w:color w:val="auto"/>
                      <w:kern w:val="0"/>
                      <w:szCs w:val="21"/>
                    </w:rPr>
                  </w:pPr>
                  <w:r>
                    <w:rPr>
                      <w:color w:val="auto"/>
                      <w:kern w:val="0"/>
                      <w:szCs w:val="21"/>
                    </w:rPr>
                    <w:t>达标</w:t>
                  </w:r>
                </w:p>
              </w:tc>
              <w:tc>
                <w:tcPr>
                  <w:tcW w:w="985" w:type="dxa"/>
                  <w:vAlign w:val="center"/>
                </w:tcPr>
                <w:p w14:paraId="3D269D7B">
                  <w:pPr>
                    <w:widowControl/>
                    <w:adjustRightInd w:val="0"/>
                    <w:snapToGrid w:val="0"/>
                    <w:jc w:val="center"/>
                    <w:rPr>
                      <w:color w:val="auto"/>
                      <w:kern w:val="0"/>
                      <w:szCs w:val="21"/>
                    </w:rPr>
                  </w:pPr>
                  <w:r>
                    <w:rPr>
                      <w:color w:val="auto"/>
                      <w:kern w:val="0"/>
                      <w:szCs w:val="21"/>
                    </w:rPr>
                    <w:t>达标</w:t>
                  </w:r>
                </w:p>
              </w:tc>
              <w:tc>
                <w:tcPr>
                  <w:tcW w:w="924" w:type="dxa"/>
                  <w:vAlign w:val="center"/>
                </w:tcPr>
                <w:p w14:paraId="223FCA75">
                  <w:pPr>
                    <w:widowControl/>
                    <w:adjustRightInd w:val="0"/>
                    <w:snapToGrid w:val="0"/>
                    <w:jc w:val="center"/>
                    <w:rPr>
                      <w:color w:val="auto"/>
                      <w:kern w:val="0"/>
                      <w:szCs w:val="21"/>
                    </w:rPr>
                  </w:pPr>
                  <w:r>
                    <w:rPr>
                      <w:color w:val="auto"/>
                      <w:kern w:val="0"/>
                      <w:szCs w:val="21"/>
                    </w:rPr>
                    <w:t>达标</w:t>
                  </w:r>
                </w:p>
              </w:tc>
              <w:tc>
                <w:tcPr>
                  <w:tcW w:w="777" w:type="dxa"/>
                  <w:vAlign w:val="center"/>
                </w:tcPr>
                <w:p w14:paraId="3A9D01D7">
                  <w:pPr>
                    <w:widowControl/>
                    <w:adjustRightInd w:val="0"/>
                    <w:snapToGrid w:val="0"/>
                    <w:jc w:val="center"/>
                    <w:rPr>
                      <w:color w:val="auto"/>
                      <w:kern w:val="0"/>
                      <w:szCs w:val="21"/>
                    </w:rPr>
                  </w:pPr>
                  <w:r>
                    <w:rPr>
                      <w:color w:val="auto"/>
                      <w:kern w:val="0"/>
                      <w:szCs w:val="21"/>
                    </w:rPr>
                    <w:t>达标</w:t>
                  </w:r>
                </w:p>
              </w:tc>
              <w:tc>
                <w:tcPr>
                  <w:tcW w:w="984" w:type="dxa"/>
                  <w:vAlign w:val="center"/>
                </w:tcPr>
                <w:p w14:paraId="02B9024F">
                  <w:pPr>
                    <w:widowControl/>
                    <w:adjustRightInd w:val="0"/>
                    <w:snapToGrid w:val="0"/>
                    <w:jc w:val="center"/>
                    <w:rPr>
                      <w:color w:val="auto"/>
                      <w:kern w:val="0"/>
                      <w:szCs w:val="21"/>
                    </w:rPr>
                  </w:pPr>
                  <w:r>
                    <w:rPr>
                      <w:color w:val="auto"/>
                      <w:kern w:val="0"/>
                      <w:szCs w:val="21"/>
                    </w:rPr>
                    <w:t>达标</w:t>
                  </w:r>
                </w:p>
              </w:tc>
              <w:tc>
                <w:tcPr>
                  <w:tcW w:w="984" w:type="dxa"/>
                  <w:vAlign w:val="center"/>
                </w:tcPr>
                <w:p w14:paraId="6B97A600">
                  <w:pPr>
                    <w:widowControl/>
                    <w:adjustRightInd w:val="0"/>
                    <w:snapToGrid w:val="0"/>
                    <w:jc w:val="center"/>
                    <w:rPr>
                      <w:color w:val="auto"/>
                      <w:kern w:val="0"/>
                      <w:szCs w:val="21"/>
                    </w:rPr>
                  </w:pPr>
                  <w:r>
                    <w:rPr>
                      <w:color w:val="auto"/>
                      <w:kern w:val="0"/>
                      <w:szCs w:val="21"/>
                    </w:rPr>
                    <w:t>达标</w:t>
                  </w:r>
                </w:p>
              </w:tc>
            </w:tr>
            <w:tr w14:paraId="02AE5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44" w:type="dxa"/>
                  <w:gridSpan w:val="2"/>
                  <w:vAlign w:val="center"/>
                </w:tcPr>
                <w:p w14:paraId="3EFC8319">
                  <w:pPr>
                    <w:widowControl/>
                    <w:adjustRightInd w:val="0"/>
                    <w:snapToGrid w:val="0"/>
                    <w:jc w:val="center"/>
                    <w:rPr>
                      <w:color w:val="auto"/>
                      <w:kern w:val="0"/>
                      <w:szCs w:val="21"/>
                    </w:rPr>
                  </w:pPr>
                  <w:r>
                    <w:rPr>
                      <w:rStyle w:val="114"/>
                      <w:rFonts w:hint="default" w:ascii="Times New Roman" w:hAnsi="Times New Roman" w:cs="Times New Roman"/>
                      <w:color w:val="auto"/>
                      <w:kern w:val="0"/>
                      <w:sz w:val="21"/>
                      <w:szCs w:val="21"/>
                    </w:rPr>
                    <w:t>标准限值</w:t>
                  </w:r>
                  <w:r>
                    <w:rPr>
                      <w:color w:val="auto"/>
                      <w:kern w:val="0"/>
                      <w:szCs w:val="21"/>
                    </w:rPr>
                    <w:t>Ⅲ</w:t>
                  </w:r>
                  <w:r>
                    <w:rPr>
                      <w:rStyle w:val="114"/>
                      <w:rFonts w:hint="default" w:ascii="Times New Roman" w:hAnsi="Times New Roman" w:cs="Times New Roman"/>
                      <w:color w:val="auto"/>
                      <w:kern w:val="0"/>
                      <w:sz w:val="21"/>
                      <w:szCs w:val="21"/>
                    </w:rPr>
                    <w:t>类</w:t>
                  </w:r>
                </w:p>
              </w:tc>
              <w:tc>
                <w:tcPr>
                  <w:tcW w:w="967" w:type="dxa"/>
                  <w:vAlign w:val="center"/>
                </w:tcPr>
                <w:p w14:paraId="22F5ABF7">
                  <w:pPr>
                    <w:widowControl/>
                    <w:jc w:val="center"/>
                    <w:textAlignment w:val="center"/>
                    <w:rPr>
                      <w:color w:val="auto"/>
                      <w:kern w:val="0"/>
                      <w:szCs w:val="21"/>
                    </w:rPr>
                  </w:pPr>
                  <w:r>
                    <w:rPr>
                      <w:color w:val="auto"/>
                      <w:kern w:val="0"/>
                      <w:szCs w:val="21"/>
                    </w:rPr>
                    <w:t>6-9</w:t>
                  </w:r>
                </w:p>
              </w:tc>
              <w:tc>
                <w:tcPr>
                  <w:tcW w:w="877" w:type="dxa"/>
                  <w:vAlign w:val="center"/>
                </w:tcPr>
                <w:p w14:paraId="1714F6FE">
                  <w:pPr>
                    <w:widowControl/>
                    <w:jc w:val="center"/>
                    <w:textAlignment w:val="center"/>
                    <w:rPr>
                      <w:rFonts w:hint="default" w:eastAsia="宋体"/>
                      <w:color w:val="auto"/>
                      <w:kern w:val="0"/>
                      <w:szCs w:val="21"/>
                      <w:lang w:val="en-US" w:eastAsia="zh-CN"/>
                    </w:rPr>
                  </w:pPr>
                  <w:r>
                    <w:rPr>
                      <w:rFonts w:hint="eastAsia"/>
                      <w:color w:val="auto"/>
                      <w:kern w:val="0"/>
                      <w:szCs w:val="21"/>
                      <w:lang w:val="en-US" w:eastAsia="zh-CN"/>
                    </w:rPr>
                    <w:t>1.0</w:t>
                  </w:r>
                </w:p>
              </w:tc>
              <w:tc>
                <w:tcPr>
                  <w:tcW w:w="995" w:type="dxa"/>
                  <w:vAlign w:val="center"/>
                </w:tcPr>
                <w:p w14:paraId="6754C1A8">
                  <w:pPr>
                    <w:widowControl/>
                    <w:jc w:val="center"/>
                    <w:textAlignment w:val="center"/>
                    <w:rPr>
                      <w:color w:val="auto"/>
                      <w:kern w:val="0"/>
                      <w:szCs w:val="21"/>
                    </w:rPr>
                  </w:pPr>
                  <w:r>
                    <w:rPr>
                      <w:color w:val="auto"/>
                      <w:kern w:val="0"/>
                      <w:szCs w:val="21"/>
                    </w:rPr>
                    <w:t>6.0</w:t>
                  </w:r>
                </w:p>
              </w:tc>
              <w:tc>
                <w:tcPr>
                  <w:tcW w:w="850" w:type="dxa"/>
                  <w:vAlign w:val="center"/>
                </w:tcPr>
                <w:p w14:paraId="7BBF2B61">
                  <w:pPr>
                    <w:widowControl/>
                    <w:jc w:val="center"/>
                    <w:textAlignment w:val="center"/>
                    <w:rPr>
                      <w:color w:val="auto"/>
                      <w:kern w:val="0"/>
                      <w:szCs w:val="21"/>
                    </w:rPr>
                  </w:pPr>
                  <w:r>
                    <w:rPr>
                      <w:color w:val="auto"/>
                      <w:kern w:val="0"/>
                      <w:szCs w:val="21"/>
                    </w:rPr>
                    <w:t>20</w:t>
                  </w:r>
                </w:p>
              </w:tc>
              <w:tc>
                <w:tcPr>
                  <w:tcW w:w="918" w:type="dxa"/>
                  <w:vAlign w:val="center"/>
                </w:tcPr>
                <w:p w14:paraId="373A30E7">
                  <w:pPr>
                    <w:widowControl/>
                    <w:jc w:val="center"/>
                    <w:textAlignment w:val="center"/>
                    <w:rPr>
                      <w:color w:val="auto"/>
                      <w:kern w:val="0"/>
                      <w:szCs w:val="21"/>
                    </w:rPr>
                  </w:pPr>
                  <w:r>
                    <w:rPr>
                      <w:color w:val="auto"/>
                      <w:kern w:val="0"/>
                      <w:szCs w:val="21"/>
                    </w:rPr>
                    <w:t>4.0</w:t>
                  </w:r>
                </w:p>
              </w:tc>
              <w:tc>
                <w:tcPr>
                  <w:tcW w:w="850" w:type="dxa"/>
                  <w:vAlign w:val="center"/>
                </w:tcPr>
                <w:p w14:paraId="6E5DB55C">
                  <w:pPr>
                    <w:widowControl/>
                    <w:jc w:val="center"/>
                    <w:textAlignment w:val="center"/>
                    <w:rPr>
                      <w:color w:val="auto"/>
                      <w:kern w:val="0"/>
                      <w:szCs w:val="21"/>
                    </w:rPr>
                  </w:pPr>
                  <w:r>
                    <w:rPr>
                      <w:color w:val="auto"/>
                      <w:kern w:val="0"/>
                      <w:szCs w:val="21"/>
                    </w:rPr>
                    <w:t>1</w:t>
                  </w:r>
                </w:p>
              </w:tc>
              <w:tc>
                <w:tcPr>
                  <w:tcW w:w="851" w:type="dxa"/>
                  <w:vAlign w:val="center"/>
                </w:tcPr>
                <w:p w14:paraId="7EAA8B53">
                  <w:pPr>
                    <w:widowControl/>
                    <w:jc w:val="center"/>
                    <w:textAlignment w:val="center"/>
                    <w:rPr>
                      <w:color w:val="auto"/>
                      <w:kern w:val="0"/>
                      <w:szCs w:val="21"/>
                    </w:rPr>
                  </w:pPr>
                  <w:r>
                    <w:rPr>
                      <w:color w:val="auto"/>
                      <w:kern w:val="0"/>
                      <w:szCs w:val="21"/>
                    </w:rPr>
                    <w:t>0.20</w:t>
                  </w:r>
                </w:p>
              </w:tc>
              <w:tc>
                <w:tcPr>
                  <w:tcW w:w="916" w:type="dxa"/>
                  <w:vAlign w:val="center"/>
                </w:tcPr>
                <w:p w14:paraId="679B0125">
                  <w:pPr>
                    <w:widowControl/>
                    <w:jc w:val="center"/>
                    <w:textAlignment w:val="center"/>
                    <w:rPr>
                      <w:color w:val="auto"/>
                      <w:kern w:val="0"/>
                      <w:szCs w:val="21"/>
                    </w:rPr>
                  </w:pPr>
                  <w:r>
                    <w:rPr>
                      <w:color w:val="auto"/>
                      <w:kern w:val="0"/>
                      <w:szCs w:val="21"/>
                    </w:rPr>
                    <w:t>1</w:t>
                  </w:r>
                </w:p>
              </w:tc>
              <w:tc>
                <w:tcPr>
                  <w:tcW w:w="985" w:type="dxa"/>
                  <w:vAlign w:val="center"/>
                </w:tcPr>
                <w:p w14:paraId="2C17964F">
                  <w:pPr>
                    <w:widowControl/>
                    <w:jc w:val="center"/>
                    <w:textAlignment w:val="center"/>
                    <w:rPr>
                      <w:color w:val="auto"/>
                      <w:kern w:val="0"/>
                      <w:szCs w:val="21"/>
                    </w:rPr>
                  </w:pPr>
                  <w:r>
                    <w:rPr>
                      <w:color w:val="auto"/>
                      <w:kern w:val="0"/>
                      <w:szCs w:val="21"/>
                    </w:rPr>
                    <w:t>1</w:t>
                  </w:r>
                </w:p>
              </w:tc>
              <w:tc>
                <w:tcPr>
                  <w:tcW w:w="924" w:type="dxa"/>
                  <w:vAlign w:val="center"/>
                </w:tcPr>
                <w:p w14:paraId="4659C0F0">
                  <w:pPr>
                    <w:widowControl/>
                    <w:jc w:val="center"/>
                    <w:textAlignment w:val="center"/>
                    <w:rPr>
                      <w:color w:val="auto"/>
                      <w:kern w:val="0"/>
                      <w:szCs w:val="21"/>
                    </w:rPr>
                  </w:pPr>
                  <w:r>
                    <w:rPr>
                      <w:color w:val="auto"/>
                      <w:kern w:val="0"/>
                      <w:szCs w:val="21"/>
                    </w:rPr>
                    <w:t>0.0050</w:t>
                  </w:r>
                </w:p>
              </w:tc>
              <w:tc>
                <w:tcPr>
                  <w:tcW w:w="777" w:type="dxa"/>
                  <w:vAlign w:val="center"/>
                </w:tcPr>
                <w:p w14:paraId="58DBF9BD">
                  <w:pPr>
                    <w:widowControl/>
                    <w:jc w:val="center"/>
                    <w:textAlignment w:val="center"/>
                    <w:rPr>
                      <w:color w:val="auto"/>
                      <w:kern w:val="0"/>
                      <w:szCs w:val="21"/>
                    </w:rPr>
                  </w:pPr>
                  <w:r>
                    <w:rPr>
                      <w:color w:val="auto"/>
                      <w:kern w:val="0"/>
                      <w:szCs w:val="21"/>
                    </w:rPr>
                    <w:t>0.05</w:t>
                  </w:r>
                </w:p>
              </w:tc>
              <w:tc>
                <w:tcPr>
                  <w:tcW w:w="984" w:type="dxa"/>
                  <w:vAlign w:val="center"/>
                </w:tcPr>
                <w:p w14:paraId="3D7CD032">
                  <w:pPr>
                    <w:widowControl/>
                    <w:jc w:val="center"/>
                    <w:textAlignment w:val="center"/>
                    <w:rPr>
                      <w:color w:val="auto"/>
                      <w:kern w:val="0"/>
                      <w:szCs w:val="21"/>
                    </w:rPr>
                  </w:pPr>
                  <w:r>
                    <w:rPr>
                      <w:color w:val="auto"/>
                      <w:kern w:val="0"/>
                      <w:szCs w:val="21"/>
                    </w:rPr>
                    <w:t>0.2</w:t>
                  </w:r>
                </w:p>
              </w:tc>
              <w:tc>
                <w:tcPr>
                  <w:tcW w:w="984" w:type="dxa"/>
                  <w:vAlign w:val="center"/>
                </w:tcPr>
                <w:p w14:paraId="41359CE7">
                  <w:pPr>
                    <w:widowControl/>
                    <w:jc w:val="center"/>
                    <w:textAlignment w:val="center"/>
                    <w:rPr>
                      <w:color w:val="auto"/>
                      <w:kern w:val="0"/>
                      <w:szCs w:val="21"/>
                    </w:rPr>
                  </w:pPr>
                  <w:r>
                    <w:rPr>
                      <w:color w:val="auto"/>
                      <w:kern w:val="0"/>
                      <w:szCs w:val="21"/>
                    </w:rPr>
                    <w:t>10000</w:t>
                  </w:r>
                </w:p>
              </w:tc>
            </w:tr>
          </w:tbl>
          <w:p w14:paraId="3AEA814E">
            <w:pPr>
              <w:jc w:val="center"/>
              <w:rPr>
                <w:color w:val="auto"/>
              </w:rPr>
            </w:pPr>
          </w:p>
        </w:tc>
      </w:tr>
    </w:tbl>
    <w:p w14:paraId="6B66B201">
      <w:pPr>
        <w:pStyle w:val="29"/>
        <w:jc w:val="center"/>
        <w:rPr>
          <w:rFonts w:ascii="Times New Roman" w:hAnsi="Times New Roman"/>
          <w:snapToGrid w:val="0"/>
          <w:color w:val="auto"/>
          <w:sz w:val="36"/>
          <w:szCs w:val="36"/>
        </w:rPr>
        <w:sectPr>
          <w:pgSz w:w="16838" w:h="11906" w:orient="landscape"/>
          <w:pgMar w:top="1531" w:right="1701" w:bottom="1531" w:left="1701" w:header="851" w:footer="851" w:gutter="0"/>
          <w:cols w:space="720" w:num="1"/>
          <w:docGrid w:linePitch="312" w:charSpace="0"/>
        </w:sectPr>
      </w:pP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40C40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823" w:type="dxa"/>
            <w:vAlign w:val="center"/>
          </w:tcPr>
          <w:p w14:paraId="41B03094">
            <w:pPr>
              <w:pStyle w:val="29"/>
              <w:adjustRightInd w:val="0"/>
              <w:snapToGrid w:val="0"/>
              <w:spacing w:before="0" w:beforeAutospacing="0" w:after="0" w:afterAutospacing="0"/>
              <w:jc w:val="center"/>
              <w:rPr>
                <w:rFonts w:ascii="Times New Roman" w:hAnsi="Times New Roman"/>
                <w:color w:val="auto"/>
                <w:sz w:val="21"/>
                <w:szCs w:val="21"/>
              </w:rPr>
            </w:pPr>
          </w:p>
        </w:tc>
        <w:tc>
          <w:tcPr>
            <w:tcW w:w="8161" w:type="dxa"/>
            <w:vAlign w:val="center"/>
          </w:tcPr>
          <w:p w14:paraId="09A4C0D3">
            <w:pPr>
              <w:spacing w:line="360" w:lineRule="auto"/>
              <w:ind w:firstLine="480" w:firstLineChars="200"/>
              <w:rPr>
                <w:color w:val="auto"/>
                <w:sz w:val="24"/>
              </w:rPr>
            </w:pPr>
            <w:r>
              <w:rPr>
                <w:color w:val="auto"/>
                <w:sz w:val="24"/>
              </w:rPr>
              <w:t>由上表可知，地表水各监测断面各因子可满足《地表水环境质量标准》（GB3838-2002）中的</w:t>
            </w:r>
            <w:r>
              <w:rPr>
                <w:color w:val="auto"/>
                <w:sz w:val="24"/>
              </w:rPr>
              <w:fldChar w:fldCharType="begin"/>
            </w:r>
            <w:r>
              <w:rPr>
                <w:color w:val="auto"/>
                <w:sz w:val="24"/>
              </w:rPr>
              <w:instrText xml:space="preserve"> = 3 \* ROMAN </w:instrText>
            </w:r>
            <w:r>
              <w:rPr>
                <w:color w:val="auto"/>
                <w:sz w:val="24"/>
              </w:rPr>
              <w:fldChar w:fldCharType="separate"/>
            </w:r>
            <w:r>
              <w:rPr>
                <w:color w:val="auto"/>
                <w:sz w:val="24"/>
              </w:rPr>
              <w:t>Ⅲ</w:t>
            </w:r>
            <w:r>
              <w:rPr>
                <w:color w:val="auto"/>
                <w:sz w:val="24"/>
              </w:rPr>
              <w:fldChar w:fldCharType="end"/>
            </w:r>
            <w:r>
              <w:rPr>
                <w:color w:val="auto"/>
                <w:sz w:val="24"/>
              </w:rPr>
              <w:t>类标准要求。</w:t>
            </w:r>
          </w:p>
          <w:p w14:paraId="782F9329">
            <w:pPr>
              <w:pStyle w:val="109"/>
              <w:adjustRightInd/>
              <w:snapToGrid/>
              <w:spacing w:line="360" w:lineRule="auto"/>
              <w:ind w:firstLine="0"/>
              <w:rPr>
                <w:b/>
                <w:bCs/>
                <w:color w:val="auto"/>
                <w:sz w:val="24"/>
                <w:szCs w:val="24"/>
              </w:rPr>
            </w:pPr>
            <w:r>
              <w:rPr>
                <w:b/>
                <w:bCs/>
                <w:color w:val="auto"/>
                <w:sz w:val="24"/>
                <w:szCs w:val="24"/>
              </w:rPr>
              <w:t>3.1.3声环境</w:t>
            </w:r>
          </w:p>
          <w:p w14:paraId="51847178">
            <w:pPr>
              <w:spacing w:line="360" w:lineRule="auto"/>
              <w:ind w:firstLine="480" w:firstLineChars="200"/>
              <w:jc w:val="left"/>
              <w:rPr>
                <w:color w:val="auto"/>
                <w:szCs w:val="21"/>
              </w:rPr>
            </w:pPr>
            <w:r>
              <w:rPr>
                <w:color w:val="auto"/>
                <w:sz w:val="24"/>
              </w:rPr>
              <w:t>根据现场调查，项目周边50m范围内无声环境保护目标，项目营运期所在区域声环境执行《声环境质量标准》（GB3096-2008）声环境功能区3类区标准，具体标准值见表3.1.3-1。</w:t>
            </w:r>
          </w:p>
          <w:p w14:paraId="4901D715">
            <w:pPr>
              <w:spacing w:line="400" w:lineRule="exact"/>
              <w:jc w:val="center"/>
              <w:rPr>
                <w:b/>
                <w:bCs/>
                <w:color w:val="auto"/>
                <w:szCs w:val="21"/>
              </w:rPr>
            </w:pPr>
            <w:r>
              <w:rPr>
                <w:b/>
                <w:bCs/>
                <w:color w:val="auto"/>
                <w:szCs w:val="21"/>
              </w:rPr>
              <w:t xml:space="preserve">表3.1.3-1  《声环境质量标准》(GB3096-2008) </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794"/>
              <w:gridCol w:w="2049"/>
              <w:gridCol w:w="2047"/>
              <w:gridCol w:w="2045"/>
            </w:tblGrid>
            <w:tr w14:paraId="35CF0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 w:hRule="atLeast"/>
                <w:tblHeader/>
                <w:jc w:val="center"/>
              </w:trPr>
              <w:tc>
                <w:tcPr>
                  <w:tcW w:w="3843" w:type="dxa"/>
                  <w:gridSpan w:val="2"/>
                  <w:vAlign w:val="center"/>
                </w:tcPr>
                <w:p w14:paraId="3E459AE2">
                  <w:pPr>
                    <w:pStyle w:val="82"/>
                    <w:spacing w:line="240" w:lineRule="auto"/>
                    <w:ind w:firstLine="0"/>
                    <w:rPr>
                      <w:b/>
                      <w:bCs/>
                      <w:color w:val="auto"/>
                      <w:szCs w:val="21"/>
                    </w:rPr>
                  </w:pPr>
                  <w:r>
                    <w:rPr>
                      <w:b/>
                      <w:bCs/>
                      <w:color w:val="auto"/>
                      <w:szCs w:val="21"/>
                    </w:rPr>
                    <w:t>标准类别</w:t>
                  </w:r>
                </w:p>
              </w:tc>
              <w:tc>
                <w:tcPr>
                  <w:tcW w:w="2047" w:type="dxa"/>
                  <w:vAlign w:val="center"/>
                </w:tcPr>
                <w:p w14:paraId="157EC35F">
                  <w:pPr>
                    <w:pStyle w:val="82"/>
                    <w:spacing w:line="240" w:lineRule="auto"/>
                    <w:ind w:firstLine="0"/>
                    <w:rPr>
                      <w:b/>
                      <w:bCs/>
                      <w:color w:val="auto"/>
                      <w:szCs w:val="21"/>
                    </w:rPr>
                  </w:pPr>
                  <w:r>
                    <w:rPr>
                      <w:b/>
                      <w:bCs/>
                      <w:color w:val="auto"/>
                      <w:szCs w:val="21"/>
                    </w:rPr>
                    <w:t>昼间dB（A）</w:t>
                  </w:r>
                </w:p>
              </w:tc>
              <w:tc>
                <w:tcPr>
                  <w:tcW w:w="2045" w:type="dxa"/>
                  <w:vAlign w:val="center"/>
                </w:tcPr>
                <w:p w14:paraId="076362C5">
                  <w:pPr>
                    <w:pStyle w:val="82"/>
                    <w:spacing w:line="240" w:lineRule="auto"/>
                    <w:ind w:firstLine="0"/>
                    <w:rPr>
                      <w:b/>
                      <w:bCs/>
                      <w:color w:val="auto"/>
                      <w:szCs w:val="21"/>
                    </w:rPr>
                  </w:pPr>
                  <w:r>
                    <w:rPr>
                      <w:b/>
                      <w:bCs/>
                      <w:color w:val="auto"/>
                      <w:szCs w:val="21"/>
                    </w:rPr>
                    <w:t>夜间dB（A）</w:t>
                  </w:r>
                </w:p>
              </w:tc>
            </w:tr>
            <w:tr w14:paraId="568F0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1794" w:type="dxa"/>
                  <w:vAlign w:val="center"/>
                </w:tcPr>
                <w:p w14:paraId="699D6C12">
                  <w:pPr>
                    <w:pStyle w:val="82"/>
                    <w:spacing w:line="240" w:lineRule="auto"/>
                    <w:ind w:firstLine="0"/>
                    <w:rPr>
                      <w:color w:val="auto"/>
                      <w:szCs w:val="21"/>
                    </w:rPr>
                  </w:pPr>
                  <w:r>
                    <w:rPr>
                      <w:color w:val="auto"/>
                      <w:szCs w:val="21"/>
                    </w:rPr>
                    <w:t>环境噪声</w:t>
                  </w:r>
                </w:p>
              </w:tc>
              <w:tc>
                <w:tcPr>
                  <w:tcW w:w="2049" w:type="dxa"/>
                  <w:vAlign w:val="center"/>
                </w:tcPr>
                <w:p w14:paraId="3330199D">
                  <w:pPr>
                    <w:pStyle w:val="82"/>
                    <w:spacing w:line="240" w:lineRule="auto"/>
                    <w:ind w:firstLine="0"/>
                    <w:rPr>
                      <w:color w:val="auto"/>
                      <w:szCs w:val="21"/>
                    </w:rPr>
                  </w:pPr>
                  <w:r>
                    <w:rPr>
                      <w:color w:val="auto"/>
                      <w:szCs w:val="21"/>
                    </w:rPr>
                    <w:t>3类标准</w:t>
                  </w:r>
                </w:p>
              </w:tc>
              <w:tc>
                <w:tcPr>
                  <w:tcW w:w="2047" w:type="dxa"/>
                  <w:vAlign w:val="center"/>
                </w:tcPr>
                <w:p w14:paraId="4BF6B1EC">
                  <w:pPr>
                    <w:pStyle w:val="82"/>
                    <w:spacing w:line="240" w:lineRule="auto"/>
                    <w:ind w:firstLine="0"/>
                    <w:rPr>
                      <w:color w:val="auto"/>
                      <w:szCs w:val="21"/>
                    </w:rPr>
                  </w:pPr>
                  <w:r>
                    <w:rPr>
                      <w:color w:val="auto"/>
                      <w:szCs w:val="21"/>
                    </w:rPr>
                    <w:t>65</w:t>
                  </w:r>
                </w:p>
              </w:tc>
              <w:tc>
                <w:tcPr>
                  <w:tcW w:w="2045" w:type="dxa"/>
                  <w:vAlign w:val="center"/>
                </w:tcPr>
                <w:p w14:paraId="329D7B92">
                  <w:pPr>
                    <w:pStyle w:val="82"/>
                    <w:spacing w:line="240" w:lineRule="auto"/>
                    <w:ind w:firstLine="0"/>
                    <w:rPr>
                      <w:color w:val="auto"/>
                      <w:szCs w:val="21"/>
                    </w:rPr>
                  </w:pPr>
                  <w:r>
                    <w:rPr>
                      <w:color w:val="auto"/>
                      <w:szCs w:val="21"/>
                    </w:rPr>
                    <w:t>55</w:t>
                  </w:r>
                </w:p>
              </w:tc>
            </w:tr>
            <w:tr w14:paraId="7C9CD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 w:hRule="atLeast"/>
                <w:jc w:val="center"/>
              </w:trPr>
              <w:tc>
                <w:tcPr>
                  <w:tcW w:w="1794" w:type="dxa"/>
                  <w:vAlign w:val="center"/>
                </w:tcPr>
                <w:p w14:paraId="49871F44">
                  <w:pPr>
                    <w:pStyle w:val="82"/>
                    <w:spacing w:line="240" w:lineRule="auto"/>
                    <w:ind w:firstLine="0"/>
                    <w:rPr>
                      <w:color w:val="auto"/>
                      <w:szCs w:val="21"/>
                    </w:rPr>
                  </w:pPr>
                  <w:r>
                    <w:rPr>
                      <w:color w:val="auto"/>
                      <w:szCs w:val="21"/>
                    </w:rPr>
                    <w:t>标准来源</w:t>
                  </w:r>
                </w:p>
              </w:tc>
              <w:tc>
                <w:tcPr>
                  <w:tcW w:w="6141" w:type="dxa"/>
                  <w:gridSpan w:val="3"/>
                  <w:vAlign w:val="center"/>
                </w:tcPr>
                <w:p w14:paraId="0FA54C64">
                  <w:pPr>
                    <w:pStyle w:val="82"/>
                    <w:spacing w:line="240" w:lineRule="auto"/>
                    <w:ind w:firstLine="0"/>
                    <w:rPr>
                      <w:color w:val="auto"/>
                      <w:szCs w:val="21"/>
                    </w:rPr>
                  </w:pPr>
                  <w:r>
                    <w:rPr>
                      <w:color w:val="auto"/>
                      <w:szCs w:val="21"/>
                    </w:rPr>
                    <w:t>《声环境质量标准》（GB3096-2008）</w:t>
                  </w:r>
                </w:p>
              </w:tc>
            </w:tr>
          </w:tbl>
          <w:p w14:paraId="2EB75751">
            <w:pPr>
              <w:pStyle w:val="109"/>
              <w:adjustRightInd/>
              <w:snapToGrid/>
              <w:spacing w:line="360" w:lineRule="auto"/>
              <w:ind w:firstLine="0"/>
              <w:rPr>
                <w:b/>
                <w:bCs/>
                <w:color w:val="auto"/>
                <w:sz w:val="24"/>
                <w:szCs w:val="24"/>
              </w:rPr>
            </w:pPr>
            <w:r>
              <w:rPr>
                <w:b/>
                <w:bCs/>
                <w:color w:val="auto"/>
                <w:sz w:val="24"/>
                <w:szCs w:val="24"/>
              </w:rPr>
              <w:t>3.1.4生态环境</w:t>
            </w:r>
          </w:p>
          <w:p w14:paraId="1B390C10">
            <w:pPr>
              <w:spacing w:line="360" w:lineRule="auto"/>
              <w:ind w:firstLine="480" w:firstLineChars="200"/>
              <w:jc w:val="left"/>
              <w:rPr>
                <w:color w:val="auto"/>
                <w:sz w:val="24"/>
              </w:rPr>
            </w:pPr>
            <w:r>
              <w:rPr>
                <w:color w:val="auto"/>
                <w:sz w:val="24"/>
              </w:rPr>
              <w:t>项目不在当地饮用水源、风景区、自然保护区等生态保护区内，不涉及相关文件划定的生态保护红线，故本次评价不进行生态现状调查。</w:t>
            </w:r>
          </w:p>
          <w:p w14:paraId="1FD150A9">
            <w:pPr>
              <w:pStyle w:val="109"/>
              <w:adjustRightInd/>
              <w:snapToGrid/>
              <w:spacing w:line="360" w:lineRule="auto"/>
              <w:ind w:firstLine="0"/>
              <w:rPr>
                <w:b/>
                <w:bCs/>
                <w:color w:val="auto"/>
                <w:sz w:val="24"/>
                <w:szCs w:val="24"/>
              </w:rPr>
            </w:pPr>
            <w:r>
              <w:rPr>
                <w:b/>
                <w:bCs/>
                <w:color w:val="auto"/>
                <w:sz w:val="24"/>
                <w:szCs w:val="24"/>
              </w:rPr>
              <w:t>3.1.5电磁辐射</w:t>
            </w:r>
          </w:p>
          <w:p w14:paraId="163471C2">
            <w:pPr>
              <w:spacing w:line="360" w:lineRule="auto"/>
              <w:ind w:firstLine="480" w:firstLineChars="200"/>
              <w:jc w:val="left"/>
              <w:rPr>
                <w:color w:val="auto"/>
                <w:sz w:val="24"/>
              </w:rPr>
            </w:pPr>
            <w:r>
              <w:rPr>
                <w:color w:val="auto"/>
                <w:sz w:val="24"/>
              </w:rPr>
              <w:t>项目不属于电磁辐射类项目，无需监测电磁辐射现状。</w:t>
            </w:r>
          </w:p>
          <w:p w14:paraId="56CBEF07">
            <w:pPr>
              <w:pStyle w:val="109"/>
              <w:adjustRightInd/>
              <w:snapToGrid/>
              <w:spacing w:line="360" w:lineRule="auto"/>
              <w:ind w:firstLine="0"/>
              <w:rPr>
                <w:b/>
                <w:bCs/>
                <w:color w:val="auto"/>
                <w:sz w:val="24"/>
                <w:szCs w:val="24"/>
                <w:highlight w:val="none"/>
              </w:rPr>
            </w:pPr>
            <w:r>
              <w:rPr>
                <w:b/>
                <w:bCs/>
                <w:color w:val="auto"/>
                <w:sz w:val="24"/>
                <w:szCs w:val="24"/>
              </w:rPr>
              <w:t>3.1.6</w:t>
            </w:r>
            <w:r>
              <w:rPr>
                <w:b/>
                <w:bCs/>
                <w:color w:val="auto"/>
                <w:sz w:val="24"/>
                <w:szCs w:val="24"/>
                <w:highlight w:val="none"/>
              </w:rPr>
              <w:t>地下水、土壤环境</w:t>
            </w:r>
          </w:p>
          <w:p w14:paraId="71551499">
            <w:pPr>
              <w:spacing w:line="360" w:lineRule="auto"/>
              <w:ind w:firstLine="480" w:firstLineChars="200"/>
              <w:rPr>
                <w:color w:val="auto"/>
                <w:sz w:val="24"/>
                <w:highlight w:val="none"/>
              </w:rPr>
            </w:pPr>
            <w:r>
              <w:rPr>
                <w:color w:val="auto"/>
                <w:kern w:val="0"/>
                <w:sz w:val="24"/>
                <w:highlight w:val="none"/>
              </w:rPr>
              <w:t>本项目主要生产高纯石英砂，属于</w:t>
            </w:r>
            <w:r>
              <w:rPr>
                <w:color w:val="auto"/>
                <w:sz w:val="24"/>
                <w:highlight w:val="none"/>
              </w:rPr>
              <w:t>其他非金属矿物制品制造</w:t>
            </w:r>
            <w:r>
              <w:rPr>
                <w:rFonts w:hint="eastAsia"/>
                <w:color w:val="auto"/>
                <w:sz w:val="24"/>
                <w:highlight w:val="none"/>
                <w:lang w:eastAsia="zh-CN"/>
              </w:rPr>
              <w:t>，</w:t>
            </w:r>
            <w:r>
              <w:rPr>
                <w:rFonts w:hint="eastAsia"/>
                <w:color w:val="auto"/>
                <w:sz w:val="24"/>
                <w:highlight w:val="none"/>
              </w:rPr>
              <w:t>不涉及第一类重金属、持久性难降解挥发性有机物，地下水、土壤污染风险较小，并对重点防渗区域进行地面硬化等措施，杜绝了土壤、地下水环境污染途径</w:t>
            </w:r>
            <w:r>
              <w:rPr>
                <w:color w:val="auto"/>
                <w:sz w:val="24"/>
                <w:highlight w:val="none"/>
              </w:rPr>
              <w:t>；故无需开展地下水、土壤环境现状调查。</w:t>
            </w:r>
          </w:p>
          <w:p w14:paraId="5589DE26">
            <w:pPr>
              <w:spacing w:line="360" w:lineRule="auto"/>
              <w:ind w:firstLine="480" w:firstLineChars="200"/>
              <w:rPr>
                <w:color w:val="auto"/>
                <w:sz w:val="24"/>
                <w:highlight w:val="none"/>
              </w:rPr>
            </w:pPr>
          </w:p>
          <w:p w14:paraId="7BDA6839">
            <w:pPr>
              <w:spacing w:line="360" w:lineRule="auto"/>
              <w:ind w:firstLine="480" w:firstLineChars="200"/>
              <w:rPr>
                <w:color w:val="auto"/>
                <w:sz w:val="24"/>
                <w:highlight w:val="none"/>
              </w:rPr>
            </w:pPr>
          </w:p>
          <w:p w14:paraId="6298B9CB">
            <w:pPr>
              <w:spacing w:line="360" w:lineRule="auto"/>
              <w:ind w:firstLine="480" w:firstLineChars="200"/>
              <w:rPr>
                <w:color w:val="auto"/>
                <w:sz w:val="24"/>
                <w:highlight w:val="none"/>
              </w:rPr>
            </w:pPr>
          </w:p>
          <w:p w14:paraId="4A844FB2">
            <w:pPr>
              <w:spacing w:line="360" w:lineRule="auto"/>
              <w:ind w:firstLine="480" w:firstLineChars="200"/>
              <w:rPr>
                <w:color w:val="auto"/>
                <w:sz w:val="24"/>
                <w:highlight w:val="none"/>
              </w:rPr>
            </w:pPr>
          </w:p>
          <w:p w14:paraId="050A7051">
            <w:pPr>
              <w:spacing w:line="360" w:lineRule="auto"/>
              <w:ind w:firstLine="480" w:firstLineChars="200"/>
              <w:rPr>
                <w:color w:val="auto"/>
                <w:sz w:val="24"/>
                <w:highlight w:val="none"/>
              </w:rPr>
            </w:pPr>
          </w:p>
          <w:p w14:paraId="1396395D">
            <w:pPr>
              <w:spacing w:line="360" w:lineRule="auto"/>
              <w:ind w:firstLine="480" w:firstLineChars="200"/>
              <w:rPr>
                <w:color w:val="auto"/>
                <w:sz w:val="24"/>
                <w:highlight w:val="none"/>
              </w:rPr>
            </w:pPr>
          </w:p>
          <w:p w14:paraId="3249243C">
            <w:pPr>
              <w:spacing w:line="360" w:lineRule="auto"/>
              <w:ind w:firstLine="480" w:firstLineChars="200"/>
              <w:rPr>
                <w:color w:val="auto"/>
                <w:sz w:val="24"/>
                <w:highlight w:val="none"/>
              </w:rPr>
            </w:pPr>
          </w:p>
          <w:p w14:paraId="2C633260">
            <w:pPr>
              <w:spacing w:line="360" w:lineRule="auto"/>
              <w:ind w:firstLine="480" w:firstLineChars="200"/>
              <w:rPr>
                <w:color w:val="auto"/>
                <w:sz w:val="24"/>
                <w:highlight w:val="none"/>
              </w:rPr>
            </w:pPr>
          </w:p>
        </w:tc>
      </w:tr>
      <w:tr w14:paraId="01E063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3" w:hRule="atLeast"/>
          <w:jc w:val="center"/>
        </w:trPr>
        <w:tc>
          <w:tcPr>
            <w:tcW w:w="823" w:type="dxa"/>
            <w:vAlign w:val="center"/>
          </w:tcPr>
          <w:p w14:paraId="3808DECF">
            <w:pPr>
              <w:adjustRightInd w:val="0"/>
              <w:snapToGrid w:val="0"/>
              <w:jc w:val="center"/>
              <w:rPr>
                <w:color w:val="auto"/>
                <w:kern w:val="0"/>
                <w:szCs w:val="21"/>
              </w:rPr>
            </w:pPr>
            <w:r>
              <w:rPr>
                <w:color w:val="auto"/>
                <w:kern w:val="0"/>
                <w:szCs w:val="21"/>
              </w:rPr>
              <w:t>环境</w:t>
            </w:r>
          </w:p>
          <w:p w14:paraId="5123E6EC">
            <w:pPr>
              <w:adjustRightInd w:val="0"/>
              <w:snapToGrid w:val="0"/>
              <w:jc w:val="center"/>
              <w:rPr>
                <w:color w:val="auto"/>
                <w:kern w:val="0"/>
                <w:szCs w:val="21"/>
              </w:rPr>
            </w:pPr>
            <w:r>
              <w:rPr>
                <w:color w:val="auto"/>
                <w:kern w:val="0"/>
                <w:szCs w:val="21"/>
              </w:rPr>
              <w:t>保护</w:t>
            </w:r>
          </w:p>
          <w:p w14:paraId="3D6D8349">
            <w:pPr>
              <w:adjustRightInd w:val="0"/>
              <w:snapToGrid w:val="0"/>
              <w:jc w:val="center"/>
              <w:rPr>
                <w:color w:val="auto"/>
                <w:kern w:val="0"/>
                <w:szCs w:val="21"/>
              </w:rPr>
            </w:pPr>
            <w:r>
              <w:rPr>
                <w:color w:val="auto"/>
                <w:kern w:val="0"/>
                <w:szCs w:val="21"/>
              </w:rPr>
              <w:t>目标</w:t>
            </w:r>
          </w:p>
        </w:tc>
        <w:tc>
          <w:tcPr>
            <w:tcW w:w="8161" w:type="dxa"/>
          </w:tcPr>
          <w:p w14:paraId="2A09E946">
            <w:pPr>
              <w:spacing w:line="360" w:lineRule="auto"/>
              <w:ind w:firstLine="482" w:firstLineChars="200"/>
              <w:jc w:val="left"/>
              <w:rPr>
                <w:b/>
                <w:bCs/>
                <w:color w:val="auto"/>
                <w:sz w:val="24"/>
              </w:rPr>
            </w:pPr>
            <w:r>
              <w:rPr>
                <w:b/>
                <w:bCs/>
                <w:color w:val="auto"/>
                <w:sz w:val="24"/>
              </w:rPr>
              <w:t>1、大气环境</w:t>
            </w:r>
          </w:p>
          <w:p w14:paraId="7F3B9464">
            <w:pPr>
              <w:spacing w:line="360" w:lineRule="auto"/>
              <w:ind w:firstLine="480" w:firstLineChars="200"/>
              <w:jc w:val="left"/>
              <w:rPr>
                <w:rFonts w:hint="eastAsia" w:ascii="Times New Roman" w:hAnsi="Times New Roman" w:eastAsia="宋体" w:cs="Times New Roman"/>
                <w:color w:val="auto"/>
                <w:sz w:val="24"/>
              </w:rPr>
            </w:pPr>
            <w:r>
              <w:rPr>
                <w:color w:val="auto"/>
                <w:sz w:val="24"/>
              </w:rPr>
              <w:t>根据现场踏勘，</w:t>
            </w:r>
            <w:r>
              <w:rPr>
                <w:rFonts w:hint="eastAsia" w:ascii="Times New Roman" w:hAnsi="Times New Roman" w:eastAsia="宋体" w:cs="Times New Roman"/>
                <w:color w:val="auto"/>
                <w:sz w:val="24"/>
              </w:rPr>
              <w:t>项目</w:t>
            </w:r>
            <w:r>
              <w:rPr>
                <w:rFonts w:ascii="Times New Roman" w:hAnsi="Times New Roman" w:eastAsia="宋体" w:cs="Times New Roman"/>
                <w:color w:val="auto"/>
                <w:sz w:val="24"/>
              </w:rPr>
              <w:t>500m</w:t>
            </w:r>
            <w:r>
              <w:rPr>
                <w:rFonts w:hint="eastAsia" w:ascii="Times New Roman" w:hAnsi="Times New Roman" w:eastAsia="宋体" w:cs="Times New Roman"/>
                <w:color w:val="auto"/>
                <w:sz w:val="24"/>
              </w:rPr>
              <w:t>范围环境敏感保护目标详见附图</w:t>
            </w:r>
            <w:r>
              <w:rPr>
                <w:rFonts w:hint="eastAsia" w:ascii="Times New Roman" w:hAnsi="Times New Roman" w:eastAsia="宋体" w:cs="Times New Roman"/>
                <w:color w:val="auto"/>
                <w:sz w:val="24"/>
                <w:lang w:val="en-US" w:eastAsia="zh-CN"/>
              </w:rPr>
              <w:t>2</w:t>
            </w:r>
            <w:r>
              <w:rPr>
                <w:rFonts w:hint="eastAsia" w:ascii="Times New Roman" w:hAnsi="Times New Roman" w:eastAsia="宋体" w:cs="Times New Roman"/>
                <w:color w:val="auto"/>
                <w:sz w:val="24"/>
              </w:rPr>
              <w:t>，环境空气保护目标如下：</w:t>
            </w:r>
          </w:p>
          <w:p w14:paraId="31B817A3">
            <w:pPr>
              <w:spacing w:line="400" w:lineRule="exact"/>
              <w:jc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表</w:t>
            </w:r>
            <w:r>
              <w:rPr>
                <w:rFonts w:hint="eastAsia" w:ascii="Times New Roman" w:hAnsi="Times New Roman" w:eastAsia="宋体" w:cs="Times New Roman"/>
                <w:b/>
                <w:bCs/>
                <w:color w:val="auto"/>
                <w:szCs w:val="21"/>
                <w:lang w:val="en-US" w:eastAsia="zh-CN"/>
              </w:rPr>
              <w:t xml:space="preserve">.1.6-1  </w:t>
            </w:r>
            <w:r>
              <w:rPr>
                <w:rFonts w:hint="eastAsia" w:ascii="Times New Roman" w:hAnsi="Times New Roman" w:eastAsia="宋体" w:cs="Times New Roman"/>
                <w:b/>
                <w:bCs/>
                <w:color w:val="auto"/>
                <w:szCs w:val="21"/>
              </w:rPr>
              <w:t>环境空气保护目标一览表</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640"/>
              <w:gridCol w:w="732"/>
              <w:gridCol w:w="750"/>
              <w:gridCol w:w="640"/>
              <w:gridCol w:w="2360"/>
              <w:gridCol w:w="933"/>
              <w:gridCol w:w="1078"/>
            </w:tblGrid>
            <w:tr w14:paraId="2AAD2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501" w:type="pct"/>
                  <w:vMerge w:val="restart"/>
                  <w:noWrap w:val="0"/>
                  <w:vAlign w:val="center"/>
                </w:tcPr>
                <w:p w14:paraId="4965EADF">
                  <w:pPr>
                    <w:adjustRightInd w:val="0"/>
                    <w:snapToGrid w:val="0"/>
                    <w:jc w:val="center"/>
                    <w:rPr>
                      <w:b/>
                      <w:bCs/>
                      <w:color w:val="auto"/>
                      <w:szCs w:val="21"/>
                    </w:rPr>
                  </w:pPr>
                  <w:r>
                    <w:rPr>
                      <w:rFonts w:hint="eastAsia"/>
                      <w:b/>
                      <w:bCs/>
                      <w:color w:val="auto"/>
                      <w:szCs w:val="21"/>
                    </w:rPr>
                    <w:t>名称</w:t>
                  </w:r>
                </w:p>
              </w:tc>
              <w:tc>
                <w:tcPr>
                  <w:tcW w:w="865" w:type="pct"/>
                  <w:gridSpan w:val="2"/>
                  <w:noWrap w:val="0"/>
                  <w:vAlign w:val="center"/>
                </w:tcPr>
                <w:p w14:paraId="48326437">
                  <w:pPr>
                    <w:adjustRightInd w:val="0"/>
                    <w:snapToGrid w:val="0"/>
                    <w:jc w:val="center"/>
                    <w:rPr>
                      <w:rFonts w:hint="default" w:eastAsia="宋体"/>
                      <w:b/>
                      <w:bCs/>
                      <w:color w:val="auto"/>
                      <w:szCs w:val="21"/>
                      <w:lang w:val="en-US" w:eastAsia="zh-CN"/>
                    </w:rPr>
                  </w:pPr>
                  <w:r>
                    <w:rPr>
                      <w:rFonts w:hint="eastAsia"/>
                      <w:b/>
                      <w:bCs/>
                      <w:color w:val="auto"/>
                      <w:szCs w:val="21"/>
                      <w:lang w:val="en-US" w:eastAsia="zh-CN"/>
                    </w:rPr>
                    <w:t>UTM</w:t>
                  </w:r>
                </w:p>
              </w:tc>
              <w:tc>
                <w:tcPr>
                  <w:tcW w:w="472" w:type="pct"/>
                  <w:vMerge w:val="restart"/>
                  <w:noWrap w:val="0"/>
                  <w:vAlign w:val="center"/>
                </w:tcPr>
                <w:p w14:paraId="514035A2">
                  <w:pPr>
                    <w:adjustRightInd w:val="0"/>
                    <w:snapToGrid w:val="0"/>
                    <w:jc w:val="center"/>
                    <w:rPr>
                      <w:b/>
                      <w:bCs/>
                      <w:color w:val="auto"/>
                      <w:szCs w:val="21"/>
                    </w:rPr>
                  </w:pPr>
                  <w:r>
                    <w:rPr>
                      <w:rFonts w:hint="eastAsia"/>
                      <w:b/>
                      <w:bCs/>
                      <w:color w:val="auto"/>
                      <w:szCs w:val="21"/>
                    </w:rPr>
                    <w:t>保护</w:t>
                  </w:r>
                </w:p>
                <w:p w14:paraId="4B542FAB">
                  <w:pPr>
                    <w:adjustRightInd w:val="0"/>
                    <w:snapToGrid w:val="0"/>
                    <w:jc w:val="center"/>
                    <w:rPr>
                      <w:b/>
                      <w:bCs/>
                      <w:color w:val="auto"/>
                      <w:szCs w:val="21"/>
                    </w:rPr>
                  </w:pPr>
                  <w:r>
                    <w:rPr>
                      <w:rFonts w:hint="eastAsia"/>
                      <w:b/>
                      <w:bCs/>
                      <w:color w:val="auto"/>
                      <w:szCs w:val="21"/>
                    </w:rPr>
                    <w:t>对象</w:t>
                  </w:r>
                </w:p>
              </w:tc>
              <w:tc>
                <w:tcPr>
                  <w:tcW w:w="403" w:type="pct"/>
                  <w:vMerge w:val="restart"/>
                  <w:noWrap w:val="0"/>
                  <w:vAlign w:val="center"/>
                </w:tcPr>
                <w:p w14:paraId="31AEA7E9">
                  <w:pPr>
                    <w:adjustRightInd w:val="0"/>
                    <w:snapToGrid w:val="0"/>
                    <w:jc w:val="center"/>
                    <w:rPr>
                      <w:b/>
                      <w:bCs/>
                      <w:color w:val="auto"/>
                      <w:szCs w:val="21"/>
                    </w:rPr>
                  </w:pPr>
                  <w:r>
                    <w:rPr>
                      <w:rFonts w:hint="eastAsia"/>
                      <w:b/>
                      <w:bCs/>
                      <w:color w:val="auto"/>
                      <w:szCs w:val="21"/>
                    </w:rPr>
                    <w:t>规模</w:t>
                  </w:r>
                </w:p>
              </w:tc>
              <w:tc>
                <w:tcPr>
                  <w:tcW w:w="1488" w:type="pct"/>
                  <w:vMerge w:val="restart"/>
                  <w:noWrap w:val="0"/>
                  <w:vAlign w:val="center"/>
                </w:tcPr>
                <w:p w14:paraId="575ADE9F">
                  <w:pPr>
                    <w:adjustRightInd w:val="0"/>
                    <w:snapToGrid w:val="0"/>
                    <w:jc w:val="center"/>
                    <w:rPr>
                      <w:b/>
                      <w:bCs/>
                      <w:color w:val="auto"/>
                      <w:szCs w:val="21"/>
                    </w:rPr>
                  </w:pPr>
                  <w:r>
                    <w:rPr>
                      <w:rFonts w:hint="eastAsia"/>
                      <w:b/>
                      <w:bCs/>
                      <w:color w:val="auto"/>
                      <w:szCs w:val="21"/>
                    </w:rPr>
                    <w:t>环境功能区</w:t>
                  </w:r>
                </w:p>
              </w:tc>
              <w:tc>
                <w:tcPr>
                  <w:tcW w:w="588" w:type="pct"/>
                  <w:vMerge w:val="restart"/>
                  <w:noWrap w:val="0"/>
                  <w:vAlign w:val="center"/>
                </w:tcPr>
                <w:p w14:paraId="2D54A411">
                  <w:pPr>
                    <w:adjustRightInd w:val="0"/>
                    <w:snapToGrid w:val="0"/>
                    <w:jc w:val="center"/>
                    <w:rPr>
                      <w:b/>
                      <w:bCs/>
                      <w:color w:val="auto"/>
                      <w:szCs w:val="21"/>
                    </w:rPr>
                  </w:pPr>
                  <w:r>
                    <w:rPr>
                      <w:rFonts w:hint="eastAsia"/>
                      <w:b/>
                      <w:bCs/>
                      <w:color w:val="auto"/>
                      <w:szCs w:val="21"/>
                    </w:rPr>
                    <w:t>相对场址方位</w:t>
                  </w:r>
                </w:p>
              </w:tc>
              <w:tc>
                <w:tcPr>
                  <w:tcW w:w="679" w:type="pct"/>
                  <w:vMerge w:val="restart"/>
                  <w:noWrap w:val="0"/>
                  <w:vAlign w:val="center"/>
                </w:tcPr>
                <w:p w14:paraId="7A7266B0">
                  <w:pPr>
                    <w:adjustRightInd w:val="0"/>
                    <w:snapToGrid w:val="0"/>
                    <w:jc w:val="center"/>
                    <w:rPr>
                      <w:b/>
                      <w:bCs/>
                      <w:color w:val="auto"/>
                      <w:szCs w:val="21"/>
                    </w:rPr>
                  </w:pPr>
                  <w:r>
                    <w:rPr>
                      <w:rFonts w:hint="eastAsia"/>
                      <w:b/>
                      <w:bCs/>
                      <w:color w:val="auto"/>
                      <w:szCs w:val="21"/>
                    </w:rPr>
                    <w:t>相对场界距离</w:t>
                  </w:r>
                  <w:r>
                    <w:rPr>
                      <w:b/>
                      <w:bCs/>
                      <w:color w:val="auto"/>
                      <w:szCs w:val="21"/>
                    </w:rPr>
                    <w:t>/m</w:t>
                  </w:r>
                </w:p>
              </w:tc>
            </w:tr>
            <w:tr w14:paraId="6E356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501" w:type="pct"/>
                  <w:vMerge w:val="continue"/>
                  <w:noWrap w:val="0"/>
                  <w:vAlign w:val="center"/>
                </w:tcPr>
                <w:p w14:paraId="7469371D">
                  <w:pPr>
                    <w:adjustRightInd w:val="0"/>
                    <w:snapToGrid w:val="0"/>
                    <w:jc w:val="center"/>
                    <w:rPr>
                      <w:rFonts w:hint="eastAsia"/>
                      <w:b/>
                      <w:bCs/>
                      <w:color w:val="auto"/>
                      <w:szCs w:val="21"/>
                    </w:rPr>
                  </w:pPr>
                </w:p>
              </w:tc>
              <w:tc>
                <w:tcPr>
                  <w:tcW w:w="403" w:type="pct"/>
                  <w:shd w:val="clear" w:color="auto" w:fill="auto"/>
                  <w:noWrap w:val="0"/>
                  <w:vAlign w:val="center"/>
                </w:tcPr>
                <w:p w14:paraId="731D3F6F">
                  <w:pPr>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b/>
                      <w:bCs/>
                      <w:color w:val="auto"/>
                      <w:szCs w:val="21"/>
                    </w:rPr>
                    <w:t>X</w:t>
                  </w:r>
                </w:p>
              </w:tc>
              <w:tc>
                <w:tcPr>
                  <w:tcW w:w="461" w:type="pct"/>
                  <w:shd w:val="clear" w:color="auto" w:fill="auto"/>
                  <w:noWrap w:val="0"/>
                  <w:vAlign w:val="center"/>
                </w:tcPr>
                <w:p w14:paraId="7CDB373E">
                  <w:pPr>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b/>
                      <w:bCs/>
                      <w:color w:val="auto"/>
                      <w:szCs w:val="21"/>
                    </w:rPr>
                    <w:t>Y</w:t>
                  </w:r>
                </w:p>
              </w:tc>
              <w:tc>
                <w:tcPr>
                  <w:tcW w:w="472" w:type="pct"/>
                  <w:vMerge w:val="continue"/>
                  <w:noWrap w:val="0"/>
                  <w:vAlign w:val="center"/>
                </w:tcPr>
                <w:p w14:paraId="7BEF9505">
                  <w:pPr>
                    <w:adjustRightInd w:val="0"/>
                    <w:snapToGrid w:val="0"/>
                    <w:jc w:val="center"/>
                    <w:rPr>
                      <w:rFonts w:hint="eastAsia"/>
                      <w:b/>
                      <w:bCs/>
                      <w:color w:val="auto"/>
                      <w:szCs w:val="21"/>
                    </w:rPr>
                  </w:pPr>
                </w:p>
              </w:tc>
              <w:tc>
                <w:tcPr>
                  <w:tcW w:w="403" w:type="pct"/>
                  <w:vMerge w:val="continue"/>
                  <w:noWrap w:val="0"/>
                  <w:vAlign w:val="center"/>
                </w:tcPr>
                <w:p w14:paraId="6B7D2247">
                  <w:pPr>
                    <w:adjustRightInd w:val="0"/>
                    <w:snapToGrid w:val="0"/>
                    <w:jc w:val="center"/>
                    <w:rPr>
                      <w:rFonts w:hint="eastAsia"/>
                      <w:b/>
                      <w:bCs/>
                      <w:color w:val="auto"/>
                      <w:szCs w:val="21"/>
                    </w:rPr>
                  </w:pPr>
                </w:p>
              </w:tc>
              <w:tc>
                <w:tcPr>
                  <w:tcW w:w="1488" w:type="pct"/>
                  <w:vMerge w:val="continue"/>
                  <w:noWrap w:val="0"/>
                  <w:vAlign w:val="center"/>
                </w:tcPr>
                <w:p w14:paraId="1093E8D1">
                  <w:pPr>
                    <w:adjustRightInd w:val="0"/>
                    <w:snapToGrid w:val="0"/>
                    <w:jc w:val="center"/>
                    <w:rPr>
                      <w:rFonts w:hint="eastAsia"/>
                      <w:b/>
                      <w:bCs/>
                      <w:color w:val="auto"/>
                      <w:szCs w:val="21"/>
                    </w:rPr>
                  </w:pPr>
                </w:p>
              </w:tc>
              <w:tc>
                <w:tcPr>
                  <w:tcW w:w="588" w:type="pct"/>
                  <w:vMerge w:val="continue"/>
                  <w:noWrap w:val="0"/>
                  <w:vAlign w:val="center"/>
                </w:tcPr>
                <w:p w14:paraId="1FCAB9F0">
                  <w:pPr>
                    <w:adjustRightInd w:val="0"/>
                    <w:snapToGrid w:val="0"/>
                    <w:jc w:val="center"/>
                    <w:rPr>
                      <w:rFonts w:hint="eastAsia"/>
                      <w:b/>
                      <w:bCs/>
                      <w:color w:val="auto"/>
                      <w:szCs w:val="21"/>
                    </w:rPr>
                  </w:pPr>
                </w:p>
              </w:tc>
              <w:tc>
                <w:tcPr>
                  <w:tcW w:w="679" w:type="pct"/>
                  <w:vMerge w:val="continue"/>
                  <w:noWrap w:val="0"/>
                  <w:vAlign w:val="center"/>
                </w:tcPr>
                <w:p w14:paraId="5E8806E2">
                  <w:pPr>
                    <w:adjustRightInd w:val="0"/>
                    <w:snapToGrid w:val="0"/>
                    <w:jc w:val="center"/>
                    <w:rPr>
                      <w:rFonts w:hint="eastAsia"/>
                      <w:b/>
                      <w:bCs/>
                      <w:color w:val="auto"/>
                      <w:szCs w:val="21"/>
                    </w:rPr>
                  </w:pPr>
                </w:p>
              </w:tc>
            </w:tr>
            <w:tr w14:paraId="6F916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noWrap w:val="0"/>
                  <w:vAlign w:val="center"/>
                </w:tcPr>
                <w:p w14:paraId="56ABC580">
                  <w:pPr>
                    <w:pStyle w:val="140"/>
                    <w:rPr>
                      <w:color w:val="auto"/>
                    </w:rPr>
                  </w:pPr>
                  <w:r>
                    <w:rPr>
                      <w:rFonts w:hint="eastAsia" w:cs="Times New Roman"/>
                      <w:color w:val="auto"/>
                      <w:kern w:val="0"/>
                      <w:szCs w:val="20"/>
                      <w:lang w:val="en-US" w:eastAsia="zh-CN"/>
                    </w:rPr>
                    <w:t>园区宿舍楼</w:t>
                  </w:r>
                </w:p>
              </w:tc>
              <w:tc>
                <w:tcPr>
                  <w:tcW w:w="403" w:type="pct"/>
                  <w:noWrap w:val="0"/>
                  <w:vAlign w:val="center"/>
                </w:tcPr>
                <w:p w14:paraId="4C854AD1">
                  <w:pPr>
                    <w:pStyle w:val="140"/>
                    <w:rPr>
                      <w:rFonts w:ascii="Times New Roman" w:hAnsi="Times New Roman" w:eastAsia="宋体" w:cs="Times New Roman"/>
                      <w:color w:val="auto"/>
                    </w:rPr>
                  </w:pPr>
                  <w:r>
                    <w:rPr>
                      <w:rFonts w:hint="eastAsia" w:ascii="Times New Roman" w:hAnsi="Times New Roman" w:eastAsia="宋体" w:cs="Times New Roman"/>
                      <w:color w:val="auto"/>
                    </w:rPr>
                    <w:t>507573</w:t>
                  </w:r>
                </w:p>
              </w:tc>
              <w:tc>
                <w:tcPr>
                  <w:tcW w:w="461" w:type="pct"/>
                  <w:noWrap w:val="0"/>
                  <w:vAlign w:val="center"/>
                </w:tcPr>
                <w:p w14:paraId="6B7F2D5C">
                  <w:pPr>
                    <w:pStyle w:val="140"/>
                    <w:rPr>
                      <w:rFonts w:ascii="Times New Roman" w:hAnsi="Times New Roman" w:eastAsia="宋体" w:cs="Times New Roman"/>
                      <w:color w:val="auto"/>
                    </w:rPr>
                  </w:pPr>
                  <w:r>
                    <w:rPr>
                      <w:rFonts w:hint="eastAsia" w:ascii="Times New Roman" w:hAnsi="Times New Roman" w:eastAsia="宋体" w:cs="Times New Roman"/>
                      <w:color w:val="auto"/>
                    </w:rPr>
                    <w:t>3610769</w:t>
                  </w:r>
                </w:p>
              </w:tc>
              <w:tc>
                <w:tcPr>
                  <w:tcW w:w="472" w:type="pct"/>
                  <w:noWrap w:val="0"/>
                  <w:vAlign w:val="center"/>
                </w:tcPr>
                <w:p w14:paraId="1C2B3661">
                  <w:pPr>
                    <w:pStyle w:val="140"/>
                    <w:rPr>
                      <w:color w:val="auto"/>
                    </w:rPr>
                  </w:pPr>
                  <w:r>
                    <w:rPr>
                      <w:rFonts w:hint="eastAsia"/>
                      <w:color w:val="auto"/>
                    </w:rPr>
                    <w:t>居民</w:t>
                  </w:r>
                </w:p>
              </w:tc>
              <w:tc>
                <w:tcPr>
                  <w:tcW w:w="403" w:type="pct"/>
                  <w:noWrap w:val="0"/>
                  <w:vAlign w:val="center"/>
                </w:tcPr>
                <w:p w14:paraId="0C090E9D">
                  <w:pPr>
                    <w:pStyle w:val="140"/>
                    <w:rPr>
                      <w:rFonts w:hint="eastAsia"/>
                      <w:color w:val="auto"/>
                    </w:rPr>
                  </w:pPr>
                  <w:r>
                    <w:rPr>
                      <w:color w:val="auto"/>
                    </w:rPr>
                    <w:t>500</w:t>
                  </w:r>
                  <w:r>
                    <w:rPr>
                      <w:rFonts w:hint="eastAsia"/>
                      <w:color w:val="auto"/>
                    </w:rPr>
                    <w:t>人</w:t>
                  </w:r>
                </w:p>
              </w:tc>
              <w:tc>
                <w:tcPr>
                  <w:tcW w:w="1488" w:type="pct"/>
                  <w:noWrap w:val="0"/>
                  <w:vAlign w:val="center"/>
                </w:tcPr>
                <w:p w14:paraId="68CD0D40">
                  <w:pPr>
                    <w:pStyle w:val="140"/>
                    <w:rPr>
                      <w:color w:val="auto"/>
                    </w:rPr>
                  </w:pPr>
                  <w:r>
                    <w:rPr>
                      <w:rFonts w:hint="eastAsia"/>
                      <w:color w:val="auto"/>
                    </w:rPr>
                    <w:t>《环境空气质量标准》（</w:t>
                  </w:r>
                  <w:r>
                    <w:rPr>
                      <w:color w:val="auto"/>
                    </w:rPr>
                    <w:t>GB3095-2012</w:t>
                  </w:r>
                  <w:r>
                    <w:rPr>
                      <w:rFonts w:hint="eastAsia"/>
                      <w:color w:val="auto"/>
                    </w:rPr>
                    <w:t>）二类标准</w:t>
                  </w:r>
                </w:p>
              </w:tc>
              <w:tc>
                <w:tcPr>
                  <w:tcW w:w="588" w:type="pct"/>
                  <w:noWrap w:val="0"/>
                  <w:vAlign w:val="center"/>
                </w:tcPr>
                <w:p w14:paraId="529BCC03">
                  <w:pPr>
                    <w:pStyle w:val="140"/>
                    <w:rPr>
                      <w:rFonts w:hint="eastAsia" w:eastAsia="宋体"/>
                      <w:color w:val="auto"/>
                      <w:lang w:val="en-US" w:eastAsia="zh-CN"/>
                    </w:rPr>
                  </w:pPr>
                  <w:r>
                    <w:rPr>
                      <w:rFonts w:hint="eastAsia"/>
                      <w:color w:val="auto"/>
                      <w:lang w:val="en-US" w:eastAsia="zh-CN"/>
                    </w:rPr>
                    <w:t>W</w:t>
                  </w:r>
                </w:p>
              </w:tc>
              <w:tc>
                <w:tcPr>
                  <w:tcW w:w="679" w:type="pct"/>
                  <w:noWrap w:val="0"/>
                  <w:vAlign w:val="center"/>
                </w:tcPr>
                <w:p w14:paraId="2D1A64B9">
                  <w:pPr>
                    <w:pStyle w:val="140"/>
                    <w:rPr>
                      <w:rFonts w:hint="default" w:eastAsia="宋体"/>
                      <w:color w:val="auto"/>
                      <w:lang w:val="en-US" w:eastAsia="zh-CN"/>
                    </w:rPr>
                  </w:pPr>
                  <w:r>
                    <w:rPr>
                      <w:rFonts w:hint="eastAsia"/>
                      <w:color w:val="auto"/>
                      <w:lang w:val="en-US" w:eastAsia="zh-CN"/>
                    </w:rPr>
                    <w:t>420</w:t>
                  </w:r>
                </w:p>
              </w:tc>
            </w:tr>
          </w:tbl>
          <w:p w14:paraId="7345E537">
            <w:pPr>
              <w:spacing w:line="360" w:lineRule="auto"/>
              <w:ind w:firstLine="482" w:firstLineChars="200"/>
              <w:jc w:val="left"/>
              <w:rPr>
                <w:b/>
                <w:bCs/>
                <w:color w:val="auto"/>
                <w:sz w:val="24"/>
              </w:rPr>
            </w:pPr>
            <w:r>
              <w:rPr>
                <w:b/>
                <w:bCs/>
                <w:color w:val="auto"/>
                <w:sz w:val="24"/>
              </w:rPr>
              <w:t>2、声环境</w:t>
            </w:r>
          </w:p>
          <w:p w14:paraId="6C1C51DF">
            <w:pPr>
              <w:spacing w:line="360" w:lineRule="auto"/>
              <w:ind w:firstLine="480" w:firstLineChars="200"/>
              <w:jc w:val="left"/>
              <w:rPr>
                <w:color w:val="auto"/>
                <w:sz w:val="24"/>
                <w:lang w:val="zh-CN"/>
              </w:rPr>
            </w:pPr>
            <w:r>
              <w:rPr>
                <w:color w:val="auto"/>
                <w:sz w:val="24"/>
              </w:rPr>
              <w:t>根据现场调查，项目周边50m范围内无声环境保护目标</w:t>
            </w:r>
            <w:r>
              <w:rPr>
                <w:color w:val="auto"/>
                <w:sz w:val="24"/>
                <w:lang w:val="zh-CN"/>
              </w:rPr>
              <w:t>。</w:t>
            </w:r>
          </w:p>
          <w:p w14:paraId="46CF5A1C">
            <w:pPr>
              <w:spacing w:line="360" w:lineRule="auto"/>
              <w:ind w:firstLine="482" w:firstLineChars="200"/>
              <w:jc w:val="left"/>
              <w:rPr>
                <w:b/>
                <w:bCs/>
                <w:color w:val="auto"/>
                <w:sz w:val="24"/>
              </w:rPr>
            </w:pPr>
            <w:r>
              <w:rPr>
                <w:b/>
                <w:bCs/>
                <w:color w:val="auto"/>
                <w:sz w:val="24"/>
              </w:rPr>
              <w:t>3、地下水环境</w:t>
            </w:r>
          </w:p>
          <w:p w14:paraId="3E33EE9B">
            <w:pPr>
              <w:spacing w:line="360" w:lineRule="auto"/>
              <w:ind w:firstLine="480" w:firstLineChars="200"/>
              <w:jc w:val="left"/>
              <w:rPr>
                <w:color w:val="auto"/>
                <w:sz w:val="24"/>
              </w:rPr>
            </w:pPr>
            <w:r>
              <w:rPr>
                <w:color w:val="auto"/>
                <w:sz w:val="24"/>
              </w:rPr>
              <w:t>项目厂界外500 m无地下水集中式饮用水水源和热水、矿泉水、温泉等特殊地下水资源。</w:t>
            </w:r>
          </w:p>
          <w:p w14:paraId="23D83130">
            <w:pPr>
              <w:spacing w:line="360" w:lineRule="auto"/>
              <w:ind w:firstLine="482" w:firstLineChars="200"/>
              <w:jc w:val="left"/>
              <w:rPr>
                <w:b/>
                <w:bCs/>
                <w:color w:val="auto"/>
                <w:sz w:val="24"/>
              </w:rPr>
            </w:pPr>
            <w:r>
              <w:rPr>
                <w:b/>
                <w:bCs/>
                <w:color w:val="auto"/>
                <w:sz w:val="24"/>
              </w:rPr>
              <w:t>4、生态环境</w:t>
            </w:r>
          </w:p>
          <w:p w14:paraId="1B297945">
            <w:pPr>
              <w:spacing w:line="360" w:lineRule="auto"/>
              <w:ind w:firstLine="480" w:firstLineChars="200"/>
              <w:jc w:val="left"/>
              <w:rPr>
                <w:color w:val="auto"/>
                <w:kern w:val="0"/>
                <w:szCs w:val="21"/>
              </w:rPr>
            </w:pPr>
            <w:r>
              <w:rPr>
                <w:color w:val="auto"/>
                <w:sz w:val="24"/>
              </w:rPr>
              <w:t>项目所在地不涉及生态环境保护目标。</w:t>
            </w:r>
            <w:r>
              <w:rPr>
                <w:color w:val="auto"/>
                <w:kern w:val="0"/>
                <w:szCs w:val="21"/>
              </w:rPr>
              <w:tab/>
            </w:r>
          </w:p>
        </w:tc>
      </w:tr>
      <w:tr w14:paraId="588252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7B5668D5">
            <w:pPr>
              <w:adjustRightInd w:val="0"/>
              <w:snapToGrid w:val="0"/>
              <w:jc w:val="center"/>
              <w:rPr>
                <w:color w:val="auto"/>
                <w:kern w:val="0"/>
                <w:szCs w:val="21"/>
              </w:rPr>
            </w:pPr>
            <w:r>
              <w:rPr>
                <w:color w:val="auto"/>
                <w:kern w:val="0"/>
                <w:szCs w:val="21"/>
              </w:rPr>
              <w:t>污染</w:t>
            </w:r>
          </w:p>
          <w:p w14:paraId="07C43442">
            <w:pPr>
              <w:adjustRightInd w:val="0"/>
              <w:snapToGrid w:val="0"/>
              <w:jc w:val="center"/>
              <w:rPr>
                <w:color w:val="auto"/>
                <w:kern w:val="0"/>
                <w:szCs w:val="21"/>
              </w:rPr>
            </w:pPr>
            <w:r>
              <w:rPr>
                <w:color w:val="auto"/>
                <w:kern w:val="0"/>
                <w:szCs w:val="21"/>
              </w:rPr>
              <w:t>物排</w:t>
            </w:r>
          </w:p>
          <w:p w14:paraId="3D6D5D5B">
            <w:pPr>
              <w:adjustRightInd w:val="0"/>
              <w:snapToGrid w:val="0"/>
              <w:jc w:val="center"/>
              <w:rPr>
                <w:color w:val="auto"/>
                <w:kern w:val="0"/>
                <w:szCs w:val="21"/>
              </w:rPr>
            </w:pPr>
            <w:r>
              <w:rPr>
                <w:color w:val="auto"/>
                <w:kern w:val="0"/>
                <w:szCs w:val="21"/>
              </w:rPr>
              <w:t>放控</w:t>
            </w:r>
          </w:p>
          <w:p w14:paraId="3D417F82">
            <w:pPr>
              <w:adjustRightInd w:val="0"/>
              <w:snapToGrid w:val="0"/>
              <w:jc w:val="center"/>
              <w:rPr>
                <w:color w:val="auto"/>
                <w:kern w:val="0"/>
                <w:szCs w:val="21"/>
              </w:rPr>
            </w:pPr>
            <w:r>
              <w:rPr>
                <w:color w:val="auto"/>
                <w:kern w:val="0"/>
                <w:szCs w:val="21"/>
              </w:rPr>
              <w:t>制标</w:t>
            </w:r>
          </w:p>
          <w:p w14:paraId="248764DA">
            <w:pPr>
              <w:adjustRightInd w:val="0"/>
              <w:snapToGrid w:val="0"/>
              <w:jc w:val="center"/>
              <w:rPr>
                <w:color w:val="auto"/>
                <w:kern w:val="0"/>
                <w:szCs w:val="21"/>
              </w:rPr>
            </w:pPr>
            <w:r>
              <w:rPr>
                <w:color w:val="auto"/>
                <w:kern w:val="0"/>
                <w:szCs w:val="21"/>
              </w:rPr>
              <w:t>准</w:t>
            </w:r>
          </w:p>
        </w:tc>
        <w:tc>
          <w:tcPr>
            <w:tcW w:w="8161" w:type="dxa"/>
          </w:tcPr>
          <w:p w14:paraId="0A23742A">
            <w:pPr>
              <w:spacing w:line="360" w:lineRule="auto"/>
              <w:ind w:firstLine="480" w:firstLineChars="200"/>
              <w:rPr>
                <w:color w:val="auto"/>
                <w:kern w:val="0"/>
                <w:sz w:val="24"/>
              </w:rPr>
            </w:pPr>
            <w:r>
              <w:rPr>
                <w:color w:val="auto"/>
                <w:kern w:val="0"/>
                <w:sz w:val="24"/>
              </w:rPr>
              <w:t>（1）废气</w:t>
            </w:r>
          </w:p>
          <w:p w14:paraId="054B5451">
            <w:pPr>
              <w:spacing w:line="360" w:lineRule="auto"/>
              <w:ind w:firstLine="480" w:firstLineChars="200"/>
              <w:rPr>
                <w:color w:val="auto"/>
                <w:kern w:val="0"/>
                <w:sz w:val="24"/>
              </w:rPr>
            </w:pPr>
            <w:r>
              <w:rPr>
                <w:color w:val="auto"/>
                <w:kern w:val="0"/>
                <w:sz w:val="24"/>
              </w:rPr>
              <w:t>本项目生产过程中产生的颗粒物、氯化氢、氟化物排放执行《大气污染物综合排放标准》（GB 16297-1996）表2大气污染物二级标准排放限值，具体排放标准见下表。</w:t>
            </w:r>
          </w:p>
          <w:p w14:paraId="31E181FE">
            <w:pPr>
              <w:spacing w:line="400" w:lineRule="exact"/>
              <w:jc w:val="center"/>
              <w:rPr>
                <w:b/>
                <w:bCs/>
                <w:color w:val="auto"/>
                <w:szCs w:val="21"/>
              </w:rPr>
            </w:pPr>
            <w:r>
              <w:rPr>
                <w:b/>
                <w:bCs/>
                <w:color w:val="auto"/>
                <w:szCs w:val="21"/>
              </w:rPr>
              <w:t>表3.1.7-2  拟建项目大气污染物有组织排放限值</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0"/>
              <w:gridCol w:w="1459"/>
              <w:gridCol w:w="1377"/>
              <w:gridCol w:w="1171"/>
              <w:gridCol w:w="2898"/>
            </w:tblGrid>
            <w:tr w14:paraId="64776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blHeader/>
                <w:jc w:val="center"/>
              </w:trPr>
              <w:tc>
                <w:tcPr>
                  <w:tcW w:w="1030" w:type="dxa"/>
                  <w:vMerge w:val="restart"/>
                  <w:vAlign w:val="center"/>
                </w:tcPr>
                <w:p w14:paraId="4B7B8E71">
                  <w:pPr>
                    <w:jc w:val="center"/>
                    <w:rPr>
                      <w:color w:val="auto"/>
                      <w:szCs w:val="21"/>
                    </w:rPr>
                  </w:pPr>
                  <w:r>
                    <w:rPr>
                      <w:color w:val="auto"/>
                      <w:szCs w:val="21"/>
                    </w:rPr>
                    <w:t>污染物名称</w:t>
                  </w:r>
                </w:p>
              </w:tc>
              <w:tc>
                <w:tcPr>
                  <w:tcW w:w="1459" w:type="dxa"/>
                  <w:vMerge w:val="restart"/>
                  <w:vAlign w:val="center"/>
                </w:tcPr>
                <w:p w14:paraId="297EBBEB">
                  <w:pPr>
                    <w:jc w:val="center"/>
                    <w:rPr>
                      <w:color w:val="auto"/>
                      <w:szCs w:val="21"/>
                    </w:rPr>
                  </w:pPr>
                  <w:r>
                    <w:rPr>
                      <w:color w:val="auto"/>
                      <w:szCs w:val="21"/>
                    </w:rPr>
                    <w:t>最高允许排放浓度mg/m</w:t>
                  </w:r>
                  <w:r>
                    <w:rPr>
                      <w:color w:val="auto"/>
                      <w:szCs w:val="21"/>
                      <w:vertAlign w:val="superscript"/>
                    </w:rPr>
                    <w:t>3</w:t>
                  </w:r>
                </w:p>
              </w:tc>
              <w:tc>
                <w:tcPr>
                  <w:tcW w:w="2548" w:type="dxa"/>
                  <w:gridSpan w:val="2"/>
                  <w:vAlign w:val="center"/>
                </w:tcPr>
                <w:p w14:paraId="729624B9">
                  <w:pPr>
                    <w:jc w:val="center"/>
                    <w:rPr>
                      <w:color w:val="auto"/>
                      <w:szCs w:val="21"/>
                    </w:rPr>
                  </w:pPr>
                  <w:r>
                    <w:rPr>
                      <w:color w:val="auto"/>
                      <w:szCs w:val="21"/>
                    </w:rPr>
                    <w:t>最高允许排放速率kg/h</w:t>
                  </w:r>
                </w:p>
              </w:tc>
              <w:tc>
                <w:tcPr>
                  <w:tcW w:w="2898" w:type="dxa"/>
                  <w:vMerge w:val="restart"/>
                  <w:vAlign w:val="center"/>
                </w:tcPr>
                <w:p w14:paraId="2E416455">
                  <w:pPr>
                    <w:jc w:val="center"/>
                    <w:rPr>
                      <w:color w:val="auto"/>
                      <w:szCs w:val="21"/>
                    </w:rPr>
                  </w:pPr>
                  <w:r>
                    <w:rPr>
                      <w:color w:val="auto"/>
                      <w:szCs w:val="21"/>
                    </w:rPr>
                    <w:t>标准来源</w:t>
                  </w:r>
                </w:p>
              </w:tc>
            </w:tr>
            <w:tr w14:paraId="0F45A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blHeader/>
                <w:jc w:val="center"/>
              </w:trPr>
              <w:tc>
                <w:tcPr>
                  <w:tcW w:w="1030" w:type="dxa"/>
                  <w:vMerge w:val="continue"/>
                  <w:vAlign w:val="center"/>
                </w:tcPr>
                <w:p w14:paraId="14F4DDB1">
                  <w:pPr>
                    <w:jc w:val="center"/>
                    <w:rPr>
                      <w:color w:val="auto"/>
                      <w:szCs w:val="21"/>
                    </w:rPr>
                  </w:pPr>
                </w:p>
              </w:tc>
              <w:tc>
                <w:tcPr>
                  <w:tcW w:w="1459" w:type="dxa"/>
                  <w:vMerge w:val="continue"/>
                  <w:vAlign w:val="center"/>
                </w:tcPr>
                <w:p w14:paraId="6A2185BB">
                  <w:pPr>
                    <w:jc w:val="center"/>
                    <w:rPr>
                      <w:color w:val="auto"/>
                      <w:szCs w:val="21"/>
                    </w:rPr>
                  </w:pPr>
                </w:p>
              </w:tc>
              <w:tc>
                <w:tcPr>
                  <w:tcW w:w="1377" w:type="dxa"/>
                  <w:vAlign w:val="center"/>
                </w:tcPr>
                <w:p w14:paraId="48C6595A">
                  <w:pPr>
                    <w:jc w:val="center"/>
                    <w:rPr>
                      <w:rFonts w:hint="eastAsia"/>
                      <w:color w:val="auto"/>
                      <w:szCs w:val="21"/>
                    </w:rPr>
                  </w:pPr>
                  <w:r>
                    <w:rPr>
                      <w:rFonts w:hint="eastAsia"/>
                      <w:color w:val="auto"/>
                      <w:szCs w:val="21"/>
                    </w:rPr>
                    <w:t>排气筒高度</w:t>
                  </w:r>
                </w:p>
              </w:tc>
              <w:tc>
                <w:tcPr>
                  <w:tcW w:w="1171" w:type="dxa"/>
                  <w:vAlign w:val="center"/>
                </w:tcPr>
                <w:p w14:paraId="5D49AB84">
                  <w:pPr>
                    <w:jc w:val="center"/>
                    <w:rPr>
                      <w:rFonts w:hint="eastAsia"/>
                      <w:color w:val="auto"/>
                      <w:szCs w:val="21"/>
                    </w:rPr>
                  </w:pPr>
                  <w:r>
                    <w:rPr>
                      <w:rFonts w:hint="eastAsia"/>
                      <w:color w:val="auto"/>
                      <w:szCs w:val="21"/>
                    </w:rPr>
                    <w:t>二级</w:t>
                  </w:r>
                </w:p>
              </w:tc>
              <w:tc>
                <w:tcPr>
                  <w:tcW w:w="2898" w:type="dxa"/>
                  <w:vMerge w:val="continue"/>
                  <w:vAlign w:val="center"/>
                </w:tcPr>
                <w:p w14:paraId="7B420D32">
                  <w:pPr>
                    <w:jc w:val="center"/>
                    <w:rPr>
                      <w:color w:val="auto"/>
                      <w:szCs w:val="21"/>
                    </w:rPr>
                  </w:pPr>
                </w:p>
              </w:tc>
            </w:tr>
            <w:tr w14:paraId="4F2BB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30" w:type="dxa"/>
                  <w:vAlign w:val="center"/>
                </w:tcPr>
                <w:p w14:paraId="706AB445">
                  <w:pPr>
                    <w:pStyle w:val="78"/>
                    <w:spacing w:beforeLines="0" w:afterLines="0" w:line="240" w:lineRule="auto"/>
                    <w:rPr>
                      <w:rFonts w:ascii="Times New Roman"/>
                      <w:color w:val="auto"/>
                      <w:szCs w:val="21"/>
                    </w:rPr>
                  </w:pPr>
                  <w:r>
                    <w:rPr>
                      <w:rFonts w:ascii="Times New Roman"/>
                      <w:color w:val="auto"/>
                      <w:szCs w:val="21"/>
                    </w:rPr>
                    <w:t>颗粒物</w:t>
                  </w:r>
                </w:p>
              </w:tc>
              <w:tc>
                <w:tcPr>
                  <w:tcW w:w="1459" w:type="dxa"/>
                  <w:vAlign w:val="center"/>
                </w:tcPr>
                <w:p w14:paraId="7DBE24EB">
                  <w:pPr>
                    <w:pStyle w:val="78"/>
                    <w:spacing w:beforeLines="0" w:afterLines="0" w:line="240" w:lineRule="auto"/>
                    <w:rPr>
                      <w:rFonts w:ascii="Times New Roman"/>
                      <w:color w:val="auto"/>
                      <w:szCs w:val="21"/>
                    </w:rPr>
                  </w:pPr>
                  <w:r>
                    <w:rPr>
                      <w:rFonts w:ascii="Times New Roman"/>
                      <w:color w:val="auto"/>
                      <w:szCs w:val="21"/>
                    </w:rPr>
                    <w:t>120</w:t>
                  </w:r>
                </w:p>
              </w:tc>
              <w:tc>
                <w:tcPr>
                  <w:tcW w:w="1377" w:type="dxa"/>
                  <w:vAlign w:val="center"/>
                </w:tcPr>
                <w:p w14:paraId="39963496">
                  <w:pPr>
                    <w:pStyle w:val="78"/>
                    <w:spacing w:beforeLines="0" w:afterLines="0" w:line="240" w:lineRule="auto"/>
                    <w:rPr>
                      <w:rFonts w:ascii="Times New Roman"/>
                      <w:color w:val="auto"/>
                      <w:szCs w:val="21"/>
                    </w:rPr>
                  </w:pPr>
                  <w:r>
                    <w:rPr>
                      <w:rFonts w:hint="eastAsia" w:ascii="Times New Roman"/>
                      <w:color w:val="auto"/>
                      <w:szCs w:val="21"/>
                    </w:rPr>
                    <w:t>15m</w:t>
                  </w:r>
                </w:p>
              </w:tc>
              <w:tc>
                <w:tcPr>
                  <w:tcW w:w="1171" w:type="dxa"/>
                  <w:vAlign w:val="center"/>
                </w:tcPr>
                <w:p w14:paraId="47B47D49">
                  <w:pPr>
                    <w:pStyle w:val="78"/>
                    <w:spacing w:beforeLines="0" w:afterLines="0" w:line="240" w:lineRule="auto"/>
                    <w:rPr>
                      <w:rFonts w:ascii="Times New Roman"/>
                      <w:color w:val="auto"/>
                      <w:szCs w:val="21"/>
                    </w:rPr>
                  </w:pPr>
                  <w:r>
                    <w:rPr>
                      <w:rFonts w:ascii="Times New Roman"/>
                      <w:color w:val="auto"/>
                      <w:szCs w:val="21"/>
                    </w:rPr>
                    <w:t>3.5</w:t>
                  </w:r>
                </w:p>
              </w:tc>
              <w:tc>
                <w:tcPr>
                  <w:tcW w:w="2898" w:type="dxa"/>
                  <w:vMerge w:val="restart"/>
                  <w:vAlign w:val="center"/>
                </w:tcPr>
                <w:p w14:paraId="208E9214">
                  <w:pPr>
                    <w:pStyle w:val="78"/>
                    <w:spacing w:beforeLines="0" w:afterLines="0" w:line="240" w:lineRule="auto"/>
                    <w:rPr>
                      <w:rFonts w:ascii="Times New Roman"/>
                      <w:color w:val="auto"/>
                      <w:szCs w:val="21"/>
                    </w:rPr>
                  </w:pPr>
                  <w:r>
                    <w:rPr>
                      <w:rFonts w:ascii="Times New Roman"/>
                      <w:color w:val="auto"/>
                      <w:szCs w:val="21"/>
                    </w:rPr>
                    <w:t>《大气污染物综合排放标准》（GB 16297-1996）表2大气污染物二级标准排放限值</w:t>
                  </w:r>
                </w:p>
              </w:tc>
            </w:tr>
            <w:tr w14:paraId="46092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30" w:type="dxa"/>
                  <w:vAlign w:val="center"/>
                </w:tcPr>
                <w:p w14:paraId="6CFFD555">
                  <w:pPr>
                    <w:pStyle w:val="78"/>
                    <w:spacing w:beforeLines="0" w:afterLines="0" w:line="240" w:lineRule="auto"/>
                    <w:rPr>
                      <w:rFonts w:ascii="Times New Roman"/>
                      <w:color w:val="auto"/>
                      <w:szCs w:val="21"/>
                    </w:rPr>
                  </w:pPr>
                  <w:r>
                    <w:rPr>
                      <w:rFonts w:ascii="Times New Roman"/>
                      <w:color w:val="auto"/>
                      <w:szCs w:val="21"/>
                    </w:rPr>
                    <w:t>氯化氢</w:t>
                  </w:r>
                </w:p>
              </w:tc>
              <w:tc>
                <w:tcPr>
                  <w:tcW w:w="1459" w:type="dxa"/>
                  <w:vAlign w:val="center"/>
                </w:tcPr>
                <w:p w14:paraId="4B19DD3E">
                  <w:pPr>
                    <w:pStyle w:val="78"/>
                    <w:spacing w:beforeLines="0" w:afterLines="0" w:line="240" w:lineRule="auto"/>
                    <w:rPr>
                      <w:rFonts w:ascii="Times New Roman"/>
                      <w:color w:val="auto"/>
                      <w:szCs w:val="21"/>
                    </w:rPr>
                  </w:pPr>
                  <w:r>
                    <w:rPr>
                      <w:rFonts w:ascii="Times New Roman"/>
                      <w:color w:val="auto"/>
                      <w:szCs w:val="21"/>
                    </w:rPr>
                    <w:t>100</w:t>
                  </w:r>
                </w:p>
              </w:tc>
              <w:tc>
                <w:tcPr>
                  <w:tcW w:w="1377" w:type="dxa"/>
                  <w:vAlign w:val="center"/>
                </w:tcPr>
                <w:p w14:paraId="3AABF23C">
                  <w:pPr>
                    <w:pStyle w:val="78"/>
                    <w:spacing w:beforeLines="0" w:afterLines="0" w:line="240" w:lineRule="auto"/>
                    <w:rPr>
                      <w:rFonts w:ascii="Times New Roman"/>
                      <w:color w:val="auto"/>
                      <w:szCs w:val="21"/>
                    </w:rPr>
                  </w:pPr>
                  <w:r>
                    <w:rPr>
                      <w:rFonts w:hint="eastAsia" w:ascii="Times New Roman"/>
                      <w:color w:val="auto"/>
                      <w:szCs w:val="21"/>
                    </w:rPr>
                    <w:t>15m</w:t>
                  </w:r>
                </w:p>
              </w:tc>
              <w:tc>
                <w:tcPr>
                  <w:tcW w:w="1171" w:type="dxa"/>
                  <w:vAlign w:val="center"/>
                </w:tcPr>
                <w:p w14:paraId="018B6B6C">
                  <w:pPr>
                    <w:pStyle w:val="78"/>
                    <w:spacing w:beforeLines="0" w:afterLines="0" w:line="240" w:lineRule="auto"/>
                    <w:rPr>
                      <w:rFonts w:ascii="Times New Roman"/>
                      <w:color w:val="auto"/>
                      <w:szCs w:val="21"/>
                    </w:rPr>
                  </w:pPr>
                  <w:r>
                    <w:rPr>
                      <w:rFonts w:ascii="Times New Roman"/>
                      <w:color w:val="auto"/>
                      <w:szCs w:val="21"/>
                    </w:rPr>
                    <w:t>0.26</w:t>
                  </w:r>
                </w:p>
              </w:tc>
              <w:tc>
                <w:tcPr>
                  <w:tcW w:w="2898" w:type="dxa"/>
                  <w:vMerge w:val="continue"/>
                  <w:vAlign w:val="center"/>
                </w:tcPr>
                <w:p w14:paraId="25035C70">
                  <w:pPr>
                    <w:pStyle w:val="78"/>
                    <w:spacing w:beforeLines="0" w:afterLines="0" w:line="240" w:lineRule="auto"/>
                    <w:rPr>
                      <w:rFonts w:ascii="Times New Roman"/>
                      <w:color w:val="auto"/>
                      <w:szCs w:val="21"/>
                    </w:rPr>
                  </w:pPr>
                </w:p>
              </w:tc>
            </w:tr>
            <w:tr w14:paraId="490FA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30" w:type="dxa"/>
                  <w:vAlign w:val="center"/>
                </w:tcPr>
                <w:p w14:paraId="412E08BE">
                  <w:pPr>
                    <w:pStyle w:val="78"/>
                    <w:spacing w:beforeLines="0" w:afterLines="0" w:line="240" w:lineRule="auto"/>
                    <w:rPr>
                      <w:rFonts w:ascii="Times New Roman"/>
                      <w:color w:val="auto"/>
                      <w:szCs w:val="21"/>
                    </w:rPr>
                  </w:pPr>
                  <w:r>
                    <w:rPr>
                      <w:rFonts w:ascii="Times New Roman"/>
                      <w:color w:val="auto"/>
                      <w:szCs w:val="21"/>
                    </w:rPr>
                    <w:t>氟化物</w:t>
                  </w:r>
                </w:p>
              </w:tc>
              <w:tc>
                <w:tcPr>
                  <w:tcW w:w="1459" w:type="dxa"/>
                  <w:vAlign w:val="center"/>
                </w:tcPr>
                <w:p w14:paraId="65D95810">
                  <w:pPr>
                    <w:pStyle w:val="78"/>
                    <w:spacing w:beforeLines="0" w:afterLines="0" w:line="240" w:lineRule="auto"/>
                    <w:rPr>
                      <w:rFonts w:ascii="Times New Roman"/>
                      <w:color w:val="auto"/>
                      <w:szCs w:val="21"/>
                    </w:rPr>
                  </w:pPr>
                  <w:r>
                    <w:rPr>
                      <w:rFonts w:ascii="Times New Roman"/>
                      <w:color w:val="auto"/>
                      <w:szCs w:val="21"/>
                    </w:rPr>
                    <w:t>9.0</w:t>
                  </w:r>
                </w:p>
              </w:tc>
              <w:tc>
                <w:tcPr>
                  <w:tcW w:w="1377" w:type="dxa"/>
                  <w:vAlign w:val="center"/>
                </w:tcPr>
                <w:p w14:paraId="05DE4435">
                  <w:pPr>
                    <w:pStyle w:val="78"/>
                    <w:spacing w:beforeLines="0" w:afterLines="0" w:line="240" w:lineRule="auto"/>
                    <w:rPr>
                      <w:rFonts w:ascii="Times New Roman"/>
                      <w:color w:val="auto"/>
                      <w:szCs w:val="21"/>
                    </w:rPr>
                  </w:pPr>
                  <w:r>
                    <w:rPr>
                      <w:rFonts w:hint="eastAsia" w:ascii="Times New Roman"/>
                      <w:color w:val="auto"/>
                      <w:szCs w:val="21"/>
                    </w:rPr>
                    <w:t>15m</w:t>
                  </w:r>
                </w:p>
              </w:tc>
              <w:tc>
                <w:tcPr>
                  <w:tcW w:w="1171" w:type="dxa"/>
                  <w:vAlign w:val="center"/>
                </w:tcPr>
                <w:p w14:paraId="2959B847">
                  <w:pPr>
                    <w:pStyle w:val="78"/>
                    <w:spacing w:beforeLines="0" w:afterLines="0" w:line="240" w:lineRule="auto"/>
                    <w:rPr>
                      <w:rFonts w:ascii="Times New Roman"/>
                      <w:color w:val="auto"/>
                      <w:szCs w:val="21"/>
                    </w:rPr>
                  </w:pPr>
                  <w:r>
                    <w:rPr>
                      <w:rFonts w:ascii="Times New Roman"/>
                      <w:color w:val="auto"/>
                      <w:szCs w:val="21"/>
                    </w:rPr>
                    <w:t>0.10</w:t>
                  </w:r>
                </w:p>
              </w:tc>
              <w:tc>
                <w:tcPr>
                  <w:tcW w:w="2898" w:type="dxa"/>
                  <w:vMerge w:val="continue"/>
                  <w:vAlign w:val="center"/>
                </w:tcPr>
                <w:p w14:paraId="251F7A2C">
                  <w:pPr>
                    <w:pStyle w:val="78"/>
                    <w:spacing w:beforeLines="0" w:afterLines="0" w:line="240" w:lineRule="auto"/>
                    <w:rPr>
                      <w:rFonts w:ascii="Times New Roman"/>
                      <w:color w:val="auto"/>
                      <w:szCs w:val="21"/>
                    </w:rPr>
                  </w:pPr>
                </w:p>
              </w:tc>
            </w:tr>
          </w:tbl>
          <w:p w14:paraId="483A1DFD">
            <w:pPr>
              <w:spacing w:line="400" w:lineRule="exact"/>
              <w:jc w:val="center"/>
              <w:rPr>
                <w:b/>
                <w:bCs/>
                <w:color w:val="auto"/>
                <w:szCs w:val="21"/>
              </w:rPr>
            </w:pPr>
            <w:r>
              <w:rPr>
                <w:b/>
                <w:bCs/>
                <w:color w:val="auto"/>
                <w:szCs w:val="21"/>
              </w:rPr>
              <w:t>表3.1.7-3  拟建项目大气污染物厂界无组织排放限值</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2"/>
              <w:gridCol w:w="3240"/>
              <w:gridCol w:w="3003"/>
            </w:tblGrid>
            <w:tr w14:paraId="046CE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17DC8F24">
                  <w:pPr>
                    <w:jc w:val="center"/>
                    <w:rPr>
                      <w:color w:val="auto"/>
                      <w:szCs w:val="21"/>
                    </w:rPr>
                  </w:pPr>
                  <w:r>
                    <w:rPr>
                      <w:color w:val="auto"/>
                      <w:szCs w:val="21"/>
                    </w:rPr>
                    <w:t>污染物名称</w:t>
                  </w:r>
                </w:p>
              </w:tc>
              <w:tc>
                <w:tcPr>
                  <w:tcW w:w="3240" w:type="dxa"/>
                  <w:vAlign w:val="center"/>
                </w:tcPr>
                <w:p w14:paraId="7150D529">
                  <w:pPr>
                    <w:jc w:val="center"/>
                    <w:rPr>
                      <w:color w:val="auto"/>
                      <w:szCs w:val="21"/>
                    </w:rPr>
                  </w:pPr>
                  <w:r>
                    <w:rPr>
                      <w:color w:val="auto"/>
                      <w:szCs w:val="21"/>
                    </w:rPr>
                    <w:t>无组织排放监控浓度限值mg/m</w:t>
                  </w:r>
                  <w:r>
                    <w:rPr>
                      <w:color w:val="auto"/>
                      <w:szCs w:val="21"/>
                      <w:vertAlign w:val="superscript"/>
                    </w:rPr>
                    <w:t>3</w:t>
                  </w:r>
                </w:p>
              </w:tc>
              <w:tc>
                <w:tcPr>
                  <w:tcW w:w="3003" w:type="dxa"/>
                  <w:vAlign w:val="center"/>
                </w:tcPr>
                <w:p w14:paraId="79BF073B">
                  <w:pPr>
                    <w:jc w:val="center"/>
                    <w:rPr>
                      <w:color w:val="auto"/>
                      <w:szCs w:val="21"/>
                    </w:rPr>
                  </w:pPr>
                  <w:r>
                    <w:rPr>
                      <w:color w:val="auto"/>
                      <w:szCs w:val="21"/>
                    </w:rPr>
                    <w:t>标准来源</w:t>
                  </w:r>
                </w:p>
              </w:tc>
            </w:tr>
            <w:tr w14:paraId="3FE40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333DDE2E">
                  <w:pPr>
                    <w:jc w:val="center"/>
                    <w:rPr>
                      <w:color w:val="auto"/>
                      <w:szCs w:val="21"/>
                    </w:rPr>
                  </w:pPr>
                  <w:r>
                    <w:rPr>
                      <w:color w:val="auto"/>
                      <w:szCs w:val="21"/>
                    </w:rPr>
                    <w:t>颗粒物</w:t>
                  </w:r>
                </w:p>
              </w:tc>
              <w:tc>
                <w:tcPr>
                  <w:tcW w:w="3240" w:type="dxa"/>
                  <w:vAlign w:val="center"/>
                </w:tcPr>
                <w:p w14:paraId="55D1C2F1">
                  <w:pPr>
                    <w:jc w:val="center"/>
                    <w:rPr>
                      <w:color w:val="auto"/>
                      <w:szCs w:val="21"/>
                    </w:rPr>
                  </w:pPr>
                  <w:r>
                    <w:rPr>
                      <w:color w:val="auto"/>
                      <w:szCs w:val="21"/>
                    </w:rPr>
                    <w:t>1.0</w:t>
                  </w:r>
                </w:p>
              </w:tc>
              <w:tc>
                <w:tcPr>
                  <w:tcW w:w="3003" w:type="dxa"/>
                  <w:vMerge w:val="restart"/>
                  <w:vAlign w:val="center"/>
                </w:tcPr>
                <w:p w14:paraId="345826A3">
                  <w:pPr>
                    <w:jc w:val="center"/>
                    <w:rPr>
                      <w:color w:val="auto"/>
                      <w:szCs w:val="21"/>
                    </w:rPr>
                  </w:pPr>
                  <w:r>
                    <w:rPr>
                      <w:color w:val="auto"/>
                      <w:szCs w:val="21"/>
                    </w:rPr>
                    <w:t>《大气污染物综合排放标准》（GB 16297-1996）表2大气污染物二级标准排放限值</w:t>
                  </w:r>
                </w:p>
              </w:tc>
            </w:tr>
            <w:tr w14:paraId="4B659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407E436B">
                  <w:pPr>
                    <w:jc w:val="center"/>
                    <w:rPr>
                      <w:color w:val="auto"/>
                      <w:szCs w:val="21"/>
                    </w:rPr>
                  </w:pPr>
                  <w:r>
                    <w:rPr>
                      <w:color w:val="auto"/>
                      <w:szCs w:val="21"/>
                    </w:rPr>
                    <w:t>氯化氢</w:t>
                  </w:r>
                </w:p>
              </w:tc>
              <w:tc>
                <w:tcPr>
                  <w:tcW w:w="3240" w:type="dxa"/>
                  <w:vAlign w:val="center"/>
                </w:tcPr>
                <w:p w14:paraId="2E229BC5">
                  <w:pPr>
                    <w:jc w:val="center"/>
                    <w:rPr>
                      <w:color w:val="auto"/>
                      <w:szCs w:val="21"/>
                    </w:rPr>
                  </w:pPr>
                  <w:r>
                    <w:rPr>
                      <w:color w:val="auto"/>
                      <w:szCs w:val="21"/>
                    </w:rPr>
                    <w:t>0.2</w:t>
                  </w:r>
                </w:p>
              </w:tc>
              <w:tc>
                <w:tcPr>
                  <w:tcW w:w="3003" w:type="dxa"/>
                  <w:vMerge w:val="continue"/>
                  <w:vAlign w:val="center"/>
                </w:tcPr>
                <w:p w14:paraId="2476A8D7">
                  <w:pPr>
                    <w:jc w:val="center"/>
                    <w:rPr>
                      <w:color w:val="auto"/>
                      <w:szCs w:val="21"/>
                    </w:rPr>
                  </w:pPr>
                </w:p>
              </w:tc>
            </w:tr>
            <w:tr w14:paraId="4EA3A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92" w:type="dxa"/>
                  <w:vAlign w:val="center"/>
                </w:tcPr>
                <w:p w14:paraId="6731E68E">
                  <w:pPr>
                    <w:jc w:val="center"/>
                    <w:rPr>
                      <w:color w:val="auto"/>
                      <w:szCs w:val="21"/>
                    </w:rPr>
                  </w:pPr>
                  <w:r>
                    <w:rPr>
                      <w:color w:val="auto"/>
                      <w:szCs w:val="21"/>
                    </w:rPr>
                    <w:t>氟化物</w:t>
                  </w:r>
                </w:p>
              </w:tc>
              <w:tc>
                <w:tcPr>
                  <w:tcW w:w="3240" w:type="dxa"/>
                  <w:vAlign w:val="center"/>
                </w:tcPr>
                <w:p w14:paraId="48485649">
                  <w:pPr>
                    <w:jc w:val="center"/>
                    <w:rPr>
                      <w:color w:val="auto"/>
                      <w:szCs w:val="21"/>
                    </w:rPr>
                  </w:pPr>
                  <w:r>
                    <w:rPr>
                      <w:color w:val="auto"/>
                      <w:szCs w:val="21"/>
                    </w:rPr>
                    <w:t>0.02</w:t>
                  </w:r>
                </w:p>
              </w:tc>
              <w:tc>
                <w:tcPr>
                  <w:tcW w:w="3003" w:type="dxa"/>
                  <w:vMerge w:val="continue"/>
                  <w:vAlign w:val="center"/>
                </w:tcPr>
                <w:p w14:paraId="19924336">
                  <w:pPr>
                    <w:jc w:val="center"/>
                    <w:rPr>
                      <w:color w:val="auto"/>
                      <w:szCs w:val="21"/>
                    </w:rPr>
                  </w:pPr>
                </w:p>
              </w:tc>
            </w:tr>
          </w:tbl>
          <w:p w14:paraId="4F7552C0">
            <w:pPr>
              <w:spacing w:line="360" w:lineRule="auto"/>
              <w:ind w:firstLine="480" w:firstLineChars="200"/>
              <w:rPr>
                <w:color w:val="auto"/>
                <w:kern w:val="0"/>
                <w:sz w:val="24"/>
              </w:rPr>
            </w:pPr>
            <w:r>
              <w:rPr>
                <w:color w:val="auto"/>
                <w:kern w:val="0"/>
                <w:sz w:val="24"/>
              </w:rPr>
              <w:t>（2）废水</w:t>
            </w:r>
          </w:p>
          <w:p w14:paraId="069BBA2C">
            <w:pPr>
              <w:autoSpaceDE w:val="0"/>
              <w:autoSpaceDN w:val="0"/>
              <w:adjustRightInd w:val="0"/>
              <w:spacing w:line="360" w:lineRule="auto"/>
              <w:ind w:firstLine="480" w:firstLineChars="200"/>
              <w:rPr>
                <w:color w:val="auto"/>
                <w:sz w:val="24"/>
              </w:rPr>
            </w:pPr>
            <w:r>
              <w:rPr>
                <w:color w:val="auto"/>
                <w:sz w:val="24"/>
              </w:rPr>
              <w:t>本项目外排水废水处理达到《关于发布淮南经开区企业生产废水排放限值的通知》、污水准许接管协议（附件5）相应标准后接污水管网，石油类、氟化物、LAS达到《污水综合排放标准》(GB8978-1996)中三级标准后接污水管网。进入</w:t>
            </w:r>
            <w:r>
              <w:rPr>
                <w:rFonts w:hint="eastAsia"/>
                <w:color w:val="auto"/>
                <w:sz w:val="24"/>
              </w:rPr>
              <w:t>淮南经济技术开发区</w:t>
            </w:r>
            <w:r>
              <w:rPr>
                <w:color w:val="auto"/>
                <w:sz w:val="24"/>
              </w:rPr>
              <w:t>污水处理厂处理。</w:t>
            </w:r>
          </w:p>
          <w:p w14:paraId="2B75D405">
            <w:pPr>
              <w:autoSpaceDE w:val="0"/>
              <w:autoSpaceDN w:val="0"/>
              <w:adjustRightInd w:val="0"/>
              <w:spacing w:line="360" w:lineRule="auto"/>
              <w:ind w:firstLine="480" w:firstLineChars="200"/>
              <w:rPr>
                <w:color w:val="auto"/>
                <w:sz w:val="24"/>
              </w:rPr>
            </w:pPr>
            <w:r>
              <w:rPr>
                <w:color w:val="auto"/>
                <w:sz w:val="24"/>
              </w:rPr>
              <w:t>排环境标准：尾水处理达标后由大涧沟排入淮河（淮南段）；淮南经济技术开发区</w:t>
            </w:r>
            <w:r>
              <w:rPr>
                <w:rFonts w:hint="eastAsia"/>
                <w:color w:val="auto"/>
                <w:sz w:val="24"/>
                <w:lang w:eastAsia="zh-CN"/>
              </w:rPr>
              <w:t>工业污水处理厂</w:t>
            </w:r>
            <w:r>
              <w:rPr>
                <w:color w:val="auto"/>
                <w:sz w:val="24"/>
              </w:rPr>
              <w:t>尾水出水水质执行《城镇污水处理厂污染物排放标准》（GB18918-2002）中一级A标准。具体水污染物排放标准见下表。</w:t>
            </w:r>
          </w:p>
          <w:p w14:paraId="0E901450">
            <w:pPr>
              <w:spacing w:line="400" w:lineRule="exact"/>
              <w:jc w:val="center"/>
              <w:rPr>
                <w:b/>
                <w:bCs/>
                <w:color w:val="auto"/>
                <w:szCs w:val="21"/>
              </w:rPr>
            </w:pPr>
            <w:r>
              <w:rPr>
                <w:b/>
                <w:bCs/>
                <w:color w:val="auto"/>
                <w:szCs w:val="21"/>
              </w:rPr>
              <w:t>表3.1.7-4  污水纳管标准  单位：除pH外为mg/L</w:t>
            </w:r>
          </w:p>
          <w:tbl>
            <w:tblPr>
              <w:tblStyle w:val="32"/>
              <w:tblW w:w="79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8"/>
              <w:gridCol w:w="1452"/>
              <w:gridCol w:w="1318"/>
              <w:gridCol w:w="4298"/>
            </w:tblGrid>
            <w:tr w14:paraId="0E02C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483532C0">
                  <w:pPr>
                    <w:adjustRightInd w:val="0"/>
                    <w:snapToGrid w:val="0"/>
                    <w:jc w:val="center"/>
                    <w:rPr>
                      <w:b/>
                      <w:bCs/>
                      <w:color w:val="auto"/>
                      <w:szCs w:val="21"/>
                    </w:rPr>
                  </w:pPr>
                  <w:r>
                    <w:rPr>
                      <w:b/>
                      <w:bCs/>
                      <w:color w:val="auto"/>
                      <w:szCs w:val="21"/>
                    </w:rPr>
                    <w:t>序号</w:t>
                  </w:r>
                </w:p>
              </w:tc>
              <w:tc>
                <w:tcPr>
                  <w:tcW w:w="909" w:type="pct"/>
                  <w:tcBorders>
                    <w:top w:val="single" w:color="auto" w:sz="4" w:space="0"/>
                    <w:left w:val="single" w:color="auto" w:sz="4" w:space="0"/>
                    <w:bottom w:val="single" w:color="auto" w:sz="4" w:space="0"/>
                    <w:right w:val="single" w:color="auto" w:sz="4" w:space="0"/>
                  </w:tcBorders>
                  <w:vAlign w:val="center"/>
                </w:tcPr>
                <w:p w14:paraId="2583E567">
                  <w:pPr>
                    <w:adjustRightInd w:val="0"/>
                    <w:snapToGrid w:val="0"/>
                    <w:jc w:val="center"/>
                    <w:rPr>
                      <w:b/>
                      <w:bCs/>
                      <w:color w:val="auto"/>
                      <w:szCs w:val="21"/>
                    </w:rPr>
                  </w:pPr>
                  <w:r>
                    <w:rPr>
                      <w:b/>
                      <w:bCs/>
                      <w:color w:val="auto"/>
                      <w:szCs w:val="21"/>
                    </w:rPr>
                    <w:t>污染因子</w:t>
                  </w:r>
                </w:p>
              </w:tc>
              <w:tc>
                <w:tcPr>
                  <w:tcW w:w="825" w:type="pct"/>
                  <w:tcBorders>
                    <w:top w:val="single" w:color="auto" w:sz="4" w:space="0"/>
                    <w:left w:val="single" w:color="auto" w:sz="4" w:space="0"/>
                    <w:bottom w:val="single" w:color="auto" w:sz="4" w:space="0"/>
                    <w:right w:val="single" w:color="auto" w:sz="4" w:space="0"/>
                  </w:tcBorders>
                  <w:vAlign w:val="center"/>
                </w:tcPr>
                <w:p w14:paraId="6D0401E0">
                  <w:pPr>
                    <w:adjustRightInd w:val="0"/>
                    <w:snapToGrid w:val="0"/>
                    <w:jc w:val="center"/>
                    <w:rPr>
                      <w:b/>
                      <w:bCs/>
                      <w:color w:val="auto"/>
                      <w:szCs w:val="21"/>
                    </w:rPr>
                  </w:pPr>
                  <w:r>
                    <w:rPr>
                      <w:b/>
                      <w:bCs/>
                      <w:color w:val="auto"/>
                      <w:szCs w:val="21"/>
                    </w:rPr>
                    <w:t>标准值</w:t>
                  </w:r>
                </w:p>
              </w:tc>
              <w:tc>
                <w:tcPr>
                  <w:tcW w:w="2690" w:type="pct"/>
                  <w:tcBorders>
                    <w:top w:val="single" w:color="auto" w:sz="4" w:space="0"/>
                    <w:left w:val="single" w:color="auto" w:sz="4" w:space="0"/>
                    <w:bottom w:val="single" w:color="auto" w:sz="4" w:space="0"/>
                    <w:right w:val="single" w:color="auto" w:sz="2" w:space="0"/>
                  </w:tcBorders>
                  <w:vAlign w:val="center"/>
                </w:tcPr>
                <w:p w14:paraId="53A5335D">
                  <w:pPr>
                    <w:adjustRightInd w:val="0"/>
                    <w:snapToGrid w:val="0"/>
                    <w:jc w:val="center"/>
                    <w:rPr>
                      <w:b/>
                      <w:bCs/>
                      <w:color w:val="auto"/>
                      <w:szCs w:val="21"/>
                    </w:rPr>
                  </w:pPr>
                  <w:r>
                    <w:rPr>
                      <w:b/>
                      <w:bCs/>
                      <w:color w:val="auto"/>
                      <w:szCs w:val="21"/>
                    </w:rPr>
                    <w:t>执行标准</w:t>
                  </w:r>
                </w:p>
              </w:tc>
            </w:tr>
            <w:tr w14:paraId="61755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54DFC7CA">
                  <w:pPr>
                    <w:adjustRightInd w:val="0"/>
                    <w:snapToGrid w:val="0"/>
                    <w:jc w:val="center"/>
                    <w:rPr>
                      <w:color w:val="auto"/>
                      <w:szCs w:val="21"/>
                    </w:rPr>
                  </w:pPr>
                  <w:r>
                    <w:rPr>
                      <w:color w:val="auto"/>
                      <w:szCs w:val="21"/>
                    </w:rPr>
                    <w:t>1</w:t>
                  </w:r>
                </w:p>
              </w:tc>
              <w:tc>
                <w:tcPr>
                  <w:tcW w:w="909" w:type="pct"/>
                  <w:tcBorders>
                    <w:top w:val="single" w:color="auto" w:sz="4" w:space="0"/>
                    <w:left w:val="single" w:color="auto" w:sz="4" w:space="0"/>
                    <w:bottom w:val="single" w:color="auto" w:sz="4" w:space="0"/>
                    <w:right w:val="single" w:color="auto" w:sz="4" w:space="0"/>
                  </w:tcBorders>
                  <w:vAlign w:val="center"/>
                </w:tcPr>
                <w:p w14:paraId="1830EC09">
                  <w:pPr>
                    <w:adjustRightInd w:val="0"/>
                    <w:snapToGrid w:val="0"/>
                    <w:jc w:val="center"/>
                    <w:rPr>
                      <w:color w:val="auto"/>
                      <w:szCs w:val="21"/>
                    </w:rPr>
                  </w:pPr>
                  <w:r>
                    <w:rPr>
                      <w:color w:val="auto"/>
                      <w:szCs w:val="21"/>
                    </w:rPr>
                    <w:t>pH</w:t>
                  </w:r>
                </w:p>
              </w:tc>
              <w:tc>
                <w:tcPr>
                  <w:tcW w:w="825" w:type="pct"/>
                  <w:tcBorders>
                    <w:top w:val="single" w:color="auto" w:sz="4" w:space="0"/>
                    <w:left w:val="single" w:color="auto" w:sz="4" w:space="0"/>
                    <w:bottom w:val="single" w:color="auto" w:sz="4" w:space="0"/>
                    <w:right w:val="single" w:color="auto" w:sz="4" w:space="0"/>
                  </w:tcBorders>
                  <w:vAlign w:val="center"/>
                </w:tcPr>
                <w:p w14:paraId="405E1B26">
                  <w:pPr>
                    <w:adjustRightInd w:val="0"/>
                    <w:snapToGrid w:val="0"/>
                    <w:jc w:val="center"/>
                    <w:rPr>
                      <w:color w:val="auto"/>
                      <w:szCs w:val="21"/>
                    </w:rPr>
                  </w:pPr>
                  <w:r>
                    <w:rPr>
                      <w:color w:val="auto"/>
                      <w:szCs w:val="21"/>
                    </w:rPr>
                    <w:t>6~9</w:t>
                  </w:r>
                </w:p>
              </w:tc>
              <w:tc>
                <w:tcPr>
                  <w:tcW w:w="2690" w:type="pct"/>
                  <w:vMerge w:val="restart"/>
                  <w:tcBorders>
                    <w:top w:val="single" w:color="auto" w:sz="4" w:space="0"/>
                    <w:left w:val="single" w:color="auto" w:sz="4" w:space="0"/>
                    <w:right w:val="single" w:color="auto" w:sz="2" w:space="0"/>
                  </w:tcBorders>
                  <w:vAlign w:val="center"/>
                </w:tcPr>
                <w:p w14:paraId="62249458">
                  <w:pPr>
                    <w:adjustRightInd w:val="0"/>
                    <w:snapToGrid w:val="0"/>
                    <w:jc w:val="center"/>
                    <w:rPr>
                      <w:color w:val="auto"/>
                      <w:szCs w:val="21"/>
                      <w:lang w:val="zh-CN"/>
                    </w:rPr>
                  </w:pPr>
                  <w:r>
                    <w:rPr>
                      <w:color w:val="auto"/>
                      <w:szCs w:val="21"/>
                    </w:rPr>
                    <w:t>《关于发布淮南经开区企业生产废水排放限值的通知》</w:t>
                  </w:r>
                </w:p>
              </w:tc>
            </w:tr>
            <w:tr w14:paraId="60561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53C3F1BB">
                  <w:pPr>
                    <w:adjustRightInd w:val="0"/>
                    <w:snapToGrid w:val="0"/>
                    <w:jc w:val="center"/>
                    <w:rPr>
                      <w:color w:val="auto"/>
                      <w:szCs w:val="21"/>
                    </w:rPr>
                  </w:pPr>
                  <w:r>
                    <w:rPr>
                      <w:color w:val="auto"/>
                      <w:szCs w:val="21"/>
                    </w:rPr>
                    <w:t>2</w:t>
                  </w:r>
                </w:p>
              </w:tc>
              <w:tc>
                <w:tcPr>
                  <w:tcW w:w="909" w:type="pct"/>
                  <w:tcBorders>
                    <w:top w:val="single" w:color="auto" w:sz="4" w:space="0"/>
                    <w:left w:val="single" w:color="auto" w:sz="4" w:space="0"/>
                    <w:bottom w:val="single" w:color="auto" w:sz="4" w:space="0"/>
                    <w:right w:val="single" w:color="auto" w:sz="4" w:space="0"/>
                  </w:tcBorders>
                  <w:vAlign w:val="center"/>
                </w:tcPr>
                <w:p w14:paraId="18BD19E8">
                  <w:pPr>
                    <w:adjustRightInd w:val="0"/>
                    <w:snapToGrid w:val="0"/>
                    <w:jc w:val="center"/>
                    <w:rPr>
                      <w:color w:val="auto"/>
                      <w:szCs w:val="21"/>
                    </w:rPr>
                  </w:pPr>
                  <w:r>
                    <w:rPr>
                      <w:color w:val="auto"/>
                      <w:szCs w:val="21"/>
                    </w:rPr>
                    <w:t>COD</w:t>
                  </w:r>
                </w:p>
              </w:tc>
              <w:tc>
                <w:tcPr>
                  <w:tcW w:w="825" w:type="pct"/>
                  <w:tcBorders>
                    <w:top w:val="single" w:color="auto" w:sz="4" w:space="0"/>
                    <w:left w:val="single" w:color="auto" w:sz="4" w:space="0"/>
                    <w:bottom w:val="single" w:color="auto" w:sz="4" w:space="0"/>
                    <w:right w:val="single" w:color="auto" w:sz="4" w:space="0"/>
                  </w:tcBorders>
                  <w:vAlign w:val="center"/>
                </w:tcPr>
                <w:p w14:paraId="3BB253C9">
                  <w:pPr>
                    <w:adjustRightInd w:val="0"/>
                    <w:snapToGrid w:val="0"/>
                    <w:jc w:val="center"/>
                    <w:rPr>
                      <w:color w:val="auto"/>
                      <w:szCs w:val="21"/>
                    </w:rPr>
                  </w:pPr>
                  <w:r>
                    <w:rPr>
                      <w:color w:val="auto"/>
                      <w:szCs w:val="21"/>
                    </w:rPr>
                    <w:t>360</w:t>
                  </w:r>
                </w:p>
              </w:tc>
              <w:tc>
                <w:tcPr>
                  <w:tcW w:w="2690" w:type="pct"/>
                  <w:vMerge w:val="continue"/>
                  <w:tcBorders>
                    <w:left w:val="single" w:color="auto" w:sz="4" w:space="0"/>
                    <w:right w:val="single" w:color="auto" w:sz="2" w:space="0"/>
                  </w:tcBorders>
                  <w:vAlign w:val="center"/>
                </w:tcPr>
                <w:p w14:paraId="081D1BEB">
                  <w:pPr>
                    <w:adjustRightInd w:val="0"/>
                    <w:snapToGrid w:val="0"/>
                    <w:jc w:val="center"/>
                    <w:rPr>
                      <w:color w:val="auto"/>
                      <w:szCs w:val="21"/>
                      <w:lang w:val="zh-CN"/>
                    </w:rPr>
                  </w:pPr>
                </w:p>
              </w:tc>
            </w:tr>
            <w:tr w14:paraId="5ADD5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12F51452">
                  <w:pPr>
                    <w:adjustRightInd w:val="0"/>
                    <w:snapToGrid w:val="0"/>
                    <w:jc w:val="center"/>
                    <w:rPr>
                      <w:color w:val="auto"/>
                      <w:szCs w:val="21"/>
                    </w:rPr>
                  </w:pPr>
                  <w:r>
                    <w:rPr>
                      <w:color w:val="auto"/>
                      <w:szCs w:val="21"/>
                    </w:rPr>
                    <w:t>3</w:t>
                  </w:r>
                </w:p>
              </w:tc>
              <w:tc>
                <w:tcPr>
                  <w:tcW w:w="909" w:type="pct"/>
                  <w:tcBorders>
                    <w:top w:val="single" w:color="auto" w:sz="4" w:space="0"/>
                    <w:left w:val="single" w:color="auto" w:sz="4" w:space="0"/>
                    <w:bottom w:val="single" w:color="auto" w:sz="4" w:space="0"/>
                    <w:right w:val="single" w:color="auto" w:sz="4" w:space="0"/>
                  </w:tcBorders>
                  <w:vAlign w:val="center"/>
                </w:tcPr>
                <w:p w14:paraId="722A2D92">
                  <w:pPr>
                    <w:adjustRightInd w:val="0"/>
                    <w:snapToGrid w:val="0"/>
                    <w:jc w:val="center"/>
                    <w:rPr>
                      <w:color w:val="auto"/>
                      <w:szCs w:val="21"/>
                    </w:rPr>
                  </w:pPr>
                  <w:r>
                    <w:rPr>
                      <w:color w:val="auto"/>
                      <w:szCs w:val="21"/>
                    </w:rPr>
                    <w:t>总磷</w:t>
                  </w:r>
                </w:p>
              </w:tc>
              <w:tc>
                <w:tcPr>
                  <w:tcW w:w="825" w:type="pct"/>
                  <w:tcBorders>
                    <w:top w:val="single" w:color="auto" w:sz="4" w:space="0"/>
                    <w:left w:val="single" w:color="auto" w:sz="4" w:space="0"/>
                    <w:bottom w:val="single" w:color="auto" w:sz="4" w:space="0"/>
                    <w:right w:val="single" w:color="auto" w:sz="4" w:space="0"/>
                  </w:tcBorders>
                  <w:vAlign w:val="center"/>
                </w:tcPr>
                <w:p w14:paraId="39A2671E">
                  <w:pPr>
                    <w:adjustRightInd w:val="0"/>
                    <w:snapToGrid w:val="0"/>
                    <w:jc w:val="center"/>
                    <w:rPr>
                      <w:color w:val="auto"/>
                      <w:szCs w:val="21"/>
                    </w:rPr>
                  </w:pPr>
                  <w:r>
                    <w:rPr>
                      <w:color w:val="auto"/>
                      <w:szCs w:val="21"/>
                    </w:rPr>
                    <w:t>4.5</w:t>
                  </w:r>
                </w:p>
              </w:tc>
              <w:tc>
                <w:tcPr>
                  <w:tcW w:w="2690" w:type="pct"/>
                  <w:vMerge w:val="continue"/>
                  <w:tcBorders>
                    <w:left w:val="single" w:color="auto" w:sz="4" w:space="0"/>
                    <w:right w:val="single" w:color="auto" w:sz="2" w:space="0"/>
                  </w:tcBorders>
                  <w:vAlign w:val="center"/>
                </w:tcPr>
                <w:p w14:paraId="35F3E8B0">
                  <w:pPr>
                    <w:adjustRightInd w:val="0"/>
                    <w:snapToGrid w:val="0"/>
                    <w:jc w:val="center"/>
                    <w:rPr>
                      <w:color w:val="auto"/>
                      <w:szCs w:val="21"/>
                      <w:lang w:val="zh-CN"/>
                    </w:rPr>
                  </w:pPr>
                </w:p>
              </w:tc>
            </w:tr>
            <w:tr w14:paraId="6FAE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77B12998">
                  <w:pPr>
                    <w:adjustRightInd w:val="0"/>
                    <w:snapToGrid w:val="0"/>
                    <w:jc w:val="center"/>
                    <w:rPr>
                      <w:color w:val="auto"/>
                      <w:szCs w:val="21"/>
                    </w:rPr>
                  </w:pPr>
                  <w:r>
                    <w:rPr>
                      <w:color w:val="auto"/>
                      <w:szCs w:val="21"/>
                    </w:rPr>
                    <w:t>4</w:t>
                  </w:r>
                </w:p>
              </w:tc>
              <w:tc>
                <w:tcPr>
                  <w:tcW w:w="909" w:type="pct"/>
                  <w:tcBorders>
                    <w:top w:val="single" w:color="auto" w:sz="4" w:space="0"/>
                    <w:left w:val="single" w:color="auto" w:sz="4" w:space="0"/>
                    <w:bottom w:val="single" w:color="auto" w:sz="4" w:space="0"/>
                    <w:right w:val="single" w:color="auto" w:sz="4" w:space="0"/>
                  </w:tcBorders>
                  <w:vAlign w:val="center"/>
                </w:tcPr>
                <w:p w14:paraId="014CB7E2">
                  <w:pPr>
                    <w:adjustRightInd w:val="0"/>
                    <w:snapToGrid w:val="0"/>
                    <w:jc w:val="center"/>
                    <w:rPr>
                      <w:color w:val="auto"/>
                      <w:szCs w:val="21"/>
                    </w:rPr>
                  </w:pPr>
                  <w:r>
                    <w:rPr>
                      <w:color w:val="auto"/>
                      <w:szCs w:val="21"/>
                    </w:rPr>
                    <w:t>氨氮</w:t>
                  </w:r>
                </w:p>
              </w:tc>
              <w:tc>
                <w:tcPr>
                  <w:tcW w:w="825" w:type="pct"/>
                  <w:tcBorders>
                    <w:top w:val="single" w:color="auto" w:sz="4" w:space="0"/>
                    <w:left w:val="single" w:color="auto" w:sz="4" w:space="0"/>
                    <w:bottom w:val="single" w:color="auto" w:sz="4" w:space="0"/>
                    <w:right w:val="single" w:color="auto" w:sz="4" w:space="0"/>
                  </w:tcBorders>
                  <w:vAlign w:val="center"/>
                </w:tcPr>
                <w:p w14:paraId="1FC81A3D">
                  <w:pPr>
                    <w:adjustRightInd w:val="0"/>
                    <w:snapToGrid w:val="0"/>
                    <w:jc w:val="center"/>
                    <w:rPr>
                      <w:color w:val="auto"/>
                      <w:szCs w:val="21"/>
                    </w:rPr>
                  </w:pPr>
                  <w:r>
                    <w:rPr>
                      <w:color w:val="auto"/>
                      <w:szCs w:val="21"/>
                    </w:rPr>
                    <w:t>35</w:t>
                  </w:r>
                </w:p>
              </w:tc>
              <w:tc>
                <w:tcPr>
                  <w:tcW w:w="2690" w:type="pct"/>
                  <w:vMerge w:val="continue"/>
                  <w:tcBorders>
                    <w:left w:val="single" w:color="auto" w:sz="4" w:space="0"/>
                    <w:right w:val="single" w:color="auto" w:sz="2" w:space="0"/>
                  </w:tcBorders>
                  <w:vAlign w:val="center"/>
                </w:tcPr>
                <w:p w14:paraId="2B202E72">
                  <w:pPr>
                    <w:adjustRightInd w:val="0"/>
                    <w:snapToGrid w:val="0"/>
                    <w:jc w:val="center"/>
                    <w:rPr>
                      <w:color w:val="auto"/>
                      <w:szCs w:val="21"/>
                      <w:lang w:val="zh-CN"/>
                    </w:rPr>
                  </w:pPr>
                </w:p>
              </w:tc>
            </w:tr>
            <w:tr w14:paraId="44412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6A5AE610">
                  <w:pPr>
                    <w:adjustRightInd w:val="0"/>
                    <w:snapToGrid w:val="0"/>
                    <w:jc w:val="center"/>
                    <w:rPr>
                      <w:color w:val="auto"/>
                      <w:szCs w:val="21"/>
                    </w:rPr>
                  </w:pPr>
                  <w:r>
                    <w:rPr>
                      <w:color w:val="auto"/>
                      <w:szCs w:val="21"/>
                    </w:rPr>
                    <w:t>5</w:t>
                  </w:r>
                </w:p>
              </w:tc>
              <w:tc>
                <w:tcPr>
                  <w:tcW w:w="909" w:type="pct"/>
                  <w:tcBorders>
                    <w:top w:val="single" w:color="auto" w:sz="4" w:space="0"/>
                    <w:left w:val="single" w:color="auto" w:sz="4" w:space="0"/>
                    <w:bottom w:val="single" w:color="auto" w:sz="4" w:space="0"/>
                    <w:right w:val="single" w:color="auto" w:sz="4" w:space="0"/>
                  </w:tcBorders>
                  <w:vAlign w:val="center"/>
                </w:tcPr>
                <w:p w14:paraId="606F8567">
                  <w:pPr>
                    <w:adjustRightInd w:val="0"/>
                    <w:snapToGrid w:val="0"/>
                    <w:jc w:val="center"/>
                    <w:rPr>
                      <w:color w:val="auto"/>
                      <w:szCs w:val="21"/>
                    </w:rPr>
                  </w:pPr>
                  <w:r>
                    <w:rPr>
                      <w:color w:val="auto"/>
                      <w:szCs w:val="21"/>
                    </w:rPr>
                    <w:t>总氮</w:t>
                  </w:r>
                </w:p>
              </w:tc>
              <w:tc>
                <w:tcPr>
                  <w:tcW w:w="825" w:type="pct"/>
                  <w:tcBorders>
                    <w:top w:val="single" w:color="auto" w:sz="4" w:space="0"/>
                    <w:left w:val="single" w:color="auto" w:sz="4" w:space="0"/>
                    <w:bottom w:val="single" w:color="auto" w:sz="4" w:space="0"/>
                    <w:right w:val="single" w:color="auto" w:sz="4" w:space="0"/>
                  </w:tcBorders>
                  <w:vAlign w:val="center"/>
                </w:tcPr>
                <w:p w14:paraId="70256E1A">
                  <w:pPr>
                    <w:adjustRightInd w:val="0"/>
                    <w:snapToGrid w:val="0"/>
                    <w:jc w:val="center"/>
                    <w:rPr>
                      <w:color w:val="auto"/>
                      <w:szCs w:val="21"/>
                    </w:rPr>
                  </w:pPr>
                  <w:r>
                    <w:rPr>
                      <w:color w:val="auto"/>
                      <w:szCs w:val="21"/>
                    </w:rPr>
                    <w:t>50</w:t>
                  </w:r>
                </w:p>
              </w:tc>
              <w:tc>
                <w:tcPr>
                  <w:tcW w:w="2690" w:type="pct"/>
                  <w:vMerge w:val="continue"/>
                  <w:tcBorders>
                    <w:left w:val="single" w:color="auto" w:sz="4" w:space="0"/>
                    <w:right w:val="single" w:color="auto" w:sz="2" w:space="0"/>
                  </w:tcBorders>
                  <w:vAlign w:val="center"/>
                </w:tcPr>
                <w:p w14:paraId="2A527F3F">
                  <w:pPr>
                    <w:adjustRightInd w:val="0"/>
                    <w:snapToGrid w:val="0"/>
                    <w:jc w:val="center"/>
                    <w:rPr>
                      <w:color w:val="auto"/>
                      <w:szCs w:val="21"/>
                      <w:lang w:val="zh-CN"/>
                    </w:rPr>
                  </w:pPr>
                </w:p>
              </w:tc>
            </w:tr>
            <w:tr w14:paraId="3EED2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2D2279BF">
                  <w:pPr>
                    <w:adjustRightInd w:val="0"/>
                    <w:snapToGrid w:val="0"/>
                    <w:jc w:val="center"/>
                    <w:rPr>
                      <w:color w:val="auto"/>
                      <w:szCs w:val="21"/>
                    </w:rPr>
                  </w:pPr>
                  <w:r>
                    <w:rPr>
                      <w:color w:val="auto"/>
                      <w:szCs w:val="21"/>
                    </w:rPr>
                    <w:t>6</w:t>
                  </w:r>
                </w:p>
              </w:tc>
              <w:tc>
                <w:tcPr>
                  <w:tcW w:w="909" w:type="pct"/>
                  <w:tcBorders>
                    <w:top w:val="single" w:color="auto" w:sz="4" w:space="0"/>
                    <w:left w:val="single" w:color="auto" w:sz="4" w:space="0"/>
                    <w:bottom w:val="single" w:color="auto" w:sz="4" w:space="0"/>
                    <w:right w:val="single" w:color="auto" w:sz="4" w:space="0"/>
                  </w:tcBorders>
                  <w:vAlign w:val="center"/>
                </w:tcPr>
                <w:p w14:paraId="53EABA62">
                  <w:pPr>
                    <w:adjustRightInd w:val="0"/>
                    <w:snapToGrid w:val="0"/>
                    <w:jc w:val="center"/>
                    <w:rPr>
                      <w:color w:val="auto"/>
                      <w:szCs w:val="21"/>
                    </w:rPr>
                  </w:pPr>
                  <w:r>
                    <w:rPr>
                      <w:color w:val="auto"/>
                      <w:szCs w:val="21"/>
                    </w:rPr>
                    <w:t>SS</w:t>
                  </w:r>
                </w:p>
              </w:tc>
              <w:tc>
                <w:tcPr>
                  <w:tcW w:w="825" w:type="pct"/>
                  <w:tcBorders>
                    <w:top w:val="single" w:color="auto" w:sz="4" w:space="0"/>
                    <w:left w:val="single" w:color="auto" w:sz="4" w:space="0"/>
                    <w:bottom w:val="single" w:color="auto" w:sz="4" w:space="0"/>
                    <w:right w:val="single" w:color="auto" w:sz="4" w:space="0"/>
                  </w:tcBorders>
                  <w:vAlign w:val="center"/>
                </w:tcPr>
                <w:p w14:paraId="4779BE0A">
                  <w:pPr>
                    <w:adjustRightInd w:val="0"/>
                    <w:snapToGrid w:val="0"/>
                    <w:jc w:val="center"/>
                    <w:rPr>
                      <w:color w:val="auto"/>
                      <w:szCs w:val="21"/>
                    </w:rPr>
                  </w:pPr>
                  <w:r>
                    <w:rPr>
                      <w:color w:val="auto"/>
                      <w:szCs w:val="21"/>
                    </w:rPr>
                    <w:t>200</w:t>
                  </w:r>
                </w:p>
              </w:tc>
              <w:tc>
                <w:tcPr>
                  <w:tcW w:w="2690" w:type="pct"/>
                  <w:vMerge w:val="continue"/>
                  <w:tcBorders>
                    <w:left w:val="single" w:color="auto" w:sz="4" w:space="0"/>
                    <w:right w:val="single" w:color="auto" w:sz="2" w:space="0"/>
                  </w:tcBorders>
                  <w:vAlign w:val="center"/>
                </w:tcPr>
                <w:p w14:paraId="1495ED1C">
                  <w:pPr>
                    <w:adjustRightInd w:val="0"/>
                    <w:snapToGrid w:val="0"/>
                    <w:jc w:val="center"/>
                    <w:rPr>
                      <w:color w:val="auto"/>
                      <w:szCs w:val="21"/>
                      <w:lang w:val="zh-CN"/>
                    </w:rPr>
                  </w:pPr>
                </w:p>
              </w:tc>
            </w:tr>
            <w:tr w14:paraId="77C26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46ABDD41">
                  <w:pPr>
                    <w:adjustRightInd w:val="0"/>
                    <w:snapToGrid w:val="0"/>
                    <w:jc w:val="center"/>
                    <w:rPr>
                      <w:color w:val="auto"/>
                      <w:szCs w:val="21"/>
                    </w:rPr>
                  </w:pPr>
                  <w:r>
                    <w:rPr>
                      <w:color w:val="auto"/>
                      <w:szCs w:val="21"/>
                    </w:rPr>
                    <w:t>7</w:t>
                  </w:r>
                </w:p>
              </w:tc>
              <w:tc>
                <w:tcPr>
                  <w:tcW w:w="909" w:type="pct"/>
                  <w:tcBorders>
                    <w:top w:val="single" w:color="auto" w:sz="4" w:space="0"/>
                    <w:left w:val="single" w:color="auto" w:sz="4" w:space="0"/>
                    <w:bottom w:val="single" w:color="auto" w:sz="4" w:space="0"/>
                    <w:right w:val="single" w:color="auto" w:sz="4" w:space="0"/>
                  </w:tcBorders>
                  <w:vAlign w:val="center"/>
                </w:tcPr>
                <w:p w14:paraId="70537292">
                  <w:pPr>
                    <w:adjustRightInd w:val="0"/>
                    <w:snapToGrid w:val="0"/>
                    <w:jc w:val="center"/>
                    <w:rPr>
                      <w:color w:val="auto"/>
                      <w:szCs w:val="21"/>
                    </w:rPr>
                  </w:pPr>
                  <w:r>
                    <w:rPr>
                      <w:color w:val="auto"/>
                      <w:szCs w:val="21"/>
                    </w:rPr>
                    <w:t>BOD</w:t>
                  </w:r>
                  <w:r>
                    <w:rPr>
                      <w:color w:val="auto"/>
                      <w:szCs w:val="21"/>
                      <w:vertAlign w:val="subscript"/>
                    </w:rPr>
                    <w:t>5</w:t>
                  </w:r>
                </w:p>
              </w:tc>
              <w:tc>
                <w:tcPr>
                  <w:tcW w:w="825" w:type="pct"/>
                  <w:tcBorders>
                    <w:top w:val="single" w:color="auto" w:sz="4" w:space="0"/>
                    <w:left w:val="single" w:color="auto" w:sz="4" w:space="0"/>
                    <w:bottom w:val="single" w:color="auto" w:sz="4" w:space="0"/>
                    <w:right w:val="single" w:color="auto" w:sz="4" w:space="0"/>
                  </w:tcBorders>
                  <w:vAlign w:val="center"/>
                </w:tcPr>
                <w:p w14:paraId="447178A6">
                  <w:pPr>
                    <w:adjustRightInd w:val="0"/>
                    <w:snapToGrid w:val="0"/>
                    <w:jc w:val="center"/>
                    <w:rPr>
                      <w:color w:val="auto"/>
                      <w:szCs w:val="21"/>
                    </w:rPr>
                  </w:pPr>
                  <w:r>
                    <w:rPr>
                      <w:color w:val="auto"/>
                      <w:szCs w:val="21"/>
                    </w:rPr>
                    <w:t>80</w:t>
                  </w:r>
                </w:p>
              </w:tc>
              <w:tc>
                <w:tcPr>
                  <w:tcW w:w="2690" w:type="pct"/>
                  <w:vMerge w:val="continue"/>
                  <w:tcBorders>
                    <w:left w:val="single" w:color="auto" w:sz="4" w:space="0"/>
                    <w:right w:val="single" w:color="auto" w:sz="2" w:space="0"/>
                  </w:tcBorders>
                  <w:vAlign w:val="center"/>
                </w:tcPr>
                <w:p w14:paraId="516F4FB6">
                  <w:pPr>
                    <w:adjustRightInd w:val="0"/>
                    <w:snapToGrid w:val="0"/>
                    <w:jc w:val="center"/>
                    <w:rPr>
                      <w:color w:val="auto"/>
                      <w:szCs w:val="21"/>
                      <w:lang w:val="zh-CN"/>
                    </w:rPr>
                  </w:pPr>
                </w:p>
              </w:tc>
            </w:tr>
            <w:tr w14:paraId="5FBDC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7208E5D7">
                  <w:pPr>
                    <w:adjustRightInd w:val="0"/>
                    <w:snapToGrid w:val="0"/>
                    <w:jc w:val="center"/>
                    <w:rPr>
                      <w:color w:val="auto"/>
                      <w:szCs w:val="21"/>
                    </w:rPr>
                  </w:pPr>
                  <w:r>
                    <w:rPr>
                      <w:color w:val="auto"/>
                      <w:szCs w:val="21"/>
                    </w:rPr>
                    <w:t>8</w:t>
                  </w:r>
                </w:p>
              </w:tc>
              <w:tc>
                <w:tcPr>
                  <w:tcW w:w="909" w:type="pct"/>
                  <w:tcBorders>
                    <w:top w:val="single" w:color="auto" w:sz="4" w:space="0"/>
                    <w:left w:val="single" w:color="auto" w:sz="4" w:space="0"/>
                    <w:bottom w:val="single" w:color="auto" w:sz="4" w:space="0"/>
                    <w:right w:val="single" w:color="auto" w:sz="4" w:space="0"/>
                  </w:tcBorders>
                  <w:vAlign w:val="center"/>
                </w:tcPr>
                <w:p w14:paraId="0AE59EDE">
                  <w:pPr>
                    <w:adjustRightInd w:val="0"/>
                    <w:snapToGrid w:val="0"/>
                    <w:jc w:val="center"/>
                    <w:rPr>
                      <w:color w:val="auto"/>
                      <w:szCs w:val="21"/>
                    </w:rPr>
                  </w:pPr>
                  <w:r>
                    <w:rPr>
                      <w:color w:val="auto"/>
                      <w:szCs w:val="21"/>
                    </w:rPr>
                    <w:t>石油类</w:t>
                  </w:r>
                </w:p>
              </w:tc>
              <w:tc>
                <w:tcPr>
                  <w:tcW w:w="825" w:type="pct"/>
                  <w:tcBorders>
                    <w:top w:val="single" w:color="auto" w:sz="4" w:space="0"/>
                    <w:left w:val="single" w:color="auto" w:sz="4" w:space="0"/>
                    <w:bottom w:val="single" w:color="auto" w:sz="4" w:space="0"/>
                    <w:right w:val="single" w:color="auto" w:sz="4" w:space="0"/>
                  </w:tcBorders>
                  <w:vAlign w:val="center"/>
                </w:tcPr>
                <w:p w14:paraId="20B26C3C">
                  <w:pPr>
                    <w:adjustRightInd w:val="0"/>
                    <w:snapToGrid w:val="0"/>
                    <w:jc w:val="center"/>
                    <w:rPr>
                      <w:color w:val="auto"/>
                      <w:szCs w:val="21"/>
                    </w:rPr>
                  </w:pPr>
                  <w:r>
                    <w:rPr>
                      <w:color w:val="auto"/>
                      <w:szCs w:val="21"/>
                    </w:rPr>
                    <w:t>20</w:t>
                  </w:r>
                </w:p>
              </w:tc>
              <w:tc>
                <w:tcPr>
                  <w:tcW w:w="2690" w:type="pct"/>
                  <w:vMerge w:val="restart"/>
                  <w:tcBorders>
                    <w:left w:val="single" w:color="auto" w:sz="4" w:space="0"/>
                    <w:right w:val="single" w:color="auto" w:sz="2" w:space="0"/>
                  </w:tcBorders>
                  <w:vAlign w:val="center"/>
                </w:tcPr>
                <w:p w14:paraId="4D7F7476">
                  <w:pPr>
                    <w:adjustRightInd w:val="0"/>
                    <w:snapToGrid w:val="0"/>
                    <w:jc w:val="center"/>
                    <w:rPr>
                      <w:color w:val="auto"/>
                      <w:szCs w:val="21"/>
                      <w:lang w:val="zh-CN"/>
                    </w:rPr>
                  </w:pPr>
                  <w:r>
                    <w:rPr>
                      <w:color w:val="auto"/>
                    </w:rPr>
                    <w:t>《污水综合排放标准》(GB8978-1996)中三级标准</w:t>
                  </w:r>
                </w:p>
              </w:tc>
            </w:tr>
            <w:tr w14:paraId="41608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3001797D">
                  <w:pPr>
                    <w:adjustRightInd w:val="0"/>
                    <w:snapToGrid w:val="0"/>
                    <w:jc w:val="center"/>
                    <w:rPr>
                      <w:color w:val="auto"/>
                      <w:szCs w:val="21"/>
                    </w:rPr>
                  </w:pPr>
                  <w:r>
                    <w:rPr>
                      <w:color w:val="auto"/>
                      <w:szCs w:val="21"/>
                    </w:rPr>
                    <w:t>9</w:t>
                  </w:r>
                </w:p>
              </w:tc>
              <w:tc>
                <w:tcPr>
                  <w:tcW w:w="909" w:type="pct"/>
                  <w:tcBorders>
                    <w:top w:val="single" w:color="auto" w:sz="4" w:space="0"/>
                    <w:left w:val="single" w:color="auto" w:sz="4" w:space="0"/>
                    <w:bottom w:val="single" w:color="auto" w:sz="4" w:space="0"/>
                    <w:right w:val="single" w:color="auto" w:sz="4" w:space="0"/>
                  </w:tcBorders>
                  <w:vAlign w:val="center"/>
                </w:tcPr>
                <w:p w14:paraId="363EE3FC">
                  <w:pPr>
                    <w:adjustRightInd w:val="0"/>
                    <w:snapToGrid w:val="0"/>
                    <w:jc w:val="center"/>
                    <w:rPr>
                      <w:color w:val="auto"/>
                      <w:szCs w:val="21"/>
                    </w:rPr>
                  </w:pPr>
                  <w:r>
                    <w:rPr>
                      <w:color w:val="auto"/>
                      <w:szCs w:val="21"/>
                    </w:rPr>
                    <w:t>氟化物</w:t>
                  </w:r>
                </w:p>
              </w:tc>
              <w:tc>
                <w:tcPr>
                  <w:tcW w:w="825" w:type="pct"/>
                  <w:tcBorders>
                    <w:top w:val="single" w:color="auto" w:sz="4" w:space="0"/>
                    <w:left w:val="single" w:color="auto" w:sz="4" w:space="0"/>
                    <w:bottom w:val="single" w:color="auto" w:sz="4" w:space="0"/>
                    <w:right w:val="single" w:color="auto" w:sz="4" w:space="0"/>
                  </w:tcBorders>
                  <w:vAlign w:val="center"/>
                </w:tcPr>
                <w:p w14:paraId="0C7AAB97">
                  <w:pPr>
                    <w:adjustRightInd w:val="0"/>
                    <w:snapToGrid w:val="0"/>
                    <w:jc w:val="center"/>
                    <w:rPr>
                      <w:color w:val="auto"/>
                      <w:szCs w:val="21"/>
                    </w:rPr>
                  </w:pPr>
                  <w:r>
                    <w:rPr>
                      <w:color w:val="auto"/>
                      <w:szCs w:val="21"/>
                    </w:rPr>
                    <w:t>20</w:t>
                  </w:r>
                </w:p>
              </w:tc>
              <w:tc>
                <w:tcPr>
                  <w:tcW w:w="2690" w:type="pct"/>
                  <w:vMerge w:val="continue"/>
                  <w:tcBorders>
                    <w:left w:val="single" w:color="auto" w:sz="4" w:space="0"/>
                    <w:right w:val="single" w:color="auto" w:sz="2" w:space="0"/>
                  </w:tcBorders>
                  <w:vAlign w:val="center"/>
                </w:tcPr>
                <w:p w14:paraId="3210A5AD">
                  <w:pPr>
                    <w:adjustRightInd w:val="0"/>
                    <w:snapToGrid w:val="0"/>
                    <w:jc w:val="center"/>
                    <w:rPr>
                      <w:color w:val="auto"/>
                      <w:szCs w:val="21"/>
                      <w:lang w:val="zh-CN"/>
                    </w:rPr>
                  </w:pPr>
                </w:p>
              </w:tc>
            </w:tr>
            <w:tr w14:paraId="5F011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75" w:type="pct"/>
                  <w:tcBorders>
                    <w:top w:val="single" w:color="auto" w:sz="4" w:space="0"/>
                    <w:left w:val="single" w:color="auto" w:sz="4" w:space="0"/>
                    <w:bottom w:val="single" w:color="auto" w:sz="4" w:space="0"/>
                    <w:right w:val="single" w:color="auto" w:sz="4" w:space="0"/>
                  </w:tcBorders>
                  <w:vAlign w:val="center"/>
                </w:tcPr>
                <w:p w14:paraId="1FDF1645">
                  <w:pPr>
                    <w:adjustRightInd w:val="0"/>
                    <w:snapToGrid w:val="0"/>
                    <w:jc w:val="center"/>
                    <w:rPr>
                      <w:color w:val="auto"/>
                      <w:szCs w:val="21"/>
                    </w:rPr>
                  </w:pPr>
                  <w:r>
                    <w:rPr>
                      <w:color w:val="auto"/>
                      <w:szCs w:val="21"/>
                    </w:rPr>
                    <w:t>10</w:t>
                  </w:r>
                </w:p>
              </w:tc>
              <w:tc>
                <w:tcPr>
                  <w:tcW w:w="909" w:type="pct"/>
                  <w:tcBorders>
                    <w:top w:val="single" w:color="auto" w:sz="4" w:space="0"/>
                    <w:left w:val="single" w:color="auto" w:sz="4" w:space="0"/>
                    <w:bottom w:val="single" w:color="auto" w:sz="4" w:space="0"/>
                    <w:right w:val="single" w:color="auto" w:sz="4" w:space="0"/>
                  </w:tcBorders>
                  <w:vAlign w:val="center"/>
                </w:tcPr>
                <w:p w14:paraId="3713D090">
                  <w:pPr>
                    <w:adjustRightInd w:val="0"/>
                    <w:snapToGrid w:val="0"/>
                    <w:jc w:val="center"/>
                    <w:rPr>
                      <w:color w:val="auto"/>
                      <w:szCs w:val="21"/>
                    </w:rPr>
                  </w:pPr>
                  <w:r>
                    <w:rPr>
                      <w:color w:val="auto"/>
                      <w:szCs w:val="21"/>
                    </w:rPr>
                    <w:t>LAS</w:t>
                  </w:r>
                </w:p>
              </w:tc>
              <w:tc>
                <w:tcPr>
                  <w:tcW w:w="825" w:type="pct"/>
                  <w:tcBorders>
                    <w:top w:val="single" w:color="auto" w:sz="4" w:space="0"/>
                    <w:left w:val="single" w:color="auto" w:sz="4" w:space="0"/>
                    <w:bottom w:val="single" w:color="auto" w:sz="4" w:space="0"/>
                    <w:right w:val="single" w:color="auto" w:sz="4" w:space="0"/>
                  </w:tcBorders>
                  <w:vAlign w:val="center"/>
                </w:tcPr>
                <w:p w14:paraId="01D2D68C">
                  <w:pPr>
                    <w:adjustRightInd w:val="0"/>
                    <w:snapToGrid w:val="0"/>
                    <w:jc w:val="center"/>
                    <w:rPr>
                      <w:color w:val="auto"/>
                      <w:szCs w:val="21"/>
                    </w:rPr>
                  </w:pPr>
                  <w:r>
                    <w:rPr>
                      <w:color w:val="auto"/>
                      <w:szCs w:val="21"/>
                    </w:rPr>
                    <w:t>20</w:t>
                  </w:r>
                </w:p>
              </w:tc>
              <w:tc>
                <w:tcPr>
                  <w:tcW w:w="2690" w:type="pct"/>
                  <w:vMerge w:val="continue"/>
                  <w:tcBorders>
                    <w:left w:val="single" w:color="auto" w:sz="4" w:space="0"/>
                    <w:right w:val="single" w:color="auto" w:sz="2" w:space="0"/>
                  </w:tcBorders>
                  <w:vAlign w:val="center"/>
                </w:tcPr>
                <w:p w14:paraId="214B08B4">
                  <w:pPr>
                    <w:adjustRightInd w:val="0"/>
                    <w:snapToGrid w:val="0"/>
                    <w:jc w:val="center"/>
                    <w:rPr>
                      <w:color w:val="auto"/>
                      <w:szCs w:val="21"/>
                      <w:lang w:val="zh-CN"/>
                    </w:rPr>
                  </w:pPr>
                </w:p>
              </w:tc>
            </w:tr>
          </w:tbl>
          <w:p w14:paraId="17E9039D">
            <w:pPr>
              <w:autoSpaceDE w:val="0"/>
              <w:autoSpaceDN w:val="0"/>
              <w:adjustRightInd w:val="0"/>
              <w:ind w:firstLine="420" w:firstLineChars="200"/>
              <w:rPr>
                <w:rFonts w:hint="eastAsia"/>
                <w:color w:val="auto"/>
                <w:szCs w:val="21"/>
                <w:lang w:val="en-US" w:eastAsia="zh-CN"/>
              </w:rPr>
            </w:pPr>
            <w:r>
              <w:rPr>
                <w:rFonts w:hint="eastAsia"/>
                <w:color w:val="auto"/>
                <w:szCs w:val="21"/>
                <w:lang w:val="en-US" w:eastAsia="zh-CN"/>
              </w:rPr>
              <w:t>注：氟化物纳管企业内部控制要求10mg/L</w:t>
            </w:r>
          </w:p>
          <w:p w14:paraId="608CAC9E">
            <w:pPr>
              <w:spacing w:line="400" w:lineRule="exact"/>
              <w:jc w:val="center"/>
              <w:rPr>
                <w:b/>
                <w:bCs/>
                <w:color w:val="auto"/>
                <w:szCs w:val="21"/>
              </w:rPr>
            </w:pPr>
            <w:r>
              <w:rPr>
                <w:b/>
                <w:bCs/>
                <w:color w:val="auto"/>
                <w:szCs w:val="21"/>
              </w:rPr>
              <w:t>表3.1.7-5  污水排环境标准  单位：除pH外为mg/L</w:t>
            </w:r>
          </w:p>
          <w:tbl>
            <w:tblPr>
              <w:tblStyle w:val="32"/>
              <w:tblW w:w="48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6"/>
              <w:gridCol w:w="3043"/>
              <w:gridCol w:w="3687"/>
            </w:tblGrid>
            <w:tr w14:paraId="1CB00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55" w:type="pct"/>
                  <w:vAlign w:val="center"/>
                </w:tcPr>
                <w:p w14:paraId="1F1595F9">
                  <w:pPr>
                    <w:adjustRightInd w:val="0"/>
                    <w:snapToGrid w:val="0"/>
                    <w:jc w:val="center"/>
                    <w:rPr>
                      <w:b/>
                      <w:bCs/>
                      <w:color w:val="auto"/>
                      <w:szCs w:val="21"/>
                    </w:rPr>
                  </w:pPr>
                  <w:r>
                    <w:rPr>
                      <w:b/>
                      <w:bCs/>
                      <w:color w:val="auto"/>
                      <w:szCs w:val="21"/>
                    </w:rPr>
                    <w:t>序号</w:t>
                  </w:r>
                </w:p>
              </w:tc>
              <w:tc>
                <w:tcPr>
                  <w:tcW w:w="1964" w:type="pct"/>
                  <w:vAlign w:val="center"/>
                </w:tcPr>
                <w:p w14:paraId="1DFCFDDA">
                  <w:pPr>
                    <w:adjustRightInd w:val="0"/>
                    <w:snapToGrid w:val="0"/>
                    <w:jc w:val="center"/>
                    <w:rPr>
                      <w:b/>
                      <w:bCs/>
                      <w:color w:val="auto"/>
                      <w:szCs w:val="21"/>
                    </w:rPr>
                  </w:pPr>
                  <w:r>
                    <w:rPr>
                      <w:b/>
                      <w:bCs/>
                      <w:color w:val="auto"/>
                      <w:szCs w:val="21"/>
                    </w:rPr>
                    <w:t>污染物</w:t>
                  </w:r>
                </w:p>
              </w:tc>
              <w:tc>
                <w:tcPr>
                  <w:tcW w:w="2380" w:type="pct"/>
                  <w:vAlign w:val="center"/>
                </w:tcPr>
                <w:p w14:paraId="1AD6D1E0">
                  <w:pPr>
                    <w:adjustRightInd w:val="0"/>
                    <w:snapToGrid w:val="0"/>
                    <w:jc w:val="center"/>
                    <w:rPr>
                      <w:b/>
                      <w:bCs/>
                      <w:color w:val="auto"/>
                      <w:szCs w:val="21"/>
                    </w:rPr>
                  </w:pPr>
                  <w:r>
                    <w:rPr>
                      <w:b/>
                      <w:bCs/>
                      <w:color w:val="auto"/>
                      <w:szCs w:val="21"/>
                    </w:rPr>
                    <w:t>污水处理厂排放标准</w:t>
                  </w:r>
                </w:p>
              </w:tc>
            </w:tr>
            <w:tr w14:paraId="23342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655" w:type="pct"/>
                  <w:vAlign w:val="center"/>
                </w:tcPr>
                <w:p w14:paraId="343C0445">
                  <w:pPr>
                    <w:adjustRightInd w:val="0"/>
                    <w:snapToGrid w:val="0"/>
                    <w:jc w:val="center"/>
                    <w:rPr>
                      <w:color w:val="auto"/>
                      <w:szCs w:val="21"/>
                    </w:rPr>
                  </w:pPr>
                  <w:r>
                    <w:rPr>
                      <w:color w:val="auto"/>
                      <w:szCs w:val="21"/>
                    </w:rPr>
                    <w:t>1</w:t>
                  </w:r>
                </w:p>
              </w:tc>
              <w:tc>
                <w:tcPr>
                  <w:tcW w:w="1964" w:type="pct"/>
                  <w:vAlign w:val="center"/>
                </w:tcPr>
                <w:p w14:paraId="3CF7F305">
                  <w:pPr>
                    <w:adjustRightInd w:val="0"/>
                    <w:snapToGrid w:val="0"/>
                    <w:jc w:val="center"/>
                    <w:rPr>
                      <w:color w:val="auto"/>
                      <w:szCs w:val="21"/>
                    </w:rPr>
                  </w:pPr>
                  <w:r>
                    <w:rPr>
                      <w:color w:val="auto"/>
                      <w:szCs w:val="21"/>
                    </w:rPr>
                    <w:t>pH</w:t>
                  </w:r>
                </w:p>
              </w:tc>
              <w:tc>
                <w:tcPr>
                  <w:tcW w:w="2380" w:type="pct"/>
                  <w:vAlign w:val="center"/>
                </w:tcPr>
                <w:p w14:paraId="1E556D69">
                  <w:pPr>
                    <w:adjustRightInd w:val="0"/>
                    <w:snapToGrid w:val="0"/>
                    <w:jc w:val="center"/>
                    <w:rPr>
                      <w:color w:val="auto"/>
                      <w:szCs w:val="21"/>
                    </w:rPr>
                  </w:pPr>
                  <w:r>
                    <w:rPr>
                      <w:color w:val="auto"/>
                      <w:szCs w:val="21"/>
                    </w:rPr>
                    <w:t>6-9</w:t>
                  </w:r>
                </w:p>
              </w:tc>
            </w:tr>
            <w:tr w14:paraId="47ABD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Align w:val="center"/>
                </w:tcPr>
                <w:p w14:paraId="2C4CD2E2">
                  <w:pPr>
                    <w:adjustRightInd w:val="0"/>
                    <w:snapToGrid w:val="0"/>
                    <w:jc w:val="center"/>
                    <w:rPr>
                      <w:color w:val="auto"/>
                      <w:szCs w:val="21"/>
                    </w:rPr>
                  </w:pPr>
                  <w:r>
                    <w:rPr>
                      <w:color w:val="auto"/>
                      <w:szCs w:val="21"/>
                    </w:rPr>
                    <w:t>2</w:t>
                  </w:r>
                </w:p>
              </w:tc>
              <w:tc>
                <w:tcPr>
                  <w:tcW w:w="1964" w:type="pct"/>
                  <w:vAlign w:val="center"/>
                </w:tcPr>
                <w:p w14:paraId="17FC1595">
                  <w:pPr>
                    <w:adjustRightInd w:val="0"/>
                    <w:snapToGrid w:val="0"/>
                    <w:jc w:val="center"/>
                    <w:rPr>
                      <w:color w:val="auto"/>
                      <w:szCs w:val="21"/>
                    </w:rPr>
                  </w:pPr>
                  <w:r>
                    <w:rPr>
                      <w:color w:val="auto"/>
                      <w:szCs w:val="21"/>
                    </w:rPr>
                    <w:t>COD</w:t>
                  </w:r>
                  <w:r>
                    <w:rPr>
                      <w:color w:val="auto"/>
                      <w:szCs w:val="21"/>
                      <w:vertAlign w:val="subscript"/>
                    </w:rPr>
                    <w:t>Cr</w:t>
                  </w:r>
                </w:p>
              </w:tc>
              <w:tc>
                <w:tcPr>
                  <w:tcW w:w="2380" w:type="pct"/>
                  <w:vAlign w:val="center"/>
                </w:tcPr>
                <w:p w14:paraId="68CCEEC6">
                  <w:pPr>
                    <w:adjustRightInd w:val="0"/>
                    <w:snapToGrid w:val="0"/>
                    <w:jc w:val="center"/>
                    <w:rPr>
                      <w:color w:val="auto"/>
                      <w:szCs w:val="21"/>
                    </w:rPr>
                  </w:pPr>
                  <w:r>
                    <w:rPr>
                      <w:color w:val="auto"/>
                      <w:szCs w:val="21"/>
                    </w:rPr>
                    <w:t>50</w:t>
                  </w:r>
                </w:p>
              </w:tc>
            </w:tr>
            <w:tr w14:paraId="25C93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655" w:type="pct"/>
                  <w:vAlign w:val="center"/>
                </w:tcPr>
                <w:p w14:paraId="4D504E02">
                  <w:pPr>
                    <w:adjustRightInd w:val="0"/>
                    <w:snapToGrid w:val="0"/>
                    <w:jc w:val="center"/>
                    <w:rPr>
                      <w:color w:val="auto"/>
                      <w:szCs w:val="21"/>
                    </w:rPr>
                  </w:pPr>
                  <w:r>
                    <w:rPr>
                      <w:color w:val="auto"/>
                      <w:szCs w:val="21"/>
                    </w:rPr>
                    <w:t>3</w:t>
                  </w:r>
                </w:p>
              </w:tc>
              <w:tc>
                <w:tcPr>
                  <w:tcW w:w="1964" w:type="pct"/>
                  <w:vAlign w:val="center"/>
                </w:tcPr>
                <w:p w14:paraId="5996F065">
                  <w:pPr>
                    <w:adjustRightInd w:val="0"/>
                    <w:snapToGrid w:val="0"/>
                    <w:jc w:val="center"/>
                    <w:rPr>
                      <w:color w:val="auto"/>
                      <w:szCs w:val="21"/>
                    </w:rPr>
                  </w:pPr>
                  <w:r>
                    <w:rPr>
                      <w:color w:val="auto"/>
                      <w:szCs w:val="21"/>
                    </w:rPr>
                    <w:t>NH</w:t>
                  </w:r>
                  <w:r>
                    <w:rPr>
                      <w:color w:val="auto"/>
                      <w:szCs w:val="21"/>
                      <w:vertAlign w:val="subscript"/>
                    </w:rPr>
                    <w:t>3</w:t>
                  </w:r>
                  <w:r>
                    <w:rPr>
                      <w:color w:val="auto"/>
                      <w:szCs w:val="21"/>
                    </w:rPr>
                    <w:t>-N</w:t>
                  </w:r>
                </w:p>
              </w:tc>
              <w:tc>
                <w:tcPr>
                  <w:tcW w:w="2380" w:type="pct"/>
                  <w:vAlign w:val="center"/>
                </w:tcPr>
                <w:p w14:paraId="71EB0537">
                  <w:pPr>
                    <w:adjustRightInd w:val="0"/>
                    <w:snapToGrid w:val="0"/>
                    <w:jc w:val="center"/>
                    <w:rPr>
                      <w:color w:val="auto"/>
                      <w:szCs w:val="21"/>
                    </w:rPr>
                  </w:pPr>
                  <w:r>
                    <w:rPr>
                      <w:color w:val="auto"/>
                      <w:szCs w:val="21"/>
                    </w:rPr>
                    <w:t>5（8)</w:t>
                  </w:r>
                </w:p>
              </w:tc>
            </w:tr>
            <w:tr w14:paraId="2D2E9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655" w:type="pct"/>
                  <w:vAlign w:val="center"/>
                </w:tcPr>
                <w:p w14:paraId="59D8608C">
                  <w:pPr>
                    <w:adjustRightInd w:val="0"/>
                    <w:snapToGrid w:val="0"/>
                    <w:jc w:val="center"/>
                    <w:rPr>
                      <w:color w:val="auto"/>
                      <w:szCs w:val="21"/>
                    </w:rPr>
                  </w:pPr>
                  <w:r>
                    <w:rPr>
                      <w:color w:val="auto"/>
                      <w:szCs w:val="21"/>
                    </w:rPr>
                    <w:t>4</w:t>
                  </w:r>
                </w:p>
              </w:tc>
              <w:tc>
                <w:tcPr>
                  <w:tcW w:w="1964" w:type="pct"/>
                  <w:vAlign w:val="center"/>
                </w:tcPr>
                <w:p w14:paraId="19017D59">
                  <w:pPr>
                    <w:adjustRightInd w:val="0"/>
                    <w:snapToGrid w:val="0"/>
                    <w:jc w:val="center"/>
                    <w:rPr>
                      <w:color w:val="auto"/>
                      <w:szCs w:val="21"/>
                    </w:rPr>
                  </w:pPr>
                  <w:r>
                    <w:rPr>
                      <w:color w:val="auto"/>
                      <w:szCs w:val="21"/>
                    </w:rPr>
                    <w:t>总磷</w:t>
                  </w:r>
                </w:p>
              </w:tc>
              <w:tc>
                <w:tcPr>
                  <w:tcW w:w="2380" w:type="pct"/>
                  <w:vAlign w:val="center"/>
                </w:tcPr>
                <w:p w14:paraId="2B21883B">
                  <w:pPr>
                    <w:adjustRightInd w:val="0"/>
                    <w:snapToGrid w:val="0"/>
                    <w:jc w:val="center"/>
                    <w:rPr>
                      <w:color w:val="auto"/>
                      <w:szCs w:val="21"/>
                    </w:rPr>
                  </w:pPr>
                  <w:r>
                    <w:rPr>
                      <w:color w:val="auto"/>
                      <w:szCs w:val="21"/>
                    </w:rPr>
                    <w:t>0.5</w:t>
                  </w:r>
                </w:p>
              </w:tc>
            </w:tr>
            <w:tr w14:paraId="2D178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55" w:type="pct"/>
                  <w:vAlign w:val="center"/>
                </w:tcPr>
                <w:p w14:paraId="3EFBB3F5">
                  <w:pPr>
                    <w:adjustRightInd w:val="0"/>
                    <w:snapToGrid w:val="0"/>
                    <w:jc w:val="center"/>
                    <w:rPr>
                      <w:color w:val="auto"/>
                      <w:szCs w:val="21"/>
                    </w:rPr>
                  </w:pPr>
                  <w:r>
                    <w:rPr>
                      <w:color w:val="auto"/>
                      <w:szCs w:val="21"/>
                    </w:rPr>
                    <w:t>5</w:t>
                  </w:r>
                </w:p>
              </w:tc>
              <w:tc>
                <w:tcPr>
                  <w:tcW w:w="1964" w:type="pct"/>
                  <w:vAlign w:val="center"/>
                </w:tcPr>
                <w:p w14:paraId="359F76EE">
                  <w:pPr>
                    <w:adjustRightInd w:val="0"/>
                    <w:snapToGrid w:val="0"/>
                    <w:jc w:val="center"/>
                    <w:rPr>
                      <w:color w:val="auto"/>
                      <w:szCs w:val="21"/>
                    </w:rPr>
                  </w:pPr>
                  <w:r>
                    <w:rPr>
                      <w:color w:val="auto"/>
                      <w:szCs w:val="21"/>
                    </w:rPr>
                    <w:t>总氮</w:t>
                  </w:r>
                </w:p>
              </w:tc>
              <w:tc>
                <w:tcPr>
                  <w:tcW w:w="2380" w:type="pct"/>
                  <w:vAlign w:val="center"/>
                </w:tcPr>
                <w:p w14:paraId="15056781">
                  <w:pPr>
                    <w:adjustRightInd w:val="0"/>
                    <w:snapToGrid w:val="0"/>
                    <w:jc w:val="center"/>
                    <w:rPr>
                      <w:color w:val="auto"/>
                      <w:szCs w:val="21"/>
                    </w:rPr>
                  </w:pPr>
                  <w:r>
                    <w:rPr>
                      <w:color w:val="auto"/>
                      <w:szCs w:val="21"/>
                    </w:rPr>
                    <w:t>15</w:t>
                  </w:r>
                </w:p>
              </w:tc>
            </w:tr>
            <w:tr w14:paraId="67F68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55" w:type="pct"/>
                  <w:vAlign w:val="center"/>
                </w:tcPr>
                <w:p w14:paraId="4964DC08">
                  <w:pPr>
                    <w:adjustRightInd w:val="0"/>
                    <w:snapToGrid w:val="0"/>
                    <w:jc w:val="center"/>
                    <w:rPr>
                      <w:color w:val="auto"/>
                      <w:szCs w:val="21"/>
                    </w:rPr>
                  </w:pPr>
                  <w:r>
                    <w:rPr>
                      <w:color w:val="auto"/>
                      <w:szCs w:val="21"/>
                    </w:rPr>
                    <w:t>6</w:t>
                  </w:r>
                </w:p>
              </w:tc>
              <w:tc>
                <w:tcPr>
                  <w:tcW w:w="1964" w:type="pct"/>
                  <w:vAlign w:val="center"/>
                </w:tcPr>
                <w:p w14:paraId="1AAC4A78">
                  <w:pPr>
                    <w:adjustRightInd w:val="0"/>
                    <w:snapToGrid w:val="0"/>
                    <w:jc w:val="center"/>
                    <w:rPr>
                      <w:color w:val="auto"/>
                      <w:szCs w:val="21"/>
                    </w:rPr>
                  </w:pPr>
                  <w:r>
                    <w:rPr>
                      <w:color w:val="auto"/>
                      <w:szCs w:val="21"/>
                    </w:rPr>
                    <w:t>SS</w:t>
                  </w:r>
                </w:p>
              </w:tc>
              <w:tc>
                <w:tcPr>
                  <w:tcW w:w="2380" w:type="pct"/>
                  <w:vAlign w:val="center"/>
                </w:tcPr>
                <w:p w14:paraId="704B8CE0">
                  <w:pPr>
                    <w:adjustRightInd w:val="0"/>
                    <w:snapToGrid w:val="0"/>
                    <w:jc w:val="center"/>
                    <w:rPr>
                      <w:color w:val="auto"/>
                      <w:szCs w:val="21"/>
                    </w:rPr>
                  </w:pPr>
                  <w:r>
                    <w:rPr>
                      <w:color w:val="auto"/>
                      <w:szCs w:val="21"/>
                    </w:rPr>
                    <w:t>10</w:t>
                  </w:r>
                </w:p>
              </w:tc>
            </w:tr>
            <w:tr w14:paraId="00D44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55" w:type="pct"/>
                  <w:vAlign w:val="center"/>
                </w:tcPr>
                <w:p w14:paraId="483D5CDB">
                  <w:pPr>
                    <w:adjustRightInd w:val="0"/>
                    <w:snapToGrid w:val="0"/>
                    <w:jc w:val="center"/>
                    <w:rPr>
                      <w:color w:val="auto"/>
                      <w:szCs w:val="21"/>
                    </w:rPr>
                  </w:pPr>
                  <w:r>
                    <w:rPr>
                      <w:color w:val="auto"/>
                      <w:szCs w:val="21"/>
                    </w:rPr>
                    <w:t>7</w:t>
                  </w:r>
                </w:p>
              </w:tc>
              <w:tc>
                <w:tcPr>
                  <w:tcW w:w="1964" w:type="pct"/>
                  <w:vAlign w:val="center"/>
                </w:tcPr>
                <w:p w14:paraId="26F00BBB">
                  <w:pPr>
                    <w:adjustRightInd w:val="0"/>
                    <w:snapToGrid w:val="0"/>
                    <w:jc w:val="center"/>
                    <w:rPr>
                      <w:color w:val="auto"/>
                      <w:szCs w:val="21"/>
                    </w:rPr>
                  </w:pPr>
                  <w:r>
                    <w:rPr>
                      <w:color w:val="auto"/>
                      <w:szCs w:val="21"/>
                    </w:rPr>
                    <w:t>BOD</w:t>
                  </w:r>
                  <w:r>
                    <w:rPr>
                      <w:color w:val="auto"/>
                      <w:szCs w:val="21"/>
                      <w:vertAlign w:val="subscript"/>
                    </w:rPr>
                    <w:t>5</w:t>
                  </w:r>
                </w:p>
              </w:tc>
              <w:tc>
                <w:tcPr>
                  <w:tcW w:w="2380" w:type="pct"/>
                  <w:vAlign w:val="center"/>
                </w:tcPr>
                <w:p w14:paraId="43A1AA88">
                  <w:pPr>
                    <w:adjustRightInd w:val="0"/>
                    <w:snapToGrid w:val="0"/>
                    <w:jc w:val="center"/>
                    <w:rPr>
                      <w:color w:val="auto"/>
                      <w:szCs w:val="21"/>
                    </w:rPr>
                  </w:pPr>
                  <w:r>
                    <w:rPr>
                      <w:color w:val="auto"/>
                      <w:szCs w:val="21"/>
                    </w:rPr>
                    <w:t>10</w:t>
                  </w:r>
                </w:p>
              </w:tc>
            </w:tr>
            <w:tr w14:paraId="63464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55" w:type="pct"/>
                  <w:vAlign w:val="center"/>
                </w:tcPr>
                <w:p w14:paraId="1BAAD73F">
                  <w:pPr>
                    <w:adjustRightInd w:val="0"/>
                    <w:snapToGrid w:val="0"/>
                    <w:jc w:val="center"/>
                    <w:rPr>
                      <w:color w:val="auto"/>
                      <w:szCs w:val="21"/>
                    </w:rPr>
                  </w:pPr>
                  <w:r>
                    <w:rPr>
                      <w:color w:val="auto"/>
                      <w:szCs w:val="21"/>
                    </w:rPr>
                    <w:t>8</w:t>
                  </w:r>
                </w:p>
              </w:tc>
              <w:tc>
                <w:tcPr>
                  <w:tcW w:w="1964" w:type="pct"/>
                  <w:vAlign w:val="center"/>
                </w:tcPr>
                <w:p w14:paraId="508FFC40">
                  <w:pPr>
                    <w:adjustRightInd w:val="0"/>
                    <w:snapToGrid w:val="0"/>
                    <w:jc w:val="center"/>
                    <w:rPr>
                      <w:color w:val="auto"/>
                      <w:szCs w:val="21"/>
                    </w:rPr>
                  </w:pPr>
                  <w:r>
                    <w:rPr>
                      <w:color w:val="auto"/>
                      <w:szCs w:val="21"/>
                    </w:rPr>
                    <w:t>阴离子表面活性剂</w:t>
                  </w:r>
                </w:p>
              </w:tc>
              <w:tc>
                <w:tcPr>
                  <w:tcW w:w="2380" w:type="pct"/>
                  <w:vAlign w:val="center"/>
                </w:tcPr>
                <w:p w14:paraId="317843C5">
                  <w:pPr>
                    <w:adjustRightInd w:val="0"/>
                    <w:snapToGrid w:val="0"/>
                    <w:jc w:val="center"/>
                    <w:rPr>
                      <w:color w:val="auto"/>
                      <w:szCs w:val="21"/>
                    </w:rPr>
                  </w:pPr>
                  <w:r>
                    <w:rPr>
                      <w:color w:val="auto"/>
                      <w:szCs w:val="21"/>
                    </w:rPr>
                    <w:t>0.5</w:t>
                  </w:r>
                </w:p>
              </w:tc>
            </w:tr>
          </w:tbl>
          <w:p w14:paraId="093EFB24">
            <w:pPr>
              <w:autoSpaceDE w:val="0"/>
              <w:autoSpaceDN w:val="0"/>
              <w:adjustRightInd w:val="0"/>
              <w:ind w:firstLine="420" w:firstLineChars="200"/>
              <w:rPr>
                <w:color w:val="auto"/>
                <w:szCs w:val="21"/>
              </w:rPr>
            </w:pPr>
            <w:r>
              <w:rPr>
                <w:color w:val="auto"/>
                <w:szCs w:val="21"/>
              </w:rPr>
              <w:t>注：括号外数值为水温＞12℃时的控制指标，括号内数值为水温≤12℃的控制指标。</w:t>
            </w:r>
          </w:p>
          <w:p w14:paraId="3AE9238F">
            <w:pPr>
              <w:spacing w:line="360" w:lineRule="auto"/>
              <w:ind w:firstLine="480" w:firstLineChars="200"/>
              <w:rPr>
                <w:color w:val="auto"/>
                <w:kern w:val="0"/>
                <w:sz w:val="24"/>
              </w:rPr>
            </w:pPr>
            <w:r>
              <w:rPr>
                <w:color w:val="auto"/>
                <w:kern w:val="0"/>
                <w:sz w:val="24"/>
              </w:rPr>
              <w:t>（3）噪声</w:t>
            </w:r>
          </w:p>
          <w:p w14:paraId="0CDDE178">
            <w:pPr>
              <w:spacing w:line="360" w:lineRule="auto"/>
              <w:ind w:firstLine="480" w:firstLineChars="200"/>
              <w:rPr>
                <w:color w:val="auto"/>
                <w:kern w:val="0"/>
                <w:sz w:val="24"/>
              </w:rPr>
            </w:pPr>
            <w:r>
              <w:rPr>
                <w:color w:val="auto"/>
                <w:kern w:val="0"/>
                <w:sz w:val="24"/>
              </w:rPr>
              <w:t>项目运营期噪声排放执行《工业企业厂界环境噪声排放标准》（GB12348-2008）3类排放限值。</w:t>
            </w:r>
          </w:p>
          <w:p w14:paraId="7BC25B08">
            <w:pPr>
              <w:spacing w:line="400" w:lineRule="exact"/>
              <w:jc w:val="center"/>
              <w:rPr>
                <w:b/>
                <w:bCs/>
                <w:color w:val="auto"/>
                <w:szCs w:val="21"/>
              </w:rPr>
            </w:pPr>
            <w:r>
              <w:rPr>
                <w:b/>
                <w:bCs/>
                <w:color w:val="auto"/>
                <w:szCs w:val="21"/>
              </w:rPr>
              <w:t>表3.1.7-6 项目运营期噪声排放执行标准</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463"/>
              <w:gridCol w:w="3166"/>
              <w:gridCol w:w="2306"/>
            </w:tblGrid>
            <w:tr w14:paraId="25C3D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1" w:hRule="atLeast"/>
                <w:jc w:val="center"/>
              </w:trPr>
              <w:tc>
                <w:tcPr>
                  <w:tcW w:w="2463" w:type="dxa"/>
                  <w:vAlign w:val="center"/>
                </w:tcPr>
                <w:p w14:paraId="7CC16B23">
                  <w:pPr>
                    <w:pStyle w:val="82"/>
                    <w:spacing w:line="240" w:lineRule="auto"/>
                    <w:ind w:firstLine="0"/>
                    <w:rPr>
                      <w:b/>
                      <w:bCs/>
                      <w:color w:val="auto"/>
                      <w:szCs w:val="21"/>
                    </w:rPr>
                  </w:pPr>
                  <w:r>
                    <w:rPr>
                      <w:b/>
                      <w:bCs/>
                      <w:color w:val="auto"/>
                      <w:szCs w:val="21"/>
                    </w:rPr>
                    <w:t>类别</w:t>
                  </w:r>
                </w:p>
              </w:tc>
              <w:tc>
                <w:tcPr>
                  <w:tcW w:w="3166" w:type="dxa"/>
                  <w:vAlign w:val="center"/>
                </w:tcPr>
                <w:p w14:paraId="7DD07345">
                  <w:pPr>
                    <w:pStyle w:val="82"/>
                    <w:spacing w:line="240" w:lineRule="auto"/>
                    <w:ind w:firstLine="0"/>
                    <w:rPr>
                      <w:b/>
                      <w:bCs/>
                      <w:color w:val="auto"/>
                      <w:szCs w:val="21"/>
                    </w:rPr>
                  </w:pPr>
                  <w:r>
                    <w:rPr>
                      <w:b/>
                      <w:bCs/>
                      <w:color w:val="auto"/>
                      <w:szCs w:val="21"/>
                    </w:rPr>
                    <w:t>昼间dB（A）</w:t>
                  </w:r>
                </w:p>
              </w:tc>
              <w:tc>
                <w:tcPr>
                  <w:tcW w:w="2306" w:type="dxa"/>
                  <w:vAlign w:val="center"/>
                </w:tcPr>
                <w:p w14:paraId="049BD06B">
                  <w:pPr>
                    <w:pStyle w:val="82"/>
                    <w:spacing w:line="240" w:lineRule="auto"/>
                    <w:ind w:firstLine="0"/>
                    <w:rPr>
                      <w:b/>
                      <w:bCs/>
                      <w:color w:val="auto"/>
                      <w:szCs w:val="21"/>
                    </w:rPr>
                  </w:pPr>
                  <w:r>
                    <w:rPr>
                      <w:b/>
                      <w:bCs/>
                      <w:color w:val="auto"/>
                      <w:szCs w:val="21"/>
                    </w:rPr>
                    <w:t>夜间dB（A）</w:t>
                  </w:r>
                </w:p>
              </w:tc>
            </w:tr>
            <w:tr w14:paraId="1ADCB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463" w:type="dxa"/>
                  <w:vAlign w:val="center"/>
                </w:tcPr>
                <w:p w14:paraId="04FAA3B7">
                  <w:pPr>
                    <w:pStyle w:val="82"/>
                    <w:spacing w:line="240" w:lineRule="auto"/>
                    <w:ind w:firstLine="0"/>
                    <w:rPr>
                      <w:color w:val="auto"/>
                      <w:szCs w:val="21"/>
                    </w:rPr>
                  </w:pPr>
                  <w:r>
                    <w:rPr>
                      <w:color w:val="auto"/>
                      <w:szCs w:val="21"/>
                    </w:rPr>
                    <w:t>3类标准</w:t>
                  </w:r>
                </w:p>
              </w:tc>
              <w:tc>
                <w:tcPr>
                  <w:tcW w:w="3166" w:type="dxa"/>
                  <w:vAlign w:val="center"/>
                </w:tcPr>
                <w:p w14:paraId="7041A8B5">
                  <w:pPr>
                    <w:pStyle w:val="82"/>
                    <w:spacing w:line="240" w:lineRule="auto"/>
                    <w:ind w:firstLine="0"/>
                    <w:rPr>
                      <w:color w:val="auto"/>
                      <w:szCs w:val="21"/>
                    </w:rPr>
                  </w:pPr>
                  <w:r>
                    <w:rPr>
                      <w:color w:val="auto"/>
                      <w:szCs w:val="21"/>
                    </w:rPr>
                    <w:t>65</w:t>
                  </w:r>
                </w:p>
              </w:tc>
              <w:tc>
                <w:tcPr>
                  <w:tcW w:w="2306" w:type="dxa"/>
                  <w:vAlign w:val="center"/>
                </w:tcPr>
                <w:p w14:paraId="319CFFC4">
                  <w:pPr>
                    <w:pStyle w:val="82"/>
                    <w:spacing w:line="240" w:lineRule="auto"/>
                    <w:ind w:firstLine="0"/>
                    <w:rPr>
                      <w:color w:val="auto"/>
                      <w:szCs w:val="21"/>
                    </w:rPr>
                  </w:pPr>
                  <w:r>
                    <w:rPr>
                      <w:color w:val="auto"/>
                      <w:szCs w:val="21"/>
                    </w:rPr>
                    <w:t>55</w:t>
                  </w:r>
                </w:p>
              </w:tc>
            </w:tr>
            <w:tr w14:paraId="2B726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463" w:type="dxa"/>
                  <w:vAlign w:val="center"/>
                </w:tcPr>
                <w:p w14:paraId="02E13496">
                  <w:pPr>
                    <w:pStyle w:val="82"/>
                    <w:spacing w:line="240" w:lineRule="auto"/>
                    <w:ind w:firstLine="0"/>
                    <w:rPr>
                      <w:color w:val="auto"/>
                      <w:szCs w:val="21"/>
                    </w:rPr>
                  </w:pPr>
                  <w:r>
                    <w:rPr>
                      <w:color w:val="auto"/>
                      <w:szCs w:val="21"/>
                    </w:rPr>
                    <w:t>标准来源</w:t>
                  </w:r>
                </w:p>
              </w:tc>
              <w:tc>
                <w:tcPr>
                  <w:tcW w:w="5472" w:type="dxa"/>
                  <w:gridSpan w:val="2"/>
                  <w:vAlign w:val="center"/>
                </w:tcPr>
                <w:p w14:paraId="7D0161C4">
                  <w:pPr>
                    <w:pStyle w:val="82"/>
                    <w:spacing w:line="240" w:lineRule="auto"/>
                    <w:ind w:firstLine="0"/>
                    <w:rPr>
                      <w:color w:val="auto"/>
                      <w:szCs w:val="21"/>
                    </w:rPr>
                  </w:pPr>
                  <w:r>
                    <w:rPr>
                      <w:color w:val="auto"/>
                      <w:szCs w:val="21"/>
                    </w:rPr>
                    <w:t>《工业企业厂界环境噪声排放标准》（GB12348-2008）</w:t>
                  </w:r>
                </w:p>
              </w:tc>
            </w:tr>
          </w:tbl>
          <w:p w14:paraId="76FB0A5C">
            <w:pPr>
              <w:spacing w:line="360" w:lineRule="auto"/>
              <w:ind w:firstLine="480" w:firstLineChars="200"/>
              <w:rPr>
                <w:color w:val="auto"/>
                <w:kern w:val="0"/>
                <w:sz w:val="24"/>
              </w:rPr>
            </w:pPr>
            <w:r>
              <w:rPr>
                <w:color w:val="auto"/>
                <w:kern w:val="0"/>
                <w:sz w:val="24"/>
              </w:rPr>
              <w:t>（4）固体废物</w:t>
            </w:r>
          </w:p>
          <w:p w14:paraId="25FBEBAD">
            <w:pPr>
              <w:spacing w:line="360" w:lineRule="auto"/>
              <w:ind w:firstLine="480" w:firstLineChars="200"/>
              <w:rPr>
                <w:color w:val="auto"/>
                <w:szCs w:val="21"/>
              </w:rPr>
            </w:pPr>
            <w:r>
              <w:rPr>
                <w:color w:val="auto"/>
                <w:kern w:val="0"/>
                <w:sz w:val="24"/>
              </w:rPr>
              <w:t>本项目产生的固体废物的暂存、处置均应满足《中华人民共和国固体废物污染环境防治法》中的有关规定要求。一般工业固废厂区内暂存参照执行《一般工业固体废物贮存和填埋污染控制标准》（GB18599-2020）中的“其贮存过程应满足相应防渗漏、防雨淋、防扬尘等环境保护要求。”危险废物厂区内暂存执行《危险废物贮存污染控制标准》（GB18597-2023）相关要求。</w:t>
            </w:r>
          </w:p>
        </w:tc>
      </w:tr>
      <w:tr w14:paraId="25CBCD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65" w:hRule="atLeast"/>
          <w:jc w:val="center"/>
        </w:trPr>
        <w:tc>
          <w:tcPr>
            <w:tcW w:w="823" w:type="dxa"/>
            <w:vAlign w:val="center"/>
          </w:tcPr>
          <w:p w14:paraId="22A0FD51">
            <w:pPr>
              <w:adjustRightInd w:val="0"/>
              <w:snapToGrid w:val="0"/>
              <w:jc w:val="center"/>
              <w:rPr>
                <w:color w:val="auto"/>
                <w:kern w:val="0"/>
                <w:szCs w:val="21"/>
              </w:rPr>
            </w:pPr>
            <w:r>
              <w:rPr>
                <w:color w:val="auto"/>
                <w:kern w:val="0"/>
                <w:szCs w:val="21"/>
              </w:rPr>
              <w:t>总量</w:t>
            </w:r>
          </w:p>
          <w:p w14:paraId="7908E319">
            <w:pPr>
              <w:adjustRightInd w:val="0"/>
              <w:snapToGrid w:val="0"/>
              <w:jc w:val="center"/>
              <w:rPr>
                <w:color w:val="auto"/>
                <w:kern w:val="0"/>
                <w:szCs w:val="21"/>
              </w:rPr>
            </w:pPr>
            <w:r>
              <w:rPr>
                <w:color w:val="auto"/>
                <w:kern w:val="0"/>
                <w:szCs w:val="21"/>
              </w:rPr>
              <w:t>控制</w:t>
            </w:r>
          </w:p>
          <w:p w14:paraId="49C84DD6">
            <w:pPr>
              <w:adjustRightInd w:val="0"/>
              <w:snapToGrid w:val="0"/>
              <w:jc w:val="center"/>
              <w:rPr>
                <w:color w:val="auto"/>
                <w:kern w:val="0"/>
                <w:szCs w:val="21"/>
              </w:rPr>
            </w:pPr>
            <w:r>
              <w:rPr>
                <w:color w:val="auto"/>
                <w:kern w:val="0"/>
                <w:szCs w:val="21"/>
              </w:rPr>
              <w:t>指标</w:t>
            </w:r>
          </w:p>
        </w:tc>
        <w:tc>
          <w:tcPr>
            <w:tcW w:w="8161" w:type="dxa"/>
            <w:vAlign w:val="center"/>
          </w:tcPr>
          <w:p w14:paraId="1DD9F65C">
            <w:pPr>
              <w:spacing w:line="360" w:lineRule="auto"/>
              <w:rPr>
                <w:color w:val="auto"/>
                <w:kern w:val="0"/>
                <w:sz w:val="24"/>
              </w:rPr>
            </w:pPr>
            <w:r>
              <w:rPr>
                <w:color w:val="auto"/>
                <w:sz w:val="24"/>
              </w:rPr>
              <w:t xml:space="preserve"> </w:t>
            </w:r>
            <w:r>
              <w:rPr>
                <w:color w:val="auto"/>
                <w:kern w:val="0"/>
                <w:sz w:val="24"/>
              </w:rPr>
              <w:t xml:space="preserve">   根据“工程分析”内容，本项目投入营运后总量指标情况见下表。</w:t>
            </w:r>
          </w:p>
          <w:p w14:paraId="283A76A8">
            <w:pPr>
              <w:spacing w:line="400" w:lineRule="exact"/>
              <w:jc w:val="center"/>
              <w:rPr>
                <w:b/>
                <w:bCs/>
                <w:color w:val="auto"/>
                <w:szCs w:val="21"/>
              </w:rPr>
            </w:pPr>
            <w:r>
              <w:rPr>
                <w:b/>
                <w:bCs/>
                <w:color w:val="auto"/>
                <w:szCs w:val="21"/>
              </w:rPr>
              <w:t>表3.1.7-7  本项目实施后企业总量情况</w:t>
            </w:r>
          </w:p>
          <w:tbl>
            <w:tblPr>
              <w:tblStyle w:val="32"/>
              <w:tblW w:w="7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1651"/>
              <w:gridCol w:w="2649"/>
              <w:gridCol w:w="2644"/>
              <w:gridCol w:w="2"/>
            </w:tblGrid>
            <w:tr w14:paraId="2191C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8" w:type="pct"/>
                  <w:gridSpan w:val="2"/>
                  <w:vAlign w:val="center"/>
                </w:tcPr>
                <w:p w14:paraId="2B64A335">
                  <w:pPr>
                    <w:pStyle w:val="82"/>
                    <w:spacing w:line="240" w:lineRule="auto"/>
                    <w:ind w:firstLine="0"/>
                    <w:rPr>
                      <w:color w:val="auto"/>
                      <w:szCs w:val="21"/>
                    </w:rPr>
                  </w:pPr>
                  <w:r>
                    <w:rPr>
                      <w:color w:val="auto"/>
                      <w:szCs w:val="21"/>
                    </w:rPr>
                    <w:t>污染物</w:t>
                  </w:r>
                </w:p>
              </w:tc>
              <w:tc>
                <w:tcPr>
                  <w:tcW w:w="1666" w:type="pct"/>
                  <w:vAlign w:val="center"/>
                </w:tcPr>
                <w:p w14:paraId="2F180C05">
                  <w:pPr>
                    <w:pStyle w:val="82"/>
                    <w:spacing w:line="240" w:lineRule="auto"/>
                    <w:ind w:firstLine="0"/>
                    <w:rPr>
                      <w:color w:val="auto"/>
                      <w:szCs w:val="21"/>
                    </w:rPr>
                  </w:pPr>
                  <w:r>
                    <w:rPr>
                      <w:color w:val="auto"/>
                      <w:szCs w:val="21"/>
                    </w:rPr>
                    <w:t>污染物名称</w:t>
                  </w:r>
                </w:p>
              </w:tc>
              <w:tc>
                <w:tcPr>
                  <w:tcW w:w="1664" w:type="pct"/>
                  <w:gridSpan w:val="2"/>
                  <w:vAlign w:val="center"/>
                </w:tcPr>
                <w:p w14:paraId="66D54BBB">
                  <w:pPr>
                    <w:pStyle w:val="82"/>
                    <w:spacing w:line="240" w:lineRule="auto"/>
                    <w:ind w:firstLine="0"/>
                    <w:rPr>
                      <w:color w:val="auto"/>
                      <w:szCs w:val="21"/>
                    </w:rPr>
                  </w:pPr>
                  <w:r>
                    <w:rPr>
                      <w:color w:val="auto"/>
                      <w:szCs w:val="21"/>
                    </w:rPr>
                    <w:t>排放量t/a</w:t>
                  </w:r>
                </w:p>
              </w:tc>
            </w:tr>
            <w:tr w14:paraId="12E8D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pct"/>
                  <w:gridSpan w:val="2"/>
                  <w:vMerge w:val="restart"/>
                  <w:vAlign w:val="center"/>
                </w:tcPr>
                <w:p w14:paraId="2ABE04CA">
                  <w:pPr>
                    <w:pStyle w:val="82"/>
                    <w:spacing w:line="240" w:lineRule="auto"/>
                    <w:ind w:firstLine="0"/>
                    <w:rPr>
                      <w:color w:val="auto"/>
                      <w:szCs w:val="21"/>
                    </w:rPr>
                  </w:pPr>
                  <w:r>
                    <w:rPr>
                      <w:color w:val="auto"/>
                      <w:szCs w:val="21"/>
                    </w:rPr>
                    <w:t>废水</w:t>
                  </w:r>
                </w:p>
              </w:tc>
              <w:tc>
                <w:tcPr>
                  <w:tcW w:w="1666" w:type="pct"/>
                  <w:vAlign w:val="center"/>
                </w:tcPr>
                <w:p w14:paraId="0DF0F798">
                  <w:pPr>
                    <w:pStyle w:val="82"/>
                    <w:spacing w:line="240" w:lineRule="auto"/>
                    <w:ind w:firstLine="0"/>
                    <w:rPr>
                      <w:color w:val="auto"/>
                      <w:szCs w:val="21"/>
                    </w:rPr>
                  </w:pPr>
                  <w:r>
                    <w:rPr>
                      <w:color w:val="auto"/>
                      <w:szCs w:val="21"/>
                    </w:rPr>
                    <w:t>水量</w:t>
                  </w:r>
                </w:p>
              </w:tc>
              <w:tc>
                <w:tcPr>
                  <w:tcW w:w="1664" w:type="pct"/>
                  <w:gridSpan w:val="2"/>
                  <w:vAlign w:val="center"/>
                </w:tcPr>
                <w:p w14:paraId="2444F74A">
                  <w:pPr>
                    <w:pStyle w:val="82"/>
                    <w:spacing w:line="240" w:lineRule="auto"/>
                    <w:ind w:firstLine="0"/>
                    <w:rPr>
                      <w:rFonts w:hint="eastAsia" w:eastAsia="宋体"/>
                      <w:color w:val="auto"/>
                      <w:szCs w:val="21"/>
                      <w:lang w:eastAsia="zh-CN"/>
                    </w:rPr>
                  </w:pPr>
                  <w:r>
                    <w:rPr>
                      <w:rFonts w:hint="eastAsia"/>
                      <w:color w:val="auto"/>
                      <w:szCs w:val="21"/>
                      <w:lang w:eastAsia="zh-CN"/>
                    </w:rPr>
                    <w:t>20700</w:t>
                  </w:r>
                </w:p>
              </w:tc>
            </w:tr>
            <w:tr w14:paraId="3E7F5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pct"/>
                  <w:gridSpan w:val="2"/>
                  <w:vMerge w:val="continue"/>
                  <w:vAlign w:val="center"/>
                </w:tcPr>
                <w:p w14:paraId="006937C2">
                  <w:pPr>
                    <w:pStyle w:val="82"/>
                    <w:spacing w:line="240" w:lineRule="auto"/>
                    <w:ind w:firstLine="0"/>
                    <w:rPr>
                      <w:color w:val="auto"/>
                      <w:szCs w:val="21"/>
                    </w:rPr>
                  </w:pPr>
                </w:p>
              </w:tc>
              <w:tc>
                <w:tcPr>
                  <w:tcW w:w="1666" w:type="pct"/>
                  <w:vAlign w:val="center"/>
                </w:tcPr>
                <w:p w14:paraId="612D3850">
                  <w:pPr>
                    <w:pStyle w:val="82"/>
                    <w:spacing w:line="240" w:lineRule="auto"/>
                    <w:ind w:firstLine="0"/>
                    <w:rPr>
                      <w:color w:val="auto"/>
                      <w:szCs w:val="21"/>
                    </w:rPr>
                  </w:pPr>
                  <w:r>
                    <w:rPr>
                      <w:color w:val="auto"/>
                      <w:szCs w:val="21"/>
                    </w:rPr>
                    <w:t>COD</w:t>
                  </w:r>
                </w:p>
              </w:tc>
              <w:tc>
                <w:tcPr>
                  <w:tcW w:w="1664" w:type="pct"/>
                  <w:gridSpan w:val="2"/>
                  <w:vAlign w:val="center"/>
                </w:tcPr>
                <w:p w14:paraId="746EBEDE">
                  <w:pPr>
                    <w:pStyle w:val="82"/>
                    <w:spacing w:line="240" w:lineRule="auto"/>
                    <w:ind w:firstLine="0"/>
                    <w:rPr>
                      <w:rFonts w:hint="eastAsia" w:eastAsia="宋体"/>
                      <w:color w:val="auto"/>
                      <w:szCs w:val="21"/>
                      <w:lang w:eastAsia="zh-CN"/>
                    </w:rPr>
                  </w:pPr>
                  <w:r>
                    <w:rPr>
                      <w:rFonts w:hint="eastAsia"/>
                      <w:color w:val="auto"/>
                      <w:szCs w:val="21"/>
                      <w:lang w:eastAsia="zh-CN"/>
                    </w:rPr>
                    <w:t>1.035</w:t>
                  </w:r>
                </w:p>
              </w:tc>
            </w:tr>
            <w:tr w14:paraId="29431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pct"/>
                  <w:gridSpan w:val="2"/>
                  <w:vMerge w:val="continue"/>
                  <w:vAlign w:val="center"/>
                </w:tcPr>
                <w:p w14:paraId="58239D47">
                  <w:pPr>
                    <w:pStyle w:val="82"/>
                    <w:spacing w:line="240" w:lineRule="auto"/>
                    <w:ind w:firstLine="0"/>
                    <w:rPr>
                      <w:color w:val="auto"/>
                      <w:szCs w:val="21"/>
                    </w:rPr>
                  </w:pPr>
                </w:p>
              </w:tc>
              <w:tc>
                <w:tcPr>
                  <w:tcW w:w="1666" w:type="pct"/>
                  <w:vAlign w:val="center"/>
                </w:tcPr>
                <w:p w14:paraId="5EC46FA3">
                  <w:pPr>
                    <w:pStyle w:val="82"/>
                    <w:spacing w:line="240" w:lineRule="auto"/>
                    <w:ind w:firstLine="0"/>
                    <w:rPr>
                      <w:color w:val="auto"/>
                      <w:szCs w:val="21"/>
                    </w:rPr>
                  </w:pPr>
                  <w:r>
                    <w:rPr>
                      <w:color w:val="auto"/>
                      <w:szCs w:val="21"/>
                    </w:rPr>
                    <w:t>氨氮</w:t>
                  </w:r>
                </w:p>
              </w:tc>
              <w:tc>
                <w:tcPr>
                  <w:tcW w:w="1664" w:type="pct"/>
                  <w:gridSpan w:val="2"/>
                  <w:vAlign w:val="center"/>
                </w:tcPr>
                <w:p w14:paraId="52D0A27D">
                  <w:pPr>
                    <w:pStyle w:val="82"/>
                    <w:spacing w:line="240" w:lineRule="auto"/>
                    <w:ind w:firstLine="0"/>
                    <w:rPr>
                      <w:color w:val="auto"/>
                      <w:szCs w:val="21"/>
                    </w:rPr>
                  </w:pPr>
                  <w:r>
                    <w:rPr>
                      <w:rFonts w:hint="eastAsia"/>
                      <w:color w:val="auto"/>
                      <w:kern w:val="21"/>
                      <w:lang w:eastAsia="zh-CN"/>
                    </w:rPr>
                    <w:t>0.104</w:t>
                  </w:r>
                  <w:r>
                    <w:rPr>
                      <w:color w:val="auto"/>
                      <w:kern w:val="21"/>
                    </w:rPr>
                    <w:t xml:space="preserve"> </w:t>
                  </w:r>
                </w:p>
              </w:tc>
            </w:tr>
            <w:tr w14:paraId="21957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9" w:type="pct"/>
                  <w:vMerge w:val="restart"/>
                  <w:vAlign w:val="center"/>
                </w:tcPr>
                <w:p w14:paraId="2F2E69DE">
                  <w:pPr>
                    <w:pStyle w:val="82"/>
                    <w:spacing w:line="240" w:lineRule="auto"/>
                    <w:ind w:firstLine="0"/>
                    <w:rPr>
                      <w:color w:val="auto"/>
                      <w:szCs w:val="21"/>
                    </w:rPr>
                  </w:pPr>
                  <w:r>
                    <w:rPr>
                      <w:color w:val="auto"/>
                      <w:szCs w:val="21"/>
                    </w:rPr>
                    <w:t>废气</w:t>
                  </w:r>
                </w:p>
              </w:tc>
              <w:tc>
                <w:tcPr>
                  <w:tcW w:w="1038" w:type="pct"/>
                  <w:vAlign w:val="center"/>
                </w:tcPr>
                <w:p w14:paraId="4E663D00">
                  <w:pPr>
                    <w:pStyle w:val="82"/>
                    <w:spacing w:line="240" w:lineRule="auto"/>
                    <w:ind w:firstLine="0"/>
                    <w:rPr>
                      <w:color w:val="auto"/>
                      <w:szCs w:val="21"/>
                    </w:rPr>
                  </w:pPr>
                  <w:r>
                    <w:rPr>
                      <w:color w:val="auto"/>
                      <w:szCs w:val="21"/>
                    </w:rPr>
                    <w:t>有组织</w:t>
                  </w:r>
                </w:p>
              </w:tc>
              <w:tc>
                <w:tcPr>
                  <w:tcW w:w="1666" w:type="pct"/>
                  <w:vMerge w:val="restart"/>
                  <w:vAlign w:val="center"/>
                </w:tcPr>
                <w:p w14:paraId="78478A88">
                  <w:pPr>
                    <w:pStyle w:val="82"/>
                    <w:spacing w:line="240" w:lineRule="auto"/>
                    <w:ind w:firstLine="0"/>
                    <w:rPr>
                      <w:color w:val="auto"/>
                      <w:szCs w:val="21"/>
                    </w:rPr>
                  </w:pPr>
                  <w:r>
                    <w:rPr>
                      <w:color w:val="auto"/>
                      <w:szCs w:val="21"/>
                    </w:rPr>
                    <w:t>颗粒物</w:t>
                  </w:r>
                </w:p>
              </w:tc>
              <w:tc>
                <w:tcPr>
                  <w:tcW w:w="2646" w:type="dxa"/>
                  <w:gridSpan w:val="2"/>
                  <w:vAlign w:val="center"/>
                </w:tcPr>
                <w:p w14:paraId="732CFBC5">
                  <w:pPr>
                    <w:pStyle w:val="82"/>
                    <w:spacing w:line="240" w:lineRule="auto"/>
                    <w:ind w:firstLine="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 xml:space="preserve">0.703 </w:t>
                  </w:r>
                </w:p>
              </w:tc>
            </w:tr>
            <w:tr w14:paraId="5D5C9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9" w:type="pct"/>
                  <w:vMerge w:val="continue"/>
                  <w:vAlign w:val="center"/>
                </w:tcPr>
                <w:p w14:paraId="05D874AE">
                  <w:pPr>
                    <w:pStyle w:val="82"/>
                    <w:spacing w:line="240" w:lineRule="auto"/>
                    <w:ind w:firstLine="0"/>
                    <w:rPr>
                      <w:color w:val="auto"/>
                      <w:szCs w:val="21"/>
                    </w:rPr>
                  </w:pPr>
                </w:p>
              </w:tc>
              <w:tc>
                <w:tcPr>
                  <w:tcW w:w="1038" w:type="pct"/>
                  <w:vAlign w:val="center"/>
                </w:tcPr>
                <w:p w14:paraId="69ECFE8E">
                  <w:pPr>
                    <w:pStyle w:val="82"/>
                    <w:spacing w:line="240" w:lineRule="auto"/>
                    <w:ind w:firstLine="0"/>
                    <w:rPr>
                      <w:color w:val="auto"/>
                      <w:szCs w:val="21"/>
                    </w:rPr>
                  </w:pPr>
                  <w:r>
                    <w:rPr>
                      <w:color w:val="auto"/>
                      <w:szCs w:val="21"/>
                    </w:rPr>
                    <w:t>无组织</w:t>
                  </w:r>
                </w:p>
              </w:tc>
              <w:tc>
                <w:tcPr>
                  <w:tcW w:w="1666" w:type="pct"/>
                  <w:vMerge w:val="continue"/>
                  <w:vAlign w:val="center"/>
                </w:tcPr>
                <w:p w14:paraId="44683829">
                  <w:pPr>
                    <w:pStyle w:val="82"/>
                    <w:spacing w:line="240" w:lineRule="auto"/>
                    <w:ind w:firstLine="0"/>
                    <w:rPr>
                      <w:color w:val="auto"/>
                      <w:szCs w:val="21"/>
                    </w:rPr>
                  </w:pPr>
                </w:p>
              </w:tc>
              <w:tc>
                <w:tcPr>
                  <w:tcW w:w="2646" w:type="dxa"/>
                  <w:gridSpan w:val="2"/>
                  <w:vAlign w:val="center"/>
                </w:tcPr>
                <w:p w14:paraId="5F3C00B2">
                  <w:pPr>
                    <w:pStyle w:val="82"/>
                    <w:spacing w:line="240" w:lineRule="auto"/>
                    <w:ind w:firstLine="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 xml:space="preserve">0.215 </w:t>
                  </w:r>
                </w:p>
              </w:tc>
            </w:tr>
            <w:tr w14:paraId="22699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9" w:type="pct"/>
                  <w:vMerge w:val="continue"/>
                  <w:vAlign w:val="center"/>
                </w:tcPr>
                <w:p w14:paraId="470BB5BE">
                  <w:pPr>
                    <w:pStyle w:val="82"/>
                    <w:spacing w:line="240" w:lineRule="auto"/>
                    <w:ind w:firstLine="0"/>
                    <w:rPr>
                      <w:color w:val="auto"/>
                      <w:szCs w:val="21"/>
                    </w:rPr>
                  </w:pPr>
                </w:p>
              </w:tc>
              <w:tc>
                <w:tcPr>
                  <w:tcW w:w="1038" w:type="pct"/>
                  <w:vAlign w:val="center"/>
                </w:tcPr>
                <w:p w14:paraId="03A63C2E">
                  <w:pPr>
                    <w:pStyle w:val="82"/>
                    <w:spacing w:line="240" w:lineRule="auto"/>
                    <w:ind w:firstLine="0"/>
                    <w:rPr>
                      <w:color w:val="auto"/>
                      <w:szCs w:val="21"/>
                    </w:rPr>
                  </w:pPr>
                  <w:r>
                    <w:rPr>
                      <w:color w:val="auto"/>
                      <w:szCs w:val="21"/>
                    </w:rPr>
                    <w:t>合计</w:t>
                  </w:r>
                </w:p>
              </w:tc>
              <w:tc>
                <w:tcPr>
                  <w:tcW w:w="1666" w:type="pct"/>
                  <w:vMerge w:val="continue"/>
                  <w:vAlign w:val="center"/>
                </w:tcPr>
                <w:p w14:paraId="375BB8E9">
                  <w:pPr>
                    <w:pStyle w:val="82"/>
                    <w:spacing w:line="240" w:lineRule="auto"/>
                    <w:ind w:firstLine="0"/>
                    <w:rPr>
                      <w:color w:val="auto"/>
                      <w:szCs w:val="21"/>
                    </w:rPr>
                  </w:pPr>
                </w:p>
              </w:tc>
              <w:tc>
                <w:tcPr>
                  <w:tcW w:w="2644" w:type="dxa"/>
                  <w:vAlign w:val="center"/>
                </w:tcPr>
                <w:p w14:paraId="70F02990">
                  <w:pPr>
                    <w:pStyle w:val="82"/>
                    <w:spacing w:line="240" w:lineRule="auto"/>
                    <w:ind w:firstLine="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 xml:space="preserve">0.898 </w:t>
                  </w:r>
                </w:p>
              </w:tc>
              <w:tc>
                <w:tcPr>
                  <w:tcW w:w="0" w:type="auto"/>
                  <w:vAlign w:val="bottom"/>
                </w:tcPr>
                <w:p w14:paraId="6B9986DF">
                  <w:pPr>
                    <w:pStyle w:val="82"/>
                    <w:spacing w:line="240" w:lineRule="auto"/>
                    <w:ind w:firstLine="0" w:firstLineChars="0"/>
                    <w:rPr>
                      <w:color w:val="auto"/>
                    </w:rPr>
                  </w:pPr>
                </w:p>
              </w:tc>
            </w:tr>
          </w:tbl>
          <w:p w14:paraId="791E92CD">
            <w:pPr>
              <w:spacing w:line="360" w:lineRule="auto"/>
              <w:ind w:firstLine="480" w:firstLineChars="200"/>
              <w:rPr>
                <w:color w:val="auto"/>
                <w:kern w:val="0"/>
                <w:sz w:val="24"/>
              </w:rPr>
            </w:pPr>
            <w:r>
              <w:rPr>
                <w:color w:val="auto"/>
                <w:kern w:val="0"/>
                <w:sz w:val="24"/>
              </w:rPr>
              <w:t>根据《安徽省生态环境厅关于进一步加强建设项目新增大气主要污染物总量指标管理工作的通知》（皖环发[2017]19号）要求，本项目新增颗粒物总量指标拟向淮南市生态环境局申请总量考核指标及替代来源。</w:t>
            </w:r>
          </w:p>
          <w:p w14:paraId="0CD63B40">
            <w:pPr>
              <w:spacing w:line="360" w:lineRule="auto"/>
              <w:ind w:firstLine="480" w:firstLineChars="200"/>
              <w:rPr>
                <w:color w:val="auto"/>
                <w:kern w:val="0"/>
                <w:sz w:val="24"/>
              </w:rPr>
            </w:pPr>
            <w:r>
              <w:rPr>
                <w:color w:val="auto"/>
                <w:kern w:val="0"/>
                <w:sz w:val="24"/>
              </w:rPr>
              <w:t>本项目废水经厂内污水处理站预处理达标后接管淮南经济技术开发区工业污水处理厂，总量指标在淮南经济技术开发区工业污水处理厂总量指标范围内，无需重新申请总量。</w:t>
            </w:r>
          </w:p>
          <w:p w14:paraId="2237564F">
            <w:pPr>
              <w:spacing w:line="360" w:lineRule="auto"/>
              <w:ind w:firstLine="480" w:firstLineChars="200"/>
              <w:rPr>
                <w:color w:val="auto"/>
                <w:kern w:val="0"/>
                <w:sz w:val="24"/>
              </w:rPr>
            </w:pPr>
          </w:p>
          <w:p w14:paraId="609875EA">
            <w:pPr>
              <w:spacing w:line="360" w:lineRule="auto"/>
              <w:ind w:firstLine="480" w:firstLineChars="200"/>
              <w:rPr>
                <w:color w:val="auto"/>
                <w:kern w:val="0"/>
                <w:sz w:val="24"/>
              </w:rPr>
            </w:pPr>
          </w:p>
          <w:p w14:paraId="16ABCAC4">
            <w:pPr>
              <w:spacing w:line="360" w:lineRule="auto"/>
              <w:ind w:firstLine="480" w:firstLineChars="200"/>
              <w:rPr>
                <w:color w:val="auto"/>
                <w:kern w:val="0"/>
                <w:sz w:val="24"/>
              </w:rPr>
            </w:pPr>
          </w:p>
          <w:p w14:paraId="69D42E71">
            <w:pPr>
              <w:spacing w:line="360" w:lineRule="auto"/>
              <w:ind w:firstLine="480" w:firstLineChars="200"/>
              <w:rPr>
                <w:color w:val="auto"/>
                <w:kern w:val="0"/>
                <w:sz w:val="24"/>
              </w:rPr>
            </w:pPr>
          </w:p>
          <w:p w14:paraId="65BBA72D">
            <w:pPr>
              <w:spacing w:line="360" w:lineRule="auto"/>
              <w:ind w:firstLine="480" w:firstLineChars="200"/>
              <w:rPr>
                <w:color w:val="auto"/>
                <w:kern w:val="0"/>
                <w:sz w:val="24"/>
              </w:rPr>
            </w:pPr>
          </w:p>
          <w:p w14:paraId="5E63171F">
            <w:pPr>
              <w:spacing w:line="360" w:lineRule="auto"/>
              <w:ind w:firstLine="480" w:firstLineChars="200"/>
              <w:rPr>
                <w:color w:val="auto"/>
                <w:kern w:val="0"/>
                <w:sz w:val="24"/>
              </w:rPr>
            </w:pPr>
          </w:p>
          <w:p w14:paraId="1767141C">
            <w:pPr>
              <w:spacing w:line="360" w:lineRule="auto"/>
              <w:ind w:firstLine="480" w:firstLineChars="200"/>
              <w:rPr>
                <w:color w:val="auto"/>
                <w:kern w:val="0"/>
                <w:sz w:val="24"/>
              </w:rPr>
            </w:pPr>
          </w:p>
          <w:p w14:paraId="1B0F6441">
            <w:pPr>
              <w:spacing w:line="360" w:lineRule="auto"/>
              <w:ind w:firstLine="480" w:firstLineChars="200"/>
              <w:rPr>
                <w:color w:val="auto"/>
                <w:kern w:val="0"/>
                <w:sz w:val="24"/>
              </w:rPr>
            </w:pPr>
          </w:p>
          <w:p w14:paraId="6652FFB2">
            <w:pPr>
              <w:spacing w:line="360" w:lineRule="auto"/>
              <w:ind w:firstLine="480" w:firstLineChars="200"/>
              <w:rPr>
                <w:color w:val="auto"/>
                <w:kern w:val="0"/>
                <w:sz w:val="24"/>
              </w:rPr>
            </w:pPr>
          </w:p>
          <w:p w14:paraId="2AD65750">
            <w:pPr>
              <w:spacing w:line="360" w:lineRule="auto"/>
              <w:ind w:firstLine="480" w:firstLineChars="200"/>
              <w:rPr>
                <w:color w:val="auto"/>
                <w:kern w:val="0"/>
                <w:sz w:val="24"/>
              </w:rPr>
            </w:pPr>
          </w:p>
          <w:p w14:paraId="327173D7">
            <w:pPr>
              <w:spacing w:line="360" w:lineRule="auto"/>
              <w:ind w:firstLine="480" w:firstLineChars="200"/>
              <w:rPr>
                <w:color w:val="auto"/>
                <w:kern w:val="0"/>
                <w:sz w:val="24"/>
              </w:rPr>
            </w:pPr>
          </w:p>
        </w:tc>
      </w:tr>
    </w:tbl>
    <w:p w14:paraId="27931C65">
      <w:pPr>
        <w:pStyle w:val="29"/>
        <w:jc w:val="center"/>
        <w:outlineLvl w:val="0"/>
        <w:rPr>
          <w:rFonts w:ascii="Times New Roman" w:hAnsi="Times New Roman"/>
          <w:b/>
          <w:bCs/>
          <w:snapToGrid w:val="0"/>
          <w:color w:val="auto"/>
          <w:sz w:val="30"/>
          <w:szCs w:val="30"/>
        </w:rPr>
      </w:pPr>
      <w:r>
        <w:rPr>
          <w:rFonts w:ascii="Times New Roman" w:hAnsi="Times New Roman"/>
          <w:b/>
          <w:bCs/>
          <w:snapToGrid w:val="0"/>
          <w:color w:val="auto"/>
          <w:sz w:val="30"/>
          <w:szCs w:val="30"/>
        </w:rPr>
        <w:br w:type="page"/>
      </w:r>
      <w:bookmarkStart w:id="18" w:name="_Toc20539"/>
      <w:r>
        <w:rPr>
          <w:rFonts w:ascii="Times New Roman" w:hAnsi="Times New Roman"/>
          <w:b/>
          <w:bCs/>
          <w:snapToGrid w:val="0"/>
          <w:color w:val="auto"/>
          <w:sz w:val="30"/>
          <w:szCs w:val="30"/>
        </w:rPr>
        <w:t>四、主要环境影响和保护措施</w:t>
      </w:r>
      <w:bookmarkEnd w:id="18"/>
    </w:p>
    <w:tbl>
      <w:tblPr>
        <w:tblStyle w:val="32"/>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4413D3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tcMar>
              <w:left w:w="28" w:type="dxa"/>
              <w:right w:w="28" w:type="dxa"/>
            </w:tcMar>
            <w:vAlign w:val="center"/>
          </w:tcPr>
          <w:p w14:paraId="58C20A4F">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施工</w:t>
            </w:r>
          </w:p>
          <w:p w14:paraId="59E1C180">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期环</w:t>
            </w:r>
          </w:p>
          <w:p w14:paraId="246246D8">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境保</w:t>
            </w:r>
          </w:p>
          <w:p w14:paraId="16BDFAF1">
            <w:pPr>
              <w:pStyle w:val="29"/>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护措</w:t>
            </w:r>
          </w:p>
          <w:p w14:paraId="588AFE8C">
            <w:pPr>
              <w:pStyle w:val="29"/>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1"/>
                <w:szCs w:val="21"/>
              </w:rPr>
              <w:t>施</w:t>
            </w:r>
          </w:p>
        </w:tc>
        <w:tc>
          <w:tcPr>
            <w:tcW w:w="8162" w:type="dxa"/>
            <w:vAlign w:val="center"/>
          </w:tcPr>
          <w:p w14:paraId="4587D963">
            <w:pPr>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t>4.1  施工期环境保护措施</w:t>
            </w:r>
          </w:p>
          <w:p w14:paraId="0C5A1CC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现场踏勘，企业租用厂房已基本建成，因此，项目施工期影响主要为设备安装等过程产生的粉尘、噪声。但施工期周期较短，施工面较小，只要企业加强施工期管理，禁止夜间施工，减少对外界的噪声、粉尘的影响，则本项目施工期影响较小。</w:t>
            </w:r>
          </w:p>
          <w:p w14:paraId="3EF38DE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综上，本项目施工期环境影响较小，本环评主要针对营运期的环境影响进行分析、评价。</w:t>
            </w:r>
          </w:p>
        </w:tc>
      </w:tr>
      <w:tr w14:paraId="60354B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6" w:hRule="atLeast"/>
          <w:jc w:val="center"/>
        </w:trPr>
        <w:tc>
          <w:tcPr>
            <w:tcW w:w="746" w:type="dxa"/>
            <w:tcMar>
              <w:left w:w="28" w:type="dxa"/>
              <w:right w:w="28" w:type="dxa"/>
            </w:tcMar>
            <w:vAlign w:val="center"/>
          </w:tcPr>
          <w:p w14:paraId="54A9159F">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运营</w:t>
            </w:r>
          </w:p>
          <w:p w14:paraId="1059FC25">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期环</w:t>
            </w:r>
          </w:p>
          <w:p w14:paraId="01EC188B">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境影</w:t>
            </w:r>
          </w:p>
          <w:p w14:paraId="10C3C3B2">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响和</w:t>
            </w:r>
          </w:p>
          <w:p w14:paraId="1253E776">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保护</w:t>
            </w:r>
          </w:p>
          <w:p w14:paraId="418B82D4">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措施</w:t>
            </w:r>
          </w:p>
        </w:tc>
        <w:tc>
          <w:tcPr>
            <w:tcW w:w="8162" w:type="dxa"/>
            <w:vAlign w:val="center"/>
          </w:tcPr>
          <w:p w14:paraId="00365FE5">
            <w:pPr>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auto"/>
                <w:sz w:val="24"/>
              </w:rPr>
              <w:t>4.2  运营期环境影响和保护措施</w:t>
            </w:r>
          </w:p>
          <w:p w14:paraId="0D78AAD9">
            <w:pPr>
              <w:snapToGrid w:val="0"/>
              <w:spacing w:line="360" w:lineRule="auto"/>
              <w:rPr>
                <w:rFonts w:hint="default" w:ascii="Times New Roman" w:hAnsi="Times New Roman" w:cs="Times New Roman"/>
                <w:b/>
                <w:bCs/>
                <w:color w:val="auto"/>
                <w:sz w:val="24"/>
              </w:rPr>
            </w:pPr>
            <w:r>
              <w:rPr>
                <w:rFonts w:hint="default" w:ascii="Times New Roman" w:hAnsi="Times New Roman" w:cs="Times New Roman"/>
                <w:b/>
                <w:color w:val="auto"/>
                <w:sz w:val="24"/>
              </w:rPr>
              <w:t xml:space="preserve">4.2.1 </w:t>
            </w:r>
            <w:r>
              <w:rPr>
                <w:rFonts w:hint="default" w:ascii="Times New Roman" w:hAnsi="Times New Roman" w:cs="Times New Roman"/>
                <w:b/>
                <w:bCs/>
                <w:color w:val="auto"/>
                <w:sz w:val="24"/>
              </w:rPr>
              <w:t>大气</w:t>
            </w:r>
          </w:p>
          <w:p w14:paraId="4D0A21F6">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1、废气源强分析</w:t>
            </w:r>
          </w:p>
          <w:p w14:paraId="04748996">
            <w:pPr>
              <w:pStyle w:val="15"/>
              <w:spacing w:line="360" w:lineRule="auto"/>
              <w:ind w:firstLine="480" w:firstLineChars="200"/>
              <w:rPr>
                <w:rFonts w:hint="default" w:ascii="Times New Roman" w:hAnsi="Times New Roman" w:cs="Times New Roman"/>
                <w:color w:val="auto"/>
              </w:rPr>
            </w:pPr>
            <w:r>
              <w:rPr>
                <w:rFonts w:hint="default" w:ascii="Times New Roman" w:hAnsi="Times New Roman" w:cs="Times New Roman"/>
                <w:bCs/>
                <w:color w:val="auto"/>
                <w:szCs w:val="24"/>
              </w:rPr>
              <w:t>本项目废气</w:t>
            </w:r>
            <w:r>
              <w:rPr>
                <w:rFonts w:hint="default" w:ascii="Times New Roman" w:hAnsi="Times New Roman" w:cs="Times New Roman"/>
                <w:color w:val="auto"/>
                <w:szCs w:val="24"/>
              </w:rPr>
              <w:t>主要为</w:t>
            </w:r>
            <w:r>
              <w:rPr>
                <w:rFonts w:hint="default" w:ascii="Times New Roman" w:hAnsi="Times New Roman" w:cs="Times New Roman"/>
                <w:color w:val="auto"/>
              </w:rPr>
              <w:t>废气主要为破碎粉尘G1、</w:t>
            </w:r>
            <w:r>
              <w:rPr>
                <w:rFonts w:hint="default" w:ascii="Times New Roman" w:hAnsi="Times New Roman" w:cs="Times New Roman"/>
                <w:color w:val="auto"/>
                <w:lang w:val="en-US" w:eastAsia="zh-CN"/>
              </w:rPr>
              <w:t>焙烧</w:t>
            </w:r>
            <w:r>
              <w:rPr>
                <w:rFonts w:hint="default" w:ascii="Times New Roman" w:hAnsi="Times New Roman" w:cs="Times New Roman"/>
                <w:color w:val="auto"/>
              </w:rPr>
              <w:t>粉尘G2、</w:t>
            </w:r>
            <w:r>
              <w:rPr>
                <w:rFonts w:hint="default" w:ascii="Times New Roman" w:hAnsi="Times New Roman" w:cs="Times New Roman"/>
                <w:color w:val="auto"/>
                <w:lang w:val="en-US" w:eastAsia="zh-CN"/>
              </w:rPr>
              <w:t>制砂</w:t>
            </w:r>
            <w:r>
              <w:rPr>
                <w:rFonts w:hint="default" w:ascii="Times New Roman" w:hAnsi="Times New Roman" w:cs="Times New Roman"/>
                <w:color w:val="auto"/>
              </w:rPr>
              <w:t>粉尘G3、磁选废气G</w:t>
            </w:r>
            <w:r>
              <w:rPr>
                <w:rFonts w:hint="default" w:ascii="Times New Roman" w:hAnsi="Times New Roman" w:cs="Times New Roman"/>
                <w:color w:val="auto"/>
                <w:lang w:val="en-US" w:eastAsia="zh-CN"/>
              </w:rPr>
              <w:t>4</w:t>
            </w:r>
            <w:r>
              <w:rPr>
                <w:rFonts w:hint="default" w:ascii="Times New Roman" w:hAnsi="Times New Roman" w:cs="Times New Roman"/>
                <w:color w:val="auto"/>
              </w:rPr>
              <w:t>、酸性废气G</w:t>
            </w:r>
            <w:r>
              <w:rPr>
                <w:rFonts w:hint="default" w:ascii="Times New Roman" w:hAnsi="Times New Roman" w:cs="Times New Roman"/>
                <w:color w:val="auto"/>
                <w:lang w:val="en-US" w:eastAsia="zh-CN"/>
              </w:rPr>
              <w:t>5</w:t>
            </w:r>
            <w:r>
              <w:rPr>
                <w:rFonts w:hint="default" w:ascii="Times New Roman" w:hAnsi="Times New Roman" w:cs="Times New Roman"/>
                <w:color w:val="auto"/>
              </w:rPr>
              <w:t>、</w:t>
            </w:r>
            <w:r>
              <w:rPr>
                <w:rFonts w:hint="default" w:ascii="Times New Roman" w:hAnsi="Times New Roman" w:cs="Times New Roman"/>
                <w:color w:val="auto"/>
                <w:lang w:val="en-US" w:eastAsia="zh-CN"/>
              </w:rPr>
              <w:t>烤砂</w:t>
            </w:r>
            <w:r>
              <w:rPr>
                <w:rFonts w:hint="default" w:ascii="Times New Roman" w:hAnsi="Times New Roman" w:cs="Times New Roman"/>
                <w:color w:val="auto"/>
              </w:rPr>
              <w:t>废气G</w:t>
            </w:r>
            <w:r>
              <w:rPr>
                <w:rFonts w:hint="default" w:ascii="Times New Roman" w:hAnsi="Times New Roman" w:cs="Times New Roman"/>
                <w:color w:val="auto"/>
                <w:lang w:val="en-US" w:eastAsia="zh-CN"/>
              </w:rPr>
              <w:t>6</w:t>
            </w:r>
            <w:r>
              <w:rPr>
                <w:rFonts w:hint="default" w:ascii="Times New Roman" w:hAnsi="Times New Roman" w:cs="Times New Roman"/>
                <w:color w:val="auto"/>
              </w:rPr>
              <w:t>、磁选废气G</w:t>
            </w:r>
            <w:r>
              <w:rPr>
                <w:rFonts w:hint="default" w:ascii="Times New Roman" w:hAnsi="Times New Roman" w:cs="Times New Roman"/>
                <w:color w:val="auto"/>
                <w:lang w:val="en-US" w:eastAsia="zh-CN"/>
              </w:rPr>
              <w:t>7</w:t>
            </w:r>
            <w:r>
              <w:rPr>
                <w:rFonts w:hint="default" w:ascii="Times New Roman" w:hAnsi="Times New Roman" w:cs="Times New Roman"/>
                <w:color w:val="auto"/>
              </w:rPr>
              <w:t>、</w:t>
            </w:r>
            <w:r>
              <w:rPr>
                <w:rFonts w:hint="default" w:ascii="Times New Roman" w:hAnsi="Times New Roman" w:cs="Times New Roman"/>
                <w:color w:val="auto"/>
                <w:lang w:eastAsia="zh-CN"/>
              </w:rPr>
              <w:t>纯化</w:t>
            </w:r>
            <w:r>
              <w:rPr>
                <w:rFonts w:hint="default" w:ascii="Times New Roman" w:hAnsi="Times New Roman" w:cs="Times New Roman"/>
                <w:color w:val="auto"/>
              </w:rPr>
              <w:t>废气G8、包装废气G9</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卸料粉尘G10</w:t>
            </w:r>
            <w:r>
              <w:rPr>
                <w:rFonts w:hint="default" w:ascii="Times New Roman" w:hAnsi="Times New Roman" w:cs="Times New Roman"/>
                <w:color w:val="auto"/>
                <w:szCs w:val="24"/>
              </w:rPr>
              <w:t>。</w:t>
            </w:r>
          </w:p>
          <w:p w14:paraId="711B3EAC">
            <w:pPr>
              <w:pStyle w:val="15"/>
              <w:spacing w:line="360" w:lineRule="auto"/>
              <w:ind w:firstLine="482" w:firstLineChars="200"/>
              <w:rPr>
                <w:rFonts w:hint="default" w:ascii="Times New Roman" w:hAnsi="Times New Roman" w:cs="Times New Roman"/>
                <w:b/>
                <w:bCs/>
                <w:color w:val="auto"/>
              </w:rPr>
            </w:pPr>
            <w:r>
              <w:rPr>
                <w:rFonts w:hint="default" w:ascii="Times New Roman" w:hAnsi="Times New Roman" w:cs="Times New Roman"/>
                <w:b/>
                <w:bCs/>
                <w:color w:val="auto"/>
              </w:rPr>
              <w:t>2、废气源强核算</w:t>
            </w:r>
          </w:p>
          <w:p w14:paraId="33B61F57">
            <w:pPr>
              <w:pStyle w:val="17"/>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（1）生产过程粉尘</w:t>
            </w:r>
          </w:p>
          <w:p w14:paraId="2A2F41AE">
            <w:pPr>
              <w:pStyle w:val="15"/>
              <w:spacing w:line="360" w:lineRule="auto"/>
              <w:ind w:firstLine="480" w:firstLineChars="200"/>
              <w:rPr>
                <w:rFonts w:hint="default" w:ascii="Times New Roman" w:hAnsi="Times New Roman" w:cs="Times New Roman"/>
                <w:color w:val="auto"/>
                <w:szCs w:val="24"/>
              </w:rPr>
            </w:pPr>
            <w:r>
              <w:rPr>
                <w:rFonts w:hint="default" w:ascii="Times New Roman" w:hAnsi="Times New Roman" w:cs="Times New Roman"/>
                <w:color w:val="auto"/>
                <w:szCs w:val="24"/>
              </w:rPr>
              <w:t>本项目粉尘主要为：</w:t>
            </w:r>
            <w:r>
              <w:rPr>
                <w:rFonts w:hint="default" w:ascii="Times New Roman" w:hAnsi="Times New Roman" w:cs="Times New Roman"/>
                <w:color w:val="auto"/>
              </w:rPr>
              <w:t>破碎粉尘G1、</w:t>
            </w:r>
            <w:r>
              <w:rPr>
                <w:rFonts w:hint="default" w:ascii="Times New Roman" w:hAnsi="Times New Roman" w:cs="Times New Roman"/>
                <w:color w:val="auto"/>
                <w:lang w:val="en-US" w:eastAsia="zh-CN"/>
              </w:rPr>
              <w:t>焙烧</w:t>
            </w:r>
            <w:r>
              <w:rPr>
                <w:rFonts w:hint="default" w:ascii="Times New Roman" w:hAnsi="Times New Roman" w:cs="Times New Roman"/>
                <w:color w:val="auto"/>
              </w:rPr>
              <w:t>粉尘G2、</w:t>
            </w:r>
            <w:r>
              <w:rPr>
                <w:rFonts w:hint="default" w:ascii="Times New Roman" w:hAnsi="Times New Roman" w:cs="Times New Roman"/>
                <w:color w:val="auto"/>
                <w:lang w:val="en-US" w:eastAsia="zh-CN"/>
              </w:rPr>
              <w:t>制砂</w:t>
            </w:r>
            <w:r>
              <w:rPr>
                <w:rFonts w:hint="default" w:ascii="Times New Roman" w:hAnsi="Times New Roman" w:cs="Times New Roman"/>
                <w:color w:val="auto"/>
              </w:rPr>
              <w:t>粉尘G3、磁选废气G</w:t>
            </w:r>
            <w:r>
              <w:rPr>
                <w:rFonts w:hint="default" w:ascii="Times New Roman" w:hAnsi="Times New Roman" w:cs="Times New Roman"/>
                <w:color w:val="auto"/>
                <w:lang w:val="en-US" w:eastAsia="zh-CN"/>
              </w:rPr>
              <w:t>4</w:t>
            </w:r>
            <w:r>
              <w:rPr>
                <w:rFonts w:hint="default" w:ascii="Times New Roman" w:hAnsi="Times New Roman" w:cs="Times New Roman"/>
                <w:color w:val="auto"/>
              </w:rPr>
              <w:t>、</w:t>
            </w:r>
            <w:r>
              <w:rPr>
                <w:rFonts w:hint="default" w:ascii="Times New Roman" w:hAnsi="Times New Roman" w:cs="Times New Roman"/>
                <w:color w:val="auto"/>
                <w:lang w:val="en-US" w:eastAsia="zh-CN"/>
              </w:rPr>
              <w:t>烤砂</w:t>
            </w:r>
            <w:r>
              <w:rPr>
                <w:rFonts w:hint="default" w:ascii="Times New Roman" w:hAnsi="Times New Roman" w:cs="Times New Roman"/>
                <w:color w:val="auto"/>
              </w:rPr>
              <w:t>废气G</w:t>
            </w:r>
            <w:r>
              <w:rPr>
                <w:rFonts w:hint="default" w:ascii="Times New Roman" w:hAnsi="Times New Roman" w:cs="Times New Roman"/>
                <w:color w:val="auto"/>
                <w:lang w:val="en-US" w:eastAsia="zh-CN"/>
              </w:rPr>
              <w:t>6</w:t>
            </w:r>
            <w:r>
              <w:rPr>
                <w:rFonts w:hint="default" w:ascii="Times New Roman" w:hAnsi="Times New Roman" w:cs="Times New Roman"/>
                <w:color w:val="auto"/>
              </w:rPr>
              <w:t>、磁选废气G</w:t>
            </w:r>
            <w:r>
              <w:rPr>
                <w:rFonts w:hint="default" w:ascii="Times New Roman" w:hAnsi="Times New Roman" w:cs="Times New Roman"/>
                <w:color w:val="auto"/>
                <w:lang w:val="en-US" w:eastAsia="zh-CN"/>
              </w:rPr>
              <w:t>7</w:t>
            </w:r>
            <w:r>
              <w:rPr>
                <w:rFonts w:hint="default" w:ascii="Times New Roman" w:hAnsi="Times New Roman" w:cs="Times New Roman"/>
                <w:color w:val="auto"/>
              </w:rPr>
              <w:t>、</w:t>
            </w:r>
            <w:r>
              <w:rPr>
                <w:rFonts w:hint="default" w:ascii="Times New Roman" w:hAnsi="Times New Roman" w:cs="Times New Roman"/>
                <w:color w:val="auto"/>
                <w:lang w:eastAsia="zh-CN"/>
              </w:rPr>
              <w:t>纯化</w:t>
            </w:r>
            <w:r>
              <w:rPr>
                <w:rFonts w:hint="default" w:ascii="Times New Roman" w:hAnsi="Times New Roman" w:cs="Times New Roman"/>
                <w:color w:val="auto"/>
              </w:rPr>
              <w:t>废气G8、包装废气G9</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卸料粉尘G10</w:t>
            </w:r>
            <w:r>
              <w:rPr>
                <w:rFonts w:hint="default" w:ascii="Times New Roman" w:hAnsi="Times New Roman" w:cs="Times New Roman"/>
                <w:color w:val="auto"/>
              </w:rPr>
              <w:t>。</w:t>
            </w:r>
          </w:p>
          <w:p w14:paraId="783B030B">
            <w:pPr>
              <w:pStyle w:val="15"/>
              <w:spacing w:line="360" w:lineRule="auto"/>
              <w:ind w:firstLine="480" w:firstLineChars="200"/>
              <w:rPr>
                <w:rFonts w:hint="default" w:ascii="Times New Roman" w:hAnsi="Times New Roman" w:cs="Times New Roman"/>
                <w:color w:val="auto"/>
                <w:szCs w:val="24"/>
              </w:rPr>
            </w:pPr>
            <w:r>
              <w:rPr>
                <w:rFonts w:hint="default" w:ascii="Times New Roman" w:hAnsi="Times New Roman" w:eastAsia="宋体" w:cs="Times New Roman"/>
                <w:color w:val="auto"/>
                <w:szCs w:val="24"/>
              </w:rPr>
              <w:t>生产过程粉尘主要产生工序为：</w:t>
            </w:r>
            <w:r>
              <w:rPr>
                <w:rFonts w:hint="default" w:ascii="Times New Roman" w:hAnsi="Times New Roman" w:cs="Times New Roman"/>
                <w:color w:val="auto"/>
              </w:rPr>
              <w:t>破碎</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焙烧、</w:t>
            </w:r>
            <w:r>
              <w:rPr>
                <w:rFonts w:hint="default" w:ascii="Times New Roman" w:hAnsi="Times New Roman" w:cs="Times New Roman"/>
                <w:color w:val="auto"/>
              </w:rPr>
              <w:t>制砂</w:t>
            </w:r>
            <w:r>
              <w:rPr>
                <w:rFonts w:hint="default" w:ascii="Times New Roman" w:hAnsi="Times New Roman" w:cs="Times New Roman"/>
                <w:color w:val="auto"/>
                <w:lang w:eastAsia="zh-CN"/>
              </w:rPr>
              <w:t>、</w:t>
            </w:r>
            <w:r>
              <w:rPr>
                <w:rFonts w:hint="default" w:ascii="Times New Roman" w:hAnsi="Times New Roman" w:cs="Times New Roman"/>
                <w:color w:val="auto"/>
              </w:rPr>
              <w:t>磁选</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烤砂、</w:t>
            </w:r>
            <w:r>
              <w:rPr>
                <w:rFonts w:hint="default" w:ascii="Times New Roman" w:hAnsi="Times New Roman" w:cs="Times New Roman"/>
                <w:color w:val="auto"/>
                <w:lang w:eastAsia="zh-CN"/>
              </w:rPr>
              <w:t>纯化、</w:t>
            </w:r>
            <w:r>
              <w:rPr>
                <w:rFonts w:hint="default" w:ascii="Times New Roman" w:hAnsi="Times New Roman" w:cs="Times New Roman"/>
                <w:color w:val="auto"/>
              </w:rPr>
              <w:t>包装</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卸料</w:t>
            </w:r>
            <w:r>
              <w:rPr>
                <w:rFonts w:hint="default" w:ascii="Times New Roman" w:hAnsi="Times New Roman" w:eastAsia="宋体" w:cs="Times New Roman"/>
                <w:color w:val="auto"/>
                <w:szCs w:val="24"/>
              </w:rPr>
              <w:t>。</w:t>
            </w:r>
            <w:r>
              <w:rPr>
                <w:rFonts w:hint="default" w:ascii="Times New Roman" w:hAnsi="Times New Roman" w:cs="Times New Roman"/>
                <w:color w:val="auto"/>
                <w:szCs w:val="24"/>
              </w:rPr>
              <w:t>项目各生产工序逸散尘排放因子及产生量见表4.2.1-1。</w:t>
            </w:r>
          </w:p>
          <w:p w14:paraId="58FA4F71">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表4.2.1-1  项目各生产工序粉尘产生量</w:t>
            </w:r>
          </w:p>
          <w:tbl>
            <w:tblPr>
              <w:tblStyle w:val="12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24"/>
              <w:gridCol w:w="2708"/>
              <w:gridCol w:w="2301"/>
              <w:gridCol w:w="1222"/>
              <w:gridCol w:w="981"/>
            </w:tblGrid>
            <w:tr w14:paraId="6D6F35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vAlign w:val="center"/>
                </w:tcPr>
                <w:p w14:paraId="0BDF9B28">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编号</w:t>
                  </w:r>
                </w:p>
              </w:tc>
              <w:tc>
                <w:tcPr>
                  <w:tcW w:w="2708" w:type="dxa"/>
                  <w:tcBorders>
                    <w:tl2br w:val="nil"/>
                    <w:tr2bl w:val="nil"/>
                  </w:tcBorders>
                  <w:vAlign w:val="center"/>
                </w:tcPr>
                <w:p w14:paraId="67943AD1">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逸散尘源</w:t>
                  </w:r>
                </w:p>
              </w:tc>
              <w:tc>
                <w:tcPr>
                  <w:tcW w:w="2301" w:type="dxa"/>
                  <w:tcBorders>
                    <w:tl2br w:val="nil"/>
                    <w:tr2bl w:val="nil"/>
                  </w:tcBorders>
                  <w:vAlign w:val="center"/>
                </w:tcPr>
                <w:p w14:paraId="210E5098">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lang w:eastAsia="zh-CN"/>
                    </w:rPr>
                    <w:t>原料/产品</w:t>
                  </w:r>
                  <w:r>
                    <w:rPr>
                      <w:rFonts w:hint="default" w:ascii="Times New Roman" w:hAnsi="Times New Roman" w:cs="Times New Roman"/>
                      <w:color w:val="auto"/>
                      <w:spacing w:val="6"/>
                      <w:sz w:val="21"/>
                      <w:szCs w:val="21"/>
                    </w:rPr>
                    <w:t>量(</w:t>
                  </w:r>
                  <w:r>
                    <w:rPr>
                      <w:rFonts w:hint="default" w:ascii="Times New Roman" w:hAnsi="Times New Roman" w:cs="Times New Roman"/>
                      <w:color w:val="auto"/>
                      <w:sz w:val="21"/>
                      <w:szCs w:val="21"/>
                    </w:rPr>
                    <w:t>t</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a</w:t>
                  </w:r>
                  <w:r>
                    <w:rPr>
                      <w:rFonts w:hint="default" w:ascii="Times New Roman" w:hAnsi="Times New Roman" w:cs="Times New Roman"/>
                      <w:color w:val="auto"/>
                      <w:spacing w:val="6"/>
                      <w:sz w:val="21"/>
                      <w:szCs w:val="21"/>
                    </w:rPr>
                    <w:t>)</w:t>
                  </w:r>
                </w:p>
              </w:tc>
              <w:tc>
                <w:tcPr>
                  <w:tcW w:w="1222" w:type="dxa"/>
                  <w:tcBorders>
                    <w:tl2br w:val="nil"/>
                    <w:tr2bl w:val="nil"/>
                  </w:tcBorders>
                  <w:vAlign w:val="center"/>
                </w:tcPr>
                <w:p w14:paraId="156250A5">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21"/>
                      <w:szCs w:val="21"/>
                      <w:lang w:eastAsia="zh-CN"/>
                    </w:rPr>
                  </w:pPr>
                  <w:r>
                    <w:rPr>
                      <w:rFonts w:hint="default" w:ascii="Times New Roman" w:hAnsi="Times New Roman" w:cs="Times New Roman"/>
                      <w:color w:val="auto"/>
                      <w:spacing w:val="2"/>
                      <w:sz w:val="21"/>
                      <w:szCs w:val="21"/>
                      <w:lang w:val="en-US" w:eastAsia="zh-CN"/>
                    </w:rPr>
                    <w:t>产污系数</w:t>
                  </w:r>
                  <w:r>
                    <w:rPr>
                      <w:rFonts w:hint="default" w:ascii="Times New Roman" w:hAnsi="Times New Roman" w:cs="Times New Roman"/>
                      <w:color w:val="auto"/>
                      <w:spacing w:val="2"/>
                      <w:sz w:val="21"/>
                      <w:szCs w:val="21"/>
                      <w:lang w:eastAsia="zh-CN"/>
                    </w:rPr>
                    <w:t>(kg/t)</w:t>
                  </w:r>
                </w:p>
              </w:tc>
              <w:tc>
                <w:tcPr>
                  <w:tcW w:w="981" w:type="dxa"/>
                  <w:tcBorders>
                    <w:tl2br w:val="nil"/>
                    <w:tr2bl w:val="nil"/>
                  </w:tcBorders>
                  <w:vAlign w:val="center"/>
                </w:tcPr>
                <w:p w14:paraId="27C78C87">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产生量(</w:t>
                  </w:r>
                  <w:r>
                    <w:rPr>
                      <w:rFonts w:hint="default" w:ascii="Times New Roman" w:hAnsi="Times New Roman" w:cs="Times New Roman"/>
                      <w:color w:val="auto"/>
                      <w:sz w:val="21"/>
                      <w:szCs w:val="21"/>
                    </w:rPr>
                    <w:t>t</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a</w:t>
                  </w:r>
                  <w:r>
                    <w:rPr>
                      <w:rFonts w:hint="default" w:ascii="Times New Roman" w:hAnsi="Times New Roman" w:cs="Times New Roman"/>
                      <w:color w:val="auto"/>
                      <w:spacing w:val="8"/>
                      <w:sz w:val="21"/>
                      <w:szCs w:val="21"/>
                    </w:rPr>
                    <w:t>)</w:t>
                  </w:r>
                </w:p>
              </w:tc>
            </w:tr>
            <w:tr w14:paraId="75F5DE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shd w:val="clear" w:color="auto" w:fill="auto"/>
                  <w:vAlign w:val="center"/>
                </w:tcPr>
                <w:p w14:paraId="124C4051">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Cs w:val="21"/>
                    </w:rPr>
                    <w:t>1</w:t>
                  </w:r>
                </w:p>
              </w:tc>
              <w:tc>
                <w:tcPr>
                  <w:tcW w:w="2708" w:type="dxa"/>
                  <w:tcBorders>
                    <w:tl2br w:val="nil"/>
                    <w:tr2bl w:val="nil"/>
                  </w:tcBorders>
                  <w:vAlign w:val="center"/>
                </w:tcPr>
                <w:p w14:paraId="557428DE">
                  <w:pPr>
                    <w:widowControl/>
                    <w:jc w:val="center"/>
                    <w:textAlignment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卸料粉尘</w:t>
                  </w:r>
                </w:p>
              </w:tc>
              <w:tc>
                <w:tcPr>
                  <w:tcW w:w="2301" w:type="dxa"/>
                  <w:tcBorders>
                    <w:bottom w:val="single" w:color="auto" w:sz="4" w:space="0"/>
                    <w:tl2br w:val="nil"/>
                    <w:tr2bl w:val="nil"/>
                  </w:tcBorders>
                  <w:shd w:val="clear" w:color="auto" w:fill="auto"/>
                  <w:vAlign w:val="center"/>
                </w:tcPr>
                <w:p w14:paraId="4B65BADC">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2041.728</w:t>
                  </w:r>
                </w:p>
              </w:tc>
              <w:tc>
                <w:tcPr>
                  <w:tcW w:w="1222" w:type="dxa"/>
                  <w:tcBorders>
                    <w:tl2br w:val="nil"/>
                    <w:tr2bl w:val="nil"/>
                  </w:tcBorders>
                  <w:shd w:val="clear" w:color="auto" w:fill="auto"/>
                  <w:vAlign w:val="center"/>
                </w:tcPr>
                <w:p w14:paraId="717FD442">
                  <w:pPr>
                    <w:widowControl/>
                    <w:kinsoku w:val="0"/>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2"/>
                      <w:position w:val="-2"/>
                      <w:szCs w:val="21"/>
                      <w:lang w:val="en-US" w:eastAsia="zh-CN"/>
                    </w:rPr>
                    <w:t>0.01</w:t>
                  </w:r>
                </w:p>
              </w:tc>
              <w:tc>
                <w:tcPr>
                  <w:tcW w:w="981" w:type="dxa"/>
                  <w:tcBorders>
                    <w:tl2br w:val="nil"/>
                    <w:tr2bl w:val="nil"/>
                  </w:tcBorders>
                  <w:shd w:val="clear" w:color="auto" w:fill="auto"/>
                  <w:vAlign w:val="center"/>
                </w:tcPr>
                <w:p w14:paraId="1E755488">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0.02</w:t>
                  </w:r>
                </w:p>
              </w:tc>
            </w:tr>
            <w:tr w14:paraId="1C5F86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shd w:val="clear" w:color="auto" w:fill="auto"/>
                  <w:vAlign w:val="center"/>
                </w:tcPr>
                <w:p w14:paraId="12952E96">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Cs w:val="21"/>
                    </w:rPr>
                    <w:t>2</w:t>
                  </w:r>
                </w:p>
              </w:tc>
              <w:tc>
                <w:tcPr>
                  <w:tcW w:w="2708" w:type="dxa"/>
                  <w:tcBorders>
                    <w:tl2br w:val="nil"/>
                    <w:tr2bl w:val="nil"/>
                  </w:tcBorders>
                  <w:vAlign w:val="center"/>
                </w:tcPr>
                <w:p w14:paraId="77CFD492">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rPr>
                    <w:t>破碎粉尘G1</w:t>
                  </w:r>
                </w:p>
              </w:tc>
              <w:tc>
                <w:tcPr>
                  <w:tcW w:w="2301" w:type="dxa"/>
                  <w:tcBorders>
                    <w:bottom w:val="single" w:color="auto" w:sz="4" w:space="0"/>
                    <w:tl2br w:val="nil"/>
                    <w:tr2bl w:val="nil"/>
                  </w:tcBorders>
                  <w:vAlign w:val="center"/>
                </w:tcPr>
                <w:p w14:paraId="0D50D2E6">
                  <w:pPr>
                    <w:widowControl/>
                    <w:jc w:val="center"/>
                    <w:textAlignment w:val="center"/>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60</w:t>
                  </w:r>
                </w:p>
              </w:tc>
              <w:tc>
                <w:tcPr>
                  <w:tcW w:w="1222" w:type="dxa"/>
                  <w:tcBorders>
                    <w:tl2br w:val="nil"/>
                    <w:tr2bl w:val="nil"/>
                  </w:tcBorders>
                  <w:vAlign w:val="center"/>
                </w:tcPr>
                <w:p w14:paraId="7694978E">
                  <w:pPr>
                    <w:widowControl/>
                    <w:kinsoku w:val="0"/>
                    <w:autoSpaceDE w:val="0"/>
                    <w:autoSpaceDN w:val="0"/>
                    <w:adjustRightInd w:val="0"/>
                    <w:snapToGrid w:val="0"/>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pacing w:val="-2"/>
                      <w:position w:val="-2"/>
                      <w:szCs w:val="21"/>
                    </w:rPr>
                    <w:t>0.75</w:t>
                  </w:r>
                </w:p>
              </w:tc>
              <w:tc>
                <w:tcPr>
                  <w:tcW w:w="981" w:type="dxa"/>
                  <w:tcBorders>
                    <w:tl2br w:val="nil"/>
                    <w:tr2bl w:val="nil"/>
                  </w:tcBorders>
                  <w:vAlign w:val="center"/>
                </w:tcPr>
                <w:p w14:paraId="08EC0D36">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0.045</w:t>
                  </w:r>
                </w:p>
              </w:tc>
            </w:tr>
            <w:tr w14:paraId="7CF7BC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shd w:val="clear" w:color="auto" w:fill="auto"/>
                  <w:vAlign w:val="center"/>
                </w:tcPr>
                <w:p w14:paraId="4E90DCF2">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3</w:t>
                  </w:r>
                </w:p>
              </w:tc>
              <w:tc>
                <w:tcPr>
                  <w:tcW w:w="2708" w:type="dxa"/>
                  <w:tcBorders>
                    <w:bottom w:val="single" w:color="auto" w:sz="4" w:space="0"/>
                    <w:tl2br w:val="nil"/>
                    <w:tr2bl w:val="nil"/>
                  </w:tcBorders>
                  <w:vAlign w:val="center"/>
                </w:tcPr>
                <w:p w14:paraId="6E41FAD8">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lang w:val="en-US" w:eastAsia="zh-CN"/>
                    </w:rPr>
                    <w:t>焙烧</w:t>
                  </w:r>
                  <w:r>
                    <w:rPr>
                      <w:rFonts w:hint="default" w:ascii="Times New Roman" w:hAnsi="Times New Roman" w:cs="Times New Roman"/>
                      <w:color w:val="auto"/>
                    </w:rPr>
                    <w:t>粉尘G2</w:t>
                  </w:r>
                </w:p>
              </w:tc>
              <w:tc>
                <w:tcPr>
                  <w:tcW w:w="2301" w:type="dxa"/>
                  <w:tcBorders>
                    <w:top w:val="single" w:color="auto" w:sz="4" w:space="0"/>
                    <w:bottom w:val="single" w:color="auto" w:sz="4" w:space="0"/>
                    <w:tl2br w:val="nil"/>
                    <w:tr2bl w:val="nil"/>
                  </w:tcBorders>
                  <w:vAlign w:val="center"/>
                </w:tcPr>
                <w:p w14:paraId="314589FC">
                  <w:pPr>
                    <w:widowControl/>
                    <w:jc w:val="center"/>
                    <w:textAlignment w:val="center"/>
                    <w:rPr>
                      <w:rFonts w:hint="default" w:ascii="Times New Roman" w:hAnsi="Times New Roman" w:cs="Times New Roman"/>
                      <w:color w:val="auto"/>
                      <w:szCs w:val="21"/>
                      <w:lang w:val="en-US"/>
                    </w:rPr>
                  </w:pPr>
                  <w:r>
                    <w:rPr>
                      <w:rFonts w:hint="eastAsia"/>
                      <w:b w:val="0"/>
                      <w:bCs w:val="0"/>
                      <w:color w:val="auto"/>
                      <w:szCs w:val="21"/>
                      <w:lang w:val="en-US" w:eastAsia="zh-CN"/>
                    </w:rPr>
                    <w:t>2041.728</w:t>
                  </w:r>
                </w:p>
              </w:tc>
              <w:tc>
                <w:tcPr>
                  <w:tcW w:w="1222" w:type="dxa"/>
                  <w:tcBorders>
                    <w:tl2br w:val="nil"/>
                    <w:tr2bl w:val="nil"/>
                  </w:tcBorders>
                  <w:vAlign w:val="center"/>
                </w:tcPr>
                <w:p w14:paraId="336CB448">
                  <w:pPr>
                    <w:widowControl/>
                    <w:kinsoku w:val="0"/>
                    <w:autoSpaceDE w:val="0"/>
                    <w:autoSpaceDN w:val="0"/>
                    <w:adjustRightInd w:val="0"/>
                    <w:snapToGrid w:val="0"/>
                    <w:jc w:val="center"/>
                    <w:textAlignment w:val="baseline"/>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pacing w:val="-2"/>
                      <w:position w:val="-2"/>
                      <w:szCs w:val="21"/>
                      <w:lang w:val="en-US" w:eastAsia="zh-CN"/>
                    </w:rPr>
                    <w:t>0.01</w:t>
                  </w:r>
                </w:p>
              </w:tc>
              <w:tc>
                <w:tcPr>
                  <w:tcW w:w="981" w:type="dxa"/>
                  <w:tcBorders>
                    <w:tl2br w:val="nil"/>
                    <w:tr2bl w:val="nil"/>
                  </w:tcBorders>
                  <w:vAlign w:val="center"/>
                </w:tcPr>
                <w:p w14:paraId="2BE75ED4">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0.02</w:t>
                  </w:r>
                </w:p>
              </w:tc>
            </w:tr>
            <w:tr w14:paraId="201091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shd w:val="clear" w:color="auto" w:fill="auto"/>
                  <w:vAlign w:val="center"/>
                </w:tcPr>
                <w:p w14:paraId="595D07F9">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4</w:t>
                  </w:r>
                </w:p>
              </w:tc>
              <w:tc>
                <w:tcPr>
                  <w:tcW w:w="2708" w:type="dxa"/>
                  <w:tcBorders>
                    <w:top w:val="single" w:color="auto" w:sz="4" w:space="0"/>
                    <w:tl2br w:val="nil"/>
                    <w:tr2bl w:val="nil"/>
                  </w:tcBorders>
                  <w:vAlign w:val="center"/>
                </w:tcPr>
                <w:p w14:paraId="2A3B42D3">
                  <w:pPr>
                    <w:widowControl/>
                    <w:jc w:val="center"/>
                    <w:textAlignment w:val="center"/>
                    <w:rPr>
                      <w:rFonts w:hint="default" w:ascii="Times New Roman" w:hAnsi="Times New Roman" w:cs="Times New Roman"/>
                      <w:color w:val="auto"/>
                      <w:szCs w:val="21"/>
                      <w:vertAlign w:val="superscript"/>
                    </w:rPr>
                  </w:pPr>
                  <w:r>
                    <w:rPr>
                      <w:rFonts w:hint="default" w:ascii="Times New Roman" w:hAnsi="Times New Roman" w:cs="Times New Roman"/>
                      <w:color w:val="auto"/>
                      <w:lang w:val="en-US" w:eastAsia="zh-CN"/>
                    </w:rPr>
                    <w:t>制砂</w:t>
                  </w:r>
                  <w:r>
                    <w:rPr>
                      <w:rFonts w:hint="default" w:ascii="Times New Roman" w:hAnsi="Times New Roman" w:cs="Times New Roman"/>
                      <w:color w:val="auto"/>
                    </w:rPr>
                    <w:t>粉尘G3</w:t>
                  </w:r>
                </w:p>
              </w:tc>
              <w:tc>
                <w:tcPr>
                  <w:tcW w:w="2301" w:type="dxa"/>
                  <w:tcBorders>
                    <w:top w:val="single" w:color="auto" w:sz="4" w:space="0"/>
                    <w:bottom w:val="single" w:color="auto" w:sz="4" w:space="0"/>
                    <w:tl2br w:val="nil"/>
                    <w:tr2bl w:val="nil"/>
                  </w:tcBorders>
                  <w:vAlign w:val="center"/>
                </w:tcPr>
                <w:p w14:paraId="73BB3DD5">
                  <w:pPr>
                    <w:widowControl/>
                    <w:jc w:val="center"/>
                    <w:textAlignment w:val="center"/>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100</w:t>
                  </w:r>
                </w:p>
              </w:tc>
              <w:tc>
                <w:tcPr>
                  <w:tcW w:w="1222" w:type="dxa"/>
                  <w:tcBorders>
                    <w:tl2br w:val="nil"/>
                    <w:tr2bl w:val="nil"/>
                  </w:tcBorders>
                  <w:vAlign w:val="center"/>
                </w:tcPr>
                <w:p w14:paraId="50026C39">
                  <w:pPr>
                    <w:widowControl/>
                    <w:kinsoku w:val="0"/>
                    <w:autoSpaceDE w:val="0"/>
                    <w:autoSpaceDN w:val="0"/>
                    <w:adjustRightInd w:val="0"/>
                    <w:snapToGrid w:val="0"/>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pacing w:val="-2"/>
                      <w:position w:val="-2"/>
                      <w:szCs w:val="21"/>
                    </w:rPr>
                    <w:t>0.75</w:t>
                  </w:r>
                </w:p>
              </w:tc>
              <w:tc>
                <w:tcPr>
                  <w:tcW w:w="981" w:type="dxa"/>
                  <w:tcBorders>
                    <w:tl2br w:val="nil"/>
                    <w:tr2bl w:val="nil"/>
                  </w:tcBorders>
                  <w:vAlign w:val="center"/>
                </w:tcPr>
                <w:p w14:paraId="6C9B3121">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0.075</w:t>
                  </w:r>
                </w:p>
              </w:tc>
            </w:tr>
            <w:tr w14:paraId="2A8602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shd w:val="clear" w:color="auto" w:fill="auto"/>
                  <w:vAlign w:val="center"/>
                </w:tcPr>
                <w:p w14:paraId="21A97DE8">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5</w:t>
                  </w:r>
                </w:p>
              </w:tc>
              <w:tc>
                <w:tcPr>
                  <w:tcW w:w="2708" w:type="dxa"/>
                  <w:tcBorders>
                    <w:tl2br w:val="nil"/>
                    <w:tr2bl w:val="nil"/>
                  </w:tcBorders>
                  <w:vAlign w:val="center"/>
                </w:tcPr>
                <w:p w14:paraId="71D7D671">
                  <w:pPr>
                    <w:widowControl/>
                    <w:jc w:val="center"/>
                    <w:textAlignment w:val="center"/>
                    <w:rPr>
                      <w:rFonts w:hint="default" w:ascii="Times New Roman" w:hAnsi="Times New Roman" w:cs="Times New Roman"/>
                      <w:color w:val="auto"/>
                      <w:kern w:val="0"/>
                      <w:szCs w:val="21"/>
                      <w:lang w:val="en-US"/>
                    </w:rPr>
                  </w:pPr>
                  <w:r>
                    <w:rPr>
                      <w:rFonts w:hint="default" w:ascii="Times New Roman" w:hAnsi="Times New Roman" w:cs="Times New Roman"/>
                      <w:color w:val="auto"/>
                    </w:rPr>
                    <w:t>磁选废气G</w:t>
                  </w:r>
                  <w:r>
                    <w:rPr>
                      <w:rFonts w:hint="default" w:ascii="Times New Roman" w:hAnsi="Times New Roman" w:cs="Times New Roman"/>
                      <w:color w:val="auto"/>
                      <w:lang w:val="en-US" w:eastAsia="zh-CN"/>
                    </w:rPr>
                    <w:t>4、G7</w:t>
                  </w:r>
                </w:p>
              </w:tc>
              <w:tc>
                <w:tcPr>
                  <w:tcW w:w="2301" w:type="dxa"/>
                  <w:tcBorders>
                    <w:top w:val="single" w:color="auto" w:sz="4" w:space="0"/>
                    <w:bottom w:val="single" w:color="auto" w:sz="4" w:space="0"/>
                    <w:tl2br w:val="nil"/>
                    <w:tr2bl w:val="nil"/>
                  </w:tcBorders>
                  <w:vAlign w:val="center"/>
                </w:tcPr>
                <w:p w14:paraId="23233B77">
                  <w:pPr>
                    <w:widowControl/>
                    <w:jc w:val="center"/>
                    <w:textAlignment w:val="center"/>
                    <w:rPr>
                      <w:rFonts w:hint="default" w:ascii="Times New Roman" w:hAnsi="Times New Roman" w:eastAsia="宋体" w:cs="Times New Roman"/>
                      <w:color w:val="auto"/>
                      <w:kern w:val="0"/>
                      <w:szCs w:val="21"/>
                      <w:lang w:val="en-US" w:eastAsia="zh-CN"/>
                    </w:rPr>
                  </w:pPr>
                  <w:r>
                    <w:rPr>
                      <w:rFonts w:hint="eastAsia" w:cs="Times New Roman"/>
                      <w:color w:val="auto"/>
                      <w:szCs w:val="21"/>
                      <w:lang w:val="en-US" w:eastAsia="zh-CN"/>
                    </w:rPr>
                    <w:t>4027.608</w:t>
                  </w:r>
                </w:p>
              </w:tc>
              <w:tc>
                <w:tcPr>
                  <w:tcW w:w="1222" w:type="dxa"/>
                  <w:tcBorders>
                    <w:tl2br w:val="nil"/>
                    <w:tr2bl w:val="nil"/>
                  </w:tcBorders>
                  <w:vAlign w:val="center"/>
                </w:tcPr>
                <w:p w14:paraId="594DE017">
                  <w:pPr>
                    <w:widowControl/>
                    <w:kinsoku w:val="0"/>
                    <w:autoSpaceDE w:val="0"/>
                    <w:autoSpaceDN w:val="0"/>
                    <w:adjustRightInd w:val="0"/>
                    <w:snapToGrid w:val="0"/>
                    <w:jc w:val="center"/>
                    <w:textAlignment w:val="baseline"/>
                    <w:rPr>
                      <w:rFonts w:hint="default" w:ascii="Times New Roman" w:hAnsi="Times New Roman" w:cs="Times New Roman"/>
                      <w:color w:val="auto"/>
                      <w:spacing w:val="-2"/>
                      <w:position w:val="-2"/>
                      <w:szCs w:val="21"/>
                    </w:rPr>
                  </w:pPr>
                  <w:r>
                    <w:rPr>
                      <w:rFonts w:hint="default" w:ascii="Times New Roman" w:hAnsi="Times New Roman" w:cs="Times New Roman"/>
                      <w:color w:val="auto"/>
                      <w:spacing w:val="-2"/>
                      <w:position w:val="-2"/>
                      <w:szCs w:val="21"/>
                    </w:rPr>
                    <w:t>0.25</w:t>
                  </w:r>
                </w:p>
              </w:tc>
              <w:tc>
                <w:tcPr>
                  <w:tcW w:w="981" w:type="dxa"/>
                  <w:tcBorders>
                    <w:tl2br w:val="nil"/>
                    <w:tr2bl w:val="nil"/>
                  </w:tcBorders>
                  <w:vAlign w:val="center"/>
                </w:tcPr>
                <w:p w14:paraId="6CEDA871">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1</w:t>
                  </w:r>
                  <w:r>
                    <w:rPr>
                      <w:rFonts w:hint="eastAsia" w:cs="Times New Roman"/>
                      <w:color w:val="auto"/>
                      <w:kern w:val="0"/>
                      <w:szCs w:val="21"/>
                      <w:lang w:val="en-US" w:eastAsia="zh-CN"/>
                    </w:rPr>
                    <w:t>.006</w:t>
                  </w:r>
                </w:p>
              </w:tc>
            </w:tr>
            <w:tr w14:paraId="13FAD1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shd w:val="clear" w:color="auto" w:fill="auto"/>
                  <w:vAlign w:val="center"/>
                </w:tcPr>
                <w:p w14:paraId="3C2F19AA">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6</w:t>
                  </w:r>
                </w:p>
              </w:tc>
              <w:tc>
                <w:tcPr>
                  <w:tcW w:w="2708" w:type="dxa"/>
                  <w:tcBorders>
                    <w:tl2br w:val="nil"/>
                    <w:tr2bl w:val="nil"/>
                  </w:tcBorders>
                  <w:vAlign w:val="center"/>
                </w:tcPr>
                <w:p w14:paraId="7B87B40D">
                  <w:pPr>
                    <w:widowControl/>
                    <w:jc w:val="center"/>
                    <w:textAlignment w:val="center"/>
                    <w:rPr>
                      <w:rFonts w:hint="default" w:ascii="Times New Roman" w:hAnsi="Times New Roman" w:cs="Times New Roman"/>
                      <w:color w:val="auto"/>
                    </w:rPr>
                  </w:pPr>
                  <w:r>
                    <w:rPr>
                      <w:rFonts w:hint="default" w:ascii="Times New Roman" w:hAnsi="Times New Roman" w:cs="Times New Roman"/>
                      <w:color w:val="auto"/>
                      <w:lang w:val="en-US" w:eastAsia="zh-CN"/>
                    </w:rPr>
                    <w:t>烤砂</w:t>
                  </w:r>
                  <w:r>
                    <w:rPr>
                      <w:rFonts w:hint="default" w:ascii="Times New Roman" w:hAnsi="Times New Roman" w:cs="Times New Roman"/>
                      <w:color w:val="auto"/>
                    </w:rPr>
                    <w:t>废气G</w:t>
                  </w:r>
                  <w:r>
                    <w:rPr>
                      <w:rFonts w:hint="default" w:ascii="Times New Roman" w:hAnsi="Times New Roman" w:cs="Times New Roman"/>
                      <w:color w:val="auto"/>
                      <w:lang w:val="en-US" w:eastAsia="zh-CN"/>
                    </w:rPr>
                    <w:t>6</w:t>
                  </w:r>
                </w:p>
              </w:tc>
              <w:tc>
                <w:tcPr>
                  <w:tcW w:w="2301" w:type="dxa"/>
                  <w:tcBorders>
                    <w:top w:val="single" w:color="auto" w:sz="4" w:space="0"/>
                    <w:bottom w:val="single" w:color="auto" w:sz="4" w:space="0"/>
                    <w:tl2br w:val="nil"/>
                    <w:tr2bl w:val="nil"/>
                  </w:tcBorders>
                  <w:vAlign w:val="center"/>
                </w:tcPr>
                <w:p w14:paraId="41EEEB89">
                  <w:pPr>
                    <w:widowControl/>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200</w:t>
                  </w:r>
                  <w:r>
                    <w:rPr>
                      <w:rFonts w:hint="eastAsia" w:ascii="Times New Roman" w:hAnsi="Times New Roman" w:cs="Times New Roman"/>
                      <w:color w:val="auto"/>
                      <w:szCs w:val="21"/>
                      <w:lang w:val="en-US" w:eastAsia="zh-CN"/>
                    </w:rPr>
                    <w:t>1</w:t>
                  </w:r>
                  <w:r>
                    <w:rPr>
                      <w:rFonts w:hint="default" w:ascii="Times New Roman" w:hAnsi="Times New Roman" w:cs="Times New Roman"/>
                      <w:color w:val="auto"/>
                      <w:szCs w:val="21"/>
                      <w:lang w:val="en-US" w:eastAsia="zh-CN"/>
                    </w:rPr>
                    <w:t>.02</w:t>
                  </w:r>
                </w:p>
              </w:tc>
              <w:tc>
                <w:tcPr>
                  <w:tcW w:w="1222" w:type="dxa"/>
                  <w:tcBorders>
                    <w:tl2br w:val="nil"/>
                    <w:tr2bl w:val="nil"/>
                  </w:tcBorders>
                  <w:vAlign w:val="center"/>
                </w:tcPr>
                <w:p w14:paraId="25313BA2">
                  <w:pPr>
                    <w:widowControl/>
                    <w:kinsoku w:val="0"/>
                    <w:autoSpaceDE w:val="0"/>
                    <w:autoSpaceDN w:val="0"/>
                    <w:adjustRightInd w:val="0"/>
                    <w:snapToGrid w:val="0"/>
                    <w:jc w:val="center"/>
                    <w:textAlignment w:val="baseline"/>
                    <w:rPr>
                      <w:rFonts w:hint="default" w:ascii="Times New Roman" w:hAnsi="Times New Roman" w:cs="Times New Roman"/>
                      <w:color w:val="auto"/>
                      <w:spacing w:val="-2"/>
                      <w:position w:val="-2"/>
                      <w:szCs w:val="21"/>
                    </w:rPr>
                  </w:pPr>
                  <w:r>
                    <w:rPr>
                      <w:rFonts w:hint="default" w:ascii="Times New Roman" w:hAnsi="Times New Roman" w:cs="Times New Roman"/>
                      <w:color w:val="auto"/>
                      <w:spacing w:val="-2"/>
                      <w:position w:val="-2"/>
                      <w:szCs w:val="21"/>
                      <w:lang w:val="en-US" w:eastAsia="zh-CN"/>
                    </w:rPr>
                    <w:t>0.01</w:t>
                  </w:r>
                </w:p>
              </w:tc>
              <w:tc>
                <w:tcPr>
                  <w:tcW w:w="981" w:type="dxa"/>
                  <w:tcBorders>
                    <w:tl2br w:val="nil"/>
                    <w:tr2bl w:val="nil"/>
                  </w:tcBorders>
                  <w:vAlign w:val="center"/>
                </w:tcPr>
                <w:p w14:paraId="0708353B">
                  <w:pPr>
                    <w:widowControl/>
                    <w:jc w:val="center"/>
                    <w:textAlignment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0.02</w:t>
                  </w:r>
                </w:p>
              </w:tc>
            </w:tr>
            <w:tr w14:paraId="63FCA2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724" w:type="dxa"/>
                  <w:tcBorders>
                    <w:tl2br w:val="nil"/>
                    <w:tr2bl w:val="nil"/>
                  </w:tcBorders>
                  <w:shd w:val="clear" w:color="auto" w:fill="auto"/>
                  <w:vAlign w:val="center"/>
                </w:tcPr>
                <w:p w14:paraId="62CC40EA">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val="en-US" w:eastAsia="zh-CN"/>
                    </w:rPr>
                    <w:t>7</w:t>
                  </w:r>
                </w:p>
              </w:tc>
              <w:tc>
                <w:tcPr>
                  <w:tcW w:w="2708" w:type="dxa"/>
                  <w:tcBorders>
                    <w:bottom w:val="single" w:color="auto" w:sz="4" w:space="0"/>
                    <w:tl2br w:val="nil"/>
                    <w:tr2bl w:val="nil"/>
                  </w:tcBorders>
                  <w:vAlign w:val="center"/>
                </w:tcPr>
                <w:p w14:paraId="5E1556D5">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szCs w:val="21"/>
                      <w:lang w:eastAsia="zh-CN"/>
                    </w:rPr>
                    <w:t>纯化</w:t>
                  </w:r>
                  <w:r>
                    <w:rPr>
                      <w:rFonts w:hint="default" w:ascii="Times New Roman" w:hAnsi="Times New Roman" w:cs="Times New Roman"/>
                      <w:color w:val="auto"/>
                      <w:szCs w:val="21"/>
                    </w:rPr>
                    <w:t>废气G</w:t>
                  </w: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rPr>
                    <w:t>中粉尘废气</w:t>
                  </w:r>
                </w:p>
              </w:tc>
              <w:tc>
                <w:tcPr>
                  <w:tcW w:w="2301" w:type="dxa"/>
                  <w:tcBorders>
                    <w:top w:val="single" w:color="auto" w:sz="4" w:space="0"/>
                    <w:bottom w:val="single" w:color="auto" w:sz="4" w:space="0"/>
                    <w:tl2br w:val="nil"/>
                    <w:tr2bl w:val="nil"/>
                  </w:tcBorders>
                  <w:vAlign w:val="center"/>
                </w:tcPr>
                <w:p w14:paraId="1A83E5D0">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1222" w:type="dxa"/>
                  <w:tcBorders>
                    <w:tl2br w:val="nil"/>
                    <w:tr2bl w:val="nil"/>
                  </w:tcBorders>
                  <w:vAlign w:val="center"/>
                </w:tcPr>
                <w:p w14:paraId="1FC23119">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2"/>
                      <w:position w:val="-2"/>
                      <w:sz w:val="21"/>
                      <w:szCs w:val="21"/>
                      <w:lang w:eastAsia="zh-CN"/>
                    </w:rPr>
                  </w:pPr>
                  <w:r>
                    <w:rPr>
                      <w:rFonts w:hint="default" w:ascii="Times New Roman" w:hAnsi="Times New Roman" w:cs="Times New Roman"/>
                      <w:color w:val="auto"/>
                      <w:spacing w:val="-2"/>
                      <w:position w:val="-2"/>
                      <w:sz w:val="21"/>
                      <w:szCs w:val="21"/>
                      <w:lang w:eastAsia="zh-CN"/>
                    </w:rPr>
                    <w:t>/</w:t>
                  </w:r>
                </w:p>
              </w:tc>
              <w:tc>
                <w:tcPr>
                  <w:tcW w:w="981" w:type="dxa"/>
                  <w:tcBorders>
                    <w:tl2br w:val="nil"/>
                    <w:tr2bl w:val="nil"/>
                  </w:tcBorders>
                  <w:vAlign w:val="center"/>
                </w:tcPr>
                <w:p w14:paraId="2C67D2C3">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0.</w:t>
                  </w:r>
                  <w:r>
                    <w:rPr>
                      <w:rFonts w:hint="eastAsia" w:cs="Times New Roman"/>
                      <w:color w:val="auto"/>
                      <w:kern w:val="0"/>
                      <w:szCs w:val="21"/>
                      <w:lang w:val="en-US" w:eastAsia="zh-CN"/>
                    </w:rPr>
                    <w:t>5</w:t>
                  </w:r>
                </w:p>
              </w:tc>
            </w:tr>
            <w:tr w14:paraId="7D2264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24" w:type="dxa"/>
                  <w:tcBorders>
                    <w:tl2br w:val="nil"/>
                    <w:tr2bl w:val="nil"/>
                  </w:tcBorders>
                  <w:vAlign w:val="center"/>
                </w:tcPr>
                <w:p w14:paraId="522176C3">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8</w:t>
                  </w:r>
                </w:p>
              </w:tc>
              <w:tc>
                <w:tcPr>
                  <w:tcW w:w="2708" w:type="dxa"/>
                  <w:tcBorders>
                    <w:top w:val="single" w:color="auto" w:sz="4" w:space="0"/>
                    <w:tl2br w:val="nil"/>
                    <w:tr2bl w:val="nil"/>
                  </w:tcBorders>
                  <w:vAlign w:val="center"/>
                </w:tcPr>
                <w:p w14:paraId="2BAD8AC3">
                  <w:pPr>
                    <w:widowControl/>
                    <w:jc w:val="center"/>
                    <w:textAlignment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szCs w:val="21"/>
                    </w:rPr>
                    <w:t>包装废气G</w:t>
                  </w:r>
                  <w:r>
                    <w:rPr>
                      <w:rFonts w:hint="default" w:ascii="Times New Roman" w:hAnsi="Times New Roman" w:cs="Times New Roman"/>
                      <w:color w:val="auto"/>
                      <w:szCs w:val="21"/>
                      <w:lang w:val="en-US" w:eastAsia="zh-CN"/>
                    </w:rPr>
                    <w:t>9</w:t>
                  </w:r>
                </w:p>
              </w:tc>
              <w:tc>
                <w:tcPr>
                  <w:tcW w:w="2301" w:type="dxa"/>
                  <w:tcBorders>
                    <w:top w:val="single" w:color="auto" w:sz="4" w:space="0"/>
                    <w:tl2br w:val="nil"/>
                    <w:tr2bl w:val="nil"/>
                  </w:tcBorders>
                  <w:vAlign w:val="center"/>
                </w:tcPr>
                <w:p w14:paraId="7C9CCD66">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szCs w:val="21"/>
                    </w:rPr>
                    <w:t>2000</w:t>
                  </w:r>
                  <w:r>
                    <w:rPr>
                      <w:rFonts w:hint="default" w:ascii="Times New Roman" w:hAnsi="Times New Roman" w:cs="Times New Roman"/>
                      <w:color w:val="auto"/>
                      <w:szCs w:val="21"/>
                      <w:lang w:val="en-US" w:eastAsia="zh-CN"/>
                    </w:rPr>
                    <w:t>.02</w:t>
                  </w:r>
                </w:p>
              </w:tc>
              <w:tc>
                <w:tcPr>
                  <w:tcW w:w="1222" w:type="dxa"/>
                  <w:tcBorders>
                    <w:tl2br w:val="nil"/>
                    <w:tr2bl w:val="nil"/>
                  </w:tcBorders>
                  <w:vAlign w:val="center"/>
                </w:tcPr>
                <w:p w14:paraId="1D612624">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2"/>
                      <w:position w:val="-2"/>
                      <w:sz w:val="21"/>
                      <w:szCs w:val="21"/>
                    </w:rPr>
                  </w:pPr>
                  <w:r>
                    <w:rPr>
                      <w:rFonts w:hint="default" w:ascii="Times New Roman" w:hAnsi="Times New Roman" w:cs="Times New Roman"/>
                      <w:color w:val="auto"/>
                      <w:spacing w:val="-2"/>
                      <w:position w:val="-2"/>
                      <w:sz w:val="21"/>
                      <w:szCs w:val="21"/>
                      <w:lang w:eastAsia="zh-CN"/>
                    </w:rPr>
                    <w:t>0.01</w:t>
                  </w:r>
                </w:p>
              </w:tc>
              <w:tc>
                <w:tcPr>
                  <w:tcW w:w="981" w:type="dxa"/>
                  <w:tcBorders>
                    <w:tl2br w:val="nil"/>
                    <w:tr2bl w:val="nil"/>
                  </w:tcBorders>
                  <w:vAlign w:val="center"/>
                </w:tcPr>
                <w:p w14:paraId="66E0E53F">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0.02</w:t>
                  </w:r>
                </w:p>
              </w:tc>
            </w:tr>
            <w:tr w14:paraId="26AB70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936" w:type="dxa"/>
                  <w:gridSpan w:val="5"/>
                  <w:tcBorders>
                    <w:tl2br w:val="nil"/>
                    <w:tr2bl w:val="nil"/>
                  </w:tcBorders>
                  <w:vAlign w:val="center"/>
                </w:tcPr>
                <w:p w14:paraId="660EBE8B">
                  <w:pPr>
                    <w:pStyle w:val="116"/>
                    <w:widowControl/>
                    <w:kinsoku w:val="0"/>
                    <w:autoSpaceDE w:val="0"/>
                    <w:autoSpaceDN w:val="0"/>
                    <w:adjustRightInd w:val="0"/>
                    <w:snapToGrid w:val="0"/>
                    <w:jc w:val="left"/>
                    <w:textAlignment w:val="baseline"/>
                    <w:rPr>
                      <w:rFonts w:hint="default" w:ascii="Times New Roman" w:hAnsi="Times New Roman" w:cs="Times New Roman"/>
                      <w:color w:val="auto"/>
                      <w:kern w:val="0"/>
                      <w:sz w:val="18"/>
                      <w:szCs w:val="18"/>
                      <w:lang w:eastAsia="zh-CN"/>
                    </w:rPr>
                  </w:pPr>
                  <w:r>
                    <w:rPr>
                      <w:rFonts w:hint="default" w:ascii="Times New Roman" w:hAnsi="Times New Roman" w:cs="Times New Roman"/>
                      <w:color w:val="auto"/>
                      <w:kern w:val="0"/>
                      <w:sz w:val="18"/>
                      <w:szCs w:val="18"/>
                      <w:lang w:eastAsia="zh-CN"/>
                    </w:rPr>
                    <w:t>参考《逸散性工业粉尘控制技术》表18-1粒料加工厂逸散尘的排放因子，磁选产尘量约为0.25kg/t原料，破碎和制砂产尘量约为0.75kg/t原料，</w:t>
                  </w:r>
                  <w:r>
                    <w:rPr>
                      <w:rFonts w:hint="default" w:ascii="Times New Roman" w:hAnsi="Times New Roman" w:cs="Times New Roman"/>
                      <w:color w:val="auto"/>
                      <w:kern w:val="0"/>
                      <w:sz w:val="18"/>
                      <w:szCs w:val="18"/>
                      <w:lang w:val="en-US" w:eastAsia="zh-CN"/>
                    </w:rPr>
                    <w:t>卸料、</w:t>
                  </w:r>
                  <w:r>
                    <w:rPr>
                      <w:rFonts w:hint="default" w:ascii="Times New Roman" w:hAnsi="Times New Roman" w:cs="Times New Roman"/>
                      <w:color w:val="auto"/>
                      <w:spacing w:val="-2"/>
                      <w:sz w:val="18"/>
                      <w:szCs w:val="18"/>
                      <w:lang w:eastAsia="zh-CN"/>
                    </w:rPr>
                    <w:t>包装、</w:t>
                  </w:r>
                  <w:r>
                    <w:rPr>
                      <w:rFonts w:hint="default" w:ascii="Times New Roman" w:hAnsi="Times New Roman" w:cs="Times New Roman"/>
                      <w:color w:val="auto"/>
                      <w:spacing w:val="-2"/>
                      <w:sz w:val="18"/>
                      <w:szCs w:val="18"/>
                      <w:lang w:val="en-US" w:eastAsia="zh-CN"/>
                    </w:rPr>
                    <w:t>焙烧、烤砂</w:t>
                  </w:r>
                  <w:r>
                    <w:rPr>
                      <w:rFonts w:hint="default" w:ascii="Times New Roman" w:hAnsi="Times New Roman" w:cs="Times New Roman"/>
                      <w:color w:val="auto"/>
                      <w:spacing w:val="-2"/>
                      <w:sz w:val="18"/>
                      <w:szCs w:val="18"/>
                      <w:lang w:eastAsia="zh-CN"/>
                    </w:rPr>
                    <w:t>粉尘参照砂和砾石装货</w:t>
                  </w:r>
                  <w:r>
                    <w:rPr>
                      <w:rFonts w:hint="default" w:ascii="Times New Roman" w:hAnsi="Times New Roman" w:cs="Times New Roman"/>
                      <w:color w:val="auto"/>
                      <w:kern w:val="0"/>
                      <w:sz w:val="18"/>
                      <w:szCs w:val="18"/>
                      <w:lang w:eastAsia="zh-CN"/>
                    </w:rPr>
                    <w:t>产尘量约为0.01kg/t原料，纯化产尘量</w:t>
                  </w:r>
                  <w:r>
                    <w:rPr>
                      <w:rFonts w:hint="default" w:ascii="Times New Roman" w:hAnsi="Times New Roman" w:cs="Times New Roman"/>
                      <w:color w:val="auto"/>
                      <w:sz w:val="18"/>
                      <w:szCs w:val="18"/>
                      <w:lang w:eastAsia="zh-CN"/>
                    </w:rPr>
                    <w:t>具体源强分析见下文</w:t>
                  </w:r>
                  <w:r>
                    <w:rPr>
                      <w:rFonts w:hint="default" w:ascii="Times New Roman" w:hAnsi="Times New Roman" w:cs="Times New Roman"/>
                      <w:color w:val="auto"/>
                      <w:kern w:val="0"/>
                      <w:sz w:val="18"/>
                      <w:szCs w:val="18"/>
                      <w:lang w:eastAsia="zh-CN"/>
                    </w:rPr>
                    <w:t>约为0.</w:t>
                  </w:r>
                  <w:r>
                    <w:rPr>
                      <w:rFonts w:hint="eastAsia" w:ascii="Times New Roman" w:hAnsi="Times New Roman" w:cs="Times New Roman"/>
                      <w:color w:val="auto"/>
                      <w:kern w:val="0"/>
                      <w:sz w:val="18"/>
                      <w:szCs w:val="18"/>
                      <w:lang w:val="en-US" w:eastAsia="zh-CN"/>
                    </w:rPr>
                    <w:t>5</w:t>
                  </w:r>
                  <w:r>
                    <w:rPr>
                      <w:rFonts w:hint="default" w:ascii="Times New Roman" w:hAnsi="Times New Roman" w:cs="Times New Roman"/>
                      <w:color w:val="auto"/>
                      <w:kern w:val="0"/>
                      <w:sz w:val="18"/>
                      <w:szCs w:val="18"/>
                      <w:lang w:eastAsia="zh-CN"/>
                    </w:rPr>
                    <w:t>t/a</w:t>
                  </w:r>
                </w:p>
              </w:tc>
            </w:tr>
          </w:tbl>
          <w:p w14:paraId="7B65A091">
            <w:pPr>
              <w:pStyle w:val="17"/>
              <w:spacing w:line="360" w:lineRule="auto"/>
              <w:ind w:firstLine="482" w:firstLineChars="200"/>
              <w:rPr>
                <w:rFonts w:hint="default" w:ascii="Times New Roman" w:hAnsi="Times New Roman" w:cs="Times New Roman"/>
                <w:color w:val="auto"/>
                <w:sz w:val="24"/>
                <w:szCs w:val="24"/>
              </w:rPr>
            </w:pPr>
            <w:r>
              <w:rPr>
                <w:rFonts w:hint="default" w:ascii="Times New Roman" w:hAnsi="Times New Roman" w:cs="Times New Roman"/>
                <w:b/>
                <w:bCs/>
                <w:color w:val="auto"/>
                <w:sz w:val="24"/>
                <w:szCs w:val="24"/>
              </w:rPr>
              <w:t>【废气防治措施】：</w:t>
            </w:r>
            <w:r>
              <w:rPr>
                <w:rFonts w:hint="default" w:ascii="Times New Roman" w:hAnsi="Times New Roman" w:cs="Times New Roman"/>
                <w:color w:val="auto"/>
                <w:sz w:val="24"/>
                <w:szCs w:val="24"/>
              </w:rPr>
              <w:t>项目拟在颚破机、立轴制砂机、筛分机、高频筛、磁选机、电磁式粉体除铁器、高磁选机</w:t>
            </w:r>
            <w:r>
              <w:rPr>
                <w:rFonts w:hint="default" w:ascii="Times New Roman" w:hAnsi="Times New Roman" w:cs="Times New Roman"/>
                <w:color w:val="auto"/>
                <w:sz w:val="24"/>
                <w:szCs w:val="24"/>
                <w:lang w:eastAsia="zh-CN"/>
              </w:rPr>
              <w:t>、高温焙烧炉、烤砂炉</w:t>
            </w:r>
            <w:r>
              <w:rPr>
                <w:rFonts w:hint="default" w:ascii="Times New Roman" w:hAnsi="Times New Roman" w:cs="Times New Roman"/>
                <w:color w:val="auto"/>
                <w:sz w:val="24"/>
                <w:szCs w:val="24"/>
              </w:rPr>
              <w:t>上方/出料口设置集气罩，高温提纯设备为密闭设备废气经管道送至废气处理装置。处理情况如下：</w:t>
            </w:r>
          </w:p>
          <w:p w14:paraId="0D7CADA2">
            <w:pPr>
              <w:pStyle w:val="14"/>
              <w:keepNext/>
              <w:keepLines/>
              <w:ind w:firstLine="0" w:firstLineChars="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zh-CN"/>
              </w:rPr>
              <w:t>表4.2.1-2  拟建项目粉尘废气收集处理情况一览表</w:t>
            </w:r>
          </w:p>
          <w:tbl>
            <w:tblPr>
              <w:tblStyle w:val="3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65"/>
              <w:gridCol w:w="1594"/>
              <w:gridCol w:w="706"/>
              <w:gridCol w:w="1574"/>
              <w:gridCol w:w="903"/>
              <w:gridCol w:w="863"/>
              <w:gridCol w:w="829"/>
            </w:tblGrid>
            <w:tr w14:paraId="0D696A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923" w:type="pct"/>
                  <w:tcBorders>
                    <w:tl2br w:val="nil"/>
                    <w:tr2bl w:val="nil"/>
                  </w:tcBorders>
                  <w:vAlign w:val="center"/>
                </w:tcPr>
                <w:p w14:paraId="0B8CA7A0">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2"/>
                      <w:sz w:val="21"/>
                      <w:szCs w:val="21"/>
                    </w:rPr>
                    <w:t>逸散尘源</w:t>
                  </w:r>
                </w:p>
              </w:tc>
              <w:tc>
                <w:tcPr>
                  <w:tcW w:w="1004" w:type="pct"/>
                  <w:tcBorders>
                    <w:right w:val="single" w:color="auto" w:sz="4" w:space="0"/>
                    <w:tl2br w:val="nil"/>
                    <w:tr2bl w:val="nil"/>
                  </w:tcBorders>
                  <w:vAlign w:val="center"/>
                </w:tcPr>
                <w:p w14:paraId="777DE4B2">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收集措施</w:t>
                  </w:r>
                </w:p>
              </w:tc>
              <w:tc>
                <w:tcPr>
                  <w:tcW w:w="444" w:type="pct"/>
                  <w:tcBorders>
                    <w:left w:val="single" w:color="auto" w:sz="4" w:space="0"/>
                    <w:tl2br w:val="nil"/>
                    <w:tr2bl w:val="nil"/>
                  </w:tcBorders>
                  <w:vAlign w:val="center"/>
                </w:tcPr>
                <w:p w14:paraId="461B6F8C">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收集效率</w:t>
                  </w:r>
                </w:p>
              </w:tc>
              <w:tc>
                <w:tcPr>
                  <w:tcW w:w="991" w:type="pct"/>
                  <w:tcBorders>
                    <w:right w:val="single" w:color="auto" w:sz="4" w:space="0"/>
                    <w:tl2br w:val="nil"/>
                    <w:tr2bl w:val="nil"/>
                  </w:tcBorders>
                  <w:vAlign w:val="center"/>
                </w:tcPr>
                <w:p w14:paraId="60EC6AAB">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eastAsia="zh-CN"/>
                    </w:rPr>
                    <w:t>处理措施</w:t>
                  </w:r>
                </w:p>
              </w:tc>
              <w:tc>
                <w:tcPr>
                  <w:tcW w:w="569" w:type="pct"/>
                  <w:tcBorders>
                    <w:left w:val="single" w:color="auto" w:sz="4" w:space="0"/>
                    <w:tl2br w:val="nil"/>
                    <w:tr2bl w:val="nil"/>
                  </w:tcBorders>
                  <w:vAlign w:val="center"/>
                </w:tcPr>
                <w:p w14:paraId="6C906C65">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eastAsia" w:ascii="Times New Roman" w:hAnsi="Times New Roman" w:cs="Times New Roman"/>
                      <w:color w:val="auto"/>
                      <w:spacing w:val="5"/>
                      <w:sz w:val="21"/>
                      <w:szCs w:val="21"/>
                      <w:lang w:val="en-US" w:eastAsia="zh-CN"/>
                    </w:rPr>
                    <w:t>常见</w:t>
                  </w:r>
                  <w:r>
                    <w:rPr>
                      <w:rFonts w:hint="default" w:ascii="Times New Roman" w:hAnsi="Times New Roman" w:cs="Times New Roman"/>
                      <w:color w:val="auto"/>
                      <w:spacing w:val="5"/>
                      <w:sz w:val="21"/>
                      <w:szCs w:val="21"/>
                      <w:lang w:eastAsia="zh-CN"/>
                    </w:rPr>
                    <w:t>处理效率</w:t>
                  </w:r>
                </w:p>
              </w:tc>
              <w:tc>
                <w:tcPr>
                  <w:tcW w:w="543" w:type="pct"/>
                  <w:tcBorders>
                    <w:tl2br w:val="nil"/>
                    <w:tr2bl w:val="nil"/>
                  </w:tcBorders>
                  <w:vAlign w:val="center"/>
                </w:tcPr>
                <w:p w14:paraId="0573BC4C">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排气筒</w:t>
                  </w:r>
                </w:p>
              </w:tc>
              <w:tc>
                <w:tcPr>
                  <w:tcW w:w="522" w:type="pct"/>
                  <w:tcBorders>
                    <w:tl2br w:val="nil"/>
                    <w:tr2bl w:val="nil"/>
                  </w:tcBorders>
                  <w:vAlign w:val="center"/>
                </w:tcPr>
                <w:p w14:paraId="39A0E627">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lang w:eastAsia="zh-CN"/>
                    </w:rPr>
                    <w:t>风量mg/m</w:t>
                  </w:r>
                  <w:r>
                    <w:rPr>
                      <w:rFonts w:hint="default" w:ascii="Times New Roman" w:hAnsi="Times New Roman" w:cs="Times New Roman"/>
                      <w:color w:val="auto"/>
                      <w:spacing w:val="5"/>
                      <w:sz w:val="21"/>
                      <w:szCs w:val="21"/>
                      <w:vertAlign w:val="superscript"/>
                      <w:lang w:eastAsia="zh-CN"/>
                    </w:rPr>
                    <w:t>3</w:t>
                  </w:r>
                </w:p>
              </w:tc>
            </w:tr>
            <w:tr w14:paraId="16BAEC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923" w:type="pct"/>
                  <w:tcBorders>
                    <w:tl2br w:val="nil"/>
                    <w:tr2bl w:val="nil"/>
                  </w:tcBorders>
                  <w:noWrap/>
                  <w:vAlign w:val="center"/>
                </w:tcPr>
                <w:p w14:paraId="06FE4ECF">
                  <w:pPr>
                    <w:widowControl/>
                    <w:jc w:val="center"/>
                    <w:textAlignment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卸料粉尘G10</w:t>
                  </w:r>
                </w:p>
              </w:tc>
              <w:tc>
                <w:tcPr>
                  <w:tcW w:w="1004" w:type="pct"/>
                  <w:tcBorders>
                    <w:right w:val="single" w:color="auto" w:sz="4" w:space="0"/>
                    <w:tl2br w:val="nil"/>
                    <w:tr2bl w:val="nil"/>
                  </w:tcBorders>
                  <w:noWrap/>
                  <w:vAlign w:val="center"/>
                </w:tcPr>
                <w:p w14:paraId="6B835ABB">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w:t>
                  </w:r>
                </w:p>
              </w:tc>
              <w:tc>
                <w:tcPr>
                  <w:tcW w:w="444" w:type="pct"/>
                  <w:tcBorders>
                    <w:left w:val="single" w:color="auto" w:sz="4" w:space="0"/>
                    <w:bottom w:val="single" w:color="auto" w:sz="4" w:space="0"/>
                    <w:tl2br w:val="nil"/>
                    <w:tr2bl w:val="nil"/>
                  </w:tcBorders>
                  <w:noWrap/>
                  <w:vAlign w:val="center"/>
                </w:tcPr>
                <w:p w14:paraId="4953468D">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w:t>
                  </w:r>
                </w:p>
              </w:tc>
              <w:tc>
                <w:tcPr>
                  <w:tcW w:w="991" w:type="pct"/>
                  <w:tcBorders>
                    <w:bottom w:val="single" w:color="auto" w:sz="4" w:space="0"/>
                    <w:tl2br w:val="nil"/>
                    <w:tr2bl w:val="nil"/>
                  </w:tcBorders>
                  <w:noWrap/>
                  <w:vAlign w:val="center"/>
                </w:tcPr>
                <w:p w14:paraId="6B8DECBD">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val="en-US" w:eastAsia="zh-CN"/>
                    </w:rPr>
                    <w:t>仓库设置喷干雾抑尘装置</w:t>
                  </w:r>
                </w:p>
              </w:tc>
              <w:tc>
                <w:tcPr>
                  <w:tcW w:w="569" w:type="pct"/>
                  <w:tcBorders>
                    <w:tl2br w:val="nil"/>
                    <w:tr2bl w:val="nil"/>
                  </w:tcBorders>
                  <w:noWrap/>
                  <w:vAlign w:val="center"/>
                </w:tcPr>
                <w:p w14:paraId="1C2E708E">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eastAsia" w:cs="Times New Roman"/>
                      <w:color w:val="auto"/>
                      <w:spacing w:val="5"/>
                      <w:sz w:val="21"/>
                      <w:szCs w:val="21"/>
                      <w:lang w:val="en-US" w:eastAsia="zh-CN"/>
                    </w:rPr>
                    <w:t>80</w:t>
                  </w:r>
                  <w:r>
                    <w:rPr>
                      <w:rFonts w:hint="default" w:ascii="Times New Roman" w:hAnsi="Times New Roman" w:cs="Times New Roman"/>
                      <w:color w:val="auto"/>
                      <w:spacing w:val="5"/>
                      <w:sz w:val="21"/>
                      <w:szCs w:val="21"/>
                      <w:lang w:val="en-US" w:eastAsia="zh-CN"/>
                    </w:rPr>
                    <w:t>%</w:t>
                  </w:r>
                </w:p>
              </w:tc>
              <w:tc>
                <w:tcPr>
                  <w:tcW w:w="543" w:type="pct"/>
                  <w:tcBorders>
                    <w:tl2br w:val="nil"/>
                    <w:tr2bl w:val="nil"/>
                  </w:tcBorders>
                  <w:noWrap/>
                  <w:vAlign w:val="center"/>
                </w:tcPr>
                <w:p w14:paraId="26C80C02">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w:t>
                  </w:r>
                </w:p>
              </w:tc>
              <w:tc>
                <w:tcPr>
                  <w:tcW w:w="522" w:type="pct"/>
                  <w:tcBorders>
                    <w:tl2br w:val="nil"/>
                    <w:tr2bl w:val="nil"/>
                  </w:tcBorders>
                  <w:noWrap/>
                  <w:vAlign w:val="center"/>
                </w:tcPr>
                <w:p w14:paraId="552D8E82">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w:t>
                  </w:r>
                </w:p>
              </w:tc>
            </w:tr>
            <w:tr w14:paraId="20D3B3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923" w:type="pct"/>
                  <w:tcBorders>
                    <w:tl2br w:val="nil"/>
                    <w:tr2bl w:val="nil"/>
                  </w:tcBorders>
                  <w:noWrap/>
                  <w:vAlign w:val="center"/>
                </w:tcPr>
                <w:p w14:paraId="1C308530">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破碎粉尘G1</w:t>
                  </w:r>
                </w:p>
              </w:tc>
              <w:tc>
                <w:tcPr>
                  <w:tcW w:w="1004" w:type="pct"/>
                  <w:tcBorders>
                    <w:right w:val="single" w:color="auto" w:sz="4" w:space="0"/>
                    <w:tl2br w:val="nil"/>
                    <w:tr2bl w:val="nil"/>
                  </w:tcBorders>
                  <w:noWrap/>
                  <w:vAlign w:val="center"/>
                </w:tcPr>
                <w:p w14:paraId="0E70CC41">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val="en-US" w:eastAsia="zh-CN"/>
                    </w:rPr>
                    <w:t>装置上方</w:t>
                  </w:r>
                  <w:r>
                    <w:rPr>
                      <w:rFonts w:hint="default" w:ascii="Times New Roman" w:hAnsi="Times New Roman" w:cs="Times New Roman"/>
                      <w:color w:val="auto"/>
                      <w:spacing w:val="5"/>
                      <w:sz w:val="21"/>
                      <w:szCs w:val="21"/>
                      <w:lang w:eastAsia="zh-CN"/>
                    </w:rPr>
                    <w:t>集气罩</w:t>
                  </w:r>
                </w:p>
              </w:tc>
              <w:tc>
                <w:tcPr>
                  <w:tcW w:w="444" w:type="pct"/>
                  <w:tcBorders>
                    <w:left w:val="single" w:color="auto" w:sz="4" w:space="0"/>
                    <w:bottom w:val="single" w:color="auto" w:sz="4" w:space="0"/>
                    <w:tl2br w:val="nil"/>
                    <w:tr2bl w:val="nil"/>
                  </w:tcBorders>
                  <w:noWrap/>
                  <w:vAlign w:val="center"/>
                </w:tcPr>
                <w:p w14:paraId="0A825E72">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85%</w:t>
                  </w:r>
                </w:p>
              </w:tc>
              <w:tc>
                <w:tcPr>
                  <w:tcW w:w="991" w:type="pct"/>
                  <w:tcBorders>
                    <w:bottom w:val="single" w:color="auto" w:sz="4" w:space="0"/>
                    <w:tl2br w:val="nil"/>
                    <w:tr2bl w:val="nil"/>
                  </w:tcBorders>
                  <w:noWrap/>
                  <w:vAlign w:val="center"/>
                </w:tcPr>
                <w:p w14:paraId="5994915F">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布袋除尘TA001</w:t>
                  </w:r>
                </w:p>
              </w:tc>
              <w:tc>
                <w:tcPr>
                  <w:tcW w:w="569" w:type="pct"/>
                  <w:tcBorders>
                    <w:bottom w:val="single" w:color="auto" w:sz="4" w:space="0"/>
                    <w:tl2br w:val="nil"/>
                    <w:tr2bl w:val="nil"/>
                  </w:tcBorders>
                  <w:noWrap/>
                  <w:vAlign w:val="center"/>
                </w:tcPr>
                <w:p w14:paraId="07959345">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val="en-US" w:eastAsia="zh-CN"/>
                    </w:rPr>
                    <w:t>99</w:t>
                  </w:r>
                  <w:r>
                    <w:rPr>
                      <w:rFonts w:hint="default" w:ascii="Times New Roman" w:hAnsi="Times New Roman" w:cs="Times New Roman"/>
                      <w:color w:val="auto"/>
                      <w:spacing w:val="5"/>
                      <w:sz w:val="21"/>
                      <w:szCs w:val="21"/>
                      <w:lang w:eastAsia="zh-CN"/>
                    </w:rPr>
                    <w:t>%</w:t>
                  </w:r>
                </w:p>
              </w:tc>
              <w:tc>
                <w:tcPr>
                  <w:tcW w:w="543" w:type="pct"/>
                  <w:tcBorders>
                    <w:bottom w:val="single" w:color="auto" w:sz="4" w:space="0"/>
                    <w:tl2br w:val="nil"/>
                    <w:tr2bl w:val="nil"/>
                  </w:tcBorders>
                  <w:noWrap/>
                  <w:vAlign w:val="center"/>
                </w:tcPr>
                <w:p w14:paraId="1F0D7376">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D</w:t>
                  </w:r>
                  <w:r>
                    <w:rPr>
                      <w:rFonts w:hint="default" w:ascii="Times New Roman" w:hAnsi="Times New Roman" w:cs="Times New Roman"/>
                      <w:color w:val="auto"/>
                      <w:spacing w:val="5"/>
                      <w:sz w:val="21"/>
                      <w:szCs w:val="21"/>
                      <w:lang w:eastAsia="zh-CN"/>
                    </w:rPr>
                    <w:t>A001</w:t>
                  </w:r>
                </w:p>
              </w:tc>
              <w:tc>
                <w:tcPr>
                  <w:tcW w:w="522" w:type="pct"/>
                  <w:tcBorders>
                    <w:bottom w:val="single" w:color="auto" w:sz="4" w:space="0"/>
                    <w:tl2br w:val="nil"/>
                    <w:tr2bl w:val="nil"/>
                  </w:tcBorders>
                  <w:noWrap/>
                  <w:vAlign w:val="center"/>
                </w:tcPr>
                <w:p w14:paraId="0C46D509">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25000</w:t>
                  </w:r>
                </w:p>
              </w:tc>
            </w:tr>
            <w:tr w14:paraId="131295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9" w:hRule="atLeast"/>
                <w:jc w:val="center"/>
              </w:trPr>
              <w:tc>
                <w:tcPr>
                  <w:tcW w:w="923" w:type="pct"/>
                  <w:tcBorders>
                    <w:tl2br w:val="nil"/>
                    <w:tr2bl w:val="nil"/>
                  </w:tcBorders>
                  <w:shd w:val="clear" w:color="auto" w:fill="auto"/>
                  <w:noWrap/>
                  <w:vAlign w:val="center"/>
                </w:tcPr>
                <w:p w14:paraId="0472706D">
                  <w:pPr>
                    <w:widowControl/>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lang w:val="en-US" w:eastAsia="zh-CN"/>
                    </w:rPr>
                    <w:t>焙烧</w:t>
                  </w:r>
                  <w:r>
                    <w:rPr>
                      <w:rFonts w:hint="default" w:ascii="Times New Roman" w:hAnsi="Times New Roman" w:cs="Times New Roman"/>
                      <w:color w:val="auto"/>
                    </w:rPr>
                    <w:t>粉尘G2</w:t>
                  </w:r>
                </w:p>
              </w:tc>
              <w:tc>
                <w:tcPr>
                  <w:tcW w:w="1004" w:type="pct"/>
                  <w:tcBorders>
                    <w:bottom w:val="single" w:color="auto" w:sz="4" w:space="0"/>
                    <w:right w:val="single" w:color="auto" w:sz="4" w:space="0"/>
                    <w:tl2br w:val="nil"/>
                    <w:tr2bl w:val="nil"/>
                  </w:tcBorders>
                  <w:shd w:val="clear" w:color="auto" w:fill="auto"/>
                  <w:noWrap/>
                  <w:vAlign w:val="center"/>
                </w:tcPr>
                <w:p w14:paraId="0DE7B884">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焙烧装置出料口上方</w:t>
                  </w:r>
                  <w:r>
                    <w:rPr>
                      <w:rFonts w:hint="default" w:ascii="Times New Roman" w:hAnsi="Times New Roman" w:cs="Times New Roman"/>
                      <w:color w:val="auto"/>
                      <w:spacing w:val="5"/>
                      <w:sz w:val="21"/>
                      <w:szCs w:val="21"/>
                      <w:lang w:eastAsia="zh-CN"/>
                    </w:rPr>
                    <w:t>集气罩</w:t>
                  </w:r>
                </w:p>
              </w:tc>
              <w:tc>
                <w:tcPr>
                  <w:tcW w:w="444" w:type="pct"/>
                  <w:tcBorders>
                    <w:top w:val="single" w:color="auto" w:sz="4" w:space="0"/>
                    <w:left w:val="single" w:color="auto" w:sz="4" w:space="0"/>
                    <w:bottom w:val="single" w:color="auto" w:sz="4" w:space="0"/>
                    <w:tl2br w:val="nil"/>
                    <w:tr2bl w:val="nil"/>
                  </w:tcBorders>
                  <w:shd w:val="clear" w:color="auto" w:fill="auto"/>
                  <w:noWrap/>
                  <w:vAlign w:val="center"/>
                </w:tcPr>
                <w:p w14:paraId="4FC13B06">
                  <w:pPr>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eastAsia="zh-CN"/>
                    </w:rPr>
                    <w:t>85%</w:t>
                  </w:r>
                </w:p>
              </w:tc>
              <w:tc>
                <w:tcPr>
                  <w:tcW w:w="991" w:type="pct"/>
                  <w:tcBorders>
                    <w:top w:val="single" w:color="auto" w:sz="4" w:space="0"/>
                    <w:bottom w:val="single" w:color="auto" w:sz="4" w:space="0"/>
                    <w:tl2br w:val="nil"/>
                    <w:tr2bl w:val="nil"/>
                  </w:tcBorders>
                  <w:shd w:val="clear" w:color="auto" w:fill="auto"/>
                  <w:noWrap/>
                  <w:vAlign w:val="center"/>
                </w:tcPr>
                <w:p w14:paraId="60B452BD">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水喷淋</w:t>
                  </w:r>
                  <w:r>
                    <w:rPr>
                      <w:rFonts w:hint="default" w:ascii="Times New Roman" w:hAnsi="Times New Roman" w:cs="Times New Roman"/>
                      <w:color w:val="auto"/>
                      <w:spacing w:val="5"/>
                      <w:sz w:val="21"/>
                      <w:szCs w:val="21"/>
                      <w:lang w:eastAsia="zh-CN"/>
                    </w:rPr>
                    <w:t>TA002</w:t>
                  </w:r>
                </w:p>
              </w:tc>
              <w:tc>
                <w:tcPr>
                  <w:tcW w:w="569" w:type="pct"/>
                  <w:tcBorders>
                    <w:top w:val="single" w:color="auto" w:sz="4" w:space="0"/>
                    <w:bottom w:val="single" w:color="auto" w:sz="4" w:space="0"/>
                    <w:tl2br w:val="nil"/>
                    <w:tr2bl w:val="nil"/>
                  </w:tcBorders>
                  <w:shd w:val="clear" w:color="auto" w:fill="auto"/>
                  <w:noWrap/>
                  <w:vAlign w:val="center"/>
                </w:tcPr>
                <w:p w14:paraId="72E2BD62">
                  <w:pPr>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eastAsia" w:cs="Times New Roman"/>
                      <w:color w:val="auto"/>
                      <w:spacing w:val="5"/>
                      <w:sz w:val="21"/>
                      <w:szCs w:val="21"/>
                      <w:lang w:val="en-US" w:eastAsia="zh-CN"/>
                    </w:rPr>
                    <w:t>80</w:t>
                  </w:r>
                  <w:r>
                    <w:rPr>
                      <w:rFonts w:hint="default" w:ascii="Times New Roman" w:hAnsi="Times New Roman" w:cs="Times New Roman"/>
                      <w:color w:val="auto"/>
                      <w:spacing w:val="5"/>
                      <w:sz w:val="21"/>
                      <w:szCs w:val="21"/>
                      <w:lang w:val="en-US" w:eastAsia="zh-CN"/>
                    </w:rPr>
                    <w:t>%</w:t>
                  </w:r>
                </w:p>
              </w:tc>
              <w:tc>
                <w:tcPr>
                  <w:tcW w:w="543" w:type="pct"/>
                  <w:tcBorders>
                    <w:top w:val="single" w:color="auto" w:sz="4" w:space="0"/>
                    <w:bottom w:val="single" w:color="auto" w:sz="4" w:space="0"/>
                    <w:tl2br w:val="nil"/>
                    <w:tr2bl w:val="nil"/>
                  </w:tcBorders>
                  <w:noWrap/>
                  <w:vAlign w:val="center"/>
                </w:tcPr>
                <w:p w14:paraId="659BD076">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sz w:val="21"/>
                      <w:szCs w:val="21"/>
                      <w:lang w:val="en-US" w:eastAsia="zh-CN"/>
                    </w:rPr>
                  </w:pPr>
                  <w:r>
                    <w:rPr>
                      <w:rFonts w:hint="default" w:ascii="Times New Roman" w:hAnsi="Times New Roman" w:cs="Times New Roman"/>
                      <w:color w:val="auto"/>
                      <w:spacing w:val="5"/>
                      <w:sz w:val="21"/>
                      <w:szCs w:val="21"/>
                      <w:lang w:val="en-US" w:eastAsia="zh-CN"/>
                    </w:rPr>
                    <w:t>D</w:t>
                  </w:r>
                  <w:r>
                    <w:rPr>
                      <w:rFonts w:hint="default" w:ascii="Times New Roman" w:hAnsi="Times New Roman" w:cs="Times New Roman"/>
                      <w:color w:val="auto"/>
                      <w:spacing w:val="5"/>
                      <w:sz w:val="21"/>
                      <w:szCs w:val="21"/>
                      <w:lang w:eastAsia="zh-CN"/>
                    </w:rPr>
                    <w:t>A00</w:t>
                  </w:r>
                  <w:r>
                    <w:rPr>
                      <w:rFonts w:hint="default" w:ascii="Times New Roman" w:hAnsi="Times New Roman" w:cs="Times New Roman"/>
                      <w:color w:val="auto"/>
                      <w:spacing w:val="5"/>
                      <w:sz w:val="21"/>
                      <w:szCs w:val="21"/>
                      <w:lang w:val="en-US" w:eastAsia="zh-CN"/>
                    </w:rPr>
                    <w:t>2</w:t>
                  </w:r>
                </w:p>
              </w:tc>
              <w:tc>
                <w:tcPr>
                  <w:tcW w:w="522" w:type="pct"/>
                  <w:tcBorders>
                    <w:top w:val="single" w:color="auto" w:sz="4" w:space="0"/>
                    <w:bottom w:val="single" w:color="auto" w:sz="4" w:space="0"/>
                    <w:tl2br w:val="nil"/>
                    <w:tr2bl w:val="nil"/>
                  </w:tcBorders>
                  <w:noWrap/>
                  <w:vAlign w:val="center"/>
                </w:tcPr>
                <w:p w14:paraId="373A4265">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3500</w:t>
                  </w:r>
                </w:p>
              </w:tc>
            </w:tr>
            <w:tr w14:paraId="167940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923" w:type="pct"/>
                  <w:tcBorders>
                    <w:tl2br w:val="nil"/>
                    <w:tr2bl w:val="nil"/>
                  </w:tcBorders>
                  <w:shd w:val="clear" w:color="auto" w:fill="auto"/>
                  <w:noWrap/>
                  <w:vAlign w:val="center"/>
                </w:tcPr>
                <w:p w14:paraId="23DB5F8E">
                  <w:pPr>
                    <w:widowControl/>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lang w:val="en-US" w:eastAsia="zh-CN"/>
                    </w:rPr>
                    <w:t>制砂</w:t>
                  </w:r>
                  <w:r>
                    <w:rPr>
                      <w:rFonts w:hint="default" w:ascii="Times New Roman" w:hAnsi="Times New Roman" w:cs="Times New Roman"/>
                      <w:color w:val="auto"/>
                    </w:rPr>
                    <w:t>粉尘G3</w:t>
                  </w:r>
                </w:p>
              </w:tc>
              <w:tc>
                <w:tcPr>
                  <w:tcW w:w="1004" w:type="pct"/>
                  <w:tcBorders>
                    <w:right w:val="single" w:color="auto" w:sz="4" w:space="0"/>
                    <w:tl2br w:val="nil"/>
                    <w:tr2bl w:val="nil"/>
                  </w:tcBorders>
                  <w:shd w:val="clear" w:color="auto" w:fill="auto"/>
                  <w:noWrap/>
                  <w:vAlign w:val="center"/>
                </w:tcPr>
                <w:p w14:paraId="3912051D">
                  <w:pPr>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制砂装置上方</w:t>
                  </w:r>
                  <w:r>
                    <w:rPr>
                      <w:rFonts w:hint="default" w:ascii="Times New Roman" w:hAnsi="Times New Roman" w:cs="Times New Roman"/>
                      <w:color w:val="auto"/>
                      <w:spacing w:val="5"/>
                      <w:szCs w:val="21"/>
                    </w:rPr>
                    <w:t>集气罩</w:t>
                  </w:r>
                </w:p>
              </w:tc>
              <w:tc>
                <w:tcPr>
                  <w:tcW w:w="444" w:type="pct"/>
                  <w:tcBorders>
                    <w:left w:val="single" w:color="auto" w:sz="4" w:space="0"/>
                    <w:bottom w:val="single" w:color="auto" w:sz="4" w:space="0"/>
                    <w:tl2br w:val="nil"/>
                    <w:tr2bl w:val="nil"/>
                  </w:tcBorders>
                  <w:shd w:val="clear" w:color="auto" w:fill="auto"/>
                  <w:noWrap/>
                  <w:vAlign w:val="center"/>
                </w:tcPr>
                <w:p w14:paraId="4B65C479">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eastAsia="zh-CN"/>
                    </w:rPr>
                    <w:t>85%</w:t>
                  </w:r>
                </w:p>
              </w:tc>
              <w:tc>
                <w:tcPr>
                  <w:tcW w:w="991" w:type="pct"/>
                  <w:tcBorders>
                    <w:bottom w:val="single" w:color="auto" w:sz="4" w:space="0"/>
                    <w:tl2br w:val="nil"/>
                    <w:tr2bl w:val="nil"/>
                  </w:tcBorders>
                  <w:shd w:val="clear" w:color="auto" w:fill="auto"/>
                  <w:noWrap/>
                  <w:vAlign w:val="center"/>
                </w:tcPr>
                <w:p w14:paraId="5F80EE60">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eastAsia="zh-CN"/>
                    </w:rPr>
                    <w:t>布袋除尘TA001</w:t>
                  </w:r>
                </w:p>
              </w:tc>
              <w:tc>
                <w:tcPr>
                  <w:tcW w:w="569" w:type="pct"/>
                  <w:tcBorders>
                    <w:top w:val="single" w:color="auto" w:sz="4" w:space="0"/>
                    <w:bottom w:val="single" w:color="auto" w:sz="4" w:space="0"/>
                    <w:tl2br w:val="nil"/>
                    <w:tr2bl w:val="nil"/>
                  </w:tcBorders>
                  <w:shd w:val="clear" w:color="auto" w:fill="auto"/>
                  <w:noWrap/>
                  <w:vAlign w:val="center"/>
                </w:tcPr>
                <w:p w14:paraId="701DFC50">
                  <w:pPr>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99</w:t>
                  </w:r>
                  <w:r>
                    <w:rPr>
                      <w:rFonts w:hint="default" w:ascii="Times New Roman" w:hAnsi="Times New Roman" w:cs="Times New Roman"/>
                      <w:color w:val="auto"/>
                      <w:spacing w:val="5"/>
                      <w:sz w:val="21"/>
                      <w:szCs w:val="21"/>
                      <w:lang w:eastAsia="zh-CN"/>
                    </w:rPr>
                    <w:t>%</w:t>
                  </w:r>
                </w:p>
              </w:tc>
              <w:tc>
                <w:tcPr>
                  <w:tcW w:w="543" w:type="pct"/>
                  <w:tcBorders>
                    <w:top w:val="single" w:color="auto" w:sz="4" w:space="0"/>
                    <w:bottom w:val="single" w:color="auto" w:sz="4" w:space="0"/>
                    <w:right w:val="single" w:color="auto" w:sz="4" w:space="0"/>
                    <w:tl2br w:val="nil"/>
                    <w:tr2bl w:val="nil"/>
                  </w:tcBorders>
                  <w:noWrap/>
                  <w:vAlign w:val="center"/>
                </w:tcPr>
                <w:p w14:paraId="32A2677C">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D</w:t>
                  </w:r>
                  <w:r>
                    <w:rPr>
                      <w:rFonts w:hint="default" w:ascii="Times New Roman" w:hAnsi="Times New Roman" w:cs="Times New Roman"/>
                      <w:color w:val="auto"/>
                      <w:spacing w:val="5"/>
                      <w:sz w:val="21"/>
                      <w:szCs w:val="21"/>
                      <w:lang w:eastAsia="zh-CN"/>
                    </w:rPr>
                    <w:t>A001</w:t>
                  </w:r>
                </w:p>
              </w:tc>
              <w:tc>
                <w:tcPr>
                  <w:tcW w:w="522" w:type="pct"/>
                  <w:tcBorders>
                    <w:top w:val="single" w:color="auto" w:sz="4" w:space="0"/>
                    <w:left w:val="single" w:color="auto" w:sz="4" w:space="0"/>
                    <w:bottom w:val="single" w:color="auto" w:sz="4" w:space="0"/>
                    <w:tl2br w:val="nil"/>
                    <w:tr2bl w:val="nil"/>
                  </w:tcBorders>
                  <w:noWrap/>
                  <w:vAlign w:val="center"/>
                </w:tcPr>
                <w:p w14:paraId="49B8F983">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val="en-US" w:eastAsia="zh-CN"/>
                    </w:rPr>
                    <w:t>25000</w:t>
                  </w:r>
                </w:p>
              </w:tc>
            </w:tr>
            <w:tr w14:paraId="330AB7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5" w:hRule="atLeast"/>
                <w:jc w:val="center"/>
              </w:trPr>
              <w:tc>
                <w:tcPr>
                  <w:tcW w:w="923" w:type="pct"/>
                  <w:tcBorders>
                    <w:tl2br w:val="nil"/>
                    <w:tr2bl w:val="nil"/>
                  </w:tcBorders>
                  <w:shd w:val="clear" w:color="auto" w:fill="auto"/>
                  <w:noWrap/>
                  <w:vAlign w:val="center"/>
                </w:tcPr>
                <w:p w14:paraId="2F04D180">
                  <w:pPr>
                    <w:widowControl/>
                    <w:jc w:val="center"/>
                    <w:textAlignment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rPr>
                    <w:t>磁选废气G</w:t>
                  </w:r>
                  <w:r>
                    <w:rPr>
                      <w:rFonts w:hint="default" w:ascii="Times New Roman" w:hAnsi="Times New Roman" w:cs="Times New Roman"/>
                      <w:color w:val="auto"/>
                      <w:lang w:val="en-US" w:eastAsia="zh-CN"/>
                    </w:rPr>
                    <w:t>4、G7</w:t>
                  </w:r>
                </w:p>
              </w:tc>
              <w:tc>
                <w:tcPr>
                  <w:tcW w:w="1004" w:type="pct"/>
                  <w:tcBorders>
                    <w:bottom w:val="single" w:color="auto" w:sz="4" w:space="0"/>
                    <w:right w:val="single" w:color="auto" w:sz="4" w:space="0"/>
                    <w:tl2br w:val="nil"/>
                    <w:tr2bl w:val="nil"/>
                  </w:tcBorders>
                  <w:shd w:val="clear" w:color="auto" w:fill="auto"/>
                  <w:noWrap/>
                  <w:vAlign w:val="center"/>
                </w:tcPr>
                <w:p w14:paraId="694B96B2">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装置上方</w:t>
                  </w:r>
                  <w:r>
                    <w:rPr>
                      <w:rFonts w:hint="default" w:ascii="Times New Roman" w:hAnsi="Times New Roman" w:cs="Times New Roman"/>
                      <w:color w:val="auto"/>
                      <w:spacing w:val="5"/>
                      <w:sz w:val="21"/>
                      <w:szCs w:val="21"/>
                      <w:lang w:eastAsia="zh-CN"/>
                    </w:rPr>
                    <w:t>集气罩</w:t>
                  </w:r>
                </w:p>
              </w:tc>
              <w:tc>
                <w:tcPr>
                  <w:tcW w:w="444" w:type="pct"/>
                  <w:tcBorders>
                    <w:top w:val="single" w:color="auto" w:sz="4" w:space="0"/>
                    <w:left w:val="single" w:color="auto" w:sz="4" w:space="0"/>
                    <w:bottom w:val="single" w:color="auto" w:sz="4" w:space="0"/>
                    <w:tl2br w:val="nil"/>
                    <w:tr2bl w:val="nil"/>
                  </w:tcBorders>
                  <w:shd w:val="clear" w:color="auto" w:fill="auto"/>
                  <w:noWrap/>
                  <w:vAlign w:val="center"/>
                </w:tcPr>
                <w:p w14:paraId="25251ED4">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eastAsia="zh-CN"/>
                    </w:rPr>
                    <w:t>85%</w:t>
                  </w:r>
                </w:p>
              </w:tc>
              <w:tc>
                <w:tcPr>
                  <w:tcW w:w="991" w:type="pct"/>
                  <w:tcBorders>
                    <w:top w:val="single" w:color="auto" w:sz="4" w:space="0"/>
                    <w:bottom w:val="single" w:color="auto" w:sz="4" w:space="0"/>
                    <w:tl2br w:val="nil"/>
                    <w:tr2bl w:val="nil"/>
                  </w:tcBorders>
                  <w:shd w:val="clear" w:color="auto" w:fill="auto"/>
                  <w:noWrap/>
                  <w:vAlign w:val="center"/>
                </w:tcPr>
                <w:p w14:paraId="0428D368">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eastAsia="zh-CN"/>
                    </w:rPr>
                    <w:t>布袋除尘TA001</w:t>
                  </w:r>
                </w:p>
              </w:tc>
              <w:tc>
                <w:tcPr>
                  <w:tcW w:w="569" w:type="pct"/>
                  <w:tcBorders>
                    <w:top w:val="single" w:color="auto" w:sz="4" w:space="0"/>
                    <w:bottom w:val="single" w:color="auto" w:sz="4" w:space="0"/>
                    <w:tl2br w:val="nil"/>
                    <w:tr2bl w:val="nil"/>
                  </w:tcBorders>
                  <w:shd w:val="clear" w:color="auto" w:fill="auto"/>
                  <w:noWrap/>
                  <w:vAlign w:val="center"/>
                </w:tcPr>
                <w:p w14:paraId="47905279">
                  <w:pPr>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99</w:t>
                  </w:r>
                  <w:r>
                    <w:rPr>
                      <w:rFonts w:hint="default" w:ascii="Times New Roman" w:hAnsi="Times New Roman" w:cs="Times New Roman"/>
                      <w:color w:val="auto"/>
                      <w:spacing w:val="5"/>
                      <w:sz w:val="21"/>
                      <w:szCs w:val="21"/>
                      <w:lang w:eastAsia="zh-CN"/>
                    </w:rPr>
                    <w:t>%</w:t>
                  </w:r>
                </w:p>
              </w:tc>
              <w:tc>
                <w:tcPr>
                  <w:tcW w:w="543" w:type="pct"/>
                  <w:tcBorders>
                    <w:top w:val="single" w:color="auto" w:sz="4" w:space="0"/>
                    <w:bottom w:val="single" w:color="auto" w:sz="4" w:space="0"/>
                    <w:tl2br w:val="nil"/>
                    <w:tr2bl w:val="nil"/>
                  </w:tcBorders>
                  <w:noWrap/>
                  <w:vAlign w:val="center"/>
                </w:tcPr>
                <w:p w14:paraId="5E2A70B3">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D</w:t>
                  </w:r>
                  <w:r>
                    <w:rPr>
                      <w:rFonts w:hint="default" w:ascii="Times New Roman" w:hAnsi="Times New Roman" w:cs="Times New Roman"/>
                      <w:color w:val="auto"/>
                      <w:spacing w:val="5"/>
                      <w:sz w:val="21"/>
                      <w:szCs w:val="21"/>
                      <w:lang w:eastAsia="zh-CN"/>
                    </w:rPr>
                    <w:t>A001</w:t>
                  </w:r>
                </w:p>
              </w:tc>
              <w:tc>
                <w:tcPr>
                  <w:tcW w:w="522" w:type="pct"/>
                  <w:tcBorders>
                    <w:top w:val="single" w:color="auto" w:sz="4" w:space="0"/>
                    <w:bottom w:val="single" w:color="auto" w:sz="4" w:space="0"/>
                    <w:tl2br w:val="nil"/>
                    <w:tr2bl w:val="nil"/>
                  </w:tcBorders>
                  <w:noWrap/>
                  <w:vAlign w:val="center"/>
                </w:tcPr>
                <w:p w14:paraId="15DA7886">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val="en-US" w:eastAsia="zh-CN"/>
                    </w:rPr>
                    <w:t>25000</w:t>
                  </w:r>
                </w:p>
              </w:tc>
            </w:tr>
            <w:tr w14:paraId="482EFE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7" w:hRule="atLeast"/>
                <w:jc w:val="center"/>
              </w:trPr>
              <w:tc>
                <w:tcPr>
                  <w:tcW w:w="923" w:type="pct"/>
                  <w:tcBorders>
                    <w:tl2br w:val="nil"/>
                    <w:tr2bl w:val="nil"/>
                  </w:tcBorders>
                  <w:shd w:val="clear" w:color="auto" w:fill="auto"/>
                  <w:noWrap/>
                  <w:vAlign w:val="center"/>
                </w:tcPr>
                <w:p w14:paraId="666FF9E3">
                  <w:pPr>
                    <w:widowControl/>
                    <w:jc w:val="center"/>
                    <w:textAlignment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烤砂废气G6</w:t>
                  </w:r>
                </w:p>
              </w:tc>
              <w:tc>
                <w:tcPr>
                  <w:tcW w:w="1004" w:type="pct"/>
                  <w:tcBorders>
                    <w:bottom w:val="single" w:color="auto" w:sz="4" w:space="0"/>
                    <w:right w:val="single" w:color="auto" w:sz="4" w:space="0"/>
                    <w:tl2br w:val="nil"/>
                    <w:tr2bl w:val="nil"/>
                  </w:tcBorders>
                  <w:shd w:val="clear" w:color="auto" w:fill="auto"/>
                  <w:noWrap/>
                  <w:vAlign w:val="center"/>
                </w:tcPr>
                <w:p w14:paraId="7AC9E8CF">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装置出料口上方</w:t>
                  </w:r>
                  <w:r>
                    <w:rPr>
                      <w:rFonts w:hint="default" w:ascii="Times New Roman" w:hAnsi="Times New Roman" w:cs="Times New Roman"/>
                      <w:color w:val="auto"/>
                      <w:spacing w:val="5"/>
                      <w:sz w:val="21"/>
                      <w:szCs w:val="21"/>
                      <w:lang w:eastAsia="zh-CN"/>
                    </w:rPr>
                    <w:t>集气罩</w:t>
                  </w:r>
                </w:p>
              </w:tc>
              <w:tc>
                <w:tcPr>
                  <w:tcW w:w="444" w:type="pct"/>
                  <w:tcBorders>
                    <w:top w:val="single" w:color="auto" w:sz="4" w:space="0"/>
                    <w:left w:val="single" w:color="auto" w:sz="4" w:space="0"/>
                    <w:bottom w:val="single" w:color="auto" w:sz="4" w:space="0"/>
                    <w:tl2br w:val="nil"/>
                    <w:tr2bl w:val="nil"/>
                  </w:tcBorders>
                  <w:shd w:val="clear" w:color="auto" w:fill="auto"/>
                  <w:noWrap/>
                  <w:vAlign w:val="center"/>
                </w:tcPr>
                <w:p w14:paraId="2E66F284">
                  <w:pPr>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eastAsia="zh-CN"/>
                    </w:rPr>
                    <w:t>85%</w:t>
                  </w:r>
                </w:p>
              </w:tc>
              <w:tc>
                <w:tcPr>
                  <w:tcW w:w="991" w:type="pct"/>
                  <w:tcBorders>
                    <w:top w:val="single" w:color="auto" w:sz="4" w:space="0"/>
                    <w:bottom w:val="single" w:color="auto" w:sz="4" w:space="0"/>
                    <w:tl2br w:val="nil"/>
                    <w:tr2bl w:val="nil"/>
                  </w:tcBorders>
                  <w:shd w:val="clear" w:color="auto" w:fill="auto"/>
                  <w:noWrap/>
                  <w:vAlign w:val="center"/>
                </w:tcPr>
                <w:p w14:paraId="00291CAC">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水喷淋</w:t>
                  </w:r>
                  <w:r>
                    <w:rPr>
                      <w:rFonts w:hint="default" w:ascii="Times New Roman" w:hAnsi="Times New Roman" w:cs="Times New Roman"/>
                      <w:color w:val="auto"/>
                      <w:spacing w:val="5"/>
                      <w:sz w:val="21"/>
                      <w:szCs w:val="21"/>
                      <w:lang w:eastAsia="zh-CN"/>
                    </w:rPr>
                    <w:t>TA00</w:t>
                  </w:r>
                  <w:r>
                    <w:rPr>
                      <w:rFonts w:hint="default" w:ascii="Times New Roman" w:hAnsi="Times New Roman" w:cs="Times New Roman"/>
                      <w:color w:val="auto"/>
                      <w:spacing w:val="5"/>
                      <w:sz w:val="21"/>
                      <w:szCs w:val="21"/>
                      <w:lang w:val="en-US" w:eastAsia="zh-CN"/>
                    </w:rPr>
                    <w:t>4</w:t>
                  </w:r>
                </w:p>
              </w:tc>
              <w:tc>
                <w:tcPr>
                  <w:tcW w:w="569" w:type="pct"/>
                  <w:tcBorders>
                    <w:top w:val="single" w:color="auto" w:sz="4" w:space="0"/>
                    <w:bottom w:val="single" w:color="auto" w:sz="4" w:space="0"/>
                    <w:tl2br w:val="nil"/>
                    <w:tr2bl w:val="nil"/>
                  </w:tcBorders>
                  <w:shd w:val="clear" w:color="auto" w:fill="auto"/>
                  <w:noWrap/>
                  <w:vAlign w:val="center"/>
                </w:tcPr>
                <w:p w14:paraId="43389D41">
                  <w:pPr>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eastAsia" w:cs="Times New Roman"/>
                      <w:color w:val="auto"/>
                      <w:spacing w:val="5"/>
                      <w:sz w:val="21"/>
                      <w:szCs w:val="21"/>
                      <w:lang w:val="en-US" w:eastAsia="zh-CN"/>
                    </w:rPr>
                    <w:t>80</w:t>
                  </w:r>
                  <w:r>
                    <w:rPr>
                      <w:rFonts w:hint="default" w:ascii="Times New Roman" w:hAnsi="Times New Roman" w:cs="Times New Roman"/>
                      <w:color w:val="auto"/>
                      <w:spacing w:val="5"/>
                      <w:sz w:val="21"/>
                      <w:szCs w:val="21"/>
                      <w:lang w:val="en-US" w:eastAsia="zh-CN"/>
                    </w:rPr>
                    <w:t>%</w:t>
                  </w:r>
                </w:p>
              </w:tc>
              <w:tc>
                <w:tcPr>
                  <w:tcW w:w="543" w:type="pct"/>
                  <w:tcBorders>
                    <w:top w:val="single" w:color="auto" w:sz="4" w:space="0"/>
                    <w:bottom w:val="single" w:color="auto" w:sz="4" w:space="0"/>
                    <w:tl2br w:val="nil"/>
                    <w:tr2bl w:val="nil"/>
                  </w:tcBorders>
                  <w:noWrap/>
                  <w:vAlign w:val="center"/>
                </w:tcPr>
                <w:p w14:paraId="7F49E489">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D</w:t>
                  </w:r>
                  <w:r>
                    <w:rPr>
                      <w:rFonts w:hint="default" w:ascii="Times New Roman" w:hAnsi="Times New Roman" w:cs="Times New Roman"/>
                      <w:color w:val="auto"/>
                      <w:spacing w:val="5"/>
                      <w:sz w:val="21"/>
                      <w:szCs w:val="21"/>
                      <w:lang w:eastAsia="zh-CN"/>
                    </w:rPr>
                    <w:t>A00</w:t>
                  </w:r>
                  <w:r>
                    <w:rPr>
                      <w:rFonts w:hint="default" w:ascii="Times New Roman" w:hAnsi="Times New Roman" w:cs="Times New Roman"/>
                      <w:color w:val="auto"/>
                      <w:spacing w:val="5"/>
                      <w:sz w:val="21"/>
                      <w:szCs w:val="21"/>
                      <w:lang w:val="en-US" w:eastAsia="zh-CN"/>
                    </w:rPr>
                    <w:t>4</w:t>
                  </w:r>
                </w:p>
              </w:tc>
              <w:tc>
                <w:tcPr>
                  <w:tcW w:w="522" w:type="pct"/>
                  <w:tcBorders>
                    <w:top w:val="single" w:color="auto" w:sz="4" w:space="0"/>
                    <w:bottom w:val="single" w:color="auto" w:sz="4" w:space="0"/>
                    <w:tl2br w:val="nil"/>
                    <w:tr2bl w:val="nil"/>
                  </w:tcBorders>
                  <w:noWrap/>
                  <w:vAlign w:val="center"/>
                </w:tcPr>
                <w:p w14:paraId="61D168B5">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3500</w:t>
                  </w:r>
                </w:p>
              </w:tc>
            </w:tr>
            <w:tr w14:paraId="0DB947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923" w:type="pct"/>
                  <w:tcBorders>
                    <w:tl2br w:val="nil"/>
                    <w:tr2bl w:val="nil"/>
                  </w:tcBorders>
                  <w:noWrap/>
                  <w:vAlign w:val="center"/>
                </w:tcPr>
                <w:p w14:paraId="67D4C3D6">
                  <w:pPr>
                    <w:widowControl/>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纯化废气G</w:t>
                  </w: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rPr>
                    <w:t>中粉尘废气</w:t>
                  </w:r>
                </w:p>
              </w:tc>
              <w:tc>
                <w:tcPr>
                  <w:tcW w:w="1004" w:type="pct"/>
                  <w:tcBorders>
                    <w:right w:val="single" w:color="auto" w:sz="4" w:space="0"/>
                    <w:tl2br w:val="nil"/>
                    <w:tr2bl w:val="nil"/>
                  </w:tcBorders>
                  <w:noWrap/>
                  <w:vAlign w:val="center"/>
                </w:tcPr>
                <w:p w14:paraId="2420FE18">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val="en-US" w:eastAsia="zh-CN"/>
                    </w:rPr>
                    <w:t>管道</w:t>
                  </w:r>
                </w:p>
              </w:tc>
              <w:tc>
                <w:tcPr>
                  <w:tcW w:w="444" w:type="pct"/>
                  <w:tcBorders>
                    <w:left w:val="single" w:color="auto" w:sz="4" w:space="0"/>
                    <w:tl2br w:val="nil"/>
                    <w:tr2bl w:val="nil"/>
                  </w:tcBorders>
                  <w:shd w:val="clear" w:color="auto" w:fill="auto"/>
                  <w:noWrap/>
                  <w:vAlign w:val="center"/>
                </w:tcPr>
                <w:p w14:paraId="073C2F4E">
                  <w:pPr>
                    <w:pStyle w:val="116"/>
                    <w:widowControl/>
                    <w:kinsoku w:val="0"/>
                    <w:autoSpaceDE w:val="0"/>
                    <w:autoSpaceDN w:val="0"/>
                    <w:adjustRightInd w:val="0"/>
                    <w:snapToGrid w:val="0"/>
                    <w:jc w:val="center"/>
                    <w:textAlignment w:val="baseline"/>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color w:val="auto"/>
                      <w:spacing w:val="5"/>
                      <w:sz w:val="21"/>
                      <w:szCs w:val="21"/>
                      <w:lang w:val="en-US" w:eastAsia="zh-CN"/>
                    </w:rPr>
                    <w:t>100%</w:t>
                  </w:r>
                </w:p>
              </w:tc>
              <w:tc>
                <w:tcPr>
                  <w:tcW w:w="991" w:type="pct"/>
                  <w:tcBorders>
                    <w:tl2br w:val="nil"/>
                    <w:tr2bl w:val="nil"/>
                  </w:tcBorders>
                  <w:noWrap/>
                  <w:vAlign w:val="center"/>
                </w:tcPr>
                <w:p w14:paraId="536F7842">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eastAsia" w:ascii="Times New Roman" w:hAnsi="Times New Roman" w:cs="Times New Roman"/>
                      <w:color w:val="auto"/>
                      <w:spacing w:val="5"/>
                      <w:sz w:val="21"/>
                      <w:szCs w:val="21"/>
                      <w:lang w:eastAsia="zh-CN"/>
                    </w:rPr>
                    <w:t>两级碱</w:t>
                  </w:r>
                  <w:r>
                    <w:rPr>
                      <w:rFonts w:hint="default" w:ascii="Times New Roman" w:hAnsi="Times New Roman" w:cs="Times New Roman"/>
                      <w:color w:val="auto"/>
                      <w:spacing w:val="5"/>
                      <w:sz w:val="21"/>
                      <w:szCs w:val="21"/>
                      <w:lang w:eastAsia="zh-CN"/>
                    </w:rPr>
                    <w:t>喷淋TA00</w:t>
                  </w:r>
                  <w:r>
                    <w:rPr>
                      <w:rFonts w:hint="default" w:ascii="Times New Roman" w:hAnsi="Times New Roman" w:cs="Times New Roman"/>
                      <w:color w:val="auto"/>
                      <w:spacing w:val="5"/>
                      <w:sz w:val="21"/>
                      <w:szCs w:val="21"/>
                      <w:lang w:val="en-US" w:eastAsia="zh-CN"/>
                    </w:rPr>
                    <w:t>5</w:t>
                  </w:r>
                </w:p>
              </w:tc>
              <w:tc>
                <w:tcPr>
                  <w:tcW w:w="569" w:type="pct"/>
                  <w:tcBorders>
                    <w:tl2br w:val="nil"/>
                    <w:tr2bl w:val="nil"/>
                  </w:tcBorders>
                  <w:noWrap/>
                  <w:vAlign w:val="center"/>
                </w:tcPr>
                <w:p w14:paraId="4BA14F9D">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eastAsia" w:cs="Times New Roman"/>
                      <w:color w:val="auto"/>
                      <w:spacing w:val="5"/>
                      <w:sz w:val="21"/>
                      <w:szCs w:val="21"/>
                      <w:lang w:val="en-US" w:eastAsia="zh-CN"/>
                    </w:rPr>
                    <w:t>80</w:t>
                  </w:r>
                  <w:r>
                    <w:rPr>
                      <w:rFonts w:hint="default" w:ascii="Times New Roman" w:hAnsi="Times New Roman" w:cs="Times New Roman"/>
                      <w:color w:val="auto"/>
                      <w:spacing w:val="5"/>
                      <w:sz w:val="21"/>
                      <w:szCs w:val="21"/>
                      <w:lang w:val="en-US" w:eastAsia="zh-CN"/>
                    </w:rPr>
                    <w:t>%</w:t>
                  </w:r>
                </w:p>
              </w:tc>
              <w:tc>
                <w:tcPr>
                  <w:tcW w:w="543" w:type="pct"/>
                  <w:tcBorders>
                    <w:tl2br w:val="nil"/>
                    <w:tr2bl w:val="nil"/>
                  </w:tcBorders>
                  <w:noWrap/>
                  <w:vAlign w:val="center"/>
                </w:tcPr>
                <w:p w14:paraId="0A6180EF">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D</w:t>
                  </w:r>
                  <w:r>
                    <w:rPr>
                      <w:rFonts w:hint="default" w:ascii="Times New Roman" w:hAnsi="Times New Roman" w:cs="Times New Roman"/>
                      <w:color w:val="auto"/>
                      <w:spacing w:val="5"/>
                      <w:sz w:val="21"/>
                      <w:szCs w:val="21"/>
                      <w:lang w:eastAsia="zh-CN"/>
                    </w:rPr>
                    <w:t>A00</w:t>
                  </w:r>
                  <w:r>
                    <w:rPr>
                      <w:rFonts w:hint="default" w:ascii="Times New Roman" w:hAnsi="Times New Roman" w:cs="Times New Roman"/>
                      <w:color w:val="auto"/>
                      <w:spacing w:val="5"/>
                      <w:sz w:val="21"/>
                      <w:szCs w:val="21"/>
                      <w:lang w:val="en-US" w:eastAsia="zh-CN"/>
                    </w:rPr>
                    <w:t>5</w:t>
                  </w:r>
                </w:p>
              </w:tc>
              <w:tc>
                <w:tcPr>
                  <w:tcW w:w="522" w:type="pct"/>
                  <w:tcBorders>
                    <w:tl2br w:val="nil"/>
                    <w:tr2bl w:val="nil"/>
                  </w:tcBorders>
                  <w:noWrap/>
                  <w:vAlign w:val="center"/>
                </w:tcPr>
                <w:p w14:paraId="502B91DB">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5000</w:t>
                  </w:r>
                </w:p>
              </w:tc>
            </w:tr>
            <w:tr w14:paraId="439ABC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23" w:type="pct"/>
                  <w:tcBorders>
                    <w:tl2br w:val="nil"/>
                    <w:tr2bl w:val="nil"/>
                  </w:tcBorders>
                  <w:noWrap/>
                  <w:vAlign w:val="center"/>
                </w:tcPr>
                <w:p w14:paraId="47D85CE6">
                  <w:pPr>
                    <w:widowControl/>
                    <w:jc w:val="center"/>
                    <w:textAlignment w:val="center"/>
                    <w:rPr>
                      <w:rFonts w:hint="default" w:ascii="Times New Roman" w:hAnsi="Times New Roman" w:cs="Times New Roman" w:eastAsiaTheme="minorEastAsia"/>
                      <w:color w:val="auto"/>
                      <w:kern w:val="0"/>
                      <w:szCs w:val="21"/>
                      <w:lang w:eastAsia="zh-CN"/>
                    </w:rPr>
                  </w:pPr>
                  <w:r>
                    <w:rPr>
                      <w:rFonts w:hint="default" w:ascii="Times New Roman" w:hAnsi="Times New Roman" w:cs="Times New Roman"/>
                      <w:color w:val="auto"/>
                      <w:szCs w:val="21"/>
                    </w:rPr>
                    <w:t>包装废气G</w:t>
                  </w:r>
                  <w:r>
                    <w:rPr>
                      <w:rFonts w:hint="default" w:ascii="Times New Roman" w:hAnsi="Times New Roman" w:cs="Times New Roman"/>
                      <w:color w:val="auto"/>
                      <w:szCs w:val="21"/>
                      <w:lang w:val="en-US" w:eastAsia="zh-CN"/>
                    </w:rPr>
                    <w:t>9</w:t>
                  </w:r>
                </w:p>
              </w:tc>
              <w:tc>
                <w:tcPr>
                  <w:tcW w:w="1004" w:type="pct"/>
                  <w:tcBorders>
                    <w:right w:val="single" w:color="auto" w:sz="4" w:space="0"/>
                    <w:tl2br w:val="nil"/>
                    <w:tr2bl w:val="nil"/>
                  </w:tcBorders>
                  <w:noWrap/>
                  <w:vAlign w:val="center"/>
                </w:tcPr>
                <w:p w14:paraId="040FA5AD">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无组织</w:t>
                  </w:r>
                </w:p>
              </w:tc>
              <w:tc>
                <w:tcPr>
                  <w:tcW w:w="444" w:type="pct"/>
                  <w:tcBorders>
                    <w:left w:val="single" w:color="auto" w:sz="4" w:space="0"/>
                    <w:tl2br w:val="nil"/>
                    <w:tr2bl w:val="nil"/>
                  </w:tcBorders>
                  <w:noWrap/>
                  <w:vAlign w:val="center"/>
                </w:tcPr>
                <w:p w14:paraId="449D7BA1">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w:t>
                  </w:r>
                </w:p>
              </w:tc>
              <w:tc>
                <w:tcPr>
                  <w:tcW w:w="991" w:type="pct"/>
                  <w:tcBorders>
                    <w:tl2br w:val="nil"/>
                    <w:tr2bl w:val="nil"/>
                  </w:tcBorders>
                  <w:noWrap/>
                  <w:vAlign w:val="center"/>
                </w:tcPr>
                <w:p w14:paraId="0446CD06">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加强车间通风</w:t>
                  </w:r>
                </w:p>
              </w:tc>
              <w:tc>
                <w:tcPr>
                  <w:tcW w:w="569" w:type="pct"/>
                  <w:tcBorders>
                    <w:tl2br w:val="nil"/>
                    <w:tr2bl w:val="nil"/>
                  </w:tcBorders>
                  <w:noWrap/>
                  <w:vAlign w:val="center"/>
                </w:tcPr>
                <w:p w14:paraId="3E08C6FD">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w:t>
                  </w:r>
                </w:p>
              </w:tc>
              <w:tc>
                <w:tcPr>
                  <w:tcW w:w="543" w:type="pct"/>
                  <w:tcBorders>
                    <w:tl2br w:val="nil"/>
                    <w:tr2bl w:val="nil"/>
                  </w:tcBorders>
                  <w:noWrap/>
                  <w:vAlign w:val="center"/>
                </w:tcPr>
                <w:p w14:paraId="47329D44">
                  <w:pPr>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val="en-US" w:eastAsia="zh-CN"/>
                    </w:rPr>
                  </w:pPr>
                  <w:r>
                    <w:rPr>
                      <w:rFonts w:hint="default" w:ascii="Times New Roman" w:hAnsi="Times New Roman" w:cs="Times New Roman"/>
                      <w:color w:val="auto"/>
                      <w:spacing w:val="5"/>
                      <w:sz w:val="21"/>
                      <w:szCs w:val="21"/>
                      <w:lang w:eastAsia="zh-CN"/>
                    </w:rPr>
                    <w:t>/</w:t>
                  </w:r>
                </w:p>
              </w:tc>
              <w:tc>
                <w:tcPr>
                  <w:tcW w:w="522" w:type="pct"/>
                  <w:tcBorders>
                    <w:tl2br w:val="nil"/>
                    <w:tr2bl w:val="nil"/>
                  </w:tcBorders>
                  <w:noWrap/>
                  <w:vAlign w:val="center"/>
                </w:tcPr>
                <w:p w14:paraId="33E585BF">
                  <w:pPr>
                    <w:pStyle w:val="116"/>
                    <w:widowControl/>
                    <w:kinsoku w:val="0"/>
                    <w:autoSpaceDE w:val="0"/>
                    <w:autoSpaceDN w:val="0"/>
                    <w:adjustRightInd w:val="0"/>
                    <w:snapToGrid w:val="0"/>
                    <w:jc w:val="center"/>
                    <w:textAlignment w:val="baseline"/>
                    <w:rPr>
                      <w:rFonts w:hint="default" w:ascii="Times New Roman" w:hAnsi="Times New Roman" w:cs="Times New Roman"/>
                      <w:color w:val="auto"/>
                      <w:spacing w:val="5"/>
                      <w:sz w:val="21"/>
                      <w:szCs w:val="21"/>
                      <w:lang w:eastAsia="zh-CN"/>
                    </w:rPr>
                  </w:pPr>
                  <w:r>
                    <w:rPr>
                      <w:rFonts w:hint="default" w:ascii="Times New Roman" w:hAnsi="Times New Roman" w:cs="Times New Roman"/>
                      <w:color w:val="auto"/>
                      <w:spacing w:val="5"/>
                      <w:sz w:val="21"/>
                      <w:szCs w:val="21"/>
                      <w:lang w:eastAsia="zh-CN"/>
                    </w:rPr>
                    <w:t>/</w:t>
                  </w:r>
                </w:p>
              </w:tc>
            </w:tr>
          </w:tbl>
          <w:p w14:paraId="700FA4A8">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根据《废气处理工程技术手册》，风量设计按以下公式计算：</w:t>
            </w:r>
          </w:p>
          <w:p w14:paraId="38B449E6">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Q=F×V×3600</w:t>
            </w:r>
          </w:p>
          <w:p w14:paraId="16B8BE4C">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式中：Q——排风量，m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w:t>
            </w:r>
          </w:p>
          <w:p w14:paraId="5E19739D">
            <w:pPr>
              <w:spacing w:line="360" w:lineRule="auto"/>
              <w:ind w:firstLine="480"/>
              <w:rPr>
                <w:rFonts w:hint="default" w:ascii="Times New Roman" w:hAnsi="Times New Roman" w:cs="Times New Roman"/>
                <w:color w:val="auto"/>
                <w:kern w:val="0"/>
                <w:sz w:val="24"/>
              </w:rPr>
            </w:pPr>
            <w:r>
              <w:rPr>
                <w:rFonts w:hint="default" w:ascii="Times New Roman" w:hAnsi="Times New Roman" w:cs="Times New Roman"/>
                <w:color w:val="auto"/>
                <w:sz w:val="24"/>
              </w:rPr>
              <w:t>F——吸风口的截面积，m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r>
              <w:rPr>
                <w:rFonts w:hint="default" w:ascii="Times New Roman" w:hAnsi="Times New Roman" w:cs="Times New Roman"/>
                <w:color w:val="auto"/>
                <w:sz w:val="24"/>
                <w:szCs w:val="24"/>
              </w:rPr>
              <w:t>颚破机上方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rPr>
              <w:t>、立轴制砂机上方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rPr>
              <w:t>、筛分机上方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rPr>
              <w:t>、高频筛上方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0.6</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rPr>
              <w:t>、磁选机上方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rPr>
              <w:t>、电磁式粉体除铁器上方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rPr>
              <w:t>、高磁选机上方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lang w:eastAsia="zh-CN"/>
              </w:rPr>
              <w:t>、高温焙烧炉</w:t>
            </w:r>
            <w:r>
              <w:rPr>
                <w:rFonts w:hint="default" w:ascii="Times New Roman" w:hAnsi="Times New Roman" w:cs="Times New Roman"/>
                <w:color w:val="auto"/>
                <w:sz w:val="24"/>
                <w:szCs w:val="24"/>
              </w:rPr>
              <w:t>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0.7</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szCs w:val="24"/>
                <w:lang w:eastAsia="zh-CN"/>
              </w:rPr>
              <w:t>、烤砂炉</w:t>
            </w:r>
            <w:r>
              <w:rPr>
                <w:rFonts w:hint="default" w:ascii="Times New Roman" w:hAnsi="Times New Roman" w:cs="Times New Roman"/>
                <w:color w:val="auto"/>
                <w:sz w:val="24"/>
                <w:szCs w:val="24"/>
                <w:lang w:val="en-US" w:eastAsia="zh-CN"/>
              </w:rPr>
              <w:t>上方</w:t>
            </w:r>
            <w:r>
              <w:rPr>
                <w:rFonts w:hint="default" w:ascii="Times New Roman" w:hAnsi="Times New Roman" w:cs="Times New Roman"/>
                <w:color w:val="auto"/>
                <w:sz w:val="24"/>
              </w:rPr>
              <w:t>截面积</w:t>
            </w:r>
            <w:r>
              <w:rPr>
                <w:rFonts w:hint="default" w:ascii="Times New Roman" w:hAnsi="Times New Roman" w:cs="Times New Roman"/>
                <w:color w:val="auto"/>
                <w:sz w:val="24"/>
                <w:lang w:val="en-US" w:eastAsia="zh-CN"/>
              </w:rPr>
              <w:t>0.8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p>
          <w:p w14:paraId="6D1246D5">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V——风速，m/s，</w:t>
            </w:r>
            <w:r>
              <w:rPr>
                <w:rFonts w:hint="default" w:ascii="Times New Roman" w:hAnsi="Times New Roman" w:cs="Times New Roman"/>
                <w:color w:val="auto"/>
                <w:kern w:val="0"/>
                <w:sz w:val="24"/>
              </w:rPr>
              <w:t>根据《局部排风设施控制风速检测与评估技术规范》（AQ/T4274-2016），上吸式排风罩粉尘控制风速为1.2m/s</w:t>
            </w:r>
            <w:r>
              <w:rPr>
                <w:rFonts w:hint="default" w:ascii="Times New Roman" w:hAnsi="Times New Roman" w:cs="Times New Roman"/>
                <w:color w:val="auto"/>
                <w:sz w:val="24"/>
              </w:rPr>
              <w:t>。</w:t>
            </w:r>
          </w:p>
          <w:p w14:paraId="1685F58C">
            <w:pPr>
              <w:adjustRightInd w:val="0"/>
              <w:snapToGrid w:val="0"/>
              <w:spacing w:line="360" w:lineRule="auto"/>
              <w:ind w:firstLine="480" w:firstLineChars="200"/>
              <w:contextualSpacing/>
              <w:jc w:val="left"/>
              <w:rPr>
                <w:rFonts w:hint="default" w:ascii="Times New Roman" w:hAnsi="Times New Roman" w:cs="Times New Roman"/>
                <w:color w:val="auto"/>
                <w:szCs w:val="21"/>
              </w:rPr>
            </w:pPr>
            <w:r>
              <w:rPr>
                <w:rFonts w:hint="default" w:ascii="Times New Roman" w:hAnsi="Times New Roman" w:cs="Times New Roman"/>
                <w:color w:val="auto"/>
                <w:sz w:val="24"/>
              </w:rPr>
              <w:t>由此计算出DA001风量为</w:t>
            </w:r>
            <w:r>
              <w:rPr>
                <w:rFonts w:hint="default" w:ascii="Times New Roman" w:hAnsi="Times New Roman" w:cs="Times New Roman"/>
                <w:color w:val="auto"/>
                <w:sz w:val="24"/>
                <w:lang w:val="en-US" w:eastAsia="zh-CN"/>
              </w:rPr>
              <w:t>25</w:t>
            </w:r>
            <w:r>
              <w:rPr>
                <w:rFonts w:hint="default" w:ascii="Times New Roman" w:hAnsi="Times New Roman" w:cs="Times New Roman"/>
                <w:color w:val="auto"/>
                <w:sz w:val="24"/>
              </w:rPr>
              <w:t>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/h（考虑风量损耗＜20%）</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DA00</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风量为</w:t>
            </w:r>
            <w:r>
              <w:rPr>
                <w:rFonts w:hint="default" w:ascii="Times New Roman" w:hAnsi="Times New Roman" w:cs="Times New Roman"/>
                <w:color w:val="auto"/>
                <w:sz w:val="24"/>
                <w:lang w:val="en-US" w:eastAsia="zh-CN"/>
              </w:rPr>
              <w:t>3200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/h（考虑风量损耗＜20%）</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DA00</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风量为</w:t>
            </w:r>
            <w:r>
              <w:rPr>
                <w:rFonts w:hint="default" w:ascii="Times New Roman" w:hAnsi="Times New Roman" w:cs="Times New Roman"/>
                <w:color w:val="auto"/>
                <w:sz w:val="24"/>
                <w:lang w:val="en-US" w:eastAsia="zh-CN"/>
              </w:rPr>
              <w:t>3800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 xml:space="preserve">/h（考虑风量损耗＜20%），可以满足收集效果。 </w:t>
            </w:r>
          </w:p>
          <w:p w14:paraId="12A6215A">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表4.2.1-3  项目粉尘排放情况表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3"/>
              <w:gridCol w:w="884"/>
              <w:gridCol w:w="1205"/>
              <w:gridCol w:w="1206"/>
              <w:gridCol w:w="1206"/>
              <w:gridCol w:w="1206"/>
              <w:gridCol w:w="1206"/>
            </w:tblGrid>
            <w:tr w14:paraId="3C252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907" w:type="dxa"/>
                  <w:gridSpan w:val="2"/>
                  <w:vAlign w:val="center"/>
                </w:tcPr>
                <w:p w14:paraId="58356FBB">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污染物</w:t>
                  </w:r>
                </w:p>
              </w:tc>
              <w:tc>
                <w:tcPr>
                  <w:tcW w:w="1205" w:type="dxa"/>
                  <w:vAlign w:val="center"/>
                </w:tcPr>
                <w:p w14:paraId="4F0ED961">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产生量</w:t>
                  </w:r>
                </w:p>
                <w:p w14:paraId="2723AED4">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06" w:type="dxa"/>
                  <w:vAlign w:val="center"/>
                </w:tcPr>
                <w:p w14:paraId="5F443C69">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削减量</w:t>
                  </w:r>
                </w:p>
                <w:p w14:paraId="2AB29A4B">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06" w:type="dxa"/>
                  <w:vAlign w:val="center"/>
                </w:tcPr>
                <w:p w14:paraId="3178EADF">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排放量</w:t>
                  </w:r>
                </w:p>
                <w:p w14:paraId="2C8640B6">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06" w:type="dxa"/>
                  <w:vAlign w:val="center"/>
                </w:tcPr>
                <w:p w14:paraId="3FC86F88">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最大排放速率（kg/h）</w:t>
                  </w:r>
                </w:p>
              </w:tc>
              <w:tc>
                <w:tcPr>
                  <w:tcW w:w="1206" w:type="dxa"/>
                  <w:vAlign w:val="center"/>
                </w:tcPr>
                <w:p w14:paraId="0AB730A6">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排放浓度（mg/m</w:t>
                  </w:r>
                  <w:r>
                    <w:rPr>
                      <w:rFonts w:hint="default" w:ascii="Times New Roman" w:hAnsi="Times New Roman" w:cs="Times New Roman"/>
                      <w:b/>
                      <w:color w:val="auto"/>
                      <w:sz w:val="18"/>
                      <w:szCs w:val="18"/>
                      <w:vertAlign w:val="superscript"/>
                    </w:rPr>
                    <w:t>3</w:t>
                  </w:r>
                  <w:r>
                    <w:rPr>
                      <w:rFonts w:hint="default" w:ascii="Times New Roman" w:hAnsi="Times New Roman" w:cs="Times New Roman"/>
                      <w:b/>
                      <w:color w:val="auto"/>
                      <w:sz w:val="18"/>
                      <w:szCs w:val="18"/>
                    </w:rPr>
                    <w:t>）</w:t>
                  </w:r>
                </w:p>
              </w:tc>
            </w:tr>
            <w:tr w14:paraId="308CC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restart"/>
                  <w:vAlign w:val="center"/>
                </w:tcPr>
                <w:p w14:paraId="2215B20D">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DA001</w:t>
                  </w:r>
                </w:p>
              </w:tc>
              <w:tc>
                <w:tcPr>
                  <w:tcW w:w="884" w:type="dxa"/>
                  <w:vAlign w:val="center"/>
                </w:tcPr>
                <w:p w14:paraId="33530C92">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1205" w:type="dxa"/>
                  <w:vAlign w:val="center"/>
                </w:tcPr>
                <w:p w14:paraId="6187B26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0.957 </w:t>
                  </w:r>
                </w:p>
              </w:tc>
              <w:tc>
                <w:tcPr>
                  <w:tcW w:w="1206" w:type="dxa"/>
                  <w:vAlign w:val="center"/>
                </w:tcPr>
                <w:p w14:paraId="2442098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0.574 </w:t>
                  </w:r>
                </w:p>
              </w:tc>
              <w:tc>
                <w:tcPr>
                  <w:tcW w:w="1206" w:type="dxa"/>
                  <w:vAlign w:val="center"/>
                </w:tcPr>
                <w:p w14:paraId="1D2752D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0.383 </w:t>
                  </w:r>
                </w:p>
              </w:tc>
              <w:tc>
                <w:tcPr>
                  <w:tcW w:w="1206" w:type="dxa"/>
                  <w:vAlign w:val="center"/>
                </w:tcPr>
                <w:p w14:paraId="418259E6">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0.160 </w:t>
                  </w:r>
                </w:p>
              </w:tc>
              <w:tc>
                <w:tcPr>
                  <w:tcW w:w="1206" w:type="dxa"/>
                  <w:vAlign w:val="center"/>
                </w:tcPr>
                <w:p w14:paraId="251B711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6.38 </w:t>
                  </w:r>
                </w:p>
              </w:tc>
            </w:tr>
            <w:tr w14:paraId="24586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1023" w:type="dxa"/>
                  <w:vMerge w:val="continue"/>
                  <w:vAlign w:val="center"/>
                </w:tcPr>
                <w:p w14:paraId="577C33B5">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p>
              </w:tc>
              <w:tc>
                <w:tcPr>
                  <w:tcW w:w="884" w:type="dxa"/>
                  <w:vAlign w:val="center"/>
                </w:tcPr>
                <w:p w14:paraId="6C9DFAC5">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1205" w:type="dxa"/>
                  <w:vAlign w:val="center"/>
                </w:tcPr>
                <w:p w14:paraId="3D3BE9A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0.169 </w:t>
                  </w:r>
                </w:p>
              </w:tc>
              <w:tc>
                <w:tcPr>
                  <w:tcW w:w="1206" w:type="dxa"/>
                  <w:vAlign w:val="center"/>
                </w:tcPr>
                <w:p w14:paraId="0891E46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1206" w:type="dxa"/>
                  <w:vAlign w:val="center"/>
                </w:tcPr>
                <w:p w14:paraId="3D039097">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0.169 </w:t>
                  </w:r>
                </w:p>
              </w:tc>
              <w:tc>
                <w:tcPr>
                  <w:tcW w:w="1206" w:type="dxa"/>
                  <w:vAlign w:val="center"/>
                </w:tcPr>
                <w:p w14:paraId="47A9793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0.070 </w:t>
                  </w:r>
                </w:p>
              </w:tc>
              <w:tc>
                <w:tcPr>
                  <w:tcW w:w="1206" w:type="dxa"/>
                  <w:vAlign w:val="center"/>
                </w:tcPr>
                <w:p w14:paraId="37B6C0D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65E76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continue"/>
                  <w:vAlign w:val="center"/>
                </w:tcPr>
                <w:p w14:paraId="2578AC8F">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p>
              </w:tc>
              <w:tc>
                <w:tcPr>
                  <w:tcW w:w="884" w:type="dxa"/>
                  <w:vAlign w:val="center"/>
                </w:tcPr>
                <w:p w14:paraId="5836E33D">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合计</w:t>
                  </w:r>
                </w:p>
              </w:tc>
              <w:tc>
                <w:tcPr>
                  <w:tcW w:w="1205" w:type="dxa"/>
                  <w:vAlign w:val="center"/>
                </w:tcPr>
                <w:p w14:paraId="7123831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1.126</w:t>
                  </w:r>
                </w:p>
              </w:tc>
              <w:tc>
                <w:tcPr>
                  <w:tcW w:w="1206" w:type="dxa"/>
                  <w:vAlign w:val="center"/>
                </w:tcPr>
                <w:p w14:paraId="6CF3170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0.574 </w:t>
                  </w:r>
                </w:p>
              </w:tc>
              <w:tc>
                <w:tcPr>
                  <w:tcW w:w="1206" w:type="dxa"/>
                  <w:vAlign w:val="center"/>
                </w:tcPr>
                <w:p w14:paraId="0967A6A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0.552 </w:t>
                  </w:r>
                </w:p>
              </w:tc>
              <w:tc>
                <w:tcPr>
                  <w:tcW w:w="1206" w:type="dxa"/>
                  <w:vAlign w:val="center"/>
                </w:tcPr>
                <w:p w14:paraId="6586FF9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0.230 </w:t>
                  </w:r>
                </w:p>
              </w:tc>
              <w:tc>
                <w:tcPr>
                  <w:tcW w:w="1206" w:type="dxa"/>
                  <w:vAlign w:val="center"/>
                </w:tcPr>
                <w:p w14:paraId="57C1F2D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529CA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restart"/>
                  <w:vAlign w:val="center"/>
                </w:tcPr>
                <w:p w14:paraId="5073B053">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DA002</w:t>
                  </w:r>
                </w:p>
              </w:tc>
              <w:tc>
                <w:tcPr>
                  <w:tcW w:w="884" w:type="dxa"/>
                  <w:vAlign w:val="center"/>
                </w:tcPr>
                <w:p w14:paraId="119BD744">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1205" w:type="dxa"/>
                  <w:vAlign w:val="center"/>
                </w:tcPr>
                <w:p w14:paraId="4383BC6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0.017 </w:t>
                  </w:r>
                </w:p>
              </w:tc>
              <w:tc>
                <w:tcPr>
                  <w:tcW w:w="1206" w:type="dxa"/>
                  <w:vAlign w:val="center"/>
                </w:tcPr>
                <w:p w14:paraId="7483DBC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1206" w:type="dxa"/>
                  <w:vAlign w:val="center"/>
                </w:tcPr>
                <w:p w14:paraId="14BF4AC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0.010 </w:t>
                  </w:r>
                </w:p>
              </w:tc>
              <w:tc>
                <w:tcPr>
                  <w:tcW w:w="1206" w:type="dxa"/>
                  <w:vAlign w:val="center"/>
                </w:tcPr>
                <w:p w14:paraId="1BC6577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0.004 </w:t>
                  </w:r>
                </w:p>
              </w:tc>
              <w:tc>
                <w:tcPr>
                  <w:tcW w:w="1206" w:type="dxa"/>
                  <w:vAlign w:val="center"/>
                </w:tcPr>
                <w:p w14:paraId="64737326">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1.21 </w:t>
                  </w:r>
                </w:p>
              </w:tc>
            </w:tr>
            <w:tr w14:paraId="37E20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continue"/>
                  <w:vAlign w:val="center"/>
                </w:tcPr>
                <w:p w14:paraId="11DED42A">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p>
              </w:tc>
              <w:tc>
                <w:tcPr>
                  <w:tcW w:w="884" w:type="dxa"/>
                  <w:shd w:val="clear" w:color="auto" w:fill="auto"/>
                  <w:vAlign w:val="center"/>
                </w:tcPr>
                <w:p w14:paraId="392CA6D3">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无组织</w:t>
                  </w:r>
                </w:p>
              </w:tc>
              <w:tc>
                <w:tcPr>
                  <w:tcW w:w="1205" w:type="dxa"/>
                  <w:vAlign w:val="center"/>
                </w:tcPr>
                <w:p w14:paraId="4EF06C2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3AA8F3C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1206" w:type="dxa"/>
                  <w:vAlign w:val="center"/>
                </w:tcPr>
                <w:p w14:paraId="4B2CBA1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1D37F93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0.0013 </w:t>
                  </w:r>
                </w:p>
              </w:tc>
              <w:tc>
                <w:tcPr>
                  <w:tcW w:w="1206" w:type="dxa"/>
                  <w:vAlign w:val="center"/>
                </w:tcPr>
                <w:p w14:paraId="3B17604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2A6F6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continue"/>
                  <w:vAlign w:val="center"/>
                </w:tcPr>
                <w:p w14:paraId="6C7495FF">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p>
              </w:tc>
              <w:tc>
                <w:tcPr>
                  <w:tcW w:w="884" w:type="dxa"/>
                  <w:shd w:val="clear" w:color="auto" w:fill="auto"/>
                  <w:vAlign w:val="center"/>
                </w:tcPr>
                <w:p w14:paraId="6CD4842B">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合计</w:t>
                  </w:r>
                </w:p>
              </w:tc>
              <w:tc>
                <w:tcPr>
                  <w:tcW w:w="1205" w:type="dxa"/>
                  <w:vAlign w:val="center"/>
                </w:tcPr>
                <w:p w14:paraId="2C4D2B4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206" w:type="dxa"/>
                  <w:vAlign w:val="center"/>
                </w:tcPr>
                <w:p w14:paraId="1120772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1206" w:type="dxa"/>
                  <w:vAlign w:val="center"/>
                </w:tcPr>
                <w:p w14:paraId="4852E3F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0.013 </w:t>
                  </w:r>
                </w:p>
              </w:tc>
              <w:tc>
                <w:tcPr>
                  <w:tcW w:w="1206" w:type="dxa"/>
                  <w:vAlign w:val="center"/>
                </w:tcPr>
                <w:p w14:paraId="517C0CE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0.006 </w:t>
                  </w:r>
                </w:p>
              </w:tc>
              <w:tc>
                <w:tcPr>
                  <w:tcW w:w="1206" w:type="dxa"/>
                  <w:vAlign w:val="center"/>
                </w:tcPr>
                <w:p w14:paraId="6C92AC8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53060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restart"/>
                  <w:vAlign w:val="center"/>
                </w:tcPr>
                <w:p w14:paraId="133F729C">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DA004</w:t>
                  </w:r>
                </w:p>
              </w:tc>
              <w:tc>
                <w:tcPr>
                  <w:tcW w:w="884" w:type="dxa"/>
                  <w:shd w:val="clear" w:color="auto" w:fill="auto"/>
                  <w:vAlign w:val="center"/>
                </w:tcPr>
                <w:p w14:paraId="6546A748">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有组织</w:t>
                  </w:r>
                </w:p>
              </w:tc>
              <w:tc>
                <w:tcPr>
                  <w:tcW w:w="1205" w:type="dxa"/>
                  <w:vAlign w:val="center"/>
                </w:tcPr>
                <w:p w14:paraId="28A9CC8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0.017 </w:t>
                  </w:r>
                </w:p>
              </w:tc>
              <w:tc>
                <w:tcPr>
                  <w:tcW w:w="1206" w:type="dxa"/>
                  <w:vAlign w:val="center"/>
                </w:tcPr>
                <w:p w14:paraId="36E77E6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1206" w:type="dxa"/>
                  <w:vAlign w:val="center"/>
                </w:tcPr>
                <w:p w14:paraId="0F800CD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0.010 </w:t>
                  </w:r>
                </w:p>
              </w:tc>
              <w:tc>
                <w:tcPr>
                  <w:tcW w:w="1206" w:type="dxa"/>
                  <w:vAlign w:val="center"/>
                </w:tcPr>
                <w:p w14:paraId="6F39C13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0.004 </w:t>
                  </w:r>
                </w:p>
              </w:tc>
              <w:tc>
                <w:tcPr>
                  <w:tcW w:w="1206" w:type="dxa"/>
                  <w:vAlign w:val="center"/>
                </w:tcPr>
                <w:p w14:paraId="5EC064C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1.21 </w:t>
                  </w:r>
                </w:p>
              </w:tc>
            </w:tr>
            <w:tr w14:paraId="15E1A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continue"/>
                  <w:vAlign w:val="center"/>
                </w:tcPr>
                <w:p w14:paraId="6D5432B6">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p>
              </w:tc>
              <w:tc>
                <w:tcPr>
                  <w:tcW w:w="884" w:type="dxa"/>
                  <w:shd w:val="clear" w:color="auto" w:fill="auto"/>
                  <w:vAlign w:val="center"/>
                </w:tcPr>
                <w:p w14:paraId="46175A6C">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无组织</w:t>
                  </w:r>
                </w:p>
              </w:tc>
              <w:tc>
                <w:tcPr>
                  <w:tcW w:w="1205" w:type="dxa"/>
                  <w:vAlign w:val="center"/>
                </w:tcPr>
                <w:p w14:paraId="781266D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4D30D2B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1206" w:type="dxa"/>
                  <w:vAlign w:val="center"/>
                </w:tcPr>
                <w:p w14:paraId="4A0A61E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1A868F1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0.0013 </w:t>
                  </w:r>
                </w:p>
              </w:tc>
              <w:tc>
                <w:tcPr>
                  <w:tcW w:w="1206" w:type="dxa"/>
                  <w:vAlign w:val="center"/>
                </w:tcPr>
                <w:p w14:paraId="00A195E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51C9E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continue"/>
                  <w:vAlign w:val="center"/>
                </w:tcPr>
                <w:p w14:paraId="6C71E325">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p>
              </w:tc>
              <w:tc>
                <w:tcPr>
                  <w:tcW w:w="884" w:type="dxa"/>
                  <w:shd w:val="clear" w:color="auto" w:fill="auto"/>
                  <w:vAlign w:val="center"/>
                </w:tcPr>
                <w:p w14:paraId="37CF9B2E">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合计</w:t>
                  </w:r>
                </w:p>
              </w:tc>
              <w:tc>
                <w:tcPr>
                  <w:tcW w:w="1205" w:type="dxa"/>
                  <w:vAlign w:val="center"/>
                </w:tcPr>
                <w:p w14:paraId="577C31B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206" w:type="dxa"/>
                  <w:vAlign w:val="center"/>
                </w:tcPr>
                <w:p w14:paraId="629E4804">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1206" w:type="dxa"/>
                  <w:vAlign w:val="center"/>
                </w:tcPr>
                <w:p w14:paraId="4DCC2C83">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0.013 </w:t>
                  </w:r>
                </w:p>
              </w:tc>
              <w:tc>
                <w:tcPr>
                  <w:tcW w:w="1206" w:type="dxa"/>
                  <w:vAlign w:val="center"/>
                </w:tcPr>
                <w:p w14:paraId="1BF8D344">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0.006 </w:t>
                  </w:r>
                </w:p>
              </w:tc>
              <w:tc>
                <w:tcPr>
                  <w:tcW w:w="1206" w:type="dxa"/>
                  <w:vAlign w:val="center"/>
                </w:tcPr>
                <w:p w14:paraId="2CC8586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065D7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Align w:val="center"/>
                </w:tcPr>
                <w:p w14:paraId="52EDF92D">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DA005</w:t>
                  </w:r>
                </w:p>
              </w:tc>
              <w:tc>
                <w:tcPr>
                  <w:tcW w:w="884" w:type="dxa"/>
                  <w:vAlign w:val="center"/>
                </w:tcPr>
                <w:p w14:paraId="69B1DF75">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1205" w:type="dxa"/>
                  <w:vAlign w:val="center"/>
                </w:tcPr>
                <w:p w14:paraId="6DDCBA56">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0.5</w:t>
                  </w:r>
                </w:p>
              </w:tc>
              <w:tc>
                <w:tcPr>
                  <w:tcW w:w="1206" w:type="dxa"/>
                  <w:vAlign w:val="center"/>
                </w:tcPr>
                <w:p w14:paraId="49400AD6">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0.200 </w:t>
                  </w:r>
                </w:p>
              </w:tc>
              <w:tc>
                <w:tcPr>
                  <w:tcW w:w="1206" w:type="dxa"/>
                  <w:vAlign w:val="center"/>
                </w:tcPr>
                <w:p w14:paraId="5F0802C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0.300 </w:t>
                  </w:r>
                </w:p>
              </w:tc>
              <w:tc>
                <w:tcPr>
                  <w:tcW w:w="1206" w:type="dxa"/>
                  <w:vAlign w:val="center"/>
                </w:tcPr>
                <w:p w14:paraId="34CCC3A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0.042 </w:t>
                  </w:r>
                </w:p>
              </w:tc>
              <w:tc>
                <w:tcPr>
                  <w:tcW w:w="1206" w:type="dxa"/>
                  <w:vAlign w:val="center"/>
                </w:tcPr>
                <w:p w14:paraId="0AB4CBB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8.33 </w:t>
                  </w:r>
                </w:p>
              </w:tc>
            </w:tr>
            <w:tr w14:paraId="098C9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Align w:val="center"/>
                </w:tcPr>
                <w:p w14:paraId="33E9111F">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卸料</w:t>
                  </w:r>
                </w:p>
              </w:tc>
              <w:tc>
                <w:tcPr>
                  <w:tcW w:w="884" w:type="dxa"/>
                  <w:vAlign w:val="center"/>
                </w:tcPr>
                <w:p w14:paraId="3760D9B3">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1205" w:type="dxa"/>
                  <w:vAlign w:val="center"/>
                </w:tcPr>
                <w:p w14:paraId="0037830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206" w:type="dxa"/>
                  <w:vAlign w:val="center"/>
                </w:tcPr>
                <w:p w14:paraId="3FB139C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1206" w:type="dxa"/>
                  <w:vAlign w:val="center"/>
                </w:tcPr>
                <w:p w14:paraId="7C7B197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0.020 </w:t>
                  </w:r>
                </w:p>
              </w:tc>
              <w:tc>
                <w:tcPr>
                  <w:tcW w:w="1206" w:type="dxa"/>
                  <w:vAlign w:val="center"/>
                </w:tcPr>
                <w:p w14:paraId="0C0FDC73">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77A03323">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65768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Align w:val="center"/>
                </w:tcPr>
                <w:p w14:paraId="1D48BC4D">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包装</w:t>
                  </w:r>
                </w:p>
              </w:tc>
              <w:tc>
                <w:tcPr>
                  <w:tcW w:w="884" w:type="dxa"/>
                  <w:vAlign w:val="center"/>
                </w:tcPr>
                <w:p w14:paraId="141D5E84">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1205" w:type="dxa"/>
                  <w:vAlign w:val="center"/>
                </w:tcPr>
                <w:p w14:paraId="66FA9CB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206" w:type="dxa"/>
                  <w:vAlign w:val="center"/>
                </w:tcPr>
                <w:p w14:paraId="6BC48ED3">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1206" w:type="dxa"/>
                  <w:vAlign w:val="center"/>
                </w:tcPr>
                <w:p w14:paraId="219E5F4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0.020 </w:t>
                  </w:r>
                </w:p>
              </w:tc>
              <w:tc>
                <w:tcPr>
                  <w:tcW w:w="1206" w:type="dxa"/>
                  <w:vAlign w:val="center"/>
                </w:tcPr>
                <w:p w14:paraId="40173C8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0.008 </w:t>
                  </w:r>
                </w:p>
              </w:tc>
              <w:tc>
                <w:tcPr>
                  <w:tcW w:w="1206" w:type="dxa"/>
                  <w:vAlign w:val="center"/>
                </w:tcPr>
                <w:p w14:paraId="0658091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7807C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restart"/>
                  <w:vAlign w:val="center"/>
                </w:tcPr>
                <w:p w14:paraId="5AA27147">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粉尘</w:t>
                  </w:r>
                </w:p>
              </w:tc>
              <w:tc>
                <w:tcPr>
                  <w:tcW w:w="884" w:type="dxa"/>
                  <w:vAlign w:val="center"/>
                </w:tcPr>
                <w:p w14:paraId="1350C2B9">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有组织</w:t>
                  </w:r>
                </w:p>
              </w:tc>
              <w:tc>
                <w:tcPr>
                  <w:tcW w:w="1205" w:type="dxa"/>
                  <w:vAlign w:val="center"/>
                </w:tcPr>
                <w:p w14:paraId="4905FCF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1.4911</w:t>
                  </w:r>
                </w:p>
              </w:tc>
              <w:tc>
                <w:tcPr>
                  <w:tcW w:w="1206" w:type="dxa"/>
                  <w:vAlign w:val="center"/>
                </w:tcPr>
                <w:p w14:paraId="31C6FFF8">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0.788 </w:t>
                  </w:r>
                </w:p>
              </w:tc>
              <w:tc>
                <w:tcPr>
                  <w:tcW w:w="1206" w:type="dxa"/>
                  <w:vAlign w:val="center"/>
                </w:tcPr>
                <w:p w14:paraId="1E58C963">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0.703 </w:t>
                  </w:r>
                </w:p>
              </w:tc>
              <w:tc>
                <w:tcPr>
                  <w:tcW w:w="1206" w:type="dxa"/>
                  <w:vAlign w:val="center"/>
                </w:tcPr>
                <w:p w14:paraId="2BC2EF89">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0.210 </w:t>
                  </w:r>
                </w:p>
              </w:tc>
              <w:tc>
                <w:tcPr>
                  <w:tcW w:w="1206" w:type="dxa"/>
                  <w:vAlign w:val="center"/>
                </w:tcPr>
                <w:p w14:paraId="05E7EF80">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r w14:paraId="6FA4F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continue"/>
                  <w:vAlign w:val="center"/>
                </w:tcPr>
                <w:p w14:paraId="1993C330">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p>
              </w:tc>
              <w:tc>
                <w:tcPr>
                  <w:tcW w:w="884" w:type="dxa"/>
                  <w:vAlign w:val="center"/>
                </w:tcPr>
                <w:p w14:paraId="2C08A21A">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无组织</w:t>
                  </w:r>
                </w:p>
              </w:tc>
              <w:tc>
                <w:tcPr>
                  <w:tcW w:w="1205" w:type="dxa"/>
                  <w:vAlign w:val="center"/>
                </w:tcPr>
                <w:p w14:paraId="48A34C3F">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0.2149</w:t>
                  </w:r>
                </w:p>
              </w:tc>
              <w:tc>
                <w:tcPr>
                  <w:tcW w:w="1206" w:type="dxa"/>
                  <w:vAlign w:val="center"/>
                </w:tcPr>
                <w:p w14:paraId="41F4A05F">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0.000 </w:t>
                  </w:r>
                </w:p>
              </w:tc>
              <w:tc>
                <w:tcPr>
                  <w:tcW w:w="1206" w:type="dxa"/>
                  <w:vAlign w:val="center"/>
                </w:tcPr>
                <w:p w14:paraId="5600B376">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0.215 </w:t>
                  </w:r>
                </w:p>
              </w:tc>
              <w:tc>
                <w:tcPr>
                  <w:tcW w:w="1206" w:type="dxa"/>
                  <w:vAlign w:val="center"/>
                </w:tcPr>
                <w:p w14:paraId="745D7695">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0.084 </w:t>
                  </w:r>
                </w:p>
              </w:tc>
              <w:tc>
                <w:tcPr>
                  <w:tcW w:w="1206" w:type="dxa"/>
                  <w:vAlign w:val="center"/>
                </w:tcPr>
                <w:p w14:paraId="64C6666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r w14:paraId="41AFF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23" w:type="dxa"/>
                  <w:vMerge w:val="continue"/>
                  <w:vAlign w:val="center"/>
                </w:tcPr>
                <w:p w14:paraId="1E8B5015">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p>
              </w:tc>
              <w:tc>
                <w:tcPr>
                  <w:tcW w:w="884" w:type="dxa"/>
                  <w:vAlign w:val="center"/>
                </w:tcPr>
                <w:p w14:paraId="1DDFA0DF">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合计</w:t>
                  </w:r>
                </w:p>
              </w:tc>
              <w:tc>
                <w:tcPr>
                  <w:tcW w:w="1205" w:type="dxa"/>
                  <w:vAlign w:val="center"/>
                </w:tcPr>
                <w:p w14:paraId="5562CF83">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1.686</w:t>
                  </w:r>
                </w:p>
              </w:tc>
              <w:tc>
                <w:tcPr>
                  <w:tcW w:w="1206" w:type="dxa"/>
                  <w:vAlign w:val="center"/>
                </w:tcPr>
                <w:p w14:paraId="00EEA21A">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0.788 </w:t>
                  </w:r>
                </w:p>
              </w:tc>
              <w:tc>
                <w:tcPr>
                  <w:tcW w:w="1206" w:type="dxa"/>
                  <w:vAlign w:val="center"/>
                </w:tcPr>
                <w:p w14:paraId="39C7B569">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0.898 </w:t>
                  </w:r>
                </w:p>
              </w:tc>
              <w:tc>
                <w:tcPr>
                  <w:tcW w:w="1206" w:type="dxa"/>
                  <w:vAlign w:val="center"/>
                </w:tcPr>
                <w:p w14:paraId="2926CC54">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0.285 </w:t>
                  </w:r>
                </w:p>
              </w:tc>
              <w:tc>
                <w:tcPr>
                  <w:tcW w:w="1206" w:type="dxa"/>
                  <w:vAlign w:val="center"/>
                </w:tcPr>
                <w:p w14:paraId="0180B958">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r w14:paraId="51DA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36" w:type="dxa"/>
                  <w:gridSpan w:val="7"/>
                  <w:vAlign w:val="center"/>
                </w:tcPr>
                <w:p w14:paraId="17FAAD88">
                  <w:pPr>
                    <w:widowControl/>
                    <w:textAlignment w:val="center"/>
                    <w:rPr>
                      <w:rFonts w:hint="default"/>
                      <w:color w:val="auto"/>
                    </w:rPr>
                  </w:pPr>
                  <w:r>
                    <w:rPr>
                      <w:rFonts w:hint="default" w:ascii="Times New Roman" w:hAnsi="Times New Roman" w:cs="Times New Roman"/>
                      <w:color w:val="auto"/>
                      <w:kern w:val="0"/>
                      <w:sz w:val="18"/>
                      <w:szCs w:val="18"/>
                    </w:rPr>
                    <w:t>注：正常情况下水喷淋除尘效率可以达到80%，布袋除尘理效率可以达到99%，同时去除效率和废气产生浓度相关，由于本项目颗粒物产生浓度较低，故本次按照水喷淋处理效率40%，布袋除尘处理效率60%计；DA005风量为5000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/h；破碎、焙烧、制砂、磁选、烤砂、包装工作时间8h/d，纯化工作时间24h/d</w:t>
                  </w:r>
                </w:p>
              </w:tc>
            </w:tr>
          </w:tbl>
          <w:p w14:paraId="6EED180C">
            <w:pPr>
              <w:pStyle w:val="17"/>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根据上表，颗粒物排放浓度、速率能够满足</w:t>
            </w:r>
            <w:r>
              <w:rPr>
                <w:rFonts w:hint="default" w:ascii="Times New Roman" w:hAnsi="Times New Roman" w:cs="Times New Roman"/>
                <w:color w:val="auto"/>
                <w:kern w:val="0"/>
                <w:sz w:val="24"/>
              </w:rPr>
              <w:t>《大气污染物综合排放标准》（GB 16297-1996）表2大气污染物二级标准排放限值</w:t>
            </w:r>
            <w:r>
              <w:rPr>
                <w:rFonts w:hint="default" w:ascii="Times New Roman" w:hAnsi="Times New Roman" w:cs="Times New Roman"/>
                <w:color w:val="auto"/>
                <w:kern w:val="0"/>
                <w:sz w:val="24"/>
                <w:lang w:eastAsia="zh-CN"/>
              </w:rPr>
              <w:t>。</w:t>
            </w:r>
          </w:p>
          <w:p w14:paraId="25011CE6">
            <w:pPr>
              <w:pStyle w:val="17"/>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r>
              <w:rPr>
                <w:rFonts w:hint="default" w:ascii="Times New Roman" w:hAnsi="Times New Roman" w:eastAsia="宋体" w:cs="Times New Roman"/>
                <w:color w:val="auto"/>
                <w:kern w:val="0"/>
                <w:sz w:val="24"/>
                <w:szCs w:val="20"/>
                <w:lang w:val="en-US" w:eastAsia="zh-CN" w:bidi="ar-SA"/>
              </w:rPr>
              <w:t>酸性废气G5</w:t>
            </w:r>
          </w:p>
          <w:p w14:paraId="7CB4B1FF">
            <w:pPr>
              <w:pStyle w:val="3"/>
              <w:spacing w:after="0" w:line="360" w:lineRule="auto"/>
              <w:ind w:left="0" w:leftChars="0" w:firstLine="480"/>
              <w:rPr>
                <w:rFonts w:hint="eastAsia"/>
                <w:color w:val="auto"/>
                <w:kern w:val="0"/>
                <w:sz w:val="24"/>
              </w:rPr>
            </w:pPr>
            <w:r>
              <w:rPr>
                <w:rFonts w:hint="default" w:ascii="Times New Roman" w:hAnsi="Times New Roman" w:cs="Times New Roman"/>
                <w:color w:val="auto"/>
              </w:rPr>
              <w:t>项目酸洗过程会产生酸性废气氯化氢、氟化物，具体废气产生量如下。</w:t>
            </w:r>
            <w:r>
              <w:rPr>
                <w:rFonts w:hint="eastAsia"/>
                <w:color w:val="auto"/>
                <w:kern w:val="0"/>
                <w:sz w:val="24"/>
              </w:rPr>
              <w:t>液体蒸发量计算根据《环境统计手册》中公式进行计算，具体如下：</w:t>
            </w:r>
          </w:p>
          <w:p w14:paraId="6F82547F">
            <w:pPr>
              <w:adjustRightInd w:val="0"/>
              <w:snapToGrid w:val="0"/>
              <w:spacing w:line="360" w:lineRule="auto"/>
              <w:ind w:firstLine="480" w:firstLineChars="200"/>
              <w:jc w:val="center"/>
              <w:rPr>
                <w:rFonts w:hint="eastAsia"/>
                <w:color w:val="auto"/>
                <w:kern w:val="0"/>
                <w:sz w:val="24"/>
              </w:rPr>
            </w:pPr>
            <w:r>
              <w:rPr>
                <w:rFonts w:hint="eastAsia"/>
                <w:color w:val="auto"/>
                <w:kern w:val="0"/>
                <w:sz w:val="24"/>
              </w:rPr>
              <w:t>Gz=M（0.000352+0.000786V）P×F</w:t>
            </w:r>
          </w:p>
          <w:p w14:paraId="1FFE25C2">
            <w:pPr>
              <w:adjustRightInd w:val="0"/>
              <w:snapToGrid w:val="0"/>
              <w:spacing w:line="360" w:lineRule="auto"/>
              <w:ind w:firstLine="480" w:firstLineChars="200"/>
              <w:rPr>
                <w:rFonts w:hint="eastAsia"/>
                <w:color w:val="auto"/>
                <w:kern w:val="0"/>
                <w:sz w:val="24"/>
              </w:rPr>
            </w:pPr>
            <w:r>
              <w:rPr>
                <w:rFonts w:hint="eastAsia"/>
                <w:color w:val="auto"/>
                <w:kern w:val="0"/>
                <w:sz w:val="24"/>
              </w:rPr>
              <w:t>式中：Gz—液体的蒸发量，kg/h；</w:t>
            </w:r>
          </w:p>
          <w:p w14:paraId="6C2CCF6E">
            <w:pPr>
              <w:adjustRightInd w:val="0"/>
              <w:snapToGrid w:val="0"/>
              <w:spacing w:line="360" w:lineRule="auto"/>
              <w:ind w:firstLine="1200" w:firstLineChars="500"/>
              <w:rPr>
                <w:rFonts w:hint="eastAsia"/>
                <w:color w:val="auto"/>
                <w:kern w:val="0"/>
                <w:sz w:val="24"/>
              </w:rPr>
            </w:pPr>
            <w:r>
              <w:rPr>
                <w:rFonts w:hint="eastAsia"/>
                <w:color w:val="auto"/>
                <w:kern w:val="0"/>
                <w:sz w:val="24"/>
              </w:rPr>
              <w:t>M—液体的分子量，盐酸为36.5，氢氟酸为20；</w:t>
            </w:r>
          </w:p>
          <w:p w14:paraId="514A43F8">
            <w:pPr>
              <w:adjustRightInd w:val="0"/>
              <w:snapToGrid w:val="0"/>
              <w:spacing w:line="360" w:lineRule="auto"/>
              <w:ind w:firstLine="1200" w:firstLineChars="500"/>
              <w:rPr>
                <w:rFonts w:hint="eastAsia"/>
                <w:color w:val="auto"/>
                <w:kern w:val="0"/>
                <w:sz w:val="24"/>
              </w:rPr>
            </w:pPr>
            <w:r>
              <w:rPr>
                <w:rFonts w:hint="eastAsia"/>
                <w:color w:val="auto"/>
                <w:kern w:val="0"/>
                <w:sz w:val="24"/>
              </w:rPr>
              <w:t>V—蒸发液体表面上的空气流速，m/s，应以实测数据为准。无条件实测时，可查表计算，一般可取0.2～0.5m/s，本项目取0.</w:t>
            </w:r>
            <w:r>
              <w:rPr>
                <w:rFonts w:hint="eastAsia"/>
                <w:color w:val="auto"/>
                <w:kern w:val="0"/>
                <w:sz w:val="24"/>
                <w:lang w:val="en-US" w:eastAsia="zh-CN"/>
              </w:rPr>
              <w:t>4</w:t>
            </w:r>
            <w:r>
              <w:rPr>
                <w:rFonts w:hint="eastAsia"/>
                <w:color w:val="auto"/>
                <w:kern w:val="0"/>
                <w:sz w:val="24"/>
              </w:rPr>
              <w:t>m/s；</w:t>
            </w:r>
          </w:p>
          <w:p w14:paraId="65FEF27E">
            <w:pPr>
              <w:adjustRightInd w:val="0"/>
              <w:snapToGrid w:val="0"/>
              <w:spacing w:line="360" w:lineRule="auto"/>
              <w:ind w:firstLine="1200" w:firstLineChars="500"/>
              <w:rPr>
                <w:rFonts w:hint="eastAsia"/>
                <w:color w:val="auto"/>
                <w:kern w:val="0"/>
                <w:sz w:val="24"/>
              </w:rPr>
            </w:pPr>
            <w:r>
              <w:rPr>
                <w:rFonts w:hint="eastAsia"/>
                <w:color w:val="auto"/>
                <w:kern w:val="0"/>
                <w:sz w:val="24"/>
              </w:rPr>
              <w:t>P—相应于液体温度下空气的饱和蒸汽分压力，mmHg，HCl饱和蒸汽分压为</w:t>
            </w:r>
            <w:r>
              <w:rPr>
                <w:rFonts w:hint="eastAsia"/>
                <w:color w:val="auto"/>
                <w:kern w:val="0"/>
                <w:sz w:val="24"/>
                <w:lang w:val="en-US" w:eastAsia="zh-CN"/>
              </w:rPr>
              <w:t>150</w:t>
            </w:r>
            <w:r>
              <w:rPr>
                <w:rFonts w:hint="eastAsia"/>
                <w:color w:val="auto"/>
                <w:kern w:val="0"/>
                <w:sz w:val="24"/>
              </w:rPr>
              <w:t>mmHg，HF饱和蒸汽分压为</w:t>
            </w:r>
            <w:r>
              <w:rPr>
                <w:rFonts w:hint="eastAsia"/>
                <w:color w:val="auto"/>
                <w:kern w:val="0"/>
                <w:sz w:val="24"/>
                <w:lang w:val="en-US" w:eastAsia="zh-CN"/>
              </w:rPr>
              <w:t>2.5</w:t>
            </w:r>
            <w:r>
              <w:rPr>
                <w:rFonts w:hint="eastAsia"/>
                <w:color w:val="auto"/>
                <w:kern w:val="0"/>
                <w:sz w:val="24"/>
              </w:rPr>
              <w:t>mmHg。</w:t>
            </w:r>
          </w:p>
          <w:p w14:paraId="42A62C3A">
            <w:pPr>
              <w:adjustRightInd w:val="0"/>
              <w:snapToGrid w:val="0"/>
              <w:spacing w:line="360" w:lineRule="auto"/>
              <w:ind w:firstLine="1200" w:firstLineChars="500"/>
              <w:rPr>
                <w:rFonts w:hint="eastAsia"/>
                <w:color w:val="auto"/>
                <w:kern w:val="0"/>
                <w:sz w:val="24"/>
              </w:rPr>
            </w:pPr>
            <w:r>
              <w:rPr>
                <w:rFonts w:hint="eastAsia"/>
                <w:color w:val="auto"/>
                <w:kern w:val="0"/>
                <w:sz w:val="24"/>
              </w:rPr>
              <w:t>F—蒸发面的面积，m</w:t>
            </w:r>
            <w:r>
              <w:rPr>
                <w:rFonts w:hint="eastAsia"/>
                <w:color w:val="auto"/>
                <w:kern w:val="0"/>
                <w:sz w:val="24"/>
                <w:vertAlign w:val="superscript"/>
              </w:rPr>
              <w:t>2</w:t>
            </w:r>
            <w:r>
              <w:rPr>
                <w:rFonts w:hint="eastAsia"/>
                <w:color w:val="auto"/>
                <w:kern w:val="0"/>
                <w:sz w:val="24"/>
              </w:rPr>
              <w:t>，本项目拟采用</w:t>
            </w:r>
            <w:r>
              <w:rPr>
                <w:rFonts w:hint="eastAsia"/>
                <w:color w:val="auto"/>
                <w:kern w:val="0"/>
                <w:sz w:val="24"/>
                <w:lang w:val="en-US" w:eastAsia="zh-CN"/>
              </w:rPr>
              <w:t>2</w:t>
            </w:r>
            <w:r>
              <w:rPr>
                <w:rFonts w:hint="eastAsia"/>
                <w:color w:val="auto"/>
                <w:kern w:val="0"/>
                <w:sz w:val="24"/>
              </w:rPr>
              <w:t>个反应釜，单个反应釜液面积</w:t>
            </w:r>
            <w:r>
              <w:rPr>
                <w:rFonts w:hint="eastAsia"/>
                <w:color w:val="auto"/>
                <w:kern w:val="0"/>
                <w:sz w:val="24"/>
                <w:lang w:val="en-US" w:eastAsia="zh-CN"/>
              </w:rPr>
              <w:t>以</w:t>
            </w:r>
            <w:r>
              <w:rPr>
                <w:rFonts w:hint="eastAsia"/>
                <w:color w:val="auto"/>
                <w:kern w:val="0"/>
                <w:sz w:val="24"/>
              </w:rPr>
              <w:t>0.2</w:t>
            </w:r>
            <w:r>
              <w:rPr>
                <w:rFonts w:hint="eastAsia"/>
                <w:color w:val="auto"/>
                <w:kern w:val="0"/>
                <w:sz w:val="24"/>
                <w:lang w:val="en-US" w:eastAsia="zh-CN"/>
              </w:rPr>
              <w:t>5</w:t>
            </w:r>
            <w:r>
              <w:rPr>
                <w:rFonts w:hint="eastAsia"/>
                <w:color w:val="auto"/>
                <w:kern w:val="0"/>
                <w:sz w:val="24"/>
              </w:rPr>
              <w:t>m</w:t>
            </w:r>
            <w:r>
              <w:rPr>
                <w:rFonts w:hint="eastAsia"/>
                <w:color w:val="auto"/>
                <w:kern w:val="0"/>
                <w:sz w:val="24"/>
                <w:vertAlign w:val="superscript"/>
              </w:rPr>
              <w:t>2</w:t>
            </w:r>
            <w:r>
              <w:rPr>
                <w:rFonts w:hint="eastAsia"/>
                <w:color w:val="auto"/>
                <w:kern w:val="0"/>
                <w:sz w:val="24"/>
                <w:lang w:val="en-US" w:eastAsia="zh-CN"/>
              </w:rPr>
              <w:t>计</w:t>
            </w:r>
            <w:r>
              <w:rPr>
                <w:rFonts w:hint="eastAsia"/>
                <w:color w:val="auto"/>
                <w:kern w:val="0"/>
                <w:sz w:val="24"/>
              </w:rPr>
              <w:t>，蒸发面面积约为</w:t>
            </w:r>
            <w:r>
              <w:rPr>
                <w:rFonts w:hint="eastAsia"/>
                <w:color w:val="auto"/>
                <w:kern w:val="0"/>
                <w:sz w:val="24"/>
                <w:lang w:val="en-US" w:eastAsia="zh-CN"/>
              </w:rPr>
              <w:t>0.5</w:t>
            </w:r>
            <w:r>
              <w:rPr>
                <w:rFonts w:hint="eastAsia"/>
                <w:color w:val="auto"/>
                <w:kern w:val="0"/>
                <w:sz w:val="24"/>
              </w:rPr>
              <w:t>m</w:t>
            </w:r>
            <w:r>
              <w:rPr>
                <w:rFonts w:hint="eastAsia"/>
                <w:color w:val="auto"/>
                <w:kern w:val="0"/>
                <w:sz w:val="24"/>
                <w:vertAlign w:val="superscript"/>
              </w:rPr>
              <w:t>2</w:t>
            </w:r>
            <w:r>
              <w:rPr>
                <w:rFonts w:hint="eastAsia"/>
                <w:color w:val="auto"/>
                <w:kern w:val="0"/>
                <w:sz w:val="24"/>
              </w:rPr>
              <w:t>。</w:t>
            </w:r>
          </w:p>
          <w:p w14:paraId="754AC521">
            <w:pPr>
              <w:adjustRightInd w:val="0"/>
              <w:snapToGrid w:val="0"/>
              <w:spacing w:line="360" w:lineRule="auto"/>
              <w:ind w:firstLine="480" w:firstLineChars="200"/>
              <w:rPr>
                <w:color w:val="auto"/>
                <w:kern w:val="0"/>
                <w:sz w:val="24"/>
              </w:rPr>
            </w:pPr>
            <w:r>
              <w:rPr>
                <w:rFonts w:hint="eastAsia"/>
                <w:color w:val="auto"/>
                <w:kern w:val="0"/>
                <w:sz w:val="24"/>
              </w:rPr>
              <w:t>根据计算，</w:t>
            </w:r>
            <w:r>
              <w:rPr>
                <w:rFonts w:hint="eastAsia"/>
                <w:color w:val="auto"/>
                <w:kern w:val="0"/>
                <w:sz w:val="24"/>
                <w:highlight w:val="none"/>
              </w:rPr>
              <w:t>本项目酸洗工序氯化氢产生速率为</w:t>
            </w:r>
            <w:r>
              <w:rPr>
                <w:rFonts w:hint="eastAsia"/>
                <w:color w:val="auto"/>
                <w:kern w:val="0"/>
                <w:sz w:val="24"/>
                <w:highlight w:val="none"/>
                <w:lang w:val="en-US" w:eastAsia="zh-CN"/>
              </w:rPr>
              <w:t>1.8</w:t>
            </w:r>
            <w:r>
              <w:rPr>
                <w:rFonts w:hint="eastAsia"/>
                <w:color w:val="auto"/>
                <w:kern w:val="0"/>
                <w:sz w:val="24"/>
                <w:highlight w:val="none"/>
              </w:rPr>
              <w:t>kg/h，氟化物产生速率为0.0</w:t>
            </w:r>
            <w:r>
              <w:rPr>
                <w:rFonts w:hint="eastAsia"/>
                <w:color w:val="auto"/>
                <w:kern w:val="0"/>
                <w:sz w:val="24"/>
                <w:highlight w:val="none"/>
                <w:lang w:val="en-US" w:eastAsia="zh-CN"/>
              </w:rPr>
              <w:t>2</w:t>
            </w:r>
            <w:r>
              <w:rPr>
                <w:rFonts w:hint="eastAsia"/>
                <w:color w:val="auto"/>
                <w:kern w:val="0"/>
                <w:sz w:val="24"/>
                <w:highlight w:val="none"/>
              </w:rPr>
              <w:t>kg/h，年工作</w:t>
            </w:r>
            <w:r>
              <w:rPr>
                <w:rFonts w:hint="eastAsia"/>
                <w:color w:val="auto"/>
                <w:kern w:val="0"/>
                <w:sz w:val="24"/>
                <w:highlight w:val="none"/>
                <w:lang w:val="en-US" w:eastAsia="zh-CN"/>
              </w:rPr>
              <w:t>24</w:t>
            </w:r>
            <w:r>
              <w:rPr>
                <w:rFonts w:hint="eastAsia"/>
                <w:color w:val="auto"/>
                <w:kern w:val="0"/>
                <w:sz w:val="24"/>
                <w:highlight w:val="none"/>
              </w:rPr>
              <w:t>00h，则氯化氢产生量</w:t>
            </w:r>
            <w:r>
              <w:rPr>
                <w:rFonts w:hint="eastAsia"/>
                <w:color w:val="auto"/>
                <w:kern w:val="0"/>
                <w:sz w:val="24"/>
                <w:highlight w:val="none"/>
                <w:lang w:val="en-US" w:eastAsia="zh-CN"/>
              </w:rPr>
              <w:t>4.32</w:t>
            </w:r>
            <w:r>
              <w:rPr>
                <w:rFonts w:hint="eastAsia"/>
                <w:color w:val="auto"/>
                <w:kern w:val="0"/>
                <w:sz w:val="24"/>
                <w:highlight w:val="none"/>
              </w:rPr>
              <w:t>t/a，氟化物产生量</w:t>
            </w:r>
            <w:r>
              <w:rPr>
                <w:rFonts w:hint="eastAsia"/>
                <w:color w:val="auto"/>
                <w:kern w:val="0"/>
                <w:sz w:val="24"/>
                <w:highlight w:val="none"/>
                <w:lang w:val="en-US" w:eastAsia="zh-CN"/>
              </w:rPr>
              <w:t>0.048</w:t>
            </w:r>
            <w:r>
              <w:rPr>
                <w:rFonts w:hint="eastAsia"/>
                <w:color w:val="auto"/>
                <w:kern w:val="0"/>
                <w:sz w:val="24"/>
                <w:highlight w:val="none"/>
              </w:rPr>
              <w:t>t/a。</w:t>
            </w:r>
          </w:p>
          <w:p w14:paraId="06DC76DF">
            <w:pPr>
              <w:pStyle w:val="17"/>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）罐区</w:t>
            </w:r>
            <w:r>
              <w:rPr>
                <w:rFonts w:hint="eastAsia" w:ascii="Times New Roman" w:hAnsi="Times New Roman" w:cs="Times New Roman"/>
                <w:color w:val="auto"/>
                <w:sz w:val="24"/>
                <w:szCs w:val="24"/>
                <w:lang w:val="en-US" w:eastAsia="zh-CN"/>
              </w:rPr>
              <w:t>废气</w:t>
            </w:r>
          </w:p>
          <w:p w14:paraId="4DED24FD">
            <w:pPr>
              <w:spacing w:line="360" w:lineRule="auto"/>
              <w:ind w:firstLine="480" w:firstLineChars="200"/>
              <w:jc w:val="left"/>
              <w:rPr>
                <w:rFonts w:hint="default" w:ascii="Times New Roman" w:hAnsi="Times New Roman" w:cs="Times New Roman"/>
                <w:bCs/>
                <w:color w:val="auto"/>
                <w:sz w:val="24"/>
              </w:rPr>
            </w:pPr>
            <w:r>
              <w:rPr>
                <w:rFonts w:hint="default" w:ascii="Times New Roman" w:hAnsi="Times New Roman" w:cs="Times New Roman"/>
                <w:bCs/>
                <w:color w:val="auto"/>
                <w:sz w:val="24"/>
              </w:rPr>
              <w:t>盐酸、氢氟酸、废酸、混合酸采用储罐储存的过程中，会产生一定量的废气，可分为呼吸排放和工作排放。其中废酸储罐浓度较小</w:t>
            </w:r>
            <w:r>
              <w:rPr>
                <w:rFonts w:hint="eastAsia" w:ascii="Times New Roman" w:hAnsi="Times New Roman" w:cs="Times New Roman"/>
                <w:bCs/>
                <w:color w:val="auto"/>
                <w:sz w:val="24"/>
                <w:lang w:eastAsia="zh-CN"/>
              </w:rPr>
              <w:t>，</w:t>
            </w:r>
            <w:r>
              <w:rPr>
                <w:rFonts w:hint="default" w:ascii="Times New Roman" w:hAnsi="Times New Roman" w:cs="Times New Roman"/>
                <w:bCs/>
                <w:color w:val="auto"/>
                <w:sz w:val="24"/>
              </w:rPr>
              <w:t>混合酸储罐暂存时间较短，产生的废气与其他储罐废气一同进入</w:t>
            </w:r>
            <w:r>
              <w:rPr>
                <w:rFonts w:hint="eastAsia" w:cs="Times New Roman"/>
                <w:bCs/>
                <w:color w:val="auto"/>
                <w:sz w:val="24"/>
                <w:lang w:eastAsia="zh-CN"/>
              </w:rPr>
              <w:t>两级碱</w:t>
            </w:r>
            <w:r>
              <w:rPr>
                <w:rFonts w:hint="default" w:ascii="Times New Roman" w:hAnsi="Times New Roman" w:cs="Times New Roman"/>
                <w:bCs/>
                <w:color w:val="auto"/>
                <w:sz w:val="24"/>
              </w:rPr>
              <w:t>喷淋处理装置后通过DA003排气筒外排，排放量较小本次不计量。盐酸、氢氟酸储罐排放量可用以下公式进行估算：</w:t>
            </w:r>
          </w:p>
          <w:p w14:paraId="066BC251">
            <w:pPr>
              <w:spacing w:line="360" w:lineRule="auto"/>
              <w:ind w:firstLine="480" w:firstLineChars="200"/>
              <w:rPr>
                <w:rFonts w:hint="default" w:ascii="Times New Roman" w:hAnsi="Times New Roman" w:cs="Times New Roman"/>
                <w:bCs/>
                <w:color w:val="auto"/>
                <w:kern w:val="0"/>
                <w:sz w:val="24"/>
              </w:rPr>
            </w:pPr>
            <w:r>
              <w:rPr>
                <w:rFonts w:hint="default" w:ascii="Times New Roman" w:hAnsi="Times New Roman" w:cs="Times New Roman"/>
                <w:bCs/>
                <w:color w:val="auto"/>
                <w:kern w:val="0"/>
                <w:sz w:val="24"/>
              </w:rPr>
              <w:t>A.静止储存损耗（小呼吸）</w:t>
            </w:r>
          </w:p>
          <w:p w14:paraId="735C7C42">
            <w:pPr>
              <w:spacing w:line="360" w:lineRule="auto"/>
              <w:ind w:firstLine="480" w:firstLineChars="200"/>
              <w:rPr>
                <w:rFonts w:hint="default" w:ascii="Times New Roman" w:hAnsi="Times New Roman" w:cs="Times New Roman"/>
                <w:bCs/>
                <w:color w:val="auto"/>
                <w:kern w:val="0"/>
                <w:sz w:val="24"/>
              </w:rPr>
            </w:pPr>
            <w:r>
              <w:rPr>
                <w:rFonts w:hint="default" w:ascii="Times New Roman" w:hAnsi="Times New Roman" w:cs="Times New Roman"/>
                <w:bCs/>
                <w:color w:val="auto"/>
                <w:kern w:val="0"/>
                <w:sz w:val="24"/>
              </w:rPr>
              <w:t>静止储存损耗是由于罐内气体空间温度的昼夜变化而引起的损耗。白天，储罐空间气体温度逐渐上升，罐内混合气体膨胀，与此同时，液面蒸发加快促使罐内气体压力增高，当压力增至呼吸阀的正压定值时，物料混合气体呼出；晚间罐内空间气体温度逐步下降，压力不断降低，当压力低于氮封阀的设定值时，进入氮气。</w:t>
            </w:r>
          </w:p>
          <w:p w14:paraId="054C17F3">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kern w:val="0"/>
                <w:sz w:val="24"/>
              </w:rPr>
              <w:t>采用美国环保局经验公式进行固定顶罐小呼吸损耗计算，其计算公式如下</w:t>
            </w:r>
            <w:r>
              <w:rPr>
                <w:rFonts w:hint="default" w:ascii="Times New Roman" w:hAnsi="Times New Roman" w:cs="Times New Roman"/>
                <w:bCs/>
                <w:color w:val="auto"/>
                <w:sz w:val="24"/>
              </w:rPr>
              <w:t>：</w:t>
            </w:r>
          </w:p>
          <w:p w14:paraId="558E8D7B">
            <w:pPr>
              <w:spacing w:line="360" w:lineRule="auto"/>
              <w:ind w:firstLine="539"/>
              <w:rPr>
                <w:rFonts w:hint="default" w:ascii="Times New Roman" w:hAnsi="Times New Roman" w:cs="Times New Roman"/>
                <w:bCs/>
                <w:color w:val="auto"/>
                <w:sz w:val="24"/>
              </w:rPr>
            </w:pPr>
            <w:r>
              <w:rPr>
                <w:rFonts w:hint="default" w:ascii="Times New Roman" w:hAnsi="Times New Roman" w:cs="Times New Roman"/>
                <w:bCs/>
                <w:color w:val="auto"/>
                <w:sz w:val="24"/>
              </w:rPr>
              <w:t>L</w:t>
            </w:r>
            <w:r>
              <w:rPr>
                <w:rFonts w:hint="default" w:ascii="Times New Roman" w:hAnsi="Times New Roman" w:cs="Times New Roman"/>
                <w:bCs/>
                <w:color w:val="auto"/>
                <w:sz w:val="24"/>
                <w:vertAlign w:val="subscript"/>
              </w:rPr>
              <w:t>B</w:t>
            </w:r>
            <w:r>
              <w:rPr>
                <w:rFonts w:hint="default" w:ascii="Times New Roman" w:hAnsi="Times New Roman" w:cs="Times New Roman"/>
                <w:bCs/>
                <w:color w:val="auto"/>
                <w:sz w:val="24"/>
              </w:rPr>
              <w:t>=0.191×M×(P/(100910-P))</w:t>
            </w:r>
            <w:r>
              <w:rPr>
                <w:rFonts w:hint="default" w:ascii="Times New Roman" w:hAnsi="Times New Roman" w:cs="Times New Roman"/>
                <w:bCs/>
                <w:color w:val="auto"/>
                <w:sz w:val="24"/>
                <w:vertAlign w:val="superscript"/>
              </w:rPr>
              <w:t>0.68</w:t>
            </w:r>
            <w:r>
              <w:rPr>
                <w:rFonts w:hint="default" w:ascii="Times New Roman" w:hAnsi="Times New Roman" w:cs="Times New Roman"/>
                <w:bCs/>
                <w:color w:val="auto"/>
                <w:sz w:val="24"/>
              </w:rPr>
              <w:t>×D</w:t>
            </w:r>
            <w:r>
              <w:rPr>
                <w:rFonts w:hint="default" w:ascii="Times New Roman" w:hAnsi="Times New Roman" w:cs="Times New Roman"/>
                <w:bCs/>
                <w:color w:val="auto"/>
                <w:sz w:val="24"/>
                <w:vertAlign w:val="superscript"/>
              </w:rPr>
              <w:t>1.73</w:t>
            </w:r>
            <w:r>
              <w:rPr>
                <w:rFonts w:hint="default" w:ascii="Times New Roman" w:hAnsi="Times New Roman" w:cs="Times New Roman"/>
                <w:bCs/>
                <w:color w:val="auto"/>
                <w:sz w:val="24"/>
              </w:rPr>
              <w:t>×H</w:t>
            </w:r>
            <w:r>
              <w:rPr>
                <w:rFonts w:hint="default" w:ascii="Times New Roman" w:hAnsi="Times New Roman" w:cs="Times New Roman"/>
                <w:bCs/>
                <w:color w:val="auto"/>
                <w:sz w:val="24"/>
                <w:vertAlign w:val="superscript"/>
              </w:rPr>
              <w:t>0.51</w:t>
            </w:r>
            <w:r>
              <w:rPr>
                <w:rFonts w:hint="default" w:ascii="Times New Roman" w:hAnsi="Times New Roman" w:cs="Times New Roman"/>
                <w:bCs/>
                <w:color w:val="auto"/>
                <w:sz w:val="24"/>
              </w:rPr>
              <w:t>×△T</w:t>
            </w:r>
            <w:r>
              <w:rPr>
                <w:rFonts w:hint="default" w:ascii="Times New Roman" w:hAnsi="Times New Roman" w:cs="Times New Roman"/>
                <w:bCs/>
                <w:color w:val="auto"/>
                <w:sz w:val="24"/>
                <w:vertAlign w:val="superscript"/>
              </w:rPr>
              <w:t>0.45</w:t>
            </w:r>
            <w:r>
              <w:rPr>
                <w:rFonts w:hint="default" w:ascii="Times New Roman" w:hAnsi="Times New Roman" w:cs="Times New Roman"/>
                <w:bCs/>
                <w:color w:val="auto"/>
                <w:sz w:val="24"/>
              </w:rPr>
              <w:t>×F</w:t>
            </w:r>
            <w:r>
              <w:rPr>
                <w:rFonts w:hint="default" w:ascii="Times New Roman" w:hAnsi="Times New Roman" w:cs="Times New Roman"/>
                <w:bCs/>
                <w:color w:val="auto"/>
                <w:sz w:val="24"/>
                <w:vertAlign w:val="subscript"/>
              </w:rPr>
              <w:t>P</w:t>
            </w:r>
            <w:r>
              <w:rPr>
                <w:rFonts w:hint="default" w:ascii="Times New Roman" w:hAnsi="Times New Roman" w:cs="Times New Roman"/>
                <w:bCs/>
                <w:color w:val="auto"/>
                <w:sz w:val="24"/>
              </w:rPr>
              <w:t>×C×K</w:t>
            </w:r>
            <w:r>
              <w:rPr>
                <w:rFonts w:hint="default" w:ascii="Times New Roman" w:hAnsi="Times New Roman" w:cs="Times New Roman"/>
                <w:bCs/>
                <w:color w:val="auto"/>
                <w:sz w:val="24"/>
                <w:vertAlign w:val="subscript"/>
              </w:rPr>
              <w:t>C</w:t>
            </w:r>
          </w:p>
          <w:p w14:paraId="77D715F0">
            <w:pPr>
              <w:widowControl/>
              <w:spacing w:line="360" w:lineRule="auto"/>
              <w:jc w:val="left"/>
              <w:rPr>
                <w:rFonts w:hint="default" w:ascii="Times New Roman" w:hAnsi="Times New Roman" w:cs="Times New Roman"/>
                <w:bCs/>
                <w:color w:val="auto"/>
                <w:sz w:val="24"/>
              </w:rPr>
            </w:pPr>
            <w:r>
              <w:rPr>
                <w:rFonts w:hint="default" w:ascii="Times New Roman" w:hAnsi="Times New Roman" w:cs="Times New Roman"/>
                <w:bCs/>
                <w:color w:val="auto"/>
                <w:sz w:val="24"/>
              </w:rPr>
              <w:t>式中：L</w:t>
            </w:r>
            <w:r>
              <w:rPr>
                <w:rFonts w:hint="default" w:ascii="Times New Roman" w:hAnsi="Times New Roman" w:cs="Times New Roman"/>
                <w:bCs/>
                <w:color w:val="auto"/>
                <w:sz w:val="24"/>
                <w:vertAlign w:val="subscript"/>
              </w:rPr>
              <w:t>B</w:t>
            </w:r>
            <w:r>
              <w:rPr>
                <w:rFonts w:hint="default" w:ascii="Times New Roman" w:hAnsi="Times New Roman" w:cs="Times New Roman"/>
                <w:bCs/>
                <w:color w:val="auto"/>
                <w:sz w:val="24"/>
              </w:rPr>
              <w:t>—固定顶罐的呼吸排放量（kg/a）；</w:t>
            </w:r>
          </w:p>
          <w:p w14:paraId="2F9FFD8E">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M—储罐内蒸气的分子量；</w:t>
            </w:r>
          </w:p>
          <w:p w14:paraId="4DF6CA12">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P—在大量液体状态下，真实的蒸气压力（Pa）；</w:t>
            </w:r>
          </w:p>
          <w:p w14:paraId="6EB3E7CE">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D—罐的直径（m）；</w:t>
            </w:r>
          </w:p>
          <w:p w14:paraId="0F1127C0">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H—平均蒸气空间高度（m），以固定顶罐储存系数的80％计算；</w:t>
            </w:r>
          </w:p>
          <w:p w14:paraId="076BD8F4">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△T—一天之内的平均温度差（℃）；</w:t>
            </w:r>
          </w:p>
          <w:p w14:paraId="07EEDD27">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F</w:t>
            </w:r>
            <w:r>
              <w:rPr>
                <w:rFonts w:hint="default" w:ascii="Times New Roman" w:hAnsi="Times New Roman" w:cs="Times New Roman"/>
                <w:bCs/>
                <w:color w:val="auto"/>
                <w:sz w:val="24"/>
                <w:vertAlign w:val="subscript"/>
              </w:rPr>
              <w:t>P</w:t>
            </w:r>
            <w:r>
              <w:rPr>
                <w:rFonts w:hint="default" w:ascii="Times New Roman" w:hAnsi="Times New Roman" w:cs="Times New Roman"/>
                <w:bCs/>
                <w:color w:val="auto"/>
                <w:sz w:val="24"/>
              </w:rPr>
              <w:t>—涂层因子（无量纲），根据油漆状况取值在1~1.5之间；</w:t>
            </w:r>
          </w:p>
          <w:p w14:paraId="4BDCD353">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C—用于小直径罐的调节因子（无量纲）；直径在0~9m之间的罐体，C=1-0.0123(D-9)</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；罐径大于9m的C=1；</w:t>
            </w:r>
          </w:p>
          <w:p w14:paraId="5ECD061B">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K</w:t>
            </w:r>
            <w:r>
              <w:rPr>
                <w:rFonts w:hint="default" w:ascii="Times New Roman" w:hAnsi="Times New Roman" w:cs="Times New Roman"/>
                <w:bCs/>
                <w:color w:val="auto"/>
                <w:sz w:val="24"/>
                <w:vertAlign w:val="subscript"/>
              </w:rPr>
              <w:t>C</w:t>
            </w:r>
            <w:r>
              <w:rPr>
                <w:rFonts w:hint="default" w:ascii="Times New Roman" w:hAnsi="Times New Roman" w:cs="Times New Roman"/>
                <w:bCs/>
                <w:color w:val="auto"/>
                <w:sz w:val="24"/>
              </w:rPr>
              <w:t>—产品因子（石油原油K</w:t>
            </w:r>
            <w:r>
              <w:rPr>
                <w:rFonts w:hint="default" w:ascii="Times New Roman" w:hAnsi="Times New Roman" w:cs="Times New Roman"/>
                <w:bCs/>
                <w:color w:val="auto"/>
                <w:sz w:val="24"/>
                <w:vertAlign w:val="subscript"/>
              </w:rPr>
              <w:t>C</w:t>
            </w:r>
            <w:r>
              <w:rPr>
                <w:rFonts w:hint="default" w:ascii="Times New Roman" w:hAnsi="Times New Roman" w:cs="Times New Roman"/>
                <w:bCs/>
                <w:color w:val="auto"/>
                <w:sz w:val="24"/>
              </w:rPr>
              <w:t>取0.65，其他的液体取1.0）</w:t>
            </w:r>
          </w:p>
          <w:p w14:paraId="728245A5">
            <w:pPr>
              <w:spacing w:line="360" w:lineRule="auto"/>
              <w:ind w:firstLine="424" w:firstLineChars="177"/>
              <w:rPr>
                <w:rFonts w:hint="default" w:ascii="Times New Roman" w:hAnsi="Times New Roman" w:cs="Times New Roman"/>
                <w:bCs/>
                <w:color w:val="auto"/>
                <w:sz w:val="24"/>
              </w:rPr>
            </w:pPr>
            <w:r>
              <w:rPr>
                <w:rFonts w:hint="default" w:ascii="Times New Roman" w:hAnsi="Times New Roman" w:cs="Times New Roman"/>
                <w:bCs/>
                <w:color w:val="auto"/>
                <w:sz w:val="24"/>
              </w:rPr>
              <w:t>B.工作排放（大呼吸）</w:t>
            </w:r>
          </w:p>
          <w:p w14:paraId="739045D5">
            <w:pPr>
              <w:spacing w:line="360" w:lineRule="auto"/>
              <w:ind w:firstLine="424" w:firstLineChars="177"/>
              <w:rPr>
                <w:rFonts w:hint="default" w:ascii="Times New Roman" w:hAnsi="Times New Roman" w:cs="Times New Roman"/>
                <w:bCs/>
                <w:color w:val="auto"/>
                <w:sz w:val="24"/>
              </w:rPr>
            </w:pPr>
            <w:r>
              <w:rPr>
                <w:rFonts w:hint="default" w:ascii="Times New Roman" w:hAnsi="Times New Roman" w:cs="Times New Roman"/>
                <w:bCs/>
                <w:color w:val="auto"/>
                <w:sz w:val="24"/>
              </w:rPr>
              <w:t>当物料进罐时，液面不断升高，气体空间不断缩小，物料混合气体压力不断升高，当压力大于呼吸阀限压时，压力阀打开，混合气体逸出；当物料出罐时，液面下降，气体压力减小，当压力降到小于真空阀规定值时，呼吸阀打开，罐外空气被吸入，罐内气体浓度大大降低，从而促使物料蒸发，当物料出罐停止时，随着蒸发的进行，罐内压力逐渐回升，不久又出现物料混合物顶开压力阀向外呼气的现象。</w:t>
            </w:r>
          </w:p>
          <w:p w14:paraId="27A2ACAA">
            <w:pPr>
              <w:spacing w:line="360" w:lineRule="auto"/>
              <w:ind w:firstLine="539"/>
              <w:jc w:val="center"/>
              <w:rPr>
                <w:rFonts w:hint="default" w:ascii="Times New Roman" w:hAnsi="Times New Roman" w:cs="Times New Roman"/>
                <w:bCs/>
                <w:color w:val="auto"/>
                <w:sz w:val="24"/>
                <w:vertAlign w:val="subscript"/>
              </w:rPr>
            </w:pPr>
            <w:r>
              <w:rPr>
                <w:rFonts w:hint="default" w:ascii="Times New Roman" w:hAnsi="Times New Roman" w:cs="Times New Roman"/>
                <w:bCs/>
                <w:color w:val="auto"/>
                <w:sz w:val="24"/>
              </w:rPr>
              <w:t>L</w:t>
            </w:r>
            <w:r>
              <w:rPr>
                <w:rFonts w:hint="default" w:ascii="Times New Roman" w:hAnsi="Times New Roman" w:cs="Times New Roman"/>
                <w:bCs/>
                <w:color w:val="auto"/>
                <w:sz w:val="24"/>
                <w:vertAlign w:val="subscript"/>
              </w:rPr>
              <w:t>W</w:t>
            </w:r>
            <w:r>
              <w:rPr>
                <w:rFonts w:hint="default" w:ascii="Times New Roman" w:hAnsi="Times New Roman" w:cs="Times New Roman"/>
                <w:bCs/>
                <w:color w:val="auto"/>
                <w:sz w:val="24"/>
              </w:rPr>
              <w:t>=4.188×10</w:t>
            </w:r>
            <w:r>
              <w:rPr>
                <w:rFonts w:hint="default" w:ascii="Times New Roman" w:hAnsi="Times New Roman" w:cs="Times New Roman"/>
                <w:bCs/>
                <w:color w:val="auto"/>
                <w:sz w:val="24"/>
                <w:vertAlign w:val="superscript"/>
              </w:rPr>
              <w:t>-7</w:t>
            </w:r>
            <w:r>
              <w:rPr>
                <w:rFonts w:hint="default" w:ascii="Times New Roman" w:hAnsi="Times New Roman" w:cs="Times New Roman"/>
                <w:bCs/>
                <w:color w:val="auto"/>
                <w:sz w:val="24"/>
              </w:rPr>
              <w:t>×M×P×K</w:t>
            </w:r>
            <w:r>
              <w:rPr>
                <w:rFonts w:hint="default" w:ascii="Times New Roman" w:hAnsi="Times New Roman" w:cs="Times New Roman"/>
                <w:bCs/>
                <w:color w:val="auto"/>
                <w:sz w:val="24"/>
                <w:vertAlign w:val="subscript"/>
              </w:rPr>
              <w:t>N</w:t>
            </w:r>
            <w:r>
              <w:rPr>
                <w:rFonts w:hint="default" w:ascii="Times New Roman" w:hAnsi="Times New Roman" w:cs="Times New Roman"/>
                <w:bCs/>
                <w:color w:val="auto"/>
                <w:sz w:val="24"/>
              </w:rPr>
              <w:t>×K</w:t>
            </w:r>
            <w:r>
              <w:rPr>
                <w:rFonts w:hint="default" w:ascii="Times New Roman" w:hAnsi="Times New Roman" w:cs="Times New Roman"/>
                <w:bCs/>
                <w:color w:val="auto"/>
                <w:sz w:val="24"/>
                <w:vertAlign w:val="subscript"/>
              </w:rPr>
              <w:t>C</w:t>
            </w:r>
          </w:p>
          <w:p w14:paraId="4BCEB63C">
            <w:pPr>
              <w:pStyle w:val="28"/>
              <w:spacing w:line="360" w:lineRule="auto"/>
              <w:rPr>
                <w:rFonts w:hint="default" w:ascii="Times New Roman" w:hAnsi="Times New Roman" w:cs="Times New Roman"/>
                <w:bCs/>
                <w:color w:val="auto"/>
              </w:rPr>
            </w:pPr>
            <w:r>
              <w:rPr>
                <w:rFonts w:hint="default" w:ascii="Times New Roman" w:hAnsi="Times New Roman" w:cs="Times New Roman"/>
                <w:bCs/>
                <w:color w:val="auto"/>
              </w:rPr>
              <w:t>式中：L</w:t>
            </w:r>
            <w:r>
              <w:rPr>
                <w:rFonts w:hint="default" w:ascii="Times New Roman" w:hAnsi="Times New Roman" w:cs="Times New Roman"/>
                <w:bCs/>
                <w:color w:val="auto"/>
                <w:vertAlign w:val="subscript"/>
              </w:rPr>
              <w:t>W</w:t>
            </w:r>
            <w:r>
              <w:rPr>
                <w:rFonts w:hint="default" w:ascii="Times New Roman" w:hAnsi="Times New Roman" w:cs="Times New Roman"/>
                <w:bCs/>
                <w:color w:val="auto"/>
              </w:rPr>
              <w:t>—固定顶罐的工作损失（kg/m</w:t>
            </w:r>
            <w:r>
              <w:rPr>
                <w:rFonts w:hint="default" w:ascii="Times New Roman" w:hAnsi="Times New Roman" w:cs="Times New Roman"/>
                <w:bCs/>
                <w:color w:val="auto"/>
                <w:vertAlign w:val="superscript"/>
              </w:rPr>
              <w:t>3</w:t>
            </w:r>
            <w:r>
              <w:rPr>
                <w:rFonts w:hint="default" w:ascii="Times New Roman" w:hAnsi="Times New Roman" w:cs="Times New Roman"/>
                <w:bCs/>
                <w:color w:val="auto"/>
              </w:rPr>
              <w:t>投入量）</w:t>
            </w:r>
          </w:p>
          <w:p w14:paraId="7D9DE03C">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K</w:t>
            </w:r>
            <w:r>
              <w:rPr>
                <w:rFonts w:hint="default" w:ascii="Times New Roman" w:hAnsi="Times New Roman" w:cs="Times New Roman"/>
                <w:bCs/>
                <w:color w:val="auto"/>
                <w:sz w:val="24"/>
                <w:vertAlign w:val="subscript"/>
              </w:rPr>
              <w:t>N</w:t>
            </w:r>
            <w:r>
              <w:rPr>
                <w:rFonts w:hint="default" w:ascii="Times New Roman" w:hAnsi="Times New Roman" w:cs="Times New Roman"/>
                <w:bCs/>
                <w:color w:val="auto"/>
                <w:sz w:val="24"/>
              </w:rPr>
              <w:t>—周转因子（无量纲），取值按年周转次数（K）确定。</w:t>
            </w:r>
          </w:p>
          <w:p w14:paraId="0672B52A">
            <w:pPr>
              <w:widowControl/>
              <w:spacing w:line="360" w:lineRule="auto"/>
              <w:ind w:firstLine="720" w:firstLineChars="300"/>
              <w:jc w:val="left"/>
              <w:rPr>
                <w:rFonts w:hint="default" w:ascii="Times New Roman" w:hAnsi="Times New Roman" w:cs="Times New Roman"/>
                <w:bCs/>
                <w:color w:val="auto"/>
                <w:sz w:val="24"/>
              </w:rPr>
            </w:pPr>
            <w:r>
              <w:rPr>
                <w:rFonts w:hint="default" w:ascii="Times New Roman" w:hAnsi="Times New Roman" w:cs="Times New Roman"/>
                <w:bCs/>
                <w:color w:val="auto"/>
                <w:sz w:val="24"/>
              </w:rPr>
              <w:t>K≤36，K</w:t>
            </w:r>
            <w:r>
              <w:rPr>
                <w:rFonts w:hint="default" w:ascii="Times New Roman" w:hAnsi="Times New Roman" w:cs="Times New Roman"/>
                <w:bCs/>
                <w:color w:val="auto"/>
                <w:sz w:val="24"/>
                <w:vertAlign w:val="subscript"/>
              </w:rPr>
              <w:t>N</w:t>
            </w:r>
            <w:r>
              <w:rPr>
                <w:rFonts w:hint="default" w:ascii="Times New Roman" w:hAnsi="Times New Roman" w:cs="Times New Roman"/>
                <w:bCs/>
                <w:color w:val="auto"/>
                <w:sz w:val="24"/>
              </w:rPr>
              <w:t>=1；36＜K≤220，K</w:t>
            </w:r>
            <w:r>
              <w:rPr>
                <w:rFonts w:hint="default" w:ascii="Times New Roman" w:hAnsi="Times New Roman" w:cs="Times New Roman"/>
                <w:bCs/>
                <w:color w:val="auto"/>
                <w:sz w:val="24"/>
                <w:vertAlign w:val="subscript"/>
              </w:rPr>
              <w:t>N</w:t>
            </w:r>
            <w:r>
              <w:rPr>
                <w:rFonts w:hint="default" w:ascii="Times New Roman" w:hAnsi="Times New Roman" w:cs="Times New Roman"/>
                <w:bCs/>
                <w:color w:val="auto"/>
                <w:sz w:val="24"/>
              </w:rPr>
              <w:t>=11.467×K</w:t>
            </w:r>
            <w:r>
              <w:rPr>
                <w:rFonts w:hint="default" w:ascii="Times New Roman" w:hAnsi="Times New Roman" w:cs="Times New Roman"/>
                <w:bCs/>
                <w:color w:val="auto"/>
                <w:sz w:val="24"/>
                <w:vertAlign w:val="superscript"/>
              </w:rPr>
              <w:t>-0.7026</w:t>
            </w:r>
            <w:r>
              <w:rPr>
                <w:rFonts w:hint="default" w:ascii="Times New Roman" w:hAnsi="Times New Roman" w:cs="Times New Roman"/>
                <w:bCs/>
                <w:color w:val="auto"/>
                <w:sz w:val="24"/>
              </w:rPr>
              <w:t>；K&gt;220，K</w:t>
            </w:r>
            <w:r>
              <w:rPr>
                <w:rFonts w:hint="default" w:ascii="Times New Roman" w:hAnsi="Times New Roman" w:cs="Times New Roman"/>
                <w:bCs/>
                <w:color w:val="auto"/>
                <w:sz w:val="24"/>
                <w:vertAlign w:val="subscript"/>
              </w:rPr>
              <w:t>N</w:t>
            </w:r>
            <w:r>
              <w:rPr>
                <w:rFonts w:hint="default" w:ascii="Times New Roman" w:hAnsi="Times New Roman" w:cs="Times New Roman"/>
                <w:bCs/>
                <w:color w:val="auto"/>
                <w:sz w:val="24"/>
              </w:rPr>
              <w:t>=0.26</w:t>
            </w:r>
          </w:p>
          <w:p w14:paraId="66A5EACF">
            <w:pPr>
              <w:widowControl/>
              <w:spacing w:line="360" w:lineRule="auto"/>
              <w:ind w:firstLine="720" w:firstLineChars="300"/>
              <w:jc w:val="left"/>
              <w:rPr>
                <w:rFonts w:hint="default" w:ascii="Times New Roman" w:hAnsi="Times New Roman" w:cs="Times New Roman"/>
                <w:color w:val="auto"/>
                <w:sz w:val="24"/>
              </w:rPr>
            </w:pPr>
            <w:r>
              <w:rPr>
                <w:rFonts w:hint="default" w:ascii="Times New Roman" w:hAnsi="Times New Roman" w:cs="Times New Roman"/>
                <w:color w:val="auto"/>
                <w:sz w:val="24"/>
              </w:rPr>
              <w:t>Kc—产品因子(石油原油K取0.65，其他的液体取1.0)</w:t>
            </w:r>
          </w:p>
          <w:p w14:paraId="0906BFE0">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w:t>
            </w:r>
            <w:r>
              <w:rPr>
                <w:rFonts w:hint="eastAsia" w:cs="Times New Roman"/>
                <w:b/>
                <w:bCs/>
                <w:color w:val="auto"/>
                <w:szCs w:val="21"/>
                <w:lang w:val="en-US" w:eastAsia="zh-CN"/>
              </w:rPr>
              <w:t>4</w:t>
            </w:r>
            <w:r>
              <w:rPr>
                <w:rFonts w:hint="default" w:ascii="Times New Roman" w:hAnsi="Times New Roman" w:cs="Times New Roman"/>
                <w:b/>
                <w:bCs/>
                <w:color w:val="auto"/>
                <w:szCs w:val="21"/>
              </w:rPr>
              <w:t xml:space="preserve"> 项目储罐大小呼吸参数取值</w:t>
            </w:r>
          </w:p>
          <w:tbl>
            <w:tblPr>
              <w:tblStyle w:val="12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82"/>
              <w:gridCol w:w="882"/>
              <w:gridCol w:w="881"/>
              <w:gridCol w:w="881"/>
              <w:gridCol w:w="882"/>
              <w:gridCol w:w="882"/>
              <w:gridCol w:w="882"/>
              <w:gridCol w:w="882"/>
              <w:gridCol w:w="882"/>
            </w:tblGrid>
            <w:tr w14:paraId="3BED4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882" w:type="dxa"/>
                  <w:tcBorders>
                    <w:bottom w:val="nil"/>
                  </w:tcBorders>
                  <w:vAlign w:val="center"/>
                </w:tcPr>
                <w:p w14:paraId="117A69BF">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2"/>
                      <w:sz w:val="18"/>
                      <w:szCs w:val="18"/>
                    </w:rPr>
                    <w:t>物料名称</w:t>
                  </w:r>
                </w:p>
              </w:tc>
              <w:tc>
                <w:tcPr>
                  <w:tcW w:w="882" w:type="dxa"/>
                  <w:tcBorders>
                    <w:bottom w:val="nil"/>
                  </w:tcBorders>
                  <w:vAlign w:val="center"/>
                </w:tcPr>
                <w:p w14:paraId="2D6BE967">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5"/>
                      <w:sz w:val="18"/>
                      <w:szCs w:val="18"/>
                    </w:rPr>
                    <w:t>储罐尺寸(m)</w:t>
                  </w:r>
                </w:p>
              </w:tc>
              <w:tc>
                <w:tcPr>
                  <w:tcW w:w="881" w:type="dxa"/>
                  <w:vAlign w:val="center"/>
                </w:tcPr>
                <w:p w14:paraId="7ECCCFA7">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10"/>
                      <w:sz w:val="18"/>
                      <w:szCs w:val="18"/>
                    </w:rPr>
                    <w:t>用量(</w:t>
                  </w:r>
                  <w:r>
                    <w:rPr>
                      <w:rFonts w:hint="default" w:ascii="Times New Roman" w:hAnsi="Times New Roman" w:cs="Times New Roman"/>
                      <w:color w:val="auto"/>
                      <w:sz w:val="18"/>
                      <w:szCs w:val="18"/>
                      <w:lang w:eastAsia="zh-CN"/>
                    </w:rPr>
                    <w:t>t/a</w:t>
                  </w:r>
                  <w:r>
                    <w:rPr>
                      <w:rFonts w:hint="default" w:ascii="Times New Roman" w:hAnsi="Times New Roman" w:cs="Times New Roman"/>
                      <w:color w:val="auto"/>
                      <w:spacing w:val="10"/>
                      <w:sz w:val="18"/>
                      <w:szCs w:val="18"/>
                    </w:rPr>
                    <w:t>)</w:t>
                  </w:r>
                </w:p>
              </w:tc>
              <w:tc>
                <w:tcPr>
                  <w:tcW w:w="881" w:type="dxa"/>
                  <w:tcBorders>
                    <w:bottom w:val="nil"/>
                  </w:tcBorders>
                  <w:vAlign w:val="center"/>
                </w:tcPr>
                <w:p w14:paraId="1F290E86">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1"/>
                      <w:sz w:val="18"/>
                      <w:szCs w:val="18"/>
                    </w:rPr>
                    <w:t>P(Pa)</w:t>
                  </w:r>
                </w:p>
              </w:tc>
              <w:tc>
                <w:tcPr>
                  <w:tcW w:w="882" w:type="dxa"/>
                  <w:tcBorders>
                    <w:bottom w:val="nil"/>
                  </w:tcBorders>
                  <w:vAlign w:val="center"/>
                </w:tcPr>
                <w:p w14:paraId="3B5B6BB3">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ΔT（℃）</w:t>
                  </w:r>
                </w:p>
              </w:tc>
              <w:tc>
                <w:tcPr>
                  <w:tcW w:w="882" w:type="dxa"/>
                  <w:tcBorders>
                    <w:bottom w:val="nil"/>
                  </w:tcBorders>
                  <w:vAlign w:val="center"/>
                </w:tcPr>
                <w:p w14:paraId="235155CE">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w:t>
                  </w:r>
                </w:p>
              </w:tc>
              <w:tc>
                <w:tcPr>
                  <w:tcW w:w="882" w:type="dxa"/>
                  <w:vAlign w:val="center"/>
                </w:tcPr>
                <w:p w14:paraId="35ED28FA">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2"/>
                      <w:position w:val="-2"/>
                      <w:sz w:val="18"/>
                      <w:szCs w:val="18"/>
                    </w:rPr>
                    <w:t>K</w:t>
                  </w:r>
                  <w:r>
                    <w:rPr>
                      <w:rFonts w:hint="default" w:ascii="Times New Roman" w:hAnsi="Times New Roman" w:cs="Times New Roman"/>
                      <w:color w:val="auto"/>
                      <w:spacing w:val="-2"/>
                      <w:position w:val="-2"/>
                      <w:sz w:val="18"/>
                      <w:szCs w:val="18"/>
                      <w:vertAlign w:val="subscript"/>
                      <w:lang w:eastAsia="zh-CN"/>
                    </w:rPr>
                    <w:t>N</w:t>
                  </w:r>
                </w:p>
              </w:tc>
              <w:tc>
                <w:tcPr>
                  <w:tcW w:w="882" w:type="dxa"/>
                  <w:tcBorders>
                    <w:bottom w:val="nil"/>
                  </w:tcBorders>
                  <w:vAlign w:val="center"/>
                </w:tcPr>
                <w:p w14:paraId="42E1C6C9">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w:t>
                  </w:r>
                </w:p>
              </w:tc>
              <w:tc>
                <w:tcPr>
                  <w:tcW w:w="882" w:type="dxa"/>
                  <w:tcBorders>
                    <w:bottom w:val="nil"/>
                  </w:tcBorders>
                  <w:vAlign w:val="center"/>
                </w:tcPr>
                <w:p w14:paraId="2E9155C5">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rPr>
                    <w:t>K</w:t>
                  </w:r>
                  <w:r>
                    <w:rPr>
                      <w:rFonts w:hint="default" w:ascii="Times New Roman" w:hAnsi="Times New Roman" w:cs="Times New Roman"/>
                      <w:color w:val="auto"/>
                      <w:sz w:val="18"/>
                      <w:szCs w:val="18"/>
                      <w:lang w:eastAsia="zh-CN"/>
                    </w:rPr>
                    <w:t>c</w:t>
                  </w:r>
                </w:p>
              </w:tc>
            </w:tr>
            <w:tr w14:paraId="5C8F82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882" w:type="dxa"/>
                  <w:vAlign w:val="center"/>
                </w:tcPr>
                <w:p w14:paraId="7831BF23">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6"/>
                      <w:sz w:val="18"/>
                      <w:szCs w:val="18"/>
                    </w:rPr>
                    <w:t>盐酸(</w:t>
                  </w:r>
                  <w:r>
                    <w:rPr>
                      <w:rFonts w:hint="default" w:ascii="Times New Roman" w:hAnsi="Times New Roman" w:cs="Times New Roman"/>
                      <w:color w:val="auto"/>
                      <w:spacing w:val="6"/>
                      <w:sz w:val="18"/>
                      <w:szCs w:val="18"/>
                      <w:lang w:eastAsia="zh-CN"/>
                    </w:rPr>
                    <w:t>36%</w:t>
                  </w:r>
                  <w:r>
                    <w:rPr>
                      <w:rFonts w:hint="default" w:ascii="Times New Roman" w:hAnsi="Times New Roman" w:cs="Times New Roman"/>
                      <w:color w:val="auto"/>
                      <w:spacing w:val="6"/>
                      <w:sz w:val="18"/>
                      <w:szCs w:val="18"/>
                    </w:rPr>
                    <w:t>)</w:t>
                  </w:r>
                </w:p>
              </w:tc>
              <w:tc>
                <w:tcPr>
                  <w:tcW w:w="882" w:type="dxa"/>
                  <w:vAlign w:val="center"/>
                </w:tcPr>
                <w:p w14:paraId="39FE91CD">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Φ3.1*4.7m</w:t>
                  </w:r>
                </w:p>
              </w:tc>
              <w:tc>
                <w:tcPr>
                  <w:tcW w:w="881" w:type="dxa"/>
                  <w:vAlign w:val="center"/>
                </w:tcPr>
                <w:p w14:paraId="4A0B6830">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800</w:t>
                  </w:r>
                </w:p>
              </w:tc>
              <w:tc>
                <w:tcPr>
                  <w:tcW w:w="881" w:type="dxa"/>
                  <w:vAlign w:val="center"/>
                </w:tcPr>
                <w:p w14:paraId="5D38FDB9">
                  <w:pPr>
                    <w:widowControl/>
                    <w:jc w:val="center"/>
                    <w:textAlignment w:val="center"/>
                    <w:rPr>
                      <w:rFonts w:hint="default" w:ascii="Times New Roman" w:hAnsi="Times New Roman" w:eastAsia="宋体" w:cs="Times New Roman"/>
                      <w:color w:val="auto"/>
                      <w:sz w:val="18"/>
                      <w:szCs w:val="18"/>
                      <w:lang w:eastAsia="zh-CN"/>
                    </w:rPr>
                  </w:pPr>
                  <w:r>
                    <w:rPr>
                      <w:color w:val="auto"/>
                      <w:kern w:val="0"/>
                      <w:sz w:val="18"/>
                      <w:szCs w:val="18"/>
                    </w:rPr>
                    <w:t>1500</w:t>
                  </w:r>
                </w:p>
              </w:tc>
              <w:tc>
                <w:tcPr>
                  <w:tcW w:w="882" w:type="dxa"/>
                  <w:vAlign w:val="center"/>
                </w:tcPr>
                <w:p w14:paraId="59A5796F">
                  <w:pPr>
                    <w:widowControl/>
                    <w:jc w:val="center"/>
                    <w:textAlignment w:val="center"/>
                    <w:rPr>
                      <w:rFonts w:hint="default" w:ascii="Times New Roman" w:hAnsi="Times New Roman" w:cs="Times New Roman"/>
                      <w:color w:val="auto"/>
                      <w:spacing w:val="-3"/>
                      <w:position w:val="-2"/>
                      <w:sz w:val="18"/>
                      <w:szCs w:val="18"/>
                    </w:rPr>
                  </w:pPr>
                  <w:r>
                    <w:rPr>
                      <w:rFonts w:hint="default" w:ascii="Times New Roman" w:hAnsi="Times New Roman" w:cs="Times New Roman"/>
                      <w:color w:val="auto"/>
                      <w:spacing w:val="-3"/>
                      <w:position w:val="-2"/>
                      <w:sz w:val="18"/>
                      <w:szCs w:val="18"/>
                    </w:rPr>
                    <w:t>10</w:t>
                  </w:r>
                </w:p>
              </w:tc>
              <w:tc>
                <w:tcPr>
                  <w:tcW w:w="882" w:type="dxa"/>
                  <w:vAlign w:val="center"/>
                </w:tcPr>
                <w:p w14:paraId="534121A1">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3"/>
                      <w:position w:val="-2"/>
                      <w:sz w:val="18"/>
                      <w:szCs w:val="18"/>
                    </w:rPr>
                    <w:t>36.5</w:t>
                  </w:r>
                </w:p>
              </w:tc>
              <w:tc>
                <w:tcPr>
                  <w:tcW w:w="882" w:type="dxa"/>
                  <w:vAlign w:val="center"/>
                </w:tcPr>
                <w:p w14:paraId="3FA6D5E8">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1</w:t>
                  </w:r>
                </w:p>
              </w:tc>
              <w:tc>
                <w:tcPr>
                  <w:tcW w:w="882" w:type="dxa"/>
                  <w:vAlign w:val="center"/>
                </w:tcPr>
                <w:p w14:paraId="596CCD3B">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0.572</w:t>
                  </w:r>
                </w:p>
              </w:tc>
              <w:tc>
                <w:tcPr>
                  <w:tcW w:w="882" w:type="dxa"/>
                  <w:vAlign w:val="center"/>
                </w:tcPr>
                <w:p w14:paraId="6DCF0030">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position w:val="-2"/>
                      <w:sz w:val="18"/>
                      <w:szCs w:val="18"/>
                    </w:rPr>
                    <w:t>1</w:t>
                  </w:r>
                </w:p>
              </w:tc>
            </w:tr>
            <w:tr w14:paraId="79EA21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882" w:type="dxa"/>
                  <w:vAlign w:val="center"/>
                </w:tcPr>
                <w:p w14:paraId="695DA93E">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4"/>
                      <w:sz w:val="18"/>
                      <w:szCs w:val="18"/>
                    </w:rPr>
                    <w:t>氢氟酸(</w:t>
                  </w:r>
                  <w:r>
                    <w:rPr>
                      <w:rFonts w:hint="default" w:ascii="Times New Roman" w:hAnsi="Times New Roman" w:cs="Times New Roman"/>
                      <w:color w:val="auto"/>
                      <w:spacing w:val="4"/>
                      <w:sz w:val="18"/>
                      <w:szCs w:val="18"/>
                      <w:lang w:eastAsia="zh-CN"/>
                    </w:rPr>
                    <w:t>40%</w:t>
                  </w:r>
                  <w:r>
                    <w:rPr>
                      <w:rFonts w:hint="default" w:ascii="Times New Roman" w:hAnsi="Times New Roman" w:cs="Times New Roman"/>
                      <w:color w:val="auto"/>
                      <w:spacing w:val="4"/>
                      <w:sz w:val="18"/>
                      <w:szCs w:val="18"/>
                    </w:rPr>
                    <w:t>)</w:t>
                  </w:r>
                </w:p>
              </w:tc>
              <w:tc>
                <w:tcPr>
                  <w:tcW w:w="882" w:type="dxa"/>
                  <w:vAlign w:val="center"/>
                </w:tcPr>
                <w:p w14:paraId="4C70A195">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Φ3.1*4.7m</w:t>
                  </w:r>
                </w:p>
              </w:tc>
              <w:tc>
                <w:tcPr>
                  <w:tcW w:w="881" w:type="dxa"/>
                  <w:vAlign w:val="center"/>
                </w:tcPr>
                <w:p w14:paraId="43FE114C">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200</w:t>
                  </w:r>
                </w:p>
              </w:tc>
              <w:tc>
                <w:tcPr>
                  <w:tcW w:w="881" w:type="dxa"/>
                  <w:vAlign w:val="center"/>
                </w:tcPr>
                <w:p w14:paraId="6CE1D958">
                  <w:pPr>
                    <w:widowControl/>
                    <w:jc w:val="center"/>
                    <w:textAlignment w:val="center"/>
                    <w:rPr>
                      <w:rFonts w:hint="default" w:ascii="Times New Roman" w:hAnsi="Times New Roman" w:eastAsia="宋体" w:cs="Times New Roman"/>
                      <w:color w:val="auto"/>
                      <w:sz w:val="18"/>
                      <w:szCs w:val="18"/>
                      <w:lang w:eastAsia="zh-CN"/>
                    </w:rPr>
                  </w:pPr>
                  <w:r>
                    <w:rPr>
                      <w:color w:val="auto"/>
                      <w:kern w:val="0"/>
                      <w:sz w:val="18"/>
                      <w:szCs w:val="18"/>
                    </w:rPr>
                    <w:t>1000</w:t>
                  </w:r>
                </w:p>
              </w:tc>
              <w:tc>
                <w:tcPr>
                  <w:tcW w:w="882" w:type="dxa"/>
                  <w:vAlign w:val="center"/>
                </w:tcPr>
                <w:p w14:paraId="0E3625D2">
                  <w:pPr>
                    <w:widowControl/>
                    <w:jc w:val="center"/>
                    <w:textAlignment w:val="center"/>
                    <w:rPr>
                      <w:rFonts w:hint="default" w:ascii="Times New Roman" w:hAnsi="Times New Roman" w:cs="Times New Roman"/>
                      <w:color w:val="auto"/>
                      <w:spacing w:val="-3"/>
                      <w:position w:val="-2"/>
                      <w:sz w:val="18"/>
                      <w:szCs w:val="18"/>
                    </w:rPr>
                  </w:pPr>
                  <w:r>
                    <w:rPr>
                      <w:rFonts w:hint="default" w:ascii="Times New Roman" w:hAnsi="Times New Roman" w:cs="Times New Roman"/>
                      <w:color w:val="auto"/>
                      <w:spacing w:val="-3"/>
                      <w:position w:val="-2"/>
                      <w:sz w:val="18"/>
                      <w:szCs w:val="18"/>
                    </w:rPr>
                    <w:t>10</w:t>
                  </w:r>
                </w:p>
              </w:tc>
              <w:tc>
                <w:tcPr>
                  <w:tcW w:w="882" w:type="dxa"/>
                  <w:vAlign w:val="center"/>
                </w:tcPr>
                <w:p w14:paraId="25B01912">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pacing w:val="-3"/>
                      <w:position w:val="-2"/>
                      <w:sz w:val="18"/>
                      <w:szCs w:val="18"/>
                    </w:rPr>
                    <w:t>20</w:t>
                  </w:r>
                </w:p>
              </w:tc>
              <w:tc>
                <w:tcPr>
                  <w:tcW w:w="882" w:type="dxa"/>
                  <w:vAlign w:val="center"/>
                </w:tcPr>
                <w:p w14:paraId="3D9DF48E">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1</w:t>
                  </w:r>
                </w:p>
              </w:tc>
              <w:tc>
                <w:tcPr>
                  <w:tcW w:w="882" w:type="dxa"/>
                  <w:vAlign w:val="center"/>
                </w:tcPr>
                <w:p w14:paraId="4D1DD5C9">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eastAsia" w:ascii="Times New Roman" w:hAnsi="Times New Roman" w:cs="Times New Roman"/>
                      <w:color w:val="auto"/>
                      <w:sz w:val="18"/>
                      <w:szCs w:val="18"/>
                      <w:lang w:val="en-US" w:eastAsia="zh-CN"/>
                    </w:rPr>
                    <w:t>0.572</w:t>
                  </w:r>
                </w:p>
              </w:tc>
              <w:tc>
                <w:tcPr>
                  <w:tcW w:w="882" w:type="dxa"/>
                  <w:vAlign w:val="center"/>
                </w:tcPr>
                <w:p w14:paraId="20CA3D99">
                  <w:pPr>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3279F1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7936" w:type="dxa"/>
                  <w:gridSpan w:val="9"/>
                  <w:vAlign w:val="center"/>
                </w:tcPr>
                <w:p w14:paraId="04231500">
                  <w:pPr>
                    <w:pStyle w:val="116"/>
                    <w:widowControl/>
                    <w:kinsoku w:val="0"/>
                    <w:autoSpaceDE w:val="0"/>
                    <w:autoSpaceDN w:val="0"/>
                    <w:adjustRightInd w:val="0"/>
                    <w:snapToGrid w:val="0"/>
                    <w:jc w:val="left"/>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K</w:t>
                  </w:r>
                  <w:r>
                    <w:rPr>
                      <w:rFonts w:hint="default" w:ascii="Times New Roman" w:hAnsi="Times New Roman" w:cs="Times New Roman"/>
                      <w:color w:val="auto"/>
                      <w:sz w:val="18"/>
                      <w:szCs w:val="18"/>
                      <w:vertAlign w:val="subscript"/>
                      <w:lang w:eastAsia="zh-CN"/>
                    </w:rPr>
                    <w:t>N</w:t>
                  </w:r>
                  <w:r>
                    <w:rPr>
                      <w:rFonts w:hint="default" w:ascii="Times New Roman" w:hAnsi="Times New Roman" w:cs="Times New Roman"/>
                      <w:color w:val="auto"/>
                      <w:spacing w:val="1"/>
                      <w:sz w:val="18"/>
                      <w:szCs w:val="18"/>
                      <w:lang w:eastAsia="zh-CN"/>
                    </w:rPr>
                    <w:t>:36%盐酸年用量为</w:t>
                  </w:r>
                  <w:r>
                    <w:rPr>
                      <w:rFonts w:hint="eastAsia" w:ascii="Times New Roman" w:hAnsi="Times New Roman" w:cs="Times New Roman"/>
                      <w:color w:val="auto"/>
                      <w:spacing w:val="1"/>
                      <w:sz w:val="18"/>
                      <w:szCs w:val="18"/>
                      <w:lang w:val="en-US" w:eastAsia="zh-CN"/>
                    </w:rPr>
                    <w:t>8</w:t>
                  </w:r>
                  <w:r>
                    <w:rPr>
                      <w:rFonts w:hint="default" w:ascii="Times New Roman" w:hAnsi="Times New Roman" w:cs="Times New Roman"/>
                      <w:color w:val="auto"/>
                      <w:spacing w:val="1"/>
                      <w:sz w:val="18"/>
                      <w:szCs w:val="18"/>
                      <w:lang w:eastAsia="zh-CN"/>
                    </w:rPr>
                    <w:t>00</w:t>
                  </w:r>
                  <w:r>
                    <w:rPr>
                      <w:rFonts w:hint="default" w:ascii="Times New Roman" w:hAnsi="Times New Roman" w:cs="Times New Roman"/>
                      <w:color w:val="auto"/>
                      <w:sz w:val="18"/>
                      <w:szCs w:val="18"/>
                      <w:lang w:eastAsia="zh-CN"/>
                    </w:rPr>
                    <w:t>t/a</w:t>
                  </w:r>
                  <w:r>
                    <w:rPr>
                      <w:rFonts w:hint="default" w:ascii="Times New Roman" w:hAnsi="Times New Roman" w:cs="Times New Roman"/>
                      <w:color w:val="auto"/>
                      <w:spacing w:val="1"/>
                      <w:sz w:val="18"/>
                      <w:szCs w:val="18"/>
                      <w:lang w:eastAsia="zh-CN"/>
                    </w:rPr>
                    <w:t>，密度为1.16g/</w:t>
                  </w:r>
                  <w:r>
                    <w:rPr>
                      <w:rFonts w:hint="default" w:ascii="Times New Roman" w:hAnsi="Times New Roman" w:cs="Times New Roman"/>
                      <w:color w:val="auto"/>
                      <w:sz w:val="18"/>
                      <w:szCs w:val="18"/>
                      <w:lang w:eastAsia="zh-CN"/>
                    </w:rPr>
                    <w:t>cm</w:t>
                  </w:r>
                  <w:r>
                    <w:rPr>
                      <w:rFonts w:hint="default" w:ascii="Times New Roman" w:hAnsi="Times New Roman" w:cs="Times New Roman"/>
                      <w:color w:val="auto"/>
                      <w:spacing w:val="1"/>
                      <w:sz w:val="18"/>
                      <w:szCs w:val="18"/>
                      <w:lang w:eastAsia="zh-CN"/>
                    </w:rPr>
                    <w:t>³，装填系数为80%，经计算36%盐酸年周转次数为</w:t>
                  </w:r>
                  <w:r>
                    <w:rPr>
                      <w:rFonts w:hint="eastAsia" w:ascii="Times New Roman" w:hAnsi="Times New Roman" w:cs="Times New Roman"/>
                      <w:color w:val="auto"/>
                      <w:spacing w:val="1"/>
                      <w:sz w:val="18"/>
                      <w:szCs w:val="18"/>
                      <w:lang w:val="en-US" w:eastAsia="zh-CN"/>
                    </w:rPr>
                    <w:t>30</w:t>
                  </w:r>
                  <w:r>
                    <w:rPr>
                      <w:rFonts w:hint="default" w:ascii="Times New Roman" w:hAnsi="Times New Roman" w:cs="Times New Roman"/>
                      <w:color w:val="auto"/>
                      <w:spacing w:val="1"/>
                      <w:sz w:val="18"/>
                      <w:szCs w:val="18"/>
                      <w:lang w:eastAsia="zh-CN"/>
                    </w:rPr>
                    <w:t>次；40%氢氟酸年用量为</w:t>
                  </w:r>
                  <w:r>
                    <w:rPr>
                      <w:rFonts w:hint="eastAsia" w:ascii="Times New Roman" w:hAnsi="Times New Roman" w:cs="Times New Roman"/>
                      <w:color w:val="auto"/>
                      <w:sz w:val="18"/>
                      <w:szCs w:val="18"/>
                      <w:lang w:val="en-US" w:eastAsia="zh-CN"/>
                    </w:rPr>
                    <w:t>20</w:t>
                  </w:r>
                  <w:r>
                    <w:rPr>
                      <w:rFonts w:hint="default" w:ascii="Times New Roman" w:hAnsi="Times New Roman" w:cs="Times New Roman"/>
                      <w:color w:val="auto"/>
                      <w:sz w:val="18"/>
                      <w:szCs w:val="18"/>
                      <w:lang w:eastAsia="zh-CN"/>
                    </w:rPr>
                    <w:t>0t/a</w:t>
                  </w:r>
                  <w:r>
                    <w:rPr>
                      <w:rFonts w:hint="default" w:ascii="Times New Roman" w:hAnsi="Times New Roman" w:cs="Times New Roman"/>
                      <w:color w:val="auto"/>
                      <w:spacing w:val="1"/>
                      <w:sz w:val="18"/>
                      <w:szCs w:val="18"/>
                      <w:lang w:eastAsia="zh-CN"/>
                    </w:rPr>
                    <w:t>，密度为1.15g/</w:t>
                  </w:r>
                  <w:r>
                    <w:rPr>
                      <w:rFonts w:hint="default" w:ascii="Times New Roman" w:hAnsi="Times New Roman" w:cs="Times New Roman"/>
                      <w:color w:val="auto"/>
                      <w:sz w:val="18"/>
                      <w:szCs w:val="18"/>
                      <w:lang w:eastAsia="zh-CN"/>
                    </w:rPr>
                    <w:t>cm</w:t>
                  </w:r>
                  <w:r>
                    <w:rPr>
                      <w:rFonts w:hint="default" w:ascii="Times New Roman" w:hAnsi="Times New Roman" w:cs="Times New Roman"/>
                      <w:color w:val="auto"/>
                      <w:spacing w:val="1"/>
                      <w:sz w:val="18"/>
                      <w:szCs w:val="18"/>
                      <w:lang w:eastAsia="zh-CN"/>
                    </w:rPr>
                    <w:t>³，装填系数为80%，经计算40%</w:t>
                  </w:r>
                  <w:r>
                    <w:rPr>
                      <w:rFonts w:hint="default" w:ascii="Times New Roman" w:hAnsi="Times New Roman" w:cs="Times New Roman"/>
                      <w:color w:val="auto"/>
                      <w:spacing w:val="3"/>
                      <w:sz w:val="18"/>
                      <w:szCs w:val="18"/>
                      <w:lang w:eastAsia="zh-CN"/>
                    </w:rPr>
                    <w:t>氢氟酸年周转次数为</w:t>
                  </w:r>
                  <w:r>
                    <w:rPr>
                      <w:rFonts w:hint="eastAsia" w:ascii="Times New Roman" w:hAnsi="Times New Roman" w:cs="Times New Roman"/>
                      <w:color w:val="auto"/>
                      <w:spacing w:val="3"/>
                      <w:sz w:val="18"/>
                      <w:szCs w:val="18"/>
                      <w:lang w:val="en-US" w:eastAsia="zh-CN"/>
                    </w:rPr>
                    <w:t>8</w:t>
                  </w:r>
                  <w:r>
                    <w:rPr>
                      <w:rFonts w:hint="default" w:ascii="Times New Roman" w:hAnsi="Times New Roman" w:cs="Times New Roman"/>
                      <w:color w:val="auto"/>
                      <w:spacing w:val="3"/>
                      <w:sz w:val="18"/>
                      <w:szCs w:val="18"/>
                      <w:lang w:eastAsia="zh-CN"/>
                    </w:rPr>
                    <w:t>次。</w:t>
                  </w:r>
                </w:p>
              </w:tc>
            </w:tr>
          </w:tbl>
          <w:p w14:paraId="43D1275C">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w:t>
            </w:r>
            <w:r>
              <w:rPr>
                <w:rFonts w:hint="eastAsia" w:cs="Times New Roman"/>
                <w:b/>
                <w:bCs/>
                <w:color w:val="auto"/>
                <w:szCs w:val="21"/>
                <w:lang w:val="en-US" w:eastAsia="zh-CN"/>
              </w:rPr>
              <w:t>5</w:t>
            </w:r>
            <w:r>
              <w:rPr>
                <w:rFonts w:hint="default" w:ascii="Times New Roman" w:hAnsi="Times New Roman" w:cs="Times New Roman"/>
                <w:b/>
                <w:bCs/>
                <w:color w:val="auto"/>
                <w:szCs w:val="21"/>
              </w:rPr>
              <w:t xml:space="preserve">  项目储罐大小呼吸蒸发损耗量</w:t>
            </w:r>
          </w:p>
          <w:tbl>
            <w:tblPr>
              <w:tblStyle w:val="12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69"/>
              <w:gridCol w:w="2213"/>
              <w:gridCol w:w="2110"/>
              <w:gridCol w:w="1844"/>
            </w:tblGrid>
            <w:tr w14:paraId="52712C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978" w:type="dxa"/>
                  <w:vMerge w:val="restart"/>
                  <w:tcBorders>
                    <w:bottom w:val="nil"/>
                  </w:tcBorders>
                  <w:vAlign w:val="center"/>
                </w:tcPr>
                <w:p w14:paraId="271F0C19">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2"/>
                      <w:sz w:val="18"/>
                      <w:szCs w:val="18"/>
                      <w:lang w:eastAsia="zh-CN"/>
                    </w:rPr>
                    <w:t>物料名称</w:t>
                  </w:r>
                </w:p>
              </w:tc>
              <w:tc>
                <w:tcPr>
                  <w:tcW w:w="1224" w:type="dxa"/>
                  <w:vAlign w:val="center"/>
                </w:tcPr>
                <w:p w14:paraId="4A3DB755">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3"/>
                      <w:sz w:val="18"/>
                      <w:szCs w:val="18"/>
                      <w:lang w:eastAsia="zh-CN"/>
                    </w:rPr>
                    <w:t>大呼吸</w:t>
                  </w:r>
                </w:p>
              </w:tc>
              <w:tc>
                <w:tcPr>
                  <w:tcW w:w="1167" w:type="dxa"/>
                  <w:vAlign w:val="center"/>
                </w:tcPr>
                <w:p w14:paraId="53F6F1AD">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2"/>
                      <w:sz w:val="18"/>
                      <w:szCs w:val="18"/>
                      <w:lang w:eastAsia="zh-CN"/>
                    </w:rPr>
                    <w:t>小呼吸</w:t>
                  </w:r>
                </w:p>
              </w:tc>
              <w:tc>
                <w:tcPr>
                  <w:tcW w:w="1020" w:type="dxa"/>
                  <w:vMerge w:val="restart"/>
                  <w:vAlign w:val="center"/>
                </w:tcPr>
                <w:p w14:paraId="117334EE">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10"/>
                      <w:sz w:val="18"/>
                      <w:szCs w:val="18"/>
                      <w:lang w:eastAsia="zh-CN"/>
                    </w:rPr>
                    <w:t>合计(</w:t>
                  </w:r>
                  <w:r>
                    <w:rPr>
                      <w:rFonts w:hint="default" w:ascii="Times New Roman" w:hAnsi="Times New Roman" w:cs="Times New Roman"/>
                      <w:color w:val="auto"/>
                      <w:sz w:val="18"/>
                      <w:szCs w:val="18"/>
                      <w:lang w:eastAsia="zh-CN"/>
                    </w:rPr>
                    <w:t>t/a</w:t>
                  </w:r>
                  <w:r>
                    <w:rPr>
                      <w:rFonts w:hint="default" w:ascii="Times New Roman" w:hAnsi="Times New Roman" w:cs="Times New Roman"/>
                      <w:color w:val="auto"/>
                      <w:spacing w:val="10"/>
                      <w:sz w:val="18"/>
                      <w:szCs w:val="18"/>
                      <w:lang w:eastAsia="zh-CN"/>
                    </w:rPr>
                    <w:t>)</w:t>
                  </w:r>
                </w:p>
              </w:tc>
            </w:tr>
            <w:tr w14:paraId="0F6897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978" w:type="dxa"/>
                  <w:vMerge w:val="continue"/>
                  <w:tcBorders>
                    <w:top w:val="nil"/>
                    <w:bottom w:val="nil"/>
                  </w:tcBorders>
                  <w:vAlign w:val="center"/>
                </w:tcPr>
                <w:p w14:paraId="1FEEEDE2">
                  <w:pPr>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p>
              </w:tc>
              <w:tc>
                <w:tcPr>
                  <w:tcW w:w="1224" w:type="dxa"/>
                  <w:vAlign w:val="center"/>
                </w:tcPr>
                <w:p w14:paraId="5676DA15">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10"/>
                      <w:sz w:val="18"/>
                      <w:szCs w:val="18"/>
                      <w:lang w:eastAsia="zh-CN"/>
                    </w:rPr>
                    <w:t>小计(</w:t>
                  </w:r>
                  <w:r>
                    <w:rPr>
                      <w:rFonts w:hint="default" w:ascii="Times New Roman" w:hAnsi="Times New Roman" w:cs="Times New Roman"/>
                      <w:color w:val="auto"/>
                      <w:sz w:val="18"/>
                      <w:szCs w:val="18"/>
                      <w:lang w:eastAsia="zh-CN"/>
                    </w:rPr>
                    <w:t>t/a</w:t>
                  </w:r>
                  <w:r>
                    <w:rPr>
                      <w:rFonts w:hint="default" w:ascii="Times New Roman" w:hAnsi="Times New Roman" w:cs="Times New Roman"/>
                      <w:color w:val="auto"/>
                      <w:spacing w:val="10"/>
                      <w:sz w:val="18"/>
                      <w:szCs w:val="18"/>
                      <w:lang w:eastAsia="zh-CN"/>
                    </w:rPr>
                    <w:t>)</w:t>
                  </w:r>
                </w:p>
              </w:tc>
              <w:tc>
                <w:tcPr>
                  <w:tcW w:w="1167" w:type="dxa"/>
                  <w:vAlign w:val="center"/>
                </w:tcPr>
                <w:p w14:paraId="4C77C572">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10"/>
                      <w:sz w:val="18"/>
                      <w:szCs w:val="18"/>
                      <w:lang w:eastAsia="zh-CN"/>
                    </w:rPr>
                    <w:t>小计(</w:t>
                  </w:r>
                  <w:r>
                    <w:rPr>
                      <w:rFonts w:hint="default" w:ascii="Times New Roman" w:hAnsi="Times New Roman" w:cs="Times New Roman"/>
                      <w:color w:val="auto"/>
                      <w:sz w:val="18"/>
                      <w:szCs w:val="18"/>
                      <w:lang w:eastAsia="zh-CN"/>
                    </w:rPr>
                    <w:t>t/a</w:t>
                  </w:r>
                  <w:r>
                    <w:rPr>
                      <w:rFonts w:hint="default" w:ascii="Times New Roman" w:hAnsi="Times New Roman" w:cs="Times New Roman"/>
                      <w:color w:val="auto"/>
                      <w:spacing w:val="10"/>
                      <w:sz w:val="18"/>
                      <w:szCs w:val="18"/>
                      <w:lang w:eastAsia="zh-CN"/>
                    </w:rPr>
                    <w:t>)</w:t>
                  </w:r>
                </w:p>
              </w:tc>
              <w:tc>
                <w:tcPr>
                  <w:tcW w:w="1020" w:type="dxa"/>
                  <w:vMerge w:val="continue"/>
                  <w:vAlign w:val="center"/>
                </w:tcPr>
                <w:p w14:paraId="0E7588E6">
                  <w:pPr>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rPr>
                  </w:pPr>
                </w:p>
              </w:tc>
            </w:tr>
            <w:tr w14:paraId="1C15F5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978" w:type="dxa"/>
                  <w:vAlign w:val="center"/>
                </w:tcPr>
                <w:p w14:paraId="4CC52CC7">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6"/>
                      <w:sz w:val="18"/>
                      <w:szCs w:val="18"/>
                      <w:lang w:eastAsia="zh-CN"/>
                    </w:rPr>
                    <w:t>盐酸(36%)</w:t>
                  </w:r>
                </w:p>
              </w:tc>
              <w:tc>
                <w:tcPr>
                  <w:tcW w:w="1224" w:type="dxa"/>
                  <w:vAlign w:val="center"/>
                </w:tcPr>
                <w:p w14:paraId="3F4BB986">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0.0158 </w:t>
                  </w:r>
                </w:p>
              </w:tc>
              <w:tc>
                <w:tcPr>
                  <w:tcW w:w="1167" w:type="dxa"/>
                  <w:vAlign w:val="center"/>
                </w:tcPr>
                <w:p w14:paraId="4A3FFB0F">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0.0152 </w:t>
                  </w:r>
                </w:p>
              </w:tc>
              <w:tc>
                <w:tcPr>
                  <w:tcW w:w="1020" w:type="dxa"/>
                  <w:vAlign w:val="center"/>
                </w:tcPr>
                <w:p w14:paraId="6E206014">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0.031 </w:t>
                  </w:r>
                </w:p>
              </w:tc>
            </w:tr>
            <w:tr w14:paraId="07DED8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978" w:type="dxa"/>
                  <w:vAlign w:val="center"/>
                </w:tcPr>
                <w:p w14:paraId="71F224BC">
                  <w:pPr>
                    <w:pStyle w:val="116"/>
                    <w:widowControl/>
                    <w:kinsoku w:val="0"/>
                    <w:autoSpaceDE w:val="0"/>
                    <w:autoSpaceDN w:val="0"/>
                    <w:adjustRightInd w:val="0"/>
                    <w:snapToGrid w:val="0"/>
                    <w:jc w:val="center"/>
                    <w:textAlignment w:val="baseline"/>
                    <w:rPr>
                      <w:rFonts w:hint="default" w:ascii="Times New Roman" w:hAnsi="Times New Roman" w:cs="Times New Roman"/>
                      <w:color w:val="auto"/>
                      <w:sz w:val="18"/>
                      <w:szCs w:val="18"/>
                      <w:lang w:eastAsia="zh-CN"/>
                    </w:rPr>
                  </w:pPr>
                  <w:r>
                    <w:rPr>
                      <w:rFonts w:hint="default" w:ascii="Times New Roman" w:hAnsi="Times New Roman" w:cs="Times New Roman"/>
                      <w:color w:val="auto"/>
                      <w:spacing w:val="4"/>
                      <w:sz w:val="18"/>
                      <w:szCs w:val="18"/>
                      <w:lang w:eastAsia="zh-CN"/>
                    </w:rPr>
                    <w:t>氢氟酸(40%)</w:t>
                  </w:r>
                </w:p>
              </w:tc>
              <w:tc>
                <w:tcPr>
                  <w:tcW w:w="1224" w:type="dxa"/>
                  <w:vAlign w:val="center"/>
                </w:tcPr>
                <w:p w14:paraId="3B6A2845">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0.0015 </w:t>
                  </w:r>
                </w:p>
              </w:tc>
              <w:tc>
                <w:tcPr>
                  <w:tcW w:w="1167" w:type="dxa"/>
                  <w:vAlign w:val="center"/>
                </w:tcPr>
                <w:p w14:paraId="70488A2F">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0.0063 </w:t>
                  </w:r>
                </w:p>
              </w:tc>
              <w:tc>
                <w:tcPr>
                  <w:tcW w:w="1020" w:type="dxa"/>
                  <w:vAlign w:val="center"/>
                </w:tcPr>
                <w:p w14:paraId="0E49FE6E">
                  <w:pPr>
                    <w:pStyle w:val="116"/>
                    <w:widowControl/>
                    <w:kinsoku w:val="0"/>
                    <w:autoSpaceDE w:val="0"/>
                    <w:autoSpaceDN w:val="0"/>
                    <w:adjustRightInd w:val="0"/>
                    <w:snapToGri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0.008 </w:t>
                  </w:r>
                </w:p>
              </w:tc>
            </w:tr>
          </w:tbl>
          <w:p w14:paraId="23B8A129">
            <w:pPr>
              <w:adjustRightInd w:val="0"/>
              <w:snapToGrid w:val="0"/>
              <w:spacing w:line="360" w:lineRule="auto"/>
              <w:ind w:firstLine="482" w:firstLineChars="200"/>
              <w:contextualSpacing/>
              <w:rPr>
                <w:rFonts w:hint="default" w:ascii="Times New Roman" w:hAnsi="Times New Roman" w:cs="Times New Roman"/>
                <w:color w:val="auto"/>
                <w:sz w:val="24"/>
              </w:rPr>
            </w:pPr>
            <w:r>
              <w:rPr>
                <w:rFonts w:hint="default" w:ascii="Times New Roman" w:hAnsi="Times New Roman" w:cs="Times New Roman"/>
                <w:b/>
                <w:color w:val="auto"/>
                <w:sz w:val="24"/>
              </w:rPr>
              <w:t>【</w:t>
            </w:r>
            <w:r>
              <w:rPr>
                <w:rFonts w:hint="default" w:ascii="Times New Roman" w:hAnsi="Times New Roman" w:eastAsia="宋体" w:cs="Times New Roman"/>
                <w:b/>
                <w:bCs/>
                <w:color w:val="auto"/>
                <w:kern w:val="0"/>
                <w:sz w:val="24"/>
                <w:szCs w:val="20"/>
                <w:lang w:val="en-US" w:eastAsia="zh-CN" w:bidi="ar-SA"/>
              </w:rPr>
              <w:t>酸性废气G5</w:t>
            </w:r>
            <w:r>
              <w:rPr>
                <w:rFonts w:hint="eastAsia" w:ascii="Times New Roman" w:hAnsi="Times New Roman" w:eastAsia="宋体" w:cs="Times New Roman"/>
                <w:b/>
                <w:bCs/>
                <w:color w:val="auto"/>
                <w:kern w:val="0"/>
                <w:sz w:val="24"/>
                <w:szCs w:val="20"/>
                <w:lang w:val="en-US" w:eastAsia="zh-CN" w:bidi="ar-SA"/>
              </w:rPr>
              <w:t>、储罐废气</w:t>
            </w:r>
            <w:r>
              <w:rPr>
                <w:rFonts w:hint="default" w:ascii="Times New Roman" w:hAnsi="Times New Roman" w:cs="Times New Roman"/>
                <w:b/>
                <w:color w:val="auto"/>
                <w:sz w:val="24"/>
              </w:rPr>
              <w:t>防治措施】：</w:t>
            </w:r>
            <w:r>
              <w:rPr>
                <w:rFonts w:hint="default" w:ascii="Times New Roman" w:hAnsi="Times New Roman" w:cs="Times New Roman"/>
                <w:bCs/>
                <w:color w:val="auto"/>
                <w:sz w:val="24"/>
              </w:rPr>
              <w:t>本次环评要求企业在实际生产过程中加强物料中转管理，合理配置车间布局，减少物料中间转移次数，储罐要求安装呼吸阀</w:t>
            </w:r>
            <w:r>
              <w:rPr>
                <w:rFonts w:hint="eastAsia" w:ascii="Times New Roman" w:hAnsi="Times New Roman" w:cs="Times New Roman"/>
                <w:bCs/>
                <w:color w:val="auto"/>
                <w:sz w:val="24"/>
                <w:lang w:eastAsia="zh-CN"/>
              </w:rPr>
              <w:t>，</w:t>
            </w:r>
            <w:r>
              <w:rPr>
                <w:rFonts w:hint="default" w:ascii="Times New Roman" w:hAnsi="Times New Roman" w:cs="Times New Roman"/>
                <w:bCs/>
                <w:color w:val="auto"/>
                <w:sz w:val="24"/>
              </w:rPr>
              <w:t>各储罐与槽车之间安装平衡管。对于盐酸、氢氟酸、废酸、混合酸储罐</w:t>
            </w:r>
            <w:r>
              <w:rPr>
                <w:rFonts w:hint="eastAsia" w:ascii="Times New Roman" w:hAnsi="Times New Roman" w:cs="Times New Roman"/>
                <w:bCs/>
                <w:color w:val="auto"/>
                <w:sz w:val="24"/>
                <w:lang w:val="en-US" w:eastAsia="zh-CN"/>
              </w:rPr>
              <w:t>及</w:t>
            </w:r>
            <w:r>
              <w:rPr>
                <w:rFonts w:hint="default" w:ascii="Times New Roman" w:hAnsi="Times New Roman" w:cs="Times New Roman"/>
                <w:color w:val="auto"/>
                <w:sz w:val="24"/>
              </w:rPr>
              <w:t>酸洗产生的酸性废气经管道收集后进入</w:t>
            </w:r>
            <w:r>
              <w:rPr>
                <w:rFonts w:hint="eastAsia" w:cs="Times New Roman"/>
                <w:color w:val="auto"/>
                <w:sz w:val="24"/>
                <w:lang w:eastAsia="zh-CN"/>
              </w:rPr>
              <w:t>两级碱</w:t>
            </w:r>
            <w:r>
              <w:rPr>
                <w:rFonts w:hint="default" w:ascii="Times New Roman" w:hAnsi="Times New Roman" w:cs="Times New Roman"/>
                <w:color w:val="auto"/>
                <w:sz w:val="24"/>
              </w:rPr>
              <w:t>喷淋处理后通过DA00</w:t>
            </w:r>
            <w:r>
              <w:rPr>
                <w:rFonts w:hint="eastAsia" w:ascii="Times New Roman" w:hAnsi="Times New Roman" w:cs="Times New Roman"/>
                <w:color w:val="auto"/>
                <w:sz w:val="24"/>
                <w:lang w:val="en-US" w:eastAsia="zh-CN"/>
              </w:rPr>
              <w:t>3</w:t>
            </w:r>
            <w:r>
              <w:rPr>
                <w:rFonts w:hint="default" w:ascii="Times New Roman" w:hAnsi="Times New Roman" w:cs="Times New Roman"/>
                <w:color w:val="auto"/>
                <w:sz w:val="24"/>
              </w:rPr>
              <w:t>外排，酸洗风量</w:t>
            </w:r>
            <w:r>
              <w:rPr>
                <w:rFonts w:hint="eastAsia" w:ascii="Times New Roman" w:hAnsi="Times New Roman" w:cs="Times New Roman"/>
                <w:color w:val="auto"/>
                <w:sz w:val="24"/>
                <w:lang w:val="en-US" w:eastAsia="zh-CN"/>
              </w:rPr>
              <w:t>以控制风速0.4m/s、</w:t>
            </w:r>
            <w:r>
              <w:rPr>
                <w:rFonts w:hint="eastAsia"/>
                <w:color w:val="auto"/>
                <w:kern w:val="0"/>
                <w:sz w:val="24"/>
              </w:rPr>
              <w:t>蒸发面面积约为</w:t>
            </w:r>
            <w:r>
              <w:rPr>
                <w:rFonts w:hint="eastAsia"/>
                <w:color w:val="auto"/>
                <w:kern w:val="0"/>
                <w:sz w:val="24"/>
                <w:lang w:val="en-US" w:eastAsia="zh-CN"/>
              </w:rPr>
              <w:t>0.5</w:t>
            </w:r>
            <w:r>
              <w:rPr>
                <w:rFonts w:hint="eastAsia"/>
                <w:color w:val="auto"/>
                <w:kern w:val="0"/>
                <w:sz w:val="24"/>
              </w:rPr>
              <w:t>m</w:t>
            </w:r>
            <w:r>
              <w:rPr>
                <w:rFonts w:hint="eastAsia"/>
                <w:color w:val="auto"/>
                <w:kern w:val="0"/>
                <w:sz w:val="24"/>
                <w:vertAlign w:val="superscript"/>
              </w:rPr>
              <w:t>2</w:t>
            </w:r>
            <w:r>
              <w:rPr>
                <w:rFonts w:hint="eastAsia" w:ascii="Times New Roman" w:hAnsi="Times New Roman" w:cs="Times New Roman"/>
                <w:color w:val="auto"/>
                <w:sz w:val="24"/>
                <w:lang w:val="en-US" w:eastAsia="zh-CN"/>
              </w:rPr>
              <w:t>计算得720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w:t>
            </w:r>
            <w:r>
              <w:rPr>
                <w:rFonts w:hint="eastAsia" w:ascii="Times New Roman" w:hAnsi="Times New Roman" w:cs="Times New Roman"/>
                <w:color w:val="auto"/>
                <w:sz w:val="24"/>
                <w:lang w:val="en-US" w:eastAsia="zh-CN"/>
              </w:rPr>
              <w:t>计算公式见上文</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储罐风量约7</w:t>
            </w:r>
            <w:r>
              <w:rPr>
                <w:rFonts w:hint="eastAsia" w:cs="Times New Roman"/>
                <w:color w:val="auto"/>
                <w:sz w:val="24"/>
                <w:lang w:val="en-US" w:eastAsia="zh-CN"/>
              </w:rPr>
              <w:t>5</w:t>
            </w:r>
            <w:r>
              <w:rPr>
                <w:rFonts w:hint="eastAsia" w:ascii="Times New Roman" w:hAnsi="Times New Roman" w:cs="Times New Roman"/>
                <w:color w:val="auto"/>
                <w:sz w:val="24"/>
                <w:lang w:val="en-US" w:eastAsia="zh-CN"/>
              </w:rPr>
              <w:t>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w:t>
            </w:r>
            <w:r>
              <w:rPr>
                <w:rFonts w:hint="eastAsia" w:ascii="Times New Roman" w:hAnsi="Times New Roman" w:cs="Times New Roman"/>
                <w:color w:val="auto"/>
                <w:sz w:val="24"/>
                <w:lang w:val="en-US" w:eastAsia="zh-CN"/>
              </w:rPr>
              <w:t>，合计1</w:t>
            </w:r>
            <w:r>
              <w:rPr>
                <w:rFonts w:hint="eastAsia" w:cs="Times New Roman"/>
                <w:color w:val="auto"/>
                <w:sz w:val="24"/>
                <w:lang w:val="en-US" w:eastAsia="zh-CN"/>
              </w:rPr>
              <w:t>8</w:t>
            </w:r>
            <w:r>
              <w:rPr>
                <w:rFonts w:hint="eastAsia" w:ascii="Times New Roman" w:hAnsi="Times New Roman" w:cs="Times New Roman"/>
                <w:color w:val="auto"/>
                <w:sz w:val="24"/>
                <w:lang w:val="en-US" w:eastAsia="zh-CN"/>
              </w:rPr>
              <w:t>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/h（考虑风量损耗＜20%），</w:t>
            </w:r>
            <w:r>
              <w:rPr>
                <w:rFonts w:hint="eastAsia" w:cs="Times New Roman"/>
                <w:color w:val="auto"/>
                <w:sz w:val="24"/>
                <w:lang w:eastAsia="zh-CN"/>
              </w:rPr>
              <w:t>两级碱</w:t>
            </w:r>
            <w:r>
              <w:rPr>
                <w:rFonts w:hint="default" w:ascii="Times New Roman" w:hAnsi="Times New Roman" w:cs="Times New Roman"/>
                <w:color w:val="auto"/>
                <w:sz w:val="24"/>
              </w:rPr>
              <w:t>喷淋处理效率以95%计。</w:t>
            </w:r>
          </w:p>
          <w:p w14:paraId="0BC4FDF3">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w:t>
            </w:r>
            <w:r>
              <w:rPr>
                <w:rFonts w:hint="eastAsia" w:cs="Times New Roman"/>
                <w:b/>
                <w:bCs/>
                <w:color w:val="auto"/>
                <w:szCs w:val="21"/>
                <w:lang w:val="en-US" w:eastAsia="zh-CN"/>
              </w:rPr>
              <w:t>6</w:t>
            </w:r>
            <w:r>
              <w:rPr>
                <w:rFonts w:hint="default" w:ascii="Times New Roman" w:hAnsi="Times New Roman" w:cs="Times New Roman"/>
                <w:b/>
                <w:bCs/>
                <w:color w:val="auto"/>
                <w:szCs w:val="21"/>
              </w:rPr>
              <w:t xml:space="preserve">  项目</w:t>
            </w:r>
            <w:r>
              <w:rPr>
                <w:rFonts w:hint="default" w:ascii="Times New Roman" w:hAnsi="Times New Roman" w:cs="Times New Roman"/>
                <w:b/>
                <w:bCs/>
                <w:color w:val="auto"/>
                <w:szCs w:val="21"/>
                <w:lang w:val="en-US" w:eastAsia="zh-CN"/>
              </w:rPr>
              <w:t>酸性废气G5、储罐废气</w:t>
            </w:r>
            <w:r>
              <w:rPr>
                <w:rFonts w:hint="default" w:ascii="Times New Roman" w:hAnsi="Times New Roman" w:cs="Times New Roman"/>
                <w:b/>
                <w:bCs/>
                <w:color w:val="auto"/>
                <w:szCs w:val="21"/>
              </w:rPr>
              <w:t>排放情况表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9"/>
              <w:gridCol w:w="767"/>
              <w:gridCol w:w="934"/>
              <w:gridCol w:w="798"/>
              <w:gridCol w:w="1272"/>
              <w:gridCol w:w="1272"/>
              <w:gridCol w:w="1272"/>
              <w:gridCol w:w="1272"/>
            </w:tblGrid>
            <w:tr w14:paraId="306E5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50" w:type="dxa"/>
                  <w:gridSpan w:val="3"/>
                  <w:vAlign w:val="center"/>
                </w:tcPr>
                <w:p w14:paraId="6047FC14">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污染物</w:t>
                  </w:r>
                </w:p>
              </w:tc>
              <w:tc>
                <w:tcPr>
                  <w:tcW w:w="798" w:type="dxa"/>
                  <w:vAlign w:val="center"/>
                </w:tcPr>
                <w:p w14:paraId="5F105B54">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产生量</w:t>
                  </w:r>
                </w:p>
                <w:p w14:paraId="10BF9B02">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72" w:type="dxa"/>
                  <w:vAlign w:val="center"/>
                </w:tcPr>
                <w:p w14:paraId="2EA8E11B">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削减量</w:t>
                  </w:r>
                </w:p>
                <w:p w14:paraId="5889541A">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72" w:type="dxa"/>
                  <w:vAlign w:val="center"/>
                </w:tcPr>
                <w:p w14:paraId="19DB32D8">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排放量</w:t>
                  </w:r>
                </w:p>
                <w:p w14:paraId="2B0B9A85">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72" w:type="dxa"/>
                  <w:vAlign w:val="center"/>
                </w:tcPr>
                <w:p w14:paraId="50D4A288">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排放速率（kg/h）</w:t>
                  </w:r>
                </w:p>
              </w:tc>
              <w:tc>
                <w:tcPr>
                  <w:tcW w:w="1272" w:type="dxa"/>
                  <w:vAlign w:val="center"/>
                </w:tcPr>
                <w:p w14:paraId="4D40CC2C">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排放浓度（mg/m</w:t>
                  </w:r>
                  <w:r>
                    <w:rPr>
                      <w:rFonts w:hint="default" w:ascii="Times New Roman" w:hAnsi="Times New Roman" w:cs="Times New Roman"/>
                      <w:b/>
                      <w:color w:val="auto"/>
                      <w:sz w:val="18"/>
                      <w:szCs w:val="18"/>
                      <w:vertAlign w:val="superscript"/>
                    </w:rPr>
                    <w:t>3</w:t>
                  </w:r>
                  <w:r>
                    <w:rPr>
                      <w:rFonts w:hint="default" w:ascii="Times New Roman" w:hAnsi="Times New Roman" w:cs="Times New Roman"/>
                      <w:b/>
                      <w:color w:val="auto"/>
                      <w:sz w:val="18"/>
                      <w:szCs w:val="18"/>
                    </w:rPr>
                    <w:t>）</w:t>
                  </w:r>
                </w:p>
              </w:tc>
            </w:tr>
            <w:tr w14:paraId="17A8F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9" w:type="dxa"/>
                  <w:vMerge w:val="restart"/>
                  <w:vAlign w:val="center"/>
                </w:tcPr>
                <w:p w14:paraId="71C2ADA9">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767" w:type="dxa"/>
                  <w:vAlign w:val="center"/>
                </w:tcPr>
                <w:p w14:paraId="565EE60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氯化氢</w:t>
                  </w:r>
                </w:p>
              </w:tc>
              <w:tc>
                <w:tcPr>
                  <w:tcW w:w="934" w:type="dxa"/>
                  <w:vAlign w:val="center"/>
                </w:tcPr>
                <w:p w14:paraId="0591CB99">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98" w:type="dxa"/>
                  <w:vAlign w:val="center"/>
                </w:tcPr>
                <w:p w14:paraId="2E71F93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4.32</w:t>
                  </w:r>
                </w:p>
              </w:tc>
              <w:tc>
                <w:tcPr>
                  <w:tcW w:w="1272" w:type="dxa"/>
                  <w:vAlign w:val="center"/>
                </w:tcPr>
                <w:p w14:paraId="23BDFE5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4.104 </w:t>
                  </w:r>
                </w:p>
              </w:tc>
              <w:tc>
                <w:tcPr>
                  <w:tcW w:w="1272" w:type="dxa"/>
                  <w:vAlign w:val="center"/>
                </w:tcPr>
                <w:p w14:paraId="6DCFB2B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0.216 </w:t>
                  </w:r>
                </w:p>
              </w:tc>
              <w:tc>
                <w:tcPr>
                  <w:tcW w:w="1272" w:type="dxa"/>
                  <w:vAlign w:val="center"/>
                </w:tcPr>
                <w:p w14:paraId="1F78739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0.0900 </w:t>
                  </w:r>
                </w:p>
              </w:tc>
              <w:tc>
                <w:tcPr>
                  <w:tcW w:w="1272" w:type="dxa"/>
                  <w:vAlign w:val="center"/>
                </w:tcPr>
                <w:p w14:paraId="02AC2AA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50.00 </w:t>
                  </w:r>
                </w:p>
              </w:tc>
            </w:tr>
            <w:tr w14:paraId="48BED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9" w:type="dxa"/>
                  <w:vMerge w:val="continue"/>
                  <w:vAlign w:val="center"/>
                </w:tcPr>
                <w:p w14:paraId="40BC4458">
                  <w:pPr>
                    <w:jc w:val="center"/>
                    <w:rPr>
                      <w:rFonts w:hint="default" w:ascii="Times New Roman" w:hAnsi="Times New Roman" w:cs="Times New Roman"/>
                      <w:color w:val="auto"/>
                      <w:sz w:val="18"/>
                      <w:szCs w:val="18"/>
                    </w:rPr>
                  </w:pPr>
                </w:p>
              </w:tc>
              <w:tc>
                <w:tcPr>
                  <w:tcW w:w="767" w:type="dxa"/>
                  <w:vAlign w:val="center"/>
                </w:tcPr>
                <w:p w14:paraId="7714C1E1">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氟化氢</w:t>
                  </w:r>
                </w:p>
              </w:tc>
              <w:tc>
                <w:tcPr>
                  <w:tcW w:w="934" w:type="dxa"/>
                  <w:vAlign w:val="center"/>
                </w:tcPr>
                <w:p w14:paraId="2587A540">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98" w:type="dxa"/>
                  <w:vAlign w:val="center"/>
                </w:tcPr>
                <w:p w14:paraId="55B740C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0.048</w:t>
                  </w:r>
                </w:p>
              </w:tc>
              <w:tc>
                <w:tcPr>
                  <w:tcW w:w="1272" w:type="dxa"/>
                  <w:vAlign w:val="center"/>
                </w:tcPr>
                <w:p w14:paraId="55DAE7B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0.0456 </w:t>
                  </w:r>
                </w:p>
              </w:tc>
              <w:tc>
                <w:tcPr>
                  <w:tcW w:w="1272" w:type="dxa"/>
                  <w:vAlign w:val="center"/>
                </w:tcPr>
                <w:p w14:paraId="0BE4C37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0.0024 </w:t>
                  </w:r>
                </w:p>
              </w:tc>
              <w:tc>
                <w:tcPr>
                  <w:tcW w:w="1272" w:type="dxa"/>
                  <w:vAlign w:val="center"/>
                </w:tcPr>
                <w:p w14:paraId="073377B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0.0010 </w:t>
                  </w:r>
                </w:p>
              </w:tc>
              <w:tc>
                <w:tcPr>
                  <w:tcW w:w="1272" w:type="dxa"/>
                  <w:vAlign w:val="center"/>
                </w:tcPr>
                <w:p w14:paraId="5B8C1A7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0.56 </w:t>
                  </w:r>
                </w:p>
              </w:tc>
            </w:tr>
            <w:tr w14:paraId="5386A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9" w:type="dxa"/>
                  <w:vMerge w:val="restart"/>
                  <w:vAlign w:val="center"/>
                </w:tcPr>
                <w:p w14:paraId="6AFECC4C">
                  <w:pPr>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储罐</w:t>
                  </w:r>
                </w:p>
              </w:tc>
              <w:tc>
                <w:tcPr>
                  <w:tcW w:w="767" w:type="dxa"/>
                  <w:vAlign w:val="center"/>
                </w:tcPr>
                <w:p w14:paraId="64E39622">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氯化氢</w:t>
                  </w:r>
                </w:p>
              </w:tc>
              <w:tc>
                <w:tcPr>
                  <w:tcW w:w="934" w:type="dxa"/>
                  <w:vAlign w:val="center"/>
                </w:tcPr>
                <w:p w14:paraId="0EC512B2">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98" w:type="dxa"/>
                  <w:vAlign w:val="center"/>
                </w:tcPr>
                <w:p w14:paraId="5F28F2D7">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0.031 </w:t>
                  </w:r>
                </w:p>
              </w:tc>
              <w:tc>
                <w:tcPr>
                  <w:tcW w:w="1272" w:type="dxa"/>
                  <w:vAlign w:val="center"/>
                </w:tcPr>
                <w:p w14:paraId="6A6340A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0.029 </w:t>
                  </w:r>
                </w:p>
              </w:tc>
              <w:tc>
                <w:tcPr>
                  <w:tcW w:w="1272" w:type="dxa"/>
                  <w:vAlign w:val="center"/>
                </w:tcPr>
                <w:p w14:paraId="2CC1F0D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0.002 </w:t>
                  </w:r>
                </w:p>
              </w:tc>
              <w:tc>
                <w:tcPr>
                  <w:tcW w:w="1272" w:type="dxa"/>
                  <w:vAlign w:val="center"/>
                </w:tcPr>
                <w:p w14:paraId="3711E2A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0.0002 </w:t>
                  </w:r>
                </w:p>
              </w:tc>
              <w:tc>
                <w:tcPr>
                  <w:tcW w:w="1272" w:type="dxa"/>
                  <w:vAlign w:val="center"/>
                </w:tcPr>
                <w:p w14:paraId="5B581EC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0.12 </w:t>
                  </w:r>
                </w:p>
              </w:tc>
            </w:tr>
            <w:tr w14:paraId="312B5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9" w:type="dxa"/>
                  <w:vMerge w:val="continue"/>
                  <w:vAlign w:val="center"/>
                </w:tcPr>
                <w:p w14:paraId="6B541D1D">
                  <w:pPr>
                    <w:jc w:val="center"/>
                    <w:rPr>
                      <w:rFonts w:hint="default" w:ascii="Times New Roman" w:hAnsi="Times New Roman" w:cs="Times New Roman"/>
                      <w:color w:val="auto"/>
                      <w:sz w:val="18"/>
                      <w:szCs w:val="18"/>
                    </w:rPr>
                  </w:pPr>
                </w:p>
              </w:tc>
              <w:tc>
                <w:tcPr>
                  <w:tcW w:w="767" w:type="dxa"/>
                  <w:vAlign w:val="center"/>
                </w:tcPr>
                <w:p w14:paraId="0FC9BE6F">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氟化氢</w:t>
                  </w:r>
                </w:p>
              </w:tc>
              <w:tc>
                <w:tcPr>
                  <w:tcW w:w="934" w:type="dxa"/>
                  <w:vAlign w:val="center"/>
                </w:tcPr>
                <w:p w14:paraId="0F15102F">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98" w:type="dxa"/>
                  <w:vAlign w:val="center"/>
                </w:tcPr>
                <w:p w14:paraId="08BA573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0.008 </w:t>
                  </w:r>
                </w:p>
              </w:tc>
              <w:tc>
                <w:tcPr>
                  <w:tcW w:w="1272" w:type="dxa"/>
                  <w:vAlign w:val="center"/>
                </w:tcPr>
                <w:p w14:paraId="652704B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0.00</w:t>
                  </w:r>
                  <w:r>
                    <w:rPr>
                      <w:rFonts w:hint="eastAsia" w:cs="Times New Roman"/>
                      <w:b w:val="0"/>
                      <w:bCs w:val="0"/>
                      <w:color w:val="auto"/>
                      <w:kern w:val="0"/>
                      <w:sz w:val="18"/>
                      <w:szCs w:val="18"/>
                      <w:lang w:val="en-US" w:eastAsia="zh-CN"/>
                    </w:rPr>
                    <w:t>76</w:t>
                  </w:r>
                  <w:r>
                    <w:rPr>
                      <w:rFonts w:hint="default" w:ascii="Times New Roman" w:hAnsi="Times New Roman" w:eastAsia="宋体" w:cs="Times New Roman"/>
                      <w:b w:val="0"/>
                      <w:bCs w:val="0"/>
                      <w:color w:val="auto"/>
                      <w:kern w:val="0"/>
                      <w:sz w:val="18"/>
                      <w:szCs w:val="18"/>
                      <w:lang w:val="en-US" w:eastAsia="zh-CN"/>
                    </w:rPr>
                    <w:t xml:space="preserve"> </w:t>
                  </w:r>
                </w:p>
              </w:tc>
              <w:tc>
                <w:tcPr>
                  <w:tcW w:w="1272" w:type="dxa"/>
                  <w:vAlign w:val="center"/>
                </w:tcPr>
                <w:p w14:paraId="4EF5F6D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0.0004 </w:t>
                  </w:r>
                </w:p>
              </w:tc>
              <w:tc>
                <w:tcPr>
                  <w:tcW w:w="1272" w:type="dxa"/>
                  <w:vAlign w:val="center"/>
                </w:tcPr>
                <w:p w14:paraId="7FBB795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0.0001 </w:t>
                  </w:r>
                </w:p>
              </w:tc>
              <w:tc>
                <w:tcPr>
                  <w:tcW w:w="1272" w:type="dxa"/>
                  <w:vAlign w:val="center"/>
                </w:tcPr>
                <w:p w14:paraId="07D26EE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0.03 </w:t>
                  </w:r>
                </w:p>
              </w:tc>
            </w:tr>
            <w:tr w14:paraId="5104C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9" w:type="dxa"/>
                  <w:vMerge w:val="restart"/>
                  <w:vAlign w:val="center"/>
                </w:tcPr>
                <w:p w14:paraId="798A10C8">
                  <w:pPr>
                    <w:jc w:val="center"/>
                    <w:rPr>
                      <w:rFonts w:hint="eastAsia" w:ascii="Times New Roman" w:hAnsi="Times New Roman" w:eastAsia="宋体" w:cs="Times New Roman"/>
                      <w:b/>
                      <w:bCs/>
                      <w:color w:val="auto"/>
                      <w:sz w:val="18"/>
                      <w:szCs w:val="18"/>
                      <w:lang w:val="en-US" w:eastAsia="zh-CN"/>
                    </w:rPr>
                  </w:pPr>
                  <w:r>
                    <w:rPr>
                      <w:rFonts w:hint="eastAsia" w:ascii="Times New Roman" w:hAnsi="Times New Roman" w:cs="Times New Roman"/>
                      <w:b/>
                      <w:bCs/>
                      <w:color w:val="auto"/>
                      <w:sz w:val="18"/>
                      <w:szCs w:val="18"/>
                      <w:lang w:val="en-US" w:eastAsia="zh-CN"/>
                    </w:rPr>
                    <w:t>合计</w:t>
                  </w:r>
                </w:p>
              </w:tc>
              <w:tc>
                <w:tcPr>
                  <w:tcW w:w="767" w:type="dxa"/>
                  <w:vAlign w:val="center"/>
                </w:tcPr>
                <w:p w14:paraId="71E6A643">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氯化氢</w:t>
                  </w:r>
                </w:p>
              </w:tc>
              <w:tc>
                <w:tcPr>
                  <w:tcW w:w="934" w:type="dxa"/>
                  <w:vAlign w:val="center"/>
                </w:tcPr>
                <w:p w14:paraId="0A89BF99">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有组织</w:t>
                  </w:r>
                </w:p>
              </w:tc>
              <w:tc>
                <w:tcPr>
                  <w:tcW w:w="798" w:type="dxa"/>
                  <w:vAlign w:val="center"/>
                </w:tcPr>
                <w:p w14:paraId="72CD319A">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4.351 </w:t>
                  </w:r>
                </w:p>
              </w:tc>
              <w:tc>
                <w:tcPr>
                  <w:tcW w:w="1272" w:type="dxa"/>
                  <w:vAlign w:val="center"/>
                </w:tcPr>
                <w:p w14:paraId="6F6E8604">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4.133 </w:t>
                  </w:r>
                </w:p>
              </w:tc>
              <w:tc>
                <w:tcPr>
                  <w:tcW w:w="1272" w:type="dxa"/>
                  <w:vAlign w:val="center"/>
                </w:tcPr>
                <w:p w14:paraId="73E3F1F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0.218 </w:t>
                  </w:r>
                </w:p>
              </w:tc>
              <w:tc>
                <w:tcPr>
                  <w:tcW w:w="1272" w:type="dxa"/>
                  <w:vAlign w:val="center"/>
                </w:tcPr>
                <w:p w14:paraId="2981B018">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0.090 </w:t>
                  </w:r>
                </w:p>
              </w:tc>
              <w:tc>
                <w:tcPr>
                  <w:tcW w:w="1272" w:type="dxa"/>
                  <w:vAlign w:val="center"/>
                </w:tcPr>
                <w:p w14:paraId="4E16D78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50.12 </w:t>
                  </w:r>
                </w:p>
              </w:tc>
            </w:tr>
            <w:tr w14:paraId="23BC9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9" w:type="dxa"/>
                  <w:vMerge w:val="continue"/>
                  <w:vAlign w:val="center"/>
                </w:tcPr>
                <w:p w14:paraId="219269B2">
                  <w:pPr>
                    <w:jc w:val="center"/>
                    <w:rPr>
                      <w:rFonts w:hint="default" w:ascii="Times New Roman" w:hAnsi="Times New Roman" w:cs="Times New Roman"/>
                      <w:b/>
                      <w:bCs/>
                      <w:color w:val="auto"/>
                      <w:sz w:val="18"/>
                      <w:szCs w:val="18"/>
                    </w:rPr>
                  </w:pPr>
                </w:p>
              </w:tc>
              <w:tc>
                <w:tcPr>
                  <w:tcW w:w="767" w:type="dxa"/>
                  <w:vAlign w:val="center"/>
                </w:tcPr>
                <w:p w14:paraId="280CFA6E">
                  <w:pPr>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氟化氢</w:t>
                  </w:r>
                </w:p>
              </w:tc>
              <w:tc>
                <w:tcPr>
                  <w:tcW w:w="934" w:type="dxa"/>
                  <w:vAlign w:val="center"/>
                </w:tcPr>
                <w:p w14:paraId="4DFA5488">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有组织</w:t>
                  </w:r>
                </w:p>
              </w:tc>
              <w:tc>
                <w:tcPr>
                  <w:tcW w:w="798" w:type="dxa"/>
                  <w:vAlign w:val="center"/>
                </w:tcPr>
                <w:p w14:paraId="71D7055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0.056 </w:t>
                  </w:r>
                </w:p>
              </w:tc>
              <w:tc>
                <w:tcPr>
                  <w:tcW w:w="1272" w:type="dxa"/>
                  <w:vAlign w:val="center"/>
                </w:tcPr>
                <w:p w14:paraId="41ED2787">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0.0532 </w:t>
                  </w:r>
                </w:p>
              </w:tc>
              <w:tc>
                <w:tcPr>
                  <w:tcW w:w="1272" w:type="dxa"/>
                  <w:vAlign w:val="center"/>
                </w:tcPr>
                <w:p w14:paraId="58C56626">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0.0028 </w:t>
                  </w:r>
                </w:p>
              </w:tc>
              <w:tc>
                <w:tcPr>
                  <w:tcW w:w="1272" w:type="dxa"/>
                  <w:vAlign w:val="center"/>
                </w:tcPr>
                <w:p w14:paraId="123AD3D3">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0.0011 </w:t>
                  </w:r>
                </w:p>
              </w:tc>
              <w:tc>
                <w:tcPr>
                  <w:tcW w:w="1272" w:type="dxa"/>
                  <w:vAlign w:val="center"/>
                </w:tcPr>
                <w:p w14:paraId="123FDE81">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0.59 </w:t>
                  </w:r>
                </w:p>
              </w:tc>
            </w:tr>
          </w:tbl>
          <w:p w14:paraId="3224E9EC">
            <w:pPr>
              <w:pStyle w:val="17"/>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根据上表，氯化氢、氟化物排放浓度、速率能够满足</w:t>
            </w:r>
            <w:r>
              <w:rPr>
                <w:rFonts w:hint="default" w:ascii="Times New Roman" w:hAnsi="Times New Roman" w:cs="Times New Roman"/>
                <w:color w:val="auto"/>
                <w:kern w:val="0"/>
                <w:sz w:val="24"/>
              </w:rPr>
              <w:t>《大气污染物综合排放标准》（GB 16297-1996）表2大气污染物二级标准排放限值</w:t>
            </w:r>
            <w:r>
              <w:rPr>
                <w:rFonts w:hint="default" w:ascii="Times New Roman" w:hAnsi="Times New Roman" w:cs="Times New Roman"/>
                <w:color w:val="auto"/>
                <w:kern w:val="0"/>
                <w:sz w:val="24"/>
                <w:lang w:eastAsia="zh-CN"/>
              </w:rPr>
              <w:t>。</w:t>
            </w:r>
          </w:p>
          <w:p w14:paraId="158E4FB8">
            <w:pPr>
              <w:pStyle w:val="17"/>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w:t>
            </w:r>
            <w:r>
              <w:rPr>
                <w:rFonts w:hint="default" w:ascii="Times New Roman" w:hAnsi="Times New Roman" w:cs="Times New Roman"/>
                <w:color w:val="auto"/>
                <w:kern w:val="0"/>
                <w:sz w:val="24"/>
                <w:szCs w:val="24"/>
                <w:lang w:eastAsia="zh-CN"/>
              </w:rPr>
              <w:t>纯化</w:t>
            </w:r>
            <w:r>
              <w:rPr>
                <w:rFonts w:hint="default" w:ascii="Times New Roman" w:hAnsi="Times New Roman" w:cs="Times New Roman"/>
                <w:color w:val="auto"/>
                <w:kern w:val="0"/>
                <w:sz w:val="24"/>
                <w:szCs w:val="24"/>
              </w:rPr>
              <w:t>废气G</w:t>
            </w:r>
            <w:r>
              <w:rPr>
                <w:rFonts w:hint="default" w:ascii="Times New Roman" w:hAnsi="Times New Roman" w:cs="Times New Roman"/>
                <w:color w:val="auto"/>
                <w:kern w:val="0"/>
                <w:sz w:val="24"/>
                <w:szCs w:val="24"/>
                <w:lang w:val="en-US" w:eastAsia="zh-CN"/>
              </w:rPr>
              <w:t>8</w:t>
            </w:r>
          </w:p>
          <w:p w14:paraId="07EE5525">
            <w:pPr>
              <w:wordWrap w:val="0"/>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根据</w:t>
            </w:r>
            <w:r>
              <w:rPr>
                <w:rFonts w:hint="default" w:ascii="Times New Roman" w:hAnsi="Times New Roman" w:cs="Times New Roman"/>
                <w:color w:val="auto"/>
                <w:kern w:val="0"/>
                <w:sz w:val="24"/>
                <w:szCs w:val="24"/>
                <w:lang w:eastAsia="zh-CN"/>
              </w:rPr>
              <w:t>纯化</w:t>
            </w:r>
            <w:r>
              <w:rPr>
                <w:rFonts w:hint="default" w:ascii="Times New Roman" w:hAnsi="Times New Roman" w:cs="Times New Roman"/>
                <w:color w:val="auto"/>
                <w:sz w:val="24"/>
              </w:rPr>
              <w:t>原理，HCl气体与石英颗粒表层的碱金属、碱土金属和残余的包裹体等杂质在高温下与氯气反应生成氯化物，形成FeCl</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、AlCl</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等杂质，再通过高温气流将这些杂质元素的氯化物带走。根据企业提供</w:t>
            </w:r>
            <w:r>
              <w:rPr>
                <w:rFonts w:hint="eastAsia" w:ascii="Times New Roman" w:hAnsi="Times New Roman" w:cs="Times New Roman"/>
                <w:color w:val="auto"/>
                <w:sz w:val="24"/>
                <w:lang w:val="en-US" w:eastAsia="zh-CN"/>
              </w:rPr>
              <w:t>的原料</w:t>
            </w:r>
            <w:r>
              <w:rPr>
                <w:rFonts w:hint="default" w:ascii="Times New Roman" w:hAnsi="Times New Roman" w:cs="Times New Roman"/>
                <w:color w:val="auto"/>
                <w:sz w:val="24"/>
              </w:rPr>
              <w:t>参数及物料平衡，</w:t>
            </w:r>
            <w:r>
              <w:rPr>
                <w:rFonts w:hint="eastAsia" w:ascii="Times New Roman" w:hAnsi="Times New Roman" w:cs="Times New Roman"/>
                <w:color w:val="auto"/>
                <w:sz w:val="24"/>
                <w:lang w:val="en-US" w:eastAsia="zh-CN"/>
              </w:rPr>
              <w:t>以</w:t>
            </w:r>
            <w:r>
              <w:rPr>
                <w:rFonts w:hint="eastAsia" w:cs="Times New Roman"/>
                <w:color w:val="auto"/>
                <w:sz w:val="24"/>
                <w:lang w:val="en-US" w:eastAsia="zh-CN"/>
              </w:rPr>
              <w:t>原料中</w:t>
            </w:r>
            <w:r>
              <w:rPr>
                <w:rFonts w:hint="eastAsia" w:ascii="Times New Roman" w:hAnsi="Times New Roman" w:cs="Times New Roman"/>
                <w:color w:val="auto"/>
                <w:sz w:val="24"/>
                <w:lang w:val="en-US" w:eastAsia="zh-CN"/>
              </w:rPr>
              <w:t>50%</w:t>
            </w:r>
            <w:r>
              <w:rPr>
                <w:rFonts w:hint="eastAsia" w:cs="Times New Roman"/>
                <w:color w:val="auto"/>
                <w:sz w:val="24"/>
                <w:lang w:val="en-US" w:eastAsia="zh-CN"/>
              </w:rPr>
              <w:t>的</w:t>
            </w:r>
            <w:r>
              <w:rPr>
                <w:rFonts w:hint="eastAsia" w:ascii="Times New Roman" w:hAnsi="Times New Roman" w:cs="Times New Roman"/>
                <w:color w:val="auto"/>
                <w:sz w:val="24"/>
                <w:lang w:val="en-US" w:eastAsia="zh-CN"/>
              </w:rPr>
              <w:t>杂质在纯化工序去除，则2000t石英砂约含0.0</w:t>
            </w:r>
            <w:r>
              <w:rPr>
                <w:rFonts w:hint="eastAsia" w:cs="Times New Roman"/>
                <w:color w:val="auto"/>
                <w:sz w:val="24"/>
                <w:lang w:val="en-US" w:eastAsia="zh-CN"/>
              </w:rPr>
              <w:t>6</w:t>
            </w:r>
            <w:r>
              <w:rPr>
                <w:rFonts w:hint="eastAsia" w:ascii="Times New Roman" w:hAnsi="Times New Roman" w:cs="Times New Roman"/>
                <w:color w:val="auto"/>
                <w:sz w:val="24"/>
                <w:lang w:val="en-US" w:eastAsia="zh-CN"/>
              </w:rPr>
              <w:t>tAl、0.001tFe等，去除该部分杂质共需HCl约0.</w:t>
            </w:r>
            <w:r>
              <w:rPr>
                <w:rFonts w:hint="eastAsia" w:cs="Times New Roman"/>
                <w:color w:val="auto"/>
                <w:sz w:val="24"/>
                <w:lang w:val="en-US" w:eastAsia="zh-CN"/>
              </w:rPr>
              <w:t>3</w:t>
            </w:r>
            <w:r>
              <w:rPr>
                <w:rFonts w:hint="eastAsia" w:ascii="Times New Roman" w:hAnsi="Times New Roman" w:cs="Times New Roman"/>
                <w:color w:val="auto"/>
                <w:sz w:val="24"/>
                <w:lang w:val="en-US" w:eastAsia="zh-CN"/>
              </w:rPr>
              <w:t>t/a，项目使用氯化氢10.8t，则产生</w:t>
            </w:r>
            <w:r>
              <w:rPr>
                <w:rFonts w:hint="default" w:ascii="Times New Roman" w:hAnsi="Times New Roman" w:cs="Times New Roman"/>
                <w:color w:val="auto"/>
                <w:sz w:val="24"/>
              </w:rPr>
              <w:t>HCl废气</w:t>
            </w:r>
            <w:r>
              <w:rPr>
                <w:rFonts w:hint="eastAsia" w:ascii="Times New Roman" w:hAnsi="Times New Roman" w:cs="Times New Roman"/>
                <w:color w:val="auto"/>
                <w:sz w:val="24"/>
                <w:lang w:val="en-US" w:eastAsia="zh-CN"/>
              </w:rPr>
              <w:t>10.</w:t>
            </w:r>
            <w:r>
              <w:rPr>
                <w:rFonts w:hint="eastAsia" w:cs="Times New Roman"/>
                <w:color w:val="auto"/>
                <w:sz w:val="24"/>
                <w:lang w:val="en-US" w:eastAsia="zh-CN"/>
              </w:rPr>
              <w:t>5</w:t>
            </w:r>
            <w:r>
              <w:rPr>
                <w:rFonts w:hint="default" w:ascii="Times New Roman" w:hAnsi="Times New Roman" w:cs="Times New Roman"/>
                <w:color w:val="auto"/>
                <w:sz w:val="24"/>
              </w:rPr>
              <w:t>t/a、颗粒物约0.</w:t>
            </w:r>
            <w:r>
              <w:rPr>
                <w:rFonts w:hint="eastAsia" w:ascii="Times New Roman" w:hAnsi="Times New Roman" w:cs="Times New Roman"/>
                <w:color w:val="auto"/>
                <w:sz w:val="24"/>
                <w:lang w:val="en-US" w:eastAsia="zh-CN"/>
              </w:rPr>
              <w:t>4</w:t>
            </w:r>
            <w:r>
              <w:rPr>
                <w:rFonts w:hint="default" w:ascii="Times New Roman" w:hAnsi="Times New Roman" w:cs="Times New Roman"/>
                <w:color w:val="auto"/>
                <w:sz w:val="24"/>
              </w:rPr>
              <w:t>t/a（FeCl</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、AlCl</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等杂质0.</w:t>
            </w:r>
            <w:r>
              <w:rPr>
                <w:rFonts w:hint="eastAsia" w:cs="Times New Roman"/>
                <w:color w:val="auto"/>
                <w:sz w:val="24"/>
                <w:lang w:val="en-US" w:eastAsia="zh-CN"/>
              </w:rPr>
              <w:t>4</w:t>
            </w:r>
            <w:r>
              <w:rPr>
                <w:rFonts w:hint="default" w:ascii="Times New Roman" w:hAnsi="Times New Roman" w:cs="Times New Roman"/>
                <w:color w:val="auto"/>
                <w:sz w:val="24"/>
              </w:rPr>
              <w:t>t/a，与</w:t>
            </w:r>
            <w:r>
              <w:rPr>
                <w:rFonts w:hint="default" w:ascii="Times New Roman" w:hAnsi="Times New Roman" w:cs="Times New Roman"/>
                <w:color w:val="auto"/>
                <w:sz w:val="24"/>
                <w:lang w:val="en-US" w:eastAsia="zh-CN"/>
              </w:rPr>
              <w:t>其它</w:t>
            </w:r>
            <w:r>
              <w:rPr>
                <w:rFonts w:hint="default" w:ascii="Times New Roman" w:hAnsi="Times New Roman" w:cs="Times New Roman"/>
                <w:color w:val="auto"/>
                <w:sz w:val="24"/>
              </w:rPr>
              <w:t>石英砂颗粒物合计以0.</w:t>
            </w:r>
            <w:r>
              <w:rPr>
                <w:rFonts w:hint="eastAsia" w:cs="Times New Roman"/>
                <w:color w:val="auto"/>
                <w:sz w:val="24"/>
                <w:lang w:val="en-US" w:eastAsia="zh-CN"/>
              </w:rPr>
              <w:t>5</w:t>
            </w:r>
            <w:r>
              <w:rPr>
                <w:rFonts w:hint="default" w:ascii="Times New Roman" w:hAnsi="Times New Roman" w:cs="Times New Roman"/>
                <w:color w:val="auto"/>
                <w:sz w:val="24"/>
              </w:rPr>
              <w:t>t/a计，颗粒物</w:t>
            </w:r>
            <w:r>
              <w:rPr>
                <w:rFonts w:hint="default" w:ascii="Times New Roman" w:hAnsi="Times New Roman" w:cs="Times New Roman"/>
                <w:color w:val="auto"/>
                <w:sz w:val="24"/>
                <w:lang w:val="en-US" w:eastAsia="zh-CN"/>
              </w:rPr>
              <w:t>处理</w:t>
            </w:r>
            <w:r>
              <w:rPr>
                <w:rFonts w:hint="default" w:ascii="Times New Roman" w:hAnsi="Times New Roman" w:cs="Times New Roman"/>
                <w:color w:val="auto"/>
                <w:sz w:val="24"/>
              </w:rPr>
              <w:t>排放情况见上文）。</w:t>
            </w:r>
          </w:p>
          <w:p w14:paraId="16AB60C0">
            <w:pPr>
              <w:wordWrap w:val="0"/>
              <w:spacing w:line="360" w:lineRule="auto"/>
              <w:ind w:firstLine="482" w:firstLineChars="200"/>
              <w:jc w:val="left"/>
              <w:rPr>
                <w:rFonts w:hint="default" w:ascii="Times New Roman" w:hAnsi="Times New Roman" w:cs="Times New Roman"/>
                <w:color w:val="auto"/>
                <w:sz w:val="24"/>
              </w:rPr>
            </w:pPr>
            <w:r>
              <w:rPr>
                <w:rFonts w:hint="default" w:ascii="Times New Roman" w:hAnsi="Times New Roman" w:cs="Times New Roman"/>
                <w:b/>
                <w:bCs/>
                <w:color w:val="auto"/>
                <w:sz w:val="24"/>
              </w:rPr>
              <w:t>【废气防治措施】：</w:t>
            </w:r>
            <w:r>
              <w:rPr>
                <w:rFonts w:hint="default" w:ascii="Times New Roman" w:hAnsi="Times New Roman" w:cs="Times New Roman"/>
                <w:b w:val="0"/>
                <w:bCs w:val="0"/>
                <w:color w:val="auto"/>
                <w:sz w:val="24"/>
              </w:rPr>
              <w:t>该工序产生的废气经炉管排气口密闭收集后</w:t>
            </w:r>
            <w:r>
              <w:rPr>
                <w:rFonts w:hint="default" w:ascii="Times New Roman" w:hAnsi="Times New Roman" w:cs="Times New Roman"/>
                <w:b w:val="0"/>
                <w:bCs w:val="0"/>
                <w:color w:val="auto"/>
                <w:sz w:val="24"/>
                <w:lang w:eastAsia="zh-CN"/>
              </w:rPr>
              <w:t>（收集效率</w:t>
            </w:r>
            <w:r>
              <w:rPr>
                <w:rFonts w:hint="default" w:ascii="Times New Roman" w:hAnsi="Times New Roman" w:cs="Times New Roman"/>
                <w:b w:val="0"/>
                <w:bCs w:val="0"/>
                <w:color w:val="auto"/>
                <w:sz w:val="24"/>
                <w:lang w:val="en-US" w:eastAsia="zh-CN"/>
              </w:rPr>
              <w:t>100%</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w:t>
            </w:r>
            <w:r>
              <w:rPr>
                <w:rFonts w:hint="eastAsia" w:ascii="Times New Roman" w:hAnsi="Times New Roman" w:cs="Times New Roman"/>
                <w:b w:val="0"/>
                <w:bCs w:val="0"/>
                <w:color w:val="auto"/>
                <w:sz w:val="24"/>
                <w:lang w:val="en-US" w:eastAsia="zh-CN"/>
              </w:rPr>
              <w:t>经</w:t>
            </w:r>
            <w:r>
              <w:rPr>
                <w:rFonts w:hint="eastAsia" w:cs="Times New Roman"/>
                <w:b w:val="0"/>
                <w:bCs w:val="0"/>
                <w:color w:val="auto"/>
                <w:sz w:val="24"/>
                <w:lang w:eastAsia="zh-CN"/>
              </w:rPr>
              <w:t>两级碱</w:t>
            </w:r>
            <w:r>
              <w:rPr>
                <w:rFonts w:hint="default" w:ascii="Times New Roman" w:hAnsi="Times New Roman" w:cs="Times New Roman"/>
                <w:b w:val="0"/>
                <w:bCs w:val="0"/>
                <w:color w:val="auto"/>
                <w:sz w:val="24"/>
              </w:rPr>
              <w:t>液喷淋塔处理</w:t>
            </w:r>
            <w:r>
              <w:rPr>
                <w:rFonts w:hint="eastAsia" w:cs="Times New Roman"/>
                <w:b w:val="0"/>
                <w:bCs w:val="0"/>
                <w:color w:val="auto"/>
                <w:sz w:val="24"/>
                <w:lang w:val="en-US" w:eastAsia="zh-CN"/>
              </w:rPr>
              <w:t>后排放DA005，</w:t>
            </w:r>
            <w:r>
              <w:rPr>
                <w:rFonts w:hint="default" w:ascii="Times New Roman" w:hAnsi="Times New Roman" w:cs="Times New Roman"/>
                <w:b w:val="0"/>
                <w:bCs w:val="0"/>
                <w:color w:val="auto"/>
                <w:sz w:val="24"/>
              </w:rPr>
              <w:t>氯</w:t>
            </w:r>
            <w:r>
              <w:rPr>
                <w:rFonts w:hint="default" w:ascii="Times New Roman" w:hAnsi="Times New Roman" w:cs="Times New Roman"/>
                <w:color w:val="auto"/>
                <w:sz w:val="24"/>
              </w:rPr>
              <w:t>化氢效率为95%，年工作时间7200h。</w:t>
            </w:r>
          </w:p>
          <w:p w14:paraId="2C9A2336">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w:t>
            </w:r>
            <w:r>
              <w:rPr>
                <w:rFonts w:hint="eastAsia" w:cs="Times New Roman"/>
                <w:b/>
                <w:bCs/>
                <w:color w:val="auto"/>
                <w:szCs w:val="21"/>
                <w:lang w:val="en-US" w:eastAsia="zh-CN"/>
              </w:rPr>
              <w:t>7</w:t>
            </w:r>
            <w:r>
              <w:rPr>
                <w:rFonts w:hint="default" w:ascii="Times New Roman" w:hAnsi="Times New Roman" w:cs="Times New Roman"/>
                <w:b/>
                <w:bCs/>
                <w:color w:val="auto"/>
                <w:szCs w:val="21"/>
              </w:rPr>
              <w:t xml:space="preserve">  项目</w:t>
            </w:r>
            <w:r>
              <w:rPr>
                <w:rFonts w:hint="default" w:ascii="Times New Roman" w:hAnsi="Times New Roman" w:cs="Times New Roman"/>
                <w:b/>
                <w:bCs/>
                <w:color w:val="auto"/>
                <w:szCs w:val="21"/>
                <w:lang w:eastAsia="zh-CN"/>
              </w:rPr>
              <w:t>纯化</w:t>
            </w:r>
            <w:r>
              <w:rPr>
                <w:rFonts w:hint="default" w:ascii="Times New Roman" w:hAnsi="Times New Roman" w:cs="Times New Roman"/>
                <w:b/>
                <w:bCs/>
                <w:color w:val="auto"/>
                <w:szCs w:val="21"/>
              </w:rPr>
              <w:t>废气G</w:t>
            </w:r>
            <w:r>
              <w:rPr>
                <w:rFonts w:hint="eastAsia" w:ascii="Times New Roman" w:hAnsi="Times New Roman" w:cs="Times New Roman"/>
                <w:b/>
                <w:bCs/>
                <w:color w:val="auto"/>
                <w:szCs w:val="21"/>
                <w:lang w:val="en-US" w:eastAsia="zh-CN"/>
              </w:rPr>
              <w:t>8</w:t>
            </w:r>
            <w:r>
              <w:rPr>
                <w:rFonts w:hint="default" w:ascii="Times New Roman" w:hAnsi="Times New Roman" w:cs="Times New Roman"/>
                <w:b/>
                <w:bCs/>
                <w:color w:val="auto"/>
                <w:szCs w:val="21"/>
              </w:rPr>
              <w:t>中氯化氢废气排放情况表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931"/>
              <w:gridCol w:w="1271"/>
              <w:gridCol w:w="1272"/>
              <w:gridCol w:w="1272"/>
              <w:gridCol w:w="1272"/>
              <w:gridCol w:w="1272"/>
            </w:tblGrid>
            <w:tr w14:paraId="41039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77" w:type="dxa"/>
                  <w:gridSpan w:val="2"/>
                  <w:vAlign w:val="center"/>
                </w:tcPr>
                <w:p w14:paraId="7EC17E6A">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污染物</w:t>
                  </w:r>
                </w:p>
              </w:tc>
              <w:tc>
                <w:tcPr>
                  <w:tcW w:w="1271" w:type="dxa"/>
                  <w:vAlign w:val="center"/>
                </w:tcPr>
                <w:p w14:paraId="6A0E6DC9">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产生量</w:t>
                  </w:r>
                </w:p>
                <w:p w14:paraId="400FA838">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72" w:type="dxa"/>
                  <w:vAlign w:val="center"/>
                </w:tcPr>
                <w:p w14:paraId="468C8663">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削减量</w:t>
                  </w:r>
                </w:p>
                <w:p w14:paraId="5FF4CB8E">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72" w:type="dxa"/>
                  <w:vAlign w:val="center"/>
                </w:tcPr>
                <w:p w14:paraId="5E7A3F89">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排放量</w:t>
                  </w:r>
                </w:p>
                <w:p w14:paraId="1E17F172">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72" w:type="dxa"/>
                  <w:vAlign w:val="center"/>
                </w:tcPr>
                <w:p w14:paraId="04FA0C89">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排放速率（kg/h）</w:t>
                  </w:r>
                </w:p>
              </w:tc>
              <w:tc>
                <w:tcPr>
                  <w:tcW w:w="1272" w:type="dxa"/>
                  <w:vAlign w:val="center"/>
                </w:tcPr>
                <w:p w14:paraId="239F6CBE">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排放浓度（mg/m</w:t>
                  </w:r>
                  <w:r>
                    <w:rPr>
                      <w:rFonts w:hint="default" w:ascii="Times New Roman" w:hAnsi="Times New Roman" w:cs="Times New Roman"/>
                      <w:b/>
                      <w:color w:val="auto"/>
                      <w:sz w:val="18"/>
                      <w:szCs w:val="18"/>
                      <w:vertAlign w:val="superscript"/>
                    </w:rPr>
                    <w:t>3</w:t>
                  </w:r>
                  <w:r>
                    <w:rPr>
                      <w:rFonts w:hint="default" w:ascii="Times New Roman" w:hAnsi="Times New Roman" w:cs="Times New Roman"/>
                      <w:b/>
                      <w:color w:val="auto"/>
                      <w:sz w:val="18"/>
                      <w:szCs w:val="18"/>
                    </w:rPr>
                    <w:t>）</w:t>
                  </w:r>
                </w:p>
              </w:tc>
            </w:tr>
            <w:tr w14:paraId="5B8AC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6" w:type="dxa"/>
                  <w:vAlign w:val="center"/>
                </w:tcPr>
                <w:p w14:paraId="70F8A8EB">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HCl</w:t>
                  </w:r>
                </w:p>
              </w:tc>
              <w:tc>
                <w:tcPr>
                  <w:tcW w:w="931" w:type="dxa"/>
                  <w:vAlign w:val="center"/>
                </w:tcPr>
                <w:p w14:paraId="6E78993D">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1271" w:type="dxa"/>
                  <w:vAlign w:val="center"/>
                </w:tcPr>
                <w:p w14:paraId="70589BAA">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10.500 </w:t>
                  </w:r>
                </w:p>
              </w:tc>
              <w:tc>
                <w:tcPr>
                  <w:tcW w:w="1272" w:type="dxa"/>
                  <w:vAlign w:val="center"/>
                </w:tcPr>
                <w:p w14:paraId="2387BBD2">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9.975 </w:t>
                  </w:r>
                </w:p>
              </w:tc>
              <w:tc>
                <w:tcPr>
                  <w:tcW w:w="1272" w:type="dxa"/>
                  <w:vAlign w:val="center"/>
                </w:tcPr>
                <w:p w14:paraId="40138C2C">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0.525 </w:t>
                  </w:r>
                </w:p>
              </w:tc>
              <w:tc>
                <w:tcPr>
                  <w:tcW w:w="1272" w:type="dxa"/>
                  <w:vAlign w:val="center"/>
                </w:tcPr>
                <w:p w14:paraId="49A0813E">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0.073 </w:t>
                  </w:r>
                </w:p>
              </w:tc>
              <w:tc>
                <w:tcPr>
                  <w:tcW w:w="1272" w:type="dxa"/>
                  <w:vAlign w:val="center"/>
                </w:tcPr>
                <w:p w14:paraId="064962F3">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14.58 </w:t>
                  </w:r>
                </w:p>
              </w:tc>
            </w:tr>
          </w:tbl>
          <w:p w14:paraId="0B011D17">
            <w:pPr>
              <w:pStyle w:val="17"/>
              <w:spacing w:line="360" w:lineRule="auto"/>
              <w:ind w:firstLine="480" w:firstLineChars="200"/>
              <w:rPr>
                <w:rFonts w:hint="default" w:ascii="Times New Roman" w:hAnsi="Times New Roman" w:cs="Times New Roman"/>
                <w:color w:val="auto"/>
                <w:kern w:val="0"/>
                <w:sz w:val="24"/>
                <w:lang w:eastAsia="zh-CN"/>
              </w:rPr>
            </w:pPr>
            <w:r>
              <w:rPr>
                <w:rFonts w:hint="default" w:ascii="Times New Roman" w:hAnsi="Times New Roman" w:cs="Times New Roman"/>
                <w:color w:val="auto"/>
                <w:sz w:val="24"/>
                <w:szCs w:val="24"/>
                <w:lang w:val="en-US" w:eastAsia="zh-CN"/>
              </w:rPr>
              <w:t>根据上表，氯化氢排放浓度、速率能够满足</w:t>
            </w:r>
            <w:r>
              <w:rPr>
                <w:rFonts w:hint="default" w:ascii="Times New Roman" w:hAnsi="Times New Roman" w:cs="Times New Roman"/>
                <w:color w:val="auto"/>
                <w:kern w:val="0"/>
                <w:sz w:val="24"/>
              </w:rPr>
              <w:t>《大气污染物综合排放标准》（GB 16297-1996）表2大气污染物二级标准排放限值</w:t>
            </w:r>
            <w:r>
              <w:rPr>
                <w:rFonts w:hint="default" w:ascii="Times New Roman" w:hAnsi="Times New Roman" w:cs="Times New Roman"/>
                <w:color w:val="auto"/>
                <w:kern w:val="0"/>
                <w:sz w:val="24"/>
                <w:lang w:eastAsia="zh-CN"/>
              </w:rPr>
              <w:t>。</w:t>
            </w:r>
          </w:p>
          <w:p w14:paraId="3F8246F2">
            <w:pPr>
              <w:pStyle w:val="122"/>
              <w:ind w:firstLine="480"/>
              <w:rPr>
                <w:rFonts w:hint="default" w:ascii="Times New Roman" w:hAnsi="Times New Roman" w:cs="Times New Roman"/>
                <w:color w:val="auto"/>
                <w:kern w:val="0"/>
              </w:rPr>
            </w:pP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w:t>
            </w:r>
            <w:r>
              <w:rPr>
                <w:rFonts w:hint="default" w:ascii="Times New Roman" w:hAnsi="Times New Roman" w:cs="Times New Roman"/>
                <w:color w:val="auto"/>
                <w:kern w:val="0"/>
              </w:rPr>
              <w:t>项目废气源强汇总</w:t>
            </w:r>
          </w:p>
          <w:p w14:paraId="2AF4880A">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w:t>
            </w:r>
            <w:r>
              <w:rPr>
                <w:rFonts w:hint="eastAsia" w:cs="Times New Roman"/>
                <w:b/>
                <w:bCs/>
                <w:color w:val="auto"/>
                <w:szCs w:val="21"/>
                <w:lang w:val="en-US" w:eastAsia="zh-CN"/>
              </w:rPr>
              <w:t>8</w:t>
            </w:r>
            <w:r>
              <w:rPr>
                <w:rFonts w:hint="default" w:ascii="Times New Roman" w:hAnsi="Times New Roman" w:cs="Times New Roman"/>
                <w:b/>
                <w:bCs/>
                <w:color w:val="auto"/>
                <w:szCs w:val="21"/>
              </w:rPr>
              <w:t xml:space="preserve">  项目废气产生及排放情况汇总表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1043"/>
              <w:gridCol w:w="881"/>
              <w:gridCol w:w="782"/>
              <w:gridCol w:w="1158"/>
              <w:gridCol w:w="831"/>
              <w:gridCol w:w="1206"/>
              <w:gridCol w:w="1206"/>
            </w:tblGrid>
            <w:tr w14:paraId="3CEC9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53" w:type="dxa"/>
                  <w:gridSpan w:val="3"/>
                  <w:vAlign w:val="center"/>
                </w:tcPr>
                <w:p w14:paraId="0B01EF78">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污染物</w:t>
                  </w:r>
                </w:p>
              </w:tc>
              <w:tc>
                <w:tcPr>
                  <w:tcW w:w="782" w:type="dxa"/>
                  <w:vAlign w:val="center"/>
                </w:tcPr>
                <w:p w14:paraId="25CE52F5">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产生量</w:t>
                  </w:r>
                </w:p>
                <w:p w14:paraId="08865093">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158" w:type="dxa"/>
                  <w:vAlign w:val="center"/>
                </w:tcPr>
                <w:p w14:paraId="60972C67">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削减量</w:t>
                  </w:r>
                </w:p>
                <w:p w14:paraId="0F7ECD93">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831" w:type="dxa"/>
                  <w:vAlign w:val="center"/>
                </w:tcPr>
                <w:p w14:paraId="09E9EDF5">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排放量</w:t>
                  </w:r>
                </w:p>
                <w:p w14:paraId="57EDE7B2">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（t/a）</w:t>
                  </w:r>
                </w:p>
              </w:tc>
              <w:tc>
                <w:tcPr>
                  <w:tcW w:w="1206" w:type="dxa"/>
                  <w:vAlign w:val="center"/>
                </w:tcPr>
                <w:p w14:paraId="31B99A6A">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最大排放速率（kg/h）</w:t>
                  </w:r>
                </w:p>
              </w:tc>
              <w:tc>
                <w:tcPr>
                  <w:tcW w:w="1206" w:type="dxa"/>
                  <w:vAlign w:val="center"/>
                </w:tcPr>
                <w:p w14:paraId="0C7AEA9A">
                  <w:pPr>
                    <w:pStyle w:val="121"/>
                    <w:snapToGrid w:val="0"/>
                    <w:spacing w:line="240" w:lineRule="auto"/>
                    <w:ind w:firstLine="0" w:firstLineChars="0"/>
                    <w:contextualSpacing/>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排放浓度（mg/m</w:t>
                  </w:r>
                  <w:r>
                    <w:rPr>
                      <w:rFonts w:hint="default" w:ascii="Times New Roman" w:hAnsi="Times New Roman" w:cs="Times New Roman"/>
                      <w:b/>
                      <w:color w:val="auto"/>
                      <w:sz w:val="18"/>
                      <w:szCs w:val="18"/>
                      <w:vertAlign w:val="superscript"/>
                    </w:rPr>
                    <w:t>3</w:t>
                  </w:r>
                  <w:r>
                    <w:rPr>
                      <w:rFonts w:hint="default" w:ascii="Times New Roman" w:hAnsi="Times New Roman" w:cs="Times New Roman"/>
                      <w:b/>
                      <w:color w:val="auto"/>
                      <w:sz w:val="18"/>
                      <w:szCs w:val="18"/>
                    </w:rPr>
                    <w:t>）</w:t>
                  </w:r>
                </w:p>
              </w:tc>
            </w:tr>
            <w:tr w14:paraId="1FC9B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restart"/>
                  <w:vAlign w:val="center"/>
                </w:tcPr>
                <w:p w14:paraId="574A8873">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DA001</w:t>
                  </w:r>
                  <w:r>
                    <w:rPr>
                      <w:rFonts w:hint="eastAsia" w:ascii="Times New Roman" w:hAnsi="Times New Roman" w:cs="Times New Roman"/>
                      <w:color w:val="auto"/>
                      <w:sz w:val="18"/>
                      <w:szCs w:val="18"/>
                      <w:lang w:val="en-US" w:eastAsia="zh-CN"/>
                    </w:rPr>
                    <w:t>粉尘</w:t>
                  </w:r>
                </w:p>
              </w:tc>
              <w:tc>
                <w:tcPr>
                  <w:tcW w:w="881" w:type="dxa"/>
                  <w:vAlign w:val="center"/>
                </w:tcPr>
                <w:p w14:paraId="47C45407">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82" w:type="dxa"/>
                  <w:vAlign w:val="center"/>
                </w:tcPr>
                <w:p w14:paraId="1D1FBDC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0.957 </w:t>
                  </w:r>
                </w:p>
              </w:tc>
              <w:tc>
                <w:tcPr>
                  <w:tcW w:w="1158" w:type="dxa"/>
                  <w:vAlign w:val="center"/>
                </w:tcPr>
                <w:p w14:paraId="0AC43524">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0.574 </w:t>
                  </w:r>
                </w:p>
              </w:tc>
              <w:tc>
                <w:tcPr>
                  <w:tcW w:w="831" w:type="dxa"/>
                  <w:vAlign w:val="center"/>
                </w:tcPr>
                <w:p w14:paraId="41F883C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0.383 </w:t>
                  </w:r>
                </w:p>
              </w:tc>
              <w:tc>
                <w:tcPr>
                  <w:tcW w:w="1206" w:type="dxa"/>
                  <w:vAlign w:val="center"/>
                </w:tcPr>
                <w:p w14:paraId="4CB7CDD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0.160 </w:t>
                  </w:r>
                </w:p>
              </w:tc>
              <w:tc>
                <w:tcPr>
                  <w:tcW w:w="1206" w:type="dxa"/>
                  <w:vAlign w:val="center"/>
                </w:tcPr>
                <w:p w14:paraId="43EA3AF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6.38 </w:t>
                  </w:r>
                </w:p>
              </w:tc>
            </w:tr>
            <w:tr w14:paraId="6F66A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1872" w:type="dxa"/>
                  <w:gridSpan w:val="2"/>
                  <w:vMerge w:val="continue"/>
                  <w:vAlign w:val="center"/>
                </w:tcPr>
                <w:p w14:paraId="22B963A9">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p>
              </w:tc>
              <w:tc>
                <w:tcPr>
                  <w:tcW w:w="881" w:type="dxa"/>
                  <w:vAlign w:val="center"/>
                </w:tcPr>
                <w:p w14:paraId="35CBF545">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782" w:type="dxa"/>
                  <w:vAlign w:val="center"/>
                </w:tcPr>
                <w:p w14:paraId="40826A3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0.169 </w:t>
                  </w:r>
                </w:p>
              </w:tc>
              <w:tc>
                <w:tcPr>
                  <w:tcW w:w="1158" w:type="dxa"/>
                  <w:vAlign w:val="center"/>
                </w:tcPr>
                <w:p w14:paraId="2C455F7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831" w:type="dxa"/>
                  <w:vAlign w:val="center"/>
                </w:tcPr>
                <w:p w14:paraId="3A28740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0.169 </w:t>
                  </w:r>
                </w:p>
              </w:tc>
              <w:tc>
                <w:tcPr>
                  <w:tcW w:w="1206" w:type="dxa"/>
                  <w:vAlign w:val="center"/>
                </w:tcPr>
                <w:p w14:paraId="12C945D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0.070 </w:t>
                  </w:r>
                </w:p>
              </w:tc>
              <w:tc>
                <w:tcPr>
                  <w:tcW w:w="1206" w:type="dxa"/>
                  <w:vAlign w:val="center"/>
                </w:tcPr>
                <w:p w14:paraId="35195874">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4F743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continue"/>
                  <w:vAlign w:val="center"/>
                </w:tcPr>
                <w:p w14:paraId="20A9833F">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p>
              </w:tc>
              <w:tc>
                <w:tcPr>
                  <w:tcW w:w="881" w:type="dxa"/>
                  <w:vAlign w:val="center"/>
                </w:tcPr>
                <w:p w14:paraId="684B3CD3">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合计</w:t>
                  </w:r>
                </w:p>
              </w:tc>
              <w:tc>
                <w:tcPr>
                  <w:tcW w:w="782" w:type="dxa"/>
                  <w:vAlign w:val="center"/>
                </w:tcPr>
                <w:p w14:paraId="4666470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1.126</w:t>
                  </w:r>
                </w:p>
              </w:tc>
              <w:tc>
                <w:tcPr>
                  <w:tcW w:w="1158" w:type="dxa"/>
                  <w:vAlign w:val="center"/>
                </w:tcPr>
                <w:p w14:paraId="2A9DA5D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0.574 </w:t>
                  </w:r>
                </w:p>
              </w:tc>
              <w:tc>
                <w:tcPr>
                  <w:tcW w:w="831" w:type="dxa"/>
                  <w:vAlign w:val="center"/>
                </w:tcPr>
                <w:p w14:paraId="0ED87D4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0.552 </w:t>
                  </w:r>
                </w:p>
              </w:tc>
              <w:tc>
                <w:tcPr>
                  <w:tcW w:w="1206" w:type="dxa"/>
                  <w:vAlign w:val="center"/>
                </w:tcPr>
                <w:p w14:paraId="4BC29DC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0.230 </w:t>
                  </w:r>
                </w:p>
              </w:tc>
              <w:tc>
                <w:tcPr>
                  <w:tcW w:w="1206" w:type="dxa"/>
                  <w:vAlign w:val="center"/>
                </w:tcPr>
                <w:p w14:paraId="2219B30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4F8CD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restart"/>
                  <w:vAlign w:val="center"/>
                </w:tcPr>
                <w:p w14:paraId="51BF2F59">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DA002</w:t>
                  </w:r>
                  <w:r>
                    <w:rPr>
                      <w:rFonts w:hint="eastAsia" w:ascii="Times New Roman" w:hAnsi="Times New Roman" w:cs="Times New Roman"/>
                      <w:color w:val="auto"/>
                      <w:sz w:val="18"/>
                      <w:szCs w:val="18"/>
                      <w:lang w:val="en-US" w:eastAsia="zh-CN"/>
                    </w:rPr>
                    <w:t>粉尘</w:t>
                  </w:r>
                </w:p>
              </w:tc>
              <w:tc>
                <w:tcPr>
                  <w:tcW w:w="881" w:type="dxa"/>
                  <w:vAlign w:val="center"/>
                </w:tcPr>
                <w:p w14:paraId="19A464D8">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82" w:type="dxa"/>
                  <w:vAlign w:val="center"/>
                </w:tcPr>
                <w:p w14:paraId="15FE132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0.017 </w:t>
                  </w:r>
                </w:p>
              </w:tc>
              <w:tc>
                <w:tcPr>
                  <w:tcW w:w="1158" w:type="dxa"/>
                  <w:vAlign w:val="center"/>
                </w:tcPr>
                <w:p w14:paraId="567CC21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831" w:type="dxa"/>
                  <w:vAlign w:val="center"/>
                </w:tcPr>
                <w:p w14:paraId="7420450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0.010 </w:t>
                  </w:r>
                </w:p>
              </w:tc>
              <w:tc>
                <w:tcPr>
                  <w:tcW w:w="1206" w:type="dxa"/>
                  <w:vAlign w:val="center"/>
                </w:tcPr>
                <w:p w14:paraId="1D2FCEE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0.004 </w:t>
                  </w:r>
                </w:p>
              </w:tc>
              <w:tc>
                <w:tcPr>
                  <w:tcW w:w="1206" w:type="dxa"/>
                  <w:vAlign w:val="center"/>
                </w:tcPr>
                <w:p w14:paraId="27D56217">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1.21 </w:t>
                  </w:r>
                </w:p>
              </w:tc>
            </w:tr>
            <w:tr w14:paraId="539A2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continue"/>
                  <w:vAlign w:val="center"/>
                </w:tcPr>
                <w:p w14:paraId="69093D24">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p>
              </w:tc>
              <w:tc>
                <w:tcPr>
                  <w:tcW w:w="881" w:type="dxa"/>
                  <w:shd w:val="clear" w:color="auto" w:fill="auto"/>
                  <w:vAlign w:val="center"/>
                </w:tcPr>
                <w:p w14:paraId="7852272A">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无组织</w:t>
                  </w:r>
                </w:p>
              </w:tc>
              <w:tc>
                <w:tcPr>
                  <w:tcW w:w="782" w:type="dxa"/>
                  <w:vAlign w:val="center"/>
                </w:tcPr>
                <w:p w14:paraId="0C77B7B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158" w:type="dxa"/>
                  <w:vAlign w:val="center"/>
                </w:tcPr>
                <w:p w14:paraId="56759B4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831" w:type="dxa"/>
                  <w:vAlign w:val="center"/>
                </w:tcPr>
                <w:p w14:paraId="2578D76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24304507">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0.0013 </w:t>
                  </w:r>
                </w:p>
              </w:tc>
              <w:tc>
                <w:tcPr>
                  <w:tcW w:w="1206" w:type="dxa"/>
                  <w:vAlign w:val="center"/>
                </w:tcPr>
                <w:p w14:paraId="535414A6">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64576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continue"/>
                  <w:vAlign w:val="center"/>
                </w:tcPr>
                <w:p w14:paraId="3D7CD13C">
                  <w:pPr>
                    <w:pStyle w:val="121"/>
                    <w:snapToGrid w:val="0"/>
                    <w:spacing w:line="240" w:lineRule="auto"/>
                    <w:ind w:firstLine="0" w:firstLineChars="0"/>
                    <w:contextualSpacing/>
                    <w:jc w:val="center"/>
                    <w:rPr>
                      <w:rFonts w:hint="default" w:ascii="Times New Roman" w:hAnsi="Times New Roman" w:eastAsia="宋体" w:cs="Times New Roman"/>
                      <w:color w:val="auto"/>
                      <w:sz w:val="18"/>
                      <w:szCs w:val="18"/>
                      <w:lang w:val="en-US" w:eastAsia="zh-CN"/>
                    </w:rPr>
                  </w:pPr>
                </w:p>
              </w:tc>
              <w:tc>
                <w:tcPr>
                  <w:tcW w:w="881" w:type="dxa"/>
                  <w:shd w:val="clear" w:color="auto" w:fill="auto"/>
                  <w:vAlign w:val="center"/>
                </w:tcPr>
                <w:p w14:paraId="3C9C3E07">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合计</w:t>
                  </w:r>
                </w:p>
              </w:tc>
              <w:tc>
                <w:tcPr>
                  <w:tcW w:w="782" w:type="dxa"/>
                  <w:vAlign w:val="center"/>
                </w:tcPr>
                <w:p w14:paraId="6858858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158" w:type="dxa"/>
                  <w:vAlign w:val="center"/>
                </w:tcPr>
                <w:p w14:paraId="5CD4F54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831" w:type="dxa"/>
                  <w:vAlign w:val="center"/>
                </w:tcPr>
                <w:p w14:paraId="14DC0763">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0.013 </w:t>
                  </w:r>
                </w:p>
              </w:tc>
              <w:tc>
                <w:tcPr>
                  <w:tcW w:w="1206" w:type="dxa"/>
                  <w:vAlign w:val="center"/>
                </w:tcPr>
                <w:p w14:paraId="15ED3DC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0.006 </w:t>
                  </w:r>
                </w:p>
              </w:tc>
              <w:tc>
                <w:tcPr>
                  <w:tcW w:w="1206" w:type="dxa"/>
                  <w:vAlign w:val="center"/>
                </w:tcPr>
                <w:p w14:paraId="1410987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2D1B1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restart"/>
                  <w:vAlign w:val="center"/>
                </w:tcPr>
                <w:p w14:paraId="09F34311">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DA004</w:t>
                  </w:r>
                  <w:r>
                    <w:rPr>
                      <w:rFonts w:hint="eastAsia" w:ascii="Times New Roman" w:hAnsi="Times New Roman" w:cs="Times New Roman"/>
                      <w:color w:val="auto"/>
                      <w:sz w:val="18"/>
                      <w:szCs w:val="18"/>
                      <w:lang w:val="en-US" w:eastAsia="zh-CN"/>
                    </w:rPr>
                    <w:t>粉尘</w:t>
                  </w:r>
                </w:p>
              </w:tc>
              <w:tc>
                <w:tcPr>
                  <w:tcW w:w="881" w:type="dxa"/>
                  <w:shd w:val="clear" w:color="auto" w:fill="auto"/>
                  <w:vAlign w:val="center"/>
                </w:tcPr>
                <w:p w14:paraId="39D13E04">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有组织</w:t>
                  </w:r>
                </w:p>
              </w:tc>
              <w:tc>
                <w:tcPr>
                  <w:tcW w:w="782" w:type="dxa"/>
                  <w:vAlign w:val="center"/>
                </w:tcPr>
                <w:p w14:paraId="79B72ED0">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0.017 </w:t>
                  </w:r>
                </w:p>
              </w:tc>
              <w:tc>
                <w:tcPr>
                  <w:tcW w:w="1158" w:type="dxa"/>
                  <w:vAlign w:val="center"/>
                </w:tcPr>
                <w:p w14:paraId="04F8E9E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831" w:type="dxa"/>
                  <w:vAlign w:val="center"/>
                </w:tcPr>
                <w:p w14:paraId="555AEBD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0.010 </w:t>
                  </w:r>
                </w:p>
              </w:tc>
              <w:tc>
                <w:tcPr>
                  <w:tcW w:w="1206" w:type="dxa"/>
                  <w:vAlign w:val="center"/>
                </w:tcPr>
                <w:p w14:paraId="731BE17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0.004 </w:t>
                  </w:r>
                </w:p>
              </w:tc>
              <w:tc>
                <w:tcPr>
                  <w:tcW w:w="1206" w:type="dxa"/>
                  <w:vAlign w:val="center"/>
                </w:tcPr>
                <w:p w14:paraId="0EF1194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1.21 </w:t>
                  </w:r>
                </w:p>
              </w:tc>
            </w:tr>
            <w:tr w14:paraId="4A253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continue"/>
                  <w:vAlign w:val="center"/>
                </w:tcPr>
                <w:p w14:paraId="72D40EF8">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p>
              </w:tc>
              <w:tc>
                <w:tcPr>
                  <w:tcW w:w="881" w:type="dxa"/>
                  <w:shd w:val="clear" w:color="auto" w:fill="auto"/>
                  <w:vAlign w:val="center"/>
                </w:tcPr>
                <w:p w14:paraId="452D7019">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无组织</w:t>
                  </w:r>
                </w:p>
              </w:tc>
              <w:tc>
                <w:tcPr>
                  <w:tcW w:w="782" w:type="dxa"/>
                  <w:vAlign w:val="center"/>
                </w:tcPr>
                <w:p w14:paraId="5F451A3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158" w:type="dxa"/>
                  <w:vAlign w:val="center"/>
                </w:tcPr>
                <w:p w14:paraId="376C791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831" w:type="dxa"/>
                  <w:vAlign w:val="center"/>
                </w:tcPr>
                <w:p w14:paraId="21D606A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79EEE57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0.0013 </w:t>
                  </w:r>
                </w:p>
              </w:tc>
              <w:tc>
                <w:tcPr>
                  <w:tcW w:w="1206" w:type="dxa"/>
                  <w:vAlign w:val="center"/>
                </w:tcPr>
                <w:p w14:paraId="7D75AA86">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1D12B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continue"/>
                  <w:vAlign w:val="center"/>
                </w:tcPr>
                <w:p w14:paraId="72580B3F">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p>
              </w:tc>
              <w:tc>
                <w:tcPr>
                  <w:tcW w:w="881" w:type="dxa"/>
                  <w:shd w:val="clear" w:color="auto" w:fill="auto"/>
                  <w:vAlign w:val="center"/>
                </w:tcPr>
                <w:p w14:paraId="212F3B59">
                  <w:pPr>
                    <w:pStyle w:val="121"/>
                    <w:snapToGrid w:val="0"/>
                    <w:spacing w:line="240" w:lineRule="auto"/>
                    <w:ind w:firstLine="0" w:firstLineChars="0"/>
                    <w:contextualSpacing/>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合计</w:t>
                  </w:r>
                </w:p>
              </w:tc>
              <w:tc>
                <w:tcPr>
                  <w:tcW w:w="782" w:type="dxa"/>
                  <w:vAlign w:val="center"/>
                </w:tcPr>
                <w:p w14:paraId="3A42026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158" w:type="dxa"/>
                  <w:vAlign w:val="center"/>
                </w:tcPr>
                <w:p w14:paraId="7A8147F3">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0.007 </w:t>
                  </w:r>
                </w:p>
              </w:tc>
              <w:tc>
                <w:tcPr>
                  <w:tcW w:w="831" w:type="dxa"/>
                  <w:vAlign w:val="center"/>
                </w:tcPr>
                <w:p w14:paraId="12324FB1">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0.013 </w:t>
                  </w:r>
                </w:p>
              </w:tc>
              <w:tc>
                <w:tcPr>
                  <w:tcW w:w="1206" w:type="dxa"/>
                  <w:vAlign w:val="center"/>
                </w:tcPr>
                <w:p w14:paraId="2B82830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0.006 </w:t>
                  </w:r>
                </w:p>
              </w:tc>
              <w:tc>
                <w:tcPr>
                  <w:tcW w:w="1206" w:type="dxa"/>
                  <w:vAlign w:val="center"/>
                </w:tcPr>
                <w:p w14:paraId="607FF88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5D7FB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Align w:val="center"/>
                </w:tcPr>
                <w:p w14:paraId="07E09165">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DA005</w:t>
                  </w:r>
                  <w:r>
                    <w:rPr>
                      <w:rFonts w:hint="eastAsia" w:ascii="Times New Roman" w:hAnsi="Times New Roman" w:cs="Times New Roman"/>
                      <w:color w:val="auto"/>
                      <w:sz w:val="18"/>
                      <w:szCs w:val="18"/>
                      <w:lang w:val="en-US" w:eastAsia="zh-CN"/>
                    </w:rPr>
                    <w:t>粉尘</w:t>
                  </w:r>
                </w:p>
              </w:tc>
              <w:tc>
                <w:tcPr>
                  <w:tcW w:w="881" w:type="dxa"/>
                  <w:vAlign w:val="center"/>
                </w:tcPr>
                <w:p w14:paraId="222DA079">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82" w:type="dxa"/>
                  <w:vAlign w:val="center"/>
                </w:tcPr>
                <w:p w14:paraId="558ACA63">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0.5</w:t>
                  </w:r>
                </w:p>
              </w:tc>
              <w:tc>
                <w:tcPr>
                  <w:tcW w:w="1158" w:type="dxa"/>
                  <w:vAlign w:val="center"/>
                </w:tcPr>
                <w:p w14:paraId="30BB8A3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0.200 </w:t>
                  </w:r>
                </w:p>
              </w:tc>
              <w:tc>
                <w:tcPr>
                  <w:tcW w:w="831" w:type="dxa"/>
                  <w:vAlign w:val="center"/>
                </w:tcPr>
                <w:p w14:paraId="1356D7F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0.300 </w:t>
                  </w:r>
                </w:p>
              </w:tc>
              <w:tc>
                <w:tcPr>
                  <w:tcW w:w="1206" w:type="dxa"/>
                  <w:vAlign w:val="center"/>
                </w:tcPr>
                <w:p w14:paraId="31F2FBB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0.042 </w:t>
                  </w:r>
                </w:p>
              </w:tc>
              <w:tc>
                <w:tcPr>
                  <w:tcW w:w="1206" w:type="dxa"/>
                  <w:vAlign w:val="center"/>
                </w:tcPr>
                <w:p w14:paraId="68ED98A7">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8.33 </w:t>
                  </w:r>
                </w:p>
              </w:tc>
            </w:tr>
            <w:tr w14:paraId="460CD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Align w:val="center"/>
                </w:tcPr>
                <w:p w14:paraId="7EA64401">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卸料</w:t>
                  </w:r>
                  <w:r>
                    <w:rPr>
                      <w:rFonts w:hint="eastAsia" w:ascii="Times New Roman" w:hAnsi="Times New Roman" w:cs="Times New Roman"/>
                      <w:color w:val="auto"/>
                      <w:sz w:val="18"/>
                      <w:szCs w:val="18"/>
                      <w:lang w:val="en-US" w:eastAsia="zh-CN"/>
                    </w:rPr>
                    <w:t>粉尘</w:t>
                  </w:r>
                </w:p>
              </w:tc>
              <w:tc>
                <w:tcPr>
                  <w:tcW w:w="881" w:type="dxa"/>
                  <w:vAlign w:val="center"/>
                </w:tcPr>
                <w:p w14:paraId="4D5F3F1F">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782" w:type="dxa"/>
                  <w:vAlign w:val="center"/>
                </w:tcPr>
                <w:p w14:paraId="4EBE5B1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158" w:type="dxa"/>
                  <w:vAlign w:val="center"/>
                </w:tcPr>
                <w:p w14:paraId="3789605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831" w:type="dxa"/>
                  <w:vAlign w:val="center"/>
                </w:tcPr>
                <w:p w14:paraId="4608B62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0.020 </w:t>
                  </w:r>
                </w:p>
              </w:tc>
              <w:tc>
                <w:tcPr>
                  <w:tcW w:w="1206" w:type="dxa"/>
                  <w:vAlign w:val="center"/>
                </w:tcPr>
                <w:p w14:paraId="2AC2138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vAlign w:val="center"/>
                </w:tcPr>
                <w:p w14:paraId="0EF370F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6BA02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Align w:val="center"/>
                </w:tcPr>
                <w:p w14:paraId="1C86486A">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包装</w:t>
                  </w:r>
                  <w:r>
                    <w:rPr>
                      <w:rFonts w:hint="eastAsia" w:ascii="Times New Roman" w:hAnsi="Times New Roman" w:cs="Times New Roman"/>
                      <w:color w:val="auto"/>
                      <w:sz w:val="18"/>
                      <w:szCs w:val="18"/>
                      <w:lang w:val="en-US" w:eastAsia="zh-CN"/>
                    </w:rPr>
                    <w:t>粉尘</w:t>
                  </w:r>
                </w:p>
              </w:tc>
              <w:tc>
                <w:tcPr>
                  <w:tcW w:w="881" w:type="dxa"/>
                  <w:vAlign w:val="center"/>
                </w:tcPr>
                <w:p w14:paraId="07BDE22D">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782" w:type="dxa"/>
                  <w:vAlign w:val="center"/>
                </w:tcPr>
                <w:p w14:paraId="79B6EB8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0.02</w:t>
                  </w:r>
                </w:p>
              </w:tc>
              <w:tc>
                <w:tcPr>
                  <w:tcW w:w="1158" w:type="dxa"/>
                  <w:vAlign w:val="center"/>
                </w:tcPr>
                <w:p w14:paraId="7B8DAFB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0.000 </w:t>
                  </w:r>
                </w:p>
              </w:tc>
              <w:tc>
                <w:tcPr>
                  <w:tcW w:w="831" w:type="dxa"/>
                  <w:vAlign w:val="center"/>
                </w:tcPr>
                <w:p w14:paraId="72DB143F">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0.020 </w:t>
                  </w:r>
                </w:p>
              </w:tc>
              <w:tc>
                <w:tcPr>
                  <w:tcW w:w="1206" w:type="dxa"/>
                  <w:vAlign w:val="center"/>
                </w:tcPr>
                <w:p w14:paraId="2E6FFB9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0.008 </w:t>
                  </w:r>
                </w:p>
              </w:tc>
              <w:tc>
                <w:tcPr>
                  <w:tcW w:w="1206" w:type="dxa"/>
                  <w:vAlign w:val="center"/>
                </w:tcPr>
                <w:p w14:paraId="42B1CDC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w:t>
                  </w:r>
                </w:p>
              </w:tc>
            </w:tr>
            <w:tr w14:paraId="622C0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9" w:type="dxa"/>
                  <w:vMerge w:val="restart"/>
                  <w:vAlign w:val="center"/>
                </w:tcPr>
                <w:p w14:paraId="0992880A">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DA003</w:t>
                  </w:r>
                </w:p>
              </w:tc>
              <w:tc>
                <w:tcPr>
                  <w:tcW w:w="1043" w:type="dxa"/>
                  <w:shd w:val="clear" w:color="auto" w:fill="auto"/>
                  <w:vAlign w:val="center"/>
                </w:tcPr>
                <w:p w14:paraId="7948AD17">
                  <w:pPr>
                    <w:pStyle w:val="121"/>
                    <w:snapToGrid w:val="0"/>
                    <w:spacing w:line="240" w:lineRule="auto"/>
                    <w:ind w:firstLine="0" w:firstLineChars="0"/>
                    <w:contextualSpacing/>
                    <w:jc w:val="center"/>
                    <w:rPr>
                      <w:rFonts w:hint="eastAsia"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氯化氢</w:t>
                  </w:r>
                </w:p>
              </w:tc>
              <w:tc>
                <w:tcPr>
                  <w:tcW w:w="881" w:type="dxa"/>
                  <w:shd w:val="clear" w:color="auto" w:fill="auto"/>
                  <w:vAlign w:val="center"/>
                </w:tcPr>
                <w:p w14:paraId="1954B792">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有组织</w:t>
                  </w:r>
                </w:p>
              </w:tc>
              <w:tc>
                <w:tcPr>
                  <w:tcW w:w="782" w:type="dxa"/>
                  <w:shd w:val="clear" w:color="auto" w:fill="auto"/>
                  <w:vAlign w:val="center"/>
                </w:tcPr>
                <w:p w14:paraId="3CB4007B">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4.351 </w:t>
                  </w:r>
                </w:p>
              </w:tc>
              <w:tc>
                <w:tcPr>
                  <w:tcW w:w="1158" w:type="dxa"/>
                  <w:shd w:val="clear" w:color="auto" w:fill="auto"/>
                  <w:vAlign w:val="center"/>
                </w:tcPr>
                <w:p w14:paraId="02D1A11E">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4.133 </w:t>
                  </w:r>
                </w:p>
              </w:tc>
              <w:tc>
                <w:tcPr>
                  <w:tcW w:w="831" w:type="dxa"/>
                  <w:shd w:val="clear" w:color="auto" w:fill="auto"/>
                  <w:vAlign w:val="center"/>
                </w:tcPr>
                <w:p w14:paraId="238ACB2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0.218 </w:t>
                  </w:r>
                </w:p>
              </w:tc>
              <w:tc>
                <w:tcPr>
                  <w:tcW w:w="1206" w:type="dxa"/>
                  <w:shd w:val="clear" w:color="auto" w:fill="auto"/>
                  <w:vAlign w:val="center"/>
                </w:tcPr>
                <w:p w14:paraId="584365A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0.090 </w:t>
                  </w:r>
                </w:p>
              </w:tc>
              <w:tc>
                <w:tcPr>
                  <w:tcW w:w="1206" w:type="dxa"/>
                  <w:shd w:val="clear" w:color="auto" w:fill="auto"/>
                  <w:vAlign w:val="center"/>
                </w:tcPr>
                <w:p w14:paraId="75EDC679">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50.12 </w:t>
                  </w:r>
                </w:p>
              </w:tc>
            </w:tr>
            <w:tr w14:paraId="5167A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9" w:type="dxa"/>
                  <w:vMerge w:val="continue"/>
                  <w:vAlign w:val="center"/>
                </w:tcPr>
                <w:p w14:paraId="11CF5A41">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p>
              </w:tc>
              <w:tc>
                <w:tcPr>
                  <w:tcW w:w="1043" w:type="dxa"/>
                  <w:shd w:val="clear" w:color="auto" w:fill="auto"/>
                  <w:vAlign w:val="center"/>
                </w:tcPr>
                <w:p w14:paraId="30F4D36D">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氟化氢</w:t>
                  </w:r>
                </w:p>
              </w:tc>
              <w:tc>
                <w:tcPr>
                  <w:tcW w:w="881" w:type="dxa"/>
                  <w:shd w:val="clear" w:color="auto" w:fill="auto"/>
                  <w:vAlign w:val="center"/>
                </w:tcPr>
                <w:p w14:paraId="3B64FD35">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有组织</w:t>
                  </w:r>
                </w:p>
              </w:tc>
              <w:tc>
                <w:tcPr>
                  <w:tcW w:w="782" w:type="dxa"/>
                  <w:shd w:val="clear" w:color="auto" w:fill="auto"/>
                  <w:vAlign w:val="center"/>
                </w:tcPr>
                <w:p w14:paraId="6C052F87">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0.056 </w:t>
                  </w:r>
                </w:p>
              </w:tc>
              <w:tc>
                <w:tcPr>
                  <w:tcW w:w="1158" w:type="dxa"/>
                  <w:shd w:val="clear" w:color="auto" w:fill="auto"/>
                  <w:vAlign w:val="center"/>
                </w:tcPr>
                <w:p w14:paraId="340D2B87">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0.053 </w:t>
                  </w:r>
                </w:p>
              </w:tc>
              <w:tc>
                <w:tcPr>
                  <w:tcW w:w="831" w:type="dxa"/>
                  <w:shd w:val="clear" w:color="auto" w:fill="auto"/>
                  <w:vAlign w:val="center"/>
                </w:tcPr>
                <w:p w14:paraId="65066092">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0.003 </w:t>
                  </w:r>
                </w:p>
              </w:tc>
              <w:tc>
                <w:tcPr>
                  <w:tcW w:w="1206" w:type="dxa"/>
                  <w:shd w:val="clear" w:color="auto" w:fill="auto"/>
                  <w:vAlign w:val="center"/>
                </w:tcPr>
                <w:p w14:paraId="0433A70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0.001 </w:t>
                  </w:r>
                </w:p>
              </w:tc>
              <w:tc>
                <w:tcPr>
                  <w:tcW w:w="1206" w:type="dxa"/>
                  <w:shd w:val="clear" w:color="auto" w:fill="auto"/>
                  <w:vAlign w:val="center"/>
                </w:tcPr>
                <w:p w14:paraId="5472BEB8">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default" w:ascii="Times New Roman" w:hAnsi="Times New Roman" w:eastAsia="宋体" w:cs="Times New Roman"/>
                      <w:b w:val="0"/>
                      <w:bCs w:val="0"/>
                      <w:color w:val="auto"/>
                      <w:kern w:val="0"/>
                      <w:sz w:val="18"/>
                      <w:szCs w:val="18"/>
                      <w:lang w:val="en-US" w:eastAsia="zh-CN"/>
                    </w:rPr>
                    <w:t xml:space="preserve">0.59 </w:t>
                  </w:r>
                </w:p>
              </w:tc>
            </w:tr>
            <w:tr w14:paraId="753A4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9" w:type="dxa"/>
                  <w:vAlign w:val="center"/>
                </w:tcPr>
                <w:p w14:paraId="4344D299">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DA005</w:t>
                  </w:r>
                </w:p>
              </w:tc>
              <w:tc>
                <w:tcPr>
                  <w:tcW w:w="1043" w:type="dxa"/>
                  <w:vAlign w:val="center"/>
                </w:tcPr>
                <w:p w14:paraId="69626E37">
                  <w:pPr>
                    <w:pStyle w:val="121"/>
                    <w:snapToGrid w:val="0"/>
                    <w:spacing w:line="240" w:lineRule="auto"/>
                    <w:ind w:firstLine="0" w:firstLineChars="0"/>
                    <w:contextualSpacing/>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rPr>
                    <w:t>氯化氢</w:t>
                  </w:r>
                </w:p>
              </w:tc>
              <w:tc>
                <w:tcPr>
                  <w:tcW w:w="881" w:type="dxa"/>
                  <w:vAlign w:val="center"/>
                </w:tcPr>
                <w:p w14:paraId="2701A890">
                  <w:pPr>
                    <w:pStyle w:val="121"/>
                    <w:snapToGrid w:val="0"/>
                    <w:spacing w:line="240" w:lineRule="auto"/>
                    <w:ind w:firstLine="0" w:firstLineChars="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782" w:type="dxa"/>
                  <w:shd w:val="clear" w:color="auto" w:fill="auto"/>
                  <w:vAlign w:val="center"/>
                </w:tcPr>
                <w:p w14:paraId="2559140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eastAsia" w:ascii="Times New Roman" w:hAnsi="Times New Roman" w:eastAsia="宋体" w:cs="Times New Roman"/>
                      <w:b w:val="0"/>
                      <w:bCs w:val="0"/>
                      <w:color w:val="auto"/>
                      <w:kern w:val="0"/>
                      <w:sz w:val="18"/>
                      <w:szCs w:val="18"/>
                      <w:lang w:val="en-US" w:eastAsia="zh-CN"/>
                    </w:rPr>
                    <w:t>10.5</w:t>
                  </w:r>
                </w:p>
              </w:tc>
              <w:tc>
                <w:tcPr>
                  <w:tcW w:w="1158" w:type="dxa"/>
                  <w:shd w:val="clear" w:color="auto" w:fill="auto"/>
                  <w:vAlign w:val="center"/>
                </w:tcPr>
                <w:p w14:paraId="5042654A">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eastAsia" w:ascii="Times New Roman" w:hAnsi="Times New Roman" w:eastAsia="宋体" w:cs="Times New Roman"/>
                      <w:b w:val="0"/>
                      <w:bCs w:val="0"/>
                      <w:color w:val="auto"/>
                      <w:kern w:val="0"/>
                      <w:sz w:val="18"/>
                      <w:szCs w:val="18"/>
                      <w:lang w:val="en-US" w:eastAsia="zh-CN"/>
                    </w:rPr>
                    <w:t>9.975</w:t>
                  </w:r>
                </w:p>
              </w:tc>
              <w:tc>
                <w:tcPr>
                  <w:tcW w:w="831" w:type="dxa"/>
                  <w:shd w:val="clear" w:color="auto" w:fill="auto"/>
                  <w:vAlign w:val="center"/>
                </w:tcPr>
                <w:p w14:paraId="76339A3C">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eastAsia" w:ascii="Times New Roman" w:hAnsi="Times New Roman" w:eastAsia="宋体" w:cs="Times New Roman"/>
                      <w:b w:val="0"/>
                      <w:bCs w:val="0"/>
                      <w:color w:val="auto"/>
                      <w:kern w:val="0"/>
                      <w:sz w:val="18"/>
                      <w:szCs w:val="18"/>
                      <w:lang w:val="en-US" w:eastAsia="zh-CN"/>
                    </w:rPr>
                    <w:t>0.525</w:t>
                  </w:r>
                </w:p>
              </w:tc>
              <w:tc>
                <w:tcPr>
                  <w:tcW w:w="1206" w:type="dxa"/>
                  <w:shd w:val="clear" w:color="auto" w:fill="auto"/>
                  <w:vAlign w:val="center"/>
                </w:tcPr>
                <w:p w14:paraId="39C47255">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eastAsia" w:ascii="Times New Roman" w:hAnsi="Times New Roman" w:eastAsia="宋体" w:cs="Times New Roman"/>
                      <w:b w:val="0"/>
                      <w:bCs w:val="0"/>
                      <w:color w:val="auto"/>
                      <w:kern w:val="0"/>
                      <w:sz w:val="18"/>
                      <w:szCs w:val="18"/>
                      <w:lang w:val="en-US" w:eastAsia="zh-CN"/>
                    </w:rPr>
                    <w:t>0.073</w:t>
                  </w:r>
                </w:p>
              </w:tc>
              <w:tc>
                <w:tcPr>
                  <w:tcW w:w="1206" w:type="dxa"/>
                  <w:shd w:val="clear" w:color="auto" w:fill="auto"/>
                  <w:vAlign w:val="center"/>
                </w:tcPr>
                <w:p w14:paraId="483B517D">
                  <w:pPr>
                    <w:widowControl/>
                    <w:jc w:val="center"/>
                    <w:textAlignment w:val="center"/>
                    <w:rPr>
                      <w:rFonts w:hint="default" w:ascii="Times New Roman" w:hAnsi="Times New Roman" w:eastAsia="宋体" w:cs="Times New Roman"/>
                      <w:b w:val="0"/>
                      <w:bCs w:val="0"/>
                      <w:color w:val="auto"/>
                      <w:kern w:val="0"/>
                      <w:sz w:val="18"/>
                      <w:szCs w:val="18"/>
                      <w:lang w:val="en-US" w:eastAsia="zh-CN"/>
                    </w:rPr>
                  </w:pPr>
                  <w:r>
                    <w:rPr>
                      <w:rFonts w:hint="eastAsia" w:ascii="Times New Roman" w:hAnsi="Times New Roman" w:eastAsia="宋体" w:cs="Times New Roman"/>
                      <w:b w:val="0"/>
                      <w:bCs w:val="0"/>
                      <w:color w:val="auto"/>
                      <w:kern w:val="0"/>
                      <w:sz w:val="18"/>
                      <w:szCs w:val="18"/>
                      <w:lang w:val="en-US" w:eastAsia="zh-CN"/>
                    </w:rPr>
                    <w:t>14.58</w:t>
                  </w:r>
                </w:p>
              </w:tc>
            </w:tr>
            <w:tr w14:paraId="72083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restart"/>
                  <w:vAlign w:val="center"/>
                </w:tcPr>
                <w:p w14:paraId="6205952A">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粉尘</w:t>
                  </w:r>
                </w:p>
              </w:tc>
              <w:tc>
                <w:tcPr>
                  <w:tcW w:w="881" w:type="dxa"/>
                  <w:vAlign w:val="center"/>
                </w:tcPr>
                <w:p w14:paraId="5CE6673A">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有组织</w:t>
                  </w:r>
                </w:p>
              </w:tc>
              <w:tc>
                <w:tcPr>
                  <w:tcW w:w="782" w:type="dxa"/>
                  <w:vAlign w:val="center"/>
                </w:tcPr>
                <w:p w14:paraId="71522D25">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1.4911</w:t>
                  </w:r>
                </w:p>
              </w:tc>
              <w:tc>
                <w:tcPr>
                  <w:tcW w:w="1158" w:type="dxa"/>
                  <w:vAlign w:val="center"/>
                </w:tcPr>
                <w:p w14:paraId="259C7C8F">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0.788 </w:t>
                  </w:r>
                </w:p>
              </w:tc>
              <w:tc>
                <w:tcPr>
                  <w:tcW w:w="831" w:type="dxa"/>
                  <w:vAlign w:val="center"/>
                </w:tcPr>
                <w:p w14:paraId="00D08253">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0.703 </w:t>
                  </w:r>
                </w:p>
              </w:tc>
              <w:tc>
                <w:tcPr>
                  <w:tcW w:w="1206" w:type="dxa"/>
                  <w:vAlign w:val="center"/>
                </w:tcPr>
                <w:p w14:paraId="130AF39D">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0.210 </w:t>
                  </w:r>
                </w:p>
              </w:tc>
              <w:tc>
                <w:tcPr>
                  <w:tcW w:w="1206" w:type="dxa"/>
                  <w:vAlign w:val="center"/>
                </w:tcPr>
                <w:p w14:paraId="7CADF30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r w14:paraId="54A5F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continue"/>
                  <w:vAlign w:val="center"/>
                </w:tcPr>
                <w:p w14:paraId="0FC7A221">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p>
              </w:tc>
              <w:tc>
                <w:tcPr>
                  <w:tcW w:w="881" w:type="dxa"/>
                  <w:vAlign w:val="center"/>
                </w:tcPr>
                <w:p w14:paraId="77D57337">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无组织</w:t>
                  </w:r>
                </w:p>
              </w:tc>
              <w:tc>
                <w:tcPr>
                  <w:tcW w:w="782" w:type="dxa"/>
                  <w:vAlign w:val="center"/>
                </w:tcPr>
                <w:p w14:paraId="23639152">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0.2149</w:t>
                  </w:r>
                </w:p>
              </w:tc>
              <w:tc>
                <w:tcPr>
                  <w:tcW w:w="1158" w:type="dxa"/>
                  <w:vAlign w:val="center"/>
                </w:tcPr>
                <w:p w14:paraId="34E389C4">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0.000 </w:t>
                  </w:r>
                </w:p>
              </w:tc>
              <w:tc>
                <w:tcPr>
                  <w:tcW w:w="831" w:type="dxa"/>
                  <w:vAlign w:val="center"/>
                </w:tcPr>
                <w:p w14:paraId="015949F5">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0.215 </w:t>
                  </w:r>
                </w:p>
              </w:tc>
              <w:tc>
                <w:tcPr>
                  <w:tcW w:w="1206" w:type="dxa"/>
                  <w:vAlign w:val="center"/>
                </w:tcPr>
                <w:p w14:paraId="5CA03946">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0.084 </w:t>
                  </w:r>
                </w:p>
              </w:tc>
              <w:tc>
                <w:tcPr>
                  <w:tcW w:w="1206" w:type="dxa"/>
                  <w:vAlign w:val="center"/>
                </w:tcPr>
                <w:p w14:paraId="6880B8FA">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r w14:paraId="24F41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vMerge w:val="continue"/>
                  <w:vAlign w:val="center"/>
                </w:tcPr>
                <w:p w14:paraId="5136CA2C">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p>
              </w:tc>
              <w:tc>
                <w:tcPr>
                  <w:tcW w:w="881" w:type="dxa"/>
                  <w:vAlign w:val="center"/>
                </w:tcPr>
                <w:p w14:paraId="0064997D">
                  <w:pPr>
                    <w:pStyle w:val="121"/>
                    <w:snapToGrid w:val="0"/>
                    <w:spacing w:line="240" w:lineRule="auto"/>
                    <w:ind w:firstLine="0" w:firstLineChars="0"/>
                    <w:contextualSpacing/>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合计</w:t>
                  </w:r>
                </w:p>
              </w:tc>
              <w:tc>
                <w:tcPr>
                  <w:tcW w:w="782" w:type="dxa"/>
                  <w:vAlign w:val="center"/>
                </w:tcPr>
                <w:p w14:paraId="30E99A1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1.686</w:t>
                  </w:r>
                </w:p>
              </w:tc>
              <w:tc>
                <w:tcPr>
                  <w:tcW w:w="1158" w:type="dxa"/>
                  <w:vAlign w:val="center"/>
                </w:tcPr>
                <w:p w14:paraId="2F364E43">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0.788 </w:t>
                  </w:r>
                </w:p>
              </w:tc>
              <w:tc>
                <w:tcPr>
                  <w:tcW w:w="831" w:type="dxa"/>
                  <w:vAlign w:val="center"/>
                </w:tcPr>
                <w:p w14:paraId="04BFB30E">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0.898 </w:t>
                  </w:r>
                </w:p>
              </w:tc>
              <w:tc>
                <w:tcPr>
                  <w:tcW w:w="1206" w:type="dxa"/>
                  <w:vAlign w:val="center"/>
                </w:tcPr>
                <w:p w14:paraId="291D78C3">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0.285 </w:t>
                  </w:r>
                </w:p>
              </w:tc>
              <w:tc>
                <w:tcPr>
                  <w:tcW w:w="1206" w:type="dxa"/>
                  <w:vAlign w:val="center"/>
                </w:tcPr>
                <w:p w14:paraId="4DB3E2D9">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r w14:paraId="08389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shd w:val="clear" w:color="auto" w:fill="auto"/>
                  <w:vAlign w:val="center"/>
                </w:tcPr>
                <w:p w14:paraId="6803E840">
                  <w:pPr>
                    <w:pStyle w:val="121"/>
                    <w:snapToGrid w:val="0"/>
                    <w:spacing w:line="240" w:lineRule="auto"/>
                    <w:ind w:firstLine="0" w:firstLineChars="0"/>
                    <w:contextualSpacing/>
                    <w:jc w:val="center"/>
                    <w:rPr>
                      <w:rFonts w:hint="default" w:ascii="Times New Roman" w:hAnsi="Times New Roman" w:eastAsia="宋体" w:cs="Times New Roman"/>
                      <w:b/>
                      <w:bCs/>
                      <w:color w:val="auto"/>
                      <w:kern w:val="0"/>
                      <w:sz w:val="18"/>
                      <w:szCs w:val="18"/>
                      <w:lang w:val="en-US" w:eastAsia="zh-CN" w:bidi="ar-SA"/>
                    </w:rPr>
                  </w:pPr>
                  <w:r>
                    <w:rPr>
                      <w:rFonts w:hint="default" w:ascii="Times New Roman" w:hAnsi="Times New Roman" w:cs="Times New Roman"/>
                      <w:b/>
                      <w:bCs/>
                      <w:color w:val="auto"/>
                      <w:sz w:val="18"/>
                      <w:szCs w:val="18"/>
                    </w:rPr>
                    <w:t>氯化氢</w:t>
                  </w:r>
                </w:p>
              </w:tc>
              <w:tc>
                <w:tcPr>
                  <w:tcW w:w="881" w:type="dxa"/>
                  <w:shd w:val="clear" w:color="auto" w:fill="auto"/>
                  <w:vAlign w:val="center"/>
                </w:tcPr>
                <w:p w14:paraId="28658123">
                  <w:pPr>
                    <w:pStyle w:val="121"/>
                    <w:snapToGrid w:val="0"/>
                    <w:spacing w:line="240" w:lineRule="auto"/>
                    <w:ind w:firstLine="0" w:firstLineChars="0"/>
                    <w:contextualSpacing/>
                    <w:jc w:val="center"/>
                    <w:rPr>
                      <w:rFonts w:hint="default" w:ascii="Times New Roman" w:hAnsi="Times New Roman" w:eastAsia="宋体" w:cs="Times New Roman"/>
                      <w:b/>
                      <w:bCs/>
                      <w:color w:val="auto"/>
                      <w:kern w:val="0"/>
                      <w:sz w:val="18"/>
                      <w:szCs w:val="18"/>
                      <w:lang w:val="en-US" w:eastAsia="zh-CN" w:bidi="ar-SA"/>
                    </w:rPr>
                  </w:pPr>
                  <w:r>
                    <w:rPr>
                      <w:rFonts w:hint="default" w:ascii="Times New Roman" w:hAnsi="Times New Roman" w:cs="Times New Roman"/>
                      <w:b/>
                      <w:bCs/>
                      <w:color w:val="auto"/>
                      <w:sz w:val="18"/>
                      <w:szCs w:val="18"/>
                    </w:rPr>
                    <w:t>有组织</w:t>
                  </w:r>
                </w:p>
              </w:tc>
              <w:tc>
                <w:tcPr>
                  <w:tcW w:w="782" w:type="dxa"/>
                  <w:vAlign w:val="center"/>
                </w:tcPr>
                <w:p w14:paraId="60C1514D">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14.851 </w:t>
                  </w:r>
                </w:p>
              </w:tc>
              <w:tc>
                <w:tcPr>
                  <w:tcW w:w="1158" w:type="dxa"/>
                  <w:vAlign w:val="center"/>
                </w:tcPr>
                <w:p w14:paraId="4D01F0AA">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14.108 </w:t>
                  </w:r>
                </w:p>
              </w:tc>
              <w:tc>
                <w:tcPr>
                  <w:tcW w:w="831" w:type="dxa"/>
                  <w:vAlign w:val="center"/>
                </w:tcPr>
                <w:p w14:paraId="3FAF633D">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0.743 </w:t>
                  </w:r>
                </w:p>
              </w:tc>
              <w:tc>
                <w:tcPr>
                  <w:tcW w:w="1206" w:type="dxa"/>
                  <w:vAlign w:val="center"/>
                </w:tcPr>
                <w:p w14:paraId="728F807B">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0.163 </w:t>
                  </w:r>
                </w:p>
              </w:tc>
              <w:tc>
                <w:tcPr>
                  <w:tcW w:w="1206" w:type="dxa"/>
                  <w:shd w:val="clear" w:color="auto" w:fill="auto"/>
                  <w:vAlign w:val="center"/>
                </w:tcPr>
                <w:p w14:paraId="663BD7B6">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r w14:paraId="360D2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72" w:type="dxa"/>
                  <w:gridSpan w:val="2"/>
                  <w:shd w:val="clear" w:color="auto" w:fill="auto"/>
                  <w:vAlign w:val="center"/>
                </w:tcPr>
                <w:p w14:paraId="197C9F9F">
                  <w:pPr>
                    <w:pStyle w:val="121"/>
                    <w:snapToGrid w:val="0"/>
                    <w:spacing w:line="240" w:lineRule="auto"/>
                    <w:ind w:firstLine="0" w:firstLineChars="0"/>
                    <w:contextualSpacing/>
                    <w:jc w:val="center"/>
                    <w:rPr>
                      <w:rFonts w:hint="default" w:ascii="Times New Roman" w:hAnsi="Times New Roman" w:eastAsia="宋体" w:cs="Times New Roman"/>
                      <w:b/>
                      <w:bCs/>
                      <w:color w:val="auto"/>
                      <w:kern w:val="0"/>
                      <w:sz w:val="18"/>
                      <w:szCs w:val="18"/>
                      <w:lang w:val="en-US" w:eastAsia="zh-CN" w:bidi="ar-SA"/>
                    </w:rPr>
                  </w:pPr>
                  <w:r>
                    <w:rPr>
                      <w:rFonts w:hint="default" w:ascii="Times New Roman" w:hAnsi="Times New Roman" w:cs="Times New Roman"/>
                      <w:b/>
                      <w:bCs/>
                      <w:color w:val="auto"/>
                      <w:sz w:val="18"/>
                      <w:szCs w:val="18"/>
                    </w:rPr>
                    <w:t>氟化氢</w:t>
                  </w:r>
                </w:p>
              </w:tc>
              <w:tc>
                <w:tcPr>
                  <w:tcW w:w="881" w:type="dxa"/>
                  <w:shd w:val="clear" w:color="auto" w:fill="auto"/>
                  <w:vAlign w:val="center"/>
                </w:tcPr>
                <w:p w14:paraId="0A07981E">
                  <w:pPr>
                    <w:pStyle w:val="121"/>
                    <w:snapToGrid w:val="0"/>
                    <w:spacing w:line="240" w:lineRule="auto"/>
                    <w:ind w:firstLine="0" w:firstLineChars="0"/>
                    <w:contextualSpacing/>
                    <w:jc w:val="center"/>
                    <w:rPr>
                      <w:rFonts w:hint="default" w:ascii="Times New Roman" w:hAnsi="Times New Roman" w:eastAsia="宋体" w:cs="Times New Roman"/>
                      <w:b/>
                      <w:bCs/>
                      <w:color w:val="auto"/>
                      <w:kern w:val="0"/>
                      <w:sz w:val="18"/>
                      <w:szCs w:val="18"/>
                      <w:lang w:val="en-US" w:eastAsia="zh-CN" w:bidi="ar-SA"/>
                    </w:rPr>
                  </w:pPr>
                  <w:r>
                    <w:rPr>
                      <w:rFonts w:hint="default" w:ascii="Times New Roman" w:hAnsi="Times New Roman" w:cs="Times New Roman"/>
                      <w:b/>
                      <w:bCs/>
                      <w:color w:val="auto"/>
                      <w:sz w:val="18"/>
                      <w:szCs w:val="18"/>
                    </w:rPr>
                    <w:t>有组织</w:t>
                  </w:r>
                </w:p>
              </w:tc>
              <w:tc>
                <w:tcPr>
                  <w:tcW w:w="782" w:type="dxa"/>
                  <w:vAlign w:val="center"/>
                </w:tcPr>
                <w:p w14:paraId="3FBC2278">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0.056 </w:t>
                  </w:r>
                </w:p>
              </w:tc>
              <w:tc>
                <w:tcPr>
                  <w:tcW w:w="1158" w:type="dxa"/>
                  <w:vAlign w:val="center"/>
                </w:tcPr>
                <w:p w14:paraId="1D9872E7">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0.053 </w:t>
                  </w:r>
                </w:p>
              </w:tc>
              <w:tc>
                <w:tcPr>
                  <w:tcW w:w="831" w:type="dxa"/>
                  <w:vAlign w:val="center"/>
                </w:tcPr>
                <w:p w14:paraId="06260958">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0.003 </w:t>
                  </w:r>
                </w:p>
              </w:tc>
              <w:tc>
                <w:tcPr>
                  <w:tcW w:w="1206" w:type="dxa"/>
                  <w:vAlign w:val="center"/>
                </w:tcPr>
                <w:p w14:paraId="43D2C31C">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 xml:space="preserve">0.001 </w:t>
                  </w:r>
                </w:p>
              </w:tc>
              <w:tc>
                <w:tcPr>
                  <w:tcW w:w="1206" w:type="dxa"/>
                  <w:shd w:val="clear" w:color="auto" w:fill="auto"/>
                  <w:vAlign w:val="center"/>
                </w:tcPr>
                <w:p w14:paraId="0B17637D">
                  <w:pPr>
                    <w:widowControl/>
                    <w:jc w:val="center"/>
                    <w:textAlignment w:val="center"/>
                    <w:rPr>
                      <w:rFonts w:hint="default" w:ascii="Times New Roman" w:hAnsi="Times New Roman" w:eastAsia="宋体" w:cs="Times New Roman"/>
                      <w:b/>
                      <w:bCs/>
                      <w:color w:val="auto"/>
                      <w:kern w:val="0"/>
                      <w:sz w:val="18"/>
                      <w:szCs w:val="18"/>
                      <w:lang w:val="en-US" w:eastAsia="zh-CN"/>
                    </w:rPr>
                  </w:pPr>
                  <w:r>
                    <w:rPr>
                      <w:rFonts w:hint="default" w:ascii="Times New Roman" w:hAnsi="Times New Roman" w:eastAsia="宋体" w:cs="Times New Roman"/>
                      <w:b/>
                      <w:bCs/>
                      <w:color w:val="auto"/>
                      <w:kern w:val="0"/>
                      <w:sz w:val="18"/>
                      <w:szCs w:val="18"/>
                      <w:lang w:val="en-US" w:eastAsia="zh-CN"/>
                    </w:rPr>
                    <w:t>/</w:t>
                  </w:r>
                </w:p>
              </w:tc>
            </w:tr>
          </w:tbl>
          <w:p w14:paraId="48887514">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（6）废气污染源源强核算结果</w:t>
            </w:r>
          </w:p>
          <w:p w14:paraId="086CE2A3">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表4.2.1-</w:t>
            </w:r>
            <w:r>
              <w:rPr>
                <w:rFonts w:hint="eastAsia" w:cs="Times New Roman"/>
                <w:b/>
                <w:bCs/>
                <w:color w:val="auto"/>
                <w:szCs w:val="21"/>
                <w:lang w:val="en-US" w:eastAsia="zh-CN"/>
              </w:rPr>
              <w:t>9</w:t>
            </w:r>
            <w:r>
              <w:rPr>
                <w:rFonts w:hint="default" w:ascii="Times New Roman" w:hAnsi="Times New Roman" w:cs="Times New Roman"/>
                <w:b/>
                <w:bCs/>
                <w:color w:val="auto"/>
                <w:szCs w:val="21"/>
              </w:rPr>
              <w:t xml:space="preserve"> 项目废气污染源源强核算结果及相关参数一览表</w:t>
            </w:r>
          </w:p>
          <w:tbl>
            <w:tblPr>
              <w:tblStyle w:val="32"/>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2"/>
              <w:gridCol w:w="579"/>
              <w:gridCol w:w="627"/>
              <w:gridCol w:w="848"/>
              <w:gridCol w:w="318"/>
              <w:gridCol w:w="538"/>
              <w:gridCol w:w="550"/>
              <w:gridCol w:w="557"/>
              <w:gridCol w:w="673"/>
              <w:gridCol w:w="501"/>
              <w:gridCol w:w="287"/>
              <w:gridCol w:w="529"/>
              <w:gridCol w:w="533"/>
              <w:gridCol w:w="450"/>
              <w:gridCol w:w="454"/>
            </w:tblGrid>
            <w:tr w14:paraId="0CD30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2"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3200F7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工序/生产线</w:t>
                  </w:r>
                </w:p>
              </w:tc>
              <w:tc>
                <w:tcPr>
                  <w:tcW w:w="579" w:type="dxa"/>
                  <w:vMerge w:val="restart"/>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360B12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装置</w:t>
                  </w:r>
                </w:p>
              </w:tc>
              <w:tc>
                <w:tcPr>
                  <w:tcW w:w="627" w:type="dxa"/>
                  <w:vMerge w:val="restart"/>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142228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w:t>
                  </w:r>
                </w:p>
              </w:tc>
              <w:tc>
                <w:tcPr>
                  <w:tcW w:w="848" w:type="dxa"/>
                  <w:vMerge w:val="restart"/>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3BC08D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1963" w:type="dxa"/>
                  <w:gridSpan w:val="4"/>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8E69AD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污染物产生</w:t>
                  </w:r>
                </w:p>
              </w:tc>
              <w:tc>
                <w:tcPr>
                  <w:tcW w:w="1174" w:type="dxa"/>
                  <w:gridSpan w:val="2"/>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7D4A167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治理措施</w:t>
                  </w:r>
                </w:p>
              </w:tc>
              <w:tc>
                <w:tcPr>
                  <w:tcW w:w="1799" w:type="dxa"/>
                  <w:gridSpan w:val="4"/>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71E0F73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污染物排放</w:t>
                  </w:r>
                </w:p>
              </w:tc>
              <w:tc>
                <w:tcPr>
                  <w:tcW w:w="454" w:type="dxa"/>
                  <w:vMerge w:val="restart"/>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37B029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排放时间</w:t>
                  </w:r>
                </w:p>
              </w:tc>
            </w:tr>
            <w:tr w14:paraId="024C6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vMerge w:val="continue"/>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52768AB">
                  <w:pPr>
                    <w:rPr>
                      <w:rFonts w:hint="default" w:ascii="Times New Roman" w:hAnsi="Times New Roman" w:cs="Times New Roman"/>
                      <w:color w:val="auto"/>
                      <w:szCs w:val="21"/>
                    </w:rPr>
                  </w:pPr>
                </w:p>
              </w:tc>
              <w:tc>
                <w:tcPr>
                  <w:tcW w:w="579"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DF48163">
                  <w:pPr>
                    <w:rPr>
                      <w:rFonts w:hint="default" w:ascii="Times New Roman" w:hAnsi="Times New Roman" w:cs="Times New Roman"/>
                      <w:color w:val="auto"/>
                      <w:szCs w:val="21"/>
                    </w:rPr>
                  </w:pPr>
                </w:p>
              </w:tc>
              <w:tc>
                <w:tcPr>
                  <w:tcW w:w="627"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86F7142">
                  <w:pPr>
                    <w:rPr>
                      <w:rFonts w:hint="default" w:ascii="Times New Roman" w:hAnsi="Times New Roman" w:cs="Times New Roman"/>
                      <w:color w:val="auto"/>
                      <w:szCs w:val="21"/>
                    </w:rPr>
                  </w:pPr>
                </w:p>
              </w:tc>
              <w:tc>
                <w:tcPr>
                  <w:tcW w:w="848"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7E9530A">
                  <w:pPr>
                    <w:rPr>
                      <w:rFonts w:hint="default" w:ascii="Times New Roman" w:hAnsi="Times New Roman" w:cs="Times New Roman"/>
                      <w:color w:val="auto"/>
                      <w:szCs w:val="21"/>
                    </w:rPr>
                  </w:pPr>
                </w:p>
              </w:tc>
              <w:tc>
                <w:tcPr>
                  <w:tcW w:w="318" w:type="dxa"/>
                  <w:vMerge w:val="restart"/>
                  <w:tcBorders>
                    <w:top w:val="nil"/>
                    <w:left w:val="nil"/>
                    <w:bottom w:val="single" w:color="auto" w:sz="4" w:space="0"/>
                    <w:right w:val="single" w:color="auto" w:sz="4" w:space="0"/>
                  </w:tcBorders>
                  <w:tcMar>
                    <w:top w:w="15" w:type="dxa"/>
                    <w:left w:w="15" w:type="dxa"/>
                    <w:bottom w:w="15" w:type="dxa"/>
                    <w:right w:w="15" w:type="dxa"/>
                  </w:tcMar>
                  <w:vAlign w:val="center"/>
                </w:tcPr>
                <w:p w14:paraId="3B2A604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核算方法</w:t>
                  </w:r>
                </w:p>
              </w:tc>
              <w:tc>
                <w:tcPr>
                  <w:tcW w:w="53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9A35B1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废气量</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4AAEE8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浓度</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A52729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产生量</w:t>
                  </w:r>
                </w:p>
              </w:tc>
              <w:tc>
                <w:tcPr>
                  <w:tcW w:w="673" w:type="dxa"/>
                  <w:vMerge w:val="restart"/>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FEF7E4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 艺</w:t>
                  </w: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E8D0E1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处理效率</w:t>
                  </w:r>
                </w:p>
              </w:tc>
              <w:tc>
                <w:tcPr>
                  <w:tcW w:w="287" w:type="dxa"/>
                  <w:vMerge w:val="restart"/>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50948C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核算方法</w:t>
                  </w:r>
                </w:p>
              </w:tc>
              <w:tc>
                <w:tcPr>
                  <w:tcW w:w="529"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3428CF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废气量</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D0ABFB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浓度</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9D1612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排放量</w:t>
                  </w:r>
                </w:p>
              </w:tc>
              <w:tc>
                <w:tcPr>
                  <w:tcW w:w="454"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BA41681">
                  <w:pPr>
                    <w:rPr>
                      <w:rFonts w:hint="default" w:ascii="Times New Roman" w:hAnsi="Times New Roman" w:cs="Times New Roman"/>
                      <w:color w:val="auto"/>
                      <w:szCs w:val="21"/>
                    </w:rPr>
                  </w:pPr>
                </w:p>
              </w:tc>
            </w:tr>
            <w:tr w14:paraId="3441D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92" w:type="dxa"/>
                  <w:vMerge w:val="continue"/>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D465151">
                  <w:pPr>
                    <w:rPr>
                      <w:rFonts w:hint="default" w:ascii="Times New Roman" w:hAnsi="Times New Roman" w:cs="Times New Roman"/>
                      <w:color w:val="auto"/>
                      <w:szCs w:val="21"/>
                    </w:rPr>
                  </w:pPr>
                </w:p>
              </w:tc>
              <w:tc>
                <w:tcPr>
                  <w:tcW w:w="579"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634A1CB">
                  <w:pPr>
                    <w:rPr>
                      <w:rFonts w:hint="default" w:ascii="Times New Roman" w:hAnsi="Times New Roman" w:cs="Times New Roman"/>
                      <w:color w:val="auto"/>
                      <w:szCs w:val="21"/>
                    </w:rPr>
                  </w:pPr>
                </w:p>
              </w:tc>
              <w:tc>
                <w:tcPr>
                  <w:tcW w:w="627"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F99762C">
                  <w:pPr>
                    <w:rPr>
                      <w:rFonts w:hint="default" w:ascii="Times New Roman" w:hAnsi="Times New Roman" w:cs="Times New Roman"/>
                      <w:color w:val="auto"/>
                      <w:szCs w:val="21"/>
                    </w:rPr>
                  </w:pPr>
                </w:p>
              </w:tc>
              <w:tc>
                <w:tcPr>
                  <w:tcW w:w="848"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C311162">
                  <w:pPr>
                    <w:rPr>
                      <w:rFonts w:hint="default" w:ascii="Times New Roman" w:hAnsi="Times New Roman" w:cs="Times New Roman"/>
                      <w:color w:val="auto"/>
                      <w:szCs w:val="21"/>
                    </w:rPr>
                  </w:pPr>
                </w:p>
              </w:tc>
              <w:tc>
                <w:tcPr>
                  <w:tcW w:w="318" w:type="dxa"/>
                  <w:vMerge w:val="continue"/>
                  <w:tcBorders>
                    <w:top w:val="nil"/>
                    <w:left w:val="nil"/>
                    <w:bottom w:val="single" w:color="auto" w:sz="4" w:space="0"/>
                    <w:right w:val="single" w:color="auto" w:sz="4" w:space="0"/>
                  </w:tcBorders>
                  <w:tcMar>
                    <w:top w:w="15" w:type="dxa"/>
                    <w:left w:w="15" w:type="dxa"/>
                    <w:bottom w:w="15" w:type="dxa"/>
                    <w:right w:w="15" w:type="dxa"/>
                  </w:tcMar>
                  <w:vAlign w:val="center"/>
                </w:tcPr>
                <w:p w14:paraId="2BE199EF">
                  <w:pPr>
                    <w:rPr>
                      <w:rFonts w:hint="default" w:ascii="Times New Roman" w:hAnsi="Times New Roman" w:cs="Times New Roman"/>
                      <w:color w:val="auto"/>
                      <w:szCs w:val="21"/>
                    </w:rPr>
                  </w:pPr>
                </w:p>
              </w:tc>
              <w:tc>
                <w:tcPr>
                  <w:tcW w:w="53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1DCCA2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/h</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83CE05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mg/m</w:t>
                  </w:r>
                  <w:r>
                    <w:rPr>
                      <w:rFonts w:hint="default" w:ascii="Times New Roman" w:hAnsi="Times New Roman" w:cs="Times New Roman"/>
                      <w:color w:val="auto"/>
                      <w:sz w:val="18"/>
                      <w:szCs w:val="18"/>
                      <w:vertAlign w:val="superscript"/>
                    </w:rPr>
                    <w:t>3</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198A4C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kg/h</w:t>
                  </w:r>
                </w:p>
              </w:tc>
              <w:tc>
                <w:tcPr>
                  <w:tcW w:w="673"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7A4AEC2">
                  <w:pPr>
                    <w:rPr>
                      <w:rFonts w:hint="default" w:ascii="Times New Roman" w:hAnsi="Times New Roman" w:cs="Times New Roman"/>
                      <w:color w:val="auto"/>
                      <w:szCs w:val="21"/>
                    </w:rPr>
                  </w:pP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4F8E485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287" w:type="dxa"/>
                  <w:vMerge w:val="continue"/>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99E3F9B">
                  <w:pPr>
                    <w:rPr>
                      <w:rFonts w:hint="default" w:ascii="Times New Roman" w:hAnsi="Times New Roman" w:cs="Times New Roman"/>
                      <w:color w:val="auto"/>
                      <w:szCs w:val="21"/>
                    </w:rPr>
                  </w:pPr>
                </w:p>
              </w:tc>
              <w:tc>
                <w:tcPr>
                  <w:tcW w:w="529"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4287E01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/h</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6F7B5C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mg/m</w:t>
                  </w:r>
                  <w:r>
                    <w:rPr>
                      <w:rFonts w:hint="default" w:ascii="Times New Roman" w:hAnsi="Times New Roman" w:cs="Times New Roman"/>
                      <w:color w:val="auto"/>
                      <w:sz w:val="18"/>
                      <w:szCs w:val="18"/>
                      <w:vertAlign w:val="superscript"/>
                    </w:rPr>
                    <w:t>3</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8349DE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kg/h</w:t>
                  </w:r>
                </w:p>
              </w:tc>
              <w:tc>
                <w:tcPr>
                  <w:tcW w:w="454"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E18659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h/a</w:t>
                  </w:r>
                </w:p>
              </w:tc>
            </w:tr>
            <w:tr w14:paraId="5CD77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tcBorders>
                    <w:top w:val="nil"/>
                    <w:left w:val="single" w:color="auto" w:sz="4" w:space="0"/>
                    <w:right w:val="single" w:color="auto" w:sz="4" w:space="0"/>
                  </w:tcBorders>
                  <w:tcMar>
                    <w:top w:w="15" w:type="dxa"/>
                    <w:left w:w="15" w:type="dxa"/>
                    <w:bottom w:w="15" w:type="dxa"/>
                    <w:right w:w="15" w:type="dxa"/>
                  </w:tcMar>
                  <w:vAlign w:val="center"/>
                </w:tcPr>
                <w:p w14:paraId="37FE9BB1">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破碎、制砂、磁选</w:t>
                  </w:r>
                </w:p>
              </w:tc>
              <w:tc>
                <w:tcPr>
                  <w:tcW w:w="579" w:type="dxa"/>
                  <w:tcBorders>
                    <w:top w:val="single" w:color="auto" w:sz="4" w:space="0"/>
                    <w:left w:val="nil"/>
                    <w:right w:val="single" w:color="auto" w:sz="4" w:space="0"/>
                  </w:tcBorders>
                  <w:tcMar>
                    <w:top w:w="15" w:type="dxa"/>
                    <w:left w:w="15" w:type="dxa"/>
                    <w:bottom w:w="15" w:type="dxa"/>
                    <w:right w:w="15" w:type="dxa"/>
                  </w:tcMar>
                  <w:vAlign w:val="center"/>
                </w:tcPr>
                <w:p w14:paraId="203D280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DA001</w:t>
                  </w:r>
                </w:p>
              </w:tc>
              <w:tc>
                <w:tcPr>
                  <w:tcW w:w="627" w:type="dxa"/>
                  <w:vMerge w:val="restart"/>
                  <w:tcBorders>
                    <w:top w:val="single" w:color="auto" w:sz="4" w:space="0"/>
                    <w:left w:val="nil"/>
                    <w:right w:val="single" w:color="auto" w:sz="4" w:space="0"/>
                  </w:tcBorders>
                  <w:tcMar>
                    <w:top w:w="15" w:type="dxa"/>
                    <w:left w:w="15" w:type="dxa"/>
                    <w:bottom w:w="15" w:type="dxa"/>
                    <w:right w:w="15" w:type="dxa"/>
                  </w:tcMar>
                  <w:vAlign w:val="center"/>
                </w:tcPr>
                <w:p w14:paraId="3D0B1ECC">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w:t>
                  </w: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414AE83">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颗粒物</w:t>
                  </w:r>
                </w:p>
              </w:tc>
              <w:tc>
                <w:tcPr>
                  <w:tcW w:w="318" w:type="dxa"/>
                  <w:vMerge w:val="restart"/>
                  <w:tcBorders>
                    <w:top w:val="single" w:color="auto" w:sz="4" w:space="0"/>
                    <w:left w:val="nil"/>
                    <w:right w:val="single" w:color="auto" w:sz="4" w:space="0"/>
                  </w:tcBorders>
                  <w:tcMar>
                    <w:top w:w="15" w:type="dxa"/>
                    <w:left w:w="15" w:type="dxa"/>
                    <w:bottom w:w="15" w:type="dxa"/>
                    <w:right w:w="15" w:type="dxa"/>
                  </w:tcMar>
                  <w:vAlign w:val="center"/>
                </w:tcPr>
                <w:p w14:paraId="0888C16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系数法</w:t>
                  </w:r>
                  <w:r>
                    <w:rPr>
                      <w:rFonts w:hint="eastAsia" w:cs="Times New Roman"/>
                      <w:color w:val="auto"/>
                      <w:sz w:val="18"/>
                      <w:szCs w:val="18"/>
                      <w:lang w:eastAsia="zh-CN"/>
                    </w:rPr>
                    <w:t>、</w:t>
                  </w:r>
                  <w:r>
                    <w:rPr>
                      <w:rFonts w:hint="eastAsia" w:cs="Times New Roman"/>
                      <w:color w:val="auto"/>
                      <w:sz w:val="18"/>
                      <w:szCs w:val="18"/>
                      <w:lang w:val="en-US" w:eastAsia="zh-CN"/>
                    </w:rPr>
                    <w:t>物料平衡</w:t>
                  </w: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4A7F9913">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25000</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791FCAE">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15.95 </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E3787E0">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0.399 </w:t>
                  </w:r>
                </w:p>
              </w:tc>
              <w:tc>
                <w:tcPr>
                  <w:tcW w:w="673" w:type="dxa"/>
                  <w:tcBorders>
                    <w:top w:val="single" w:color="auto" w:sz="4" w:space="0"/>
                    <w:left w:val="nil"/>
                    <w:right w:val="single" w:color="auto" w:sz="4" w:space="0"/>
                  </w:tcBorders>
                  <w:tcMar>
                    <w:top w:w="15" w:type="dxa"/>
                    <w:left w:w="15" w:type="dxa"/>
                    <w:bottom w:w="15" w:type="dxa"/>
                    <w:right w:w="15" w:type="dxa"/>
                  </w:tcMar>
                  <w:vAlign w:val="center"/>
                </w:tcPr>
                <w:p w14:paraId="707248C4">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rPr>
                    <w:t>袋式除尘</w:t>
                  </w: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B5B5678">
                  <w:pPr>
                    <w:widowControl/>
                    <w:jc w:val="center"/>
                    <w:textAlignment w:val="center"/>
                    <w:rPr>
                      <w:rFonts w:hint="default" w:ascii="Times New Roman" w:hAnsi="Times New Roman" w:cs="Times New Roman"/>
                      <w:color w:val="auto"/>
                      <w:kern w:val="0"/>
                      <w:sz w:val="18"/>
                      <w:szCs w:val="18"/>
                      <w:lang w:val="en-US"/>
                    </w:rPr>
                  </w:pPr>
                  <w:r>
                    <w:rPr>
                      <w:rFonts w:hint="eastAsia" w:cs="Times New Roman"/>
                      <w:color w:val="auto"/>
                      <w:kern w:val="0"/>
                      <w:sz w:val="18"/>
                      <w:szCs w:val="18"/>
                      <w:lang w:val="en-US" w:eastAsia="zh-CN"/>
                    </w:rPr>
                    <w:t>60</w:t>
                  </w:r>
                </w:p>
              </w:tc>
              <w:tc>
                <w:tcPr>
                  <w:tcW w:w="287" w:type="dxa"/>
                  <w:vMerge w:val="restart"/>
                  <w:tcBorders>
                    <w:top w:val="single" w:color="auto" w:sz="4" w:space="0"/>
                    <w:left w:val="nil"/>
                    <w:right w:val="single" w:color="auto" w:sz="4" w:space="0"/>
                  </w:tcBorders>
                  <w:tcMar>
                    <w:top w:w="15" w:type="dxa"/>
                    <w:left w:w="15" w:type="dxa"/>
                    <w:bottom w:w="15" w:type="dxa"/>
                    <w:right w:w="15" w:type="dxa"/>
                  </w:tcMar>
                  <w:vAlign w:val="center"/>
                </w:tcPr>
                <w:p w14:paraId="05ACF2D6">
                  <w:pPr>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系数法</w:t>
                  </w:r>
                  <w:r>
                    <w:rPr>
                      <w:rFonts w:hint="eastAsia" w:cs="Times New Roman"/>
                      <w:color w:val="auto"/>
                      <w:sz w:val="18"/>
                      <w:szCs w:val="18"/>
                      <w:lang w:eastAsia="zh-CN"/>
                    </w:rPr>
                    <w:t>、</w:t>
                  </w:r>
                  <w:r>
                    <w:rPr>
                      <w:rFonts w:hint="eastAsia" w:cs="Times New Roman"/>
                      <w:color w:val="auto"/>
                      <w:sz w:val="18"/>
                      <w:szCs w:val="18"/>
                      <w:lang w:val="en-US" w:eastAsia="zh-CN"/>
                    </w:rPr>
                    <w:t>物料平衡</w:t>
                  </w: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6A17BF9E">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25000</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5835D37">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6.38 </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67AAA54">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0.160 </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7210A181">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2400</w:t>
                  </w:r>
                </w:p>
              </w:tc>
            </w:tr>
            <w:tr w14:paraId="65199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tcBorders>
                    <w:top w:val="nil"/>
                    <w:left w:val="single" w:color="auto" w:sz="4" w:space="0"/>
                    <w:bottom w:val="single" w:color="auto" w:sz="4" w:space="0"/>
                    <w:right w:val="single" w:color="auto" w:sz="4" w:space="0"/>
                  </w:tcBorders>
                  <w:tcMar>
                    <w:top w:w="15" w:type="dxa"/>
                    <w:left w:w="15" w:type="dxa"/>
                    <w:bottom w:w="15" w:type="dxa"/>
                    <w:right w:w="15" w:type="dxa"/>
                  </w:tcMar>
                  <w:vAlign w:val="center"/>
                </w:tcPr>
                <w:p w14:paraId="0751E5E8">
                  <w:pPr>
                    <w:pStyle w:val="29"/>
                    <w:widowControl w:val="0"/>
                    <w:adjustRightInd w:val="0"/>
                    <w:snapToGrid w:val="0"/>
                    <w:spacing w:before="0" w:beforeAutospacing="0" w:after="0" w:afterAutospacing="0"/>
                    <w:jc w:val="center"/>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焙烧</w:t>
                  </w:r>
                </w:p>
              </w:tc>
              <w:tc>
                <w:tcPr>
                  <w:tcW w:w="579" w:type="dxa"/>
                  <w:tcBorders>
                    <w:left w:val="nil"/>
                    <w:bottom w:val="single" w:color="auto" w:sz="4" w:space="0"/>
                    <w:right w:val="single" w:color="auto" w:sz="4" w:space="0"/>
                  </w:tcBorders>
                  <w:tcMar>
                    <w:top w:w="15" w:type="dxa"/>
                    <w:left w:w="15" w:type="dxa"/>
                    <w:bottom w:w="15" w:type="dxa"/>
                    <w:right w:w="15" w:type="dxa"/>
                  </w:tcMar>
                  <w:vAlign w:val="center"/>
                </w:tcPr>
                <w:p w14:paraId="2AFA0B2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DA002</w:t>
                  </w:r>
                </w:p>
              </w:tc>
              <w:tc>
                <w:tcPr>
                  <w:tcW w:w="627" w:type="dxa"/>
                  <w:vMerge w:val="continue"/>
                  <w:tcBorders>
                    <w:left w:val="nil"/>
                    <w:right w:val="single" w:color="auto" w:sz="4" w:space="0"/>
                  </w:tcBorders>
                  <w:tcMar>
                    <w:top w:w="15" w:type="dxa"/>
                    <w:left w:w="15" w:type="dxa"/>
                    <w:bottom w:w="15" w:type="dxa"/>
                    <w:right w:w="15" w:type="dxa"/>
                  </w:tcMar>
                  <w:vAlign w:val="center"/>
                </w:tcPr>
                <w:p w14:paraId="5181AB62">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2CF5D09">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颗粒物</w:t>
                  </w:r>
                </w:p>
              </w:tc>
              <w:tc>
                <w:tcPr>
                  <w:tcW w:w="318" w:type="dxa"/>
                  <w:vMerge w:val="continue"/>
                  <w:tcBorders>
                    <w:left w:val="nil"/>
                    <w:right w:val="single" w:color="auto" w:sz="4" w:space="0"/>
                  </w:tcBorders>
                  <w:tcMar>
                    <w:top w:w="15" w:type="dxa"/>
                    <w:left w:w="15" w:type="dxa"/>
                    <w:bottom w:w="15" w:type="dxa"/>
                    <w:right w:w="15" w:type="dxa"/>
                  </w:tcMar>
                  <w:vAlign w:val="center"/>
                </w:tcPr>
                <w:p w14:paraId="76E429D4">
                  <w:pPr>
                    <w:adjustRightInd w:val="0"/>
                    <w:snapToGrid w:val="0"/>
                    <w:jc w:val="center"/>
                    <w:rPr>
                      <w:rFonts w:hint="default" w:ascii="Times New Roman" w:hAnsi="Times New Roman" w:cs="Times New Roman"/>
                      <w:color w:val="auto"/>
                      <w:sz w:val="18"/>
                      <w:szCs w:val="18"/>
                    </w:rPr>
                  </w:pP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7530A6C8">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3500</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3C65457">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2.02 </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44E92416">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0.007 </w:t>
                  </w:r>
                </w:p>
              </w:tc>
              <w:tc>
                <w:tcPr>
                  <w:tcW w:w="673" w:type="dxa"/>
                  <w:tcBorders>
                    <w:top w:val="single" w:color="auto" w:sz="4" w:space="0"/>
                    <w:left w:val="nil"/>
                    <w:right w:val="single" w:color="auto" w:sz="4" w:space="0"/>
                  </w:tcBorders>
                  <w:tcMar>
                    <w:top w:w="15" w:type="dxa"/>
                    <w:left w:w="15" w:type="dxa"/>
                    <w:bottom w:w="15" w:type="dxa"/>
                    <w:right w:w="15" w:type="dxa"/>
                  </w:tcMar>
                  <w:vAlign w:val="center"/>
                </w:tcPr>
                <w:p w14:paraId="0D8C85ED">
                  <w:pPr>
                    <w:widowControl/>
                    <w:jc w:val="center"/>
                    <w:textAlignment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水喷淋</w:t>
                  </w: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160C69E">
                  <w:pPr>
                    <w:widowControl/>
                    <w:jc w:val="center"/>
                    <w:textAlignment w:val="center"/>
                    <w:rPr>
                      <w:rFonts w:hint="default" w:ascii="Times New Roman" w:hAnsi="Times New Roman" w:cs="Times New Roman"/>
                      <w:color w:val="auto"/>
                      <w:kern w:val="0"/>
                      <w:sz w:val="18"/>
                      <w:szCs w:val="18"/>
                      <w:lang w:val="en-US"/>
                    </w:rPr>
                  </w:pPr>
                  <w:r>
                    <w:rPr>
                      <w:rFonts w:hint="eastAsia" w:cs="Times New Roman"/>
                      <w:color w:val="auto"/>
                      <w:kern w:val="0"/>
                      <w:sz w:val="18"/>
                      <w:szCs w:val="18"/>
                      <w:lang w:val="en-US" w:eastAsia="zh-CN"/>
                    </w:rPr>
                    <w:t>40</w:t>
                  </w:r>
                </w:p>
              </w:tc>
              <w:tc>
                <w:tcPr>
                  <w:tcW w:w="287" w:type="dxa"/>
                  <w:vMerge w:val="continue"/>
                  <w:tcBorders>
                    <w:left w:val="nil"/>
                    <w:right w:val="single" w:color="auto" w:sz="4" w:space="0"/>
                  </w:tcBorders>
                  <w:tcMar>
                    <w:top w:w="15" w:type="dxa"/>
                    <w:left w:w="15" w:type="dxa"/>
                    <w:bottom w:w="15" w:type="dxa"/>
                    <w:right w:w="15" w:type="dxa"/>
                  </w:tcMar>
                  <w:vAlign w:val="center"/>
                </w:tcPr>
                <w:p w14:paraId="29249575">
                  <w:pPr>
                    <w:adjustRightInd w:val="0"/>
                    <w:snapToGrid w:val="0"/>
                    <w:jc w:val="center"/>
                    <w:rPr>
                      <w:rFonts w:hint="default" w:ascii="Times New Roman" w:hAnsi="Times New Roman" w:cs="Times New Roman"/>
                      <w:color w:val="auto"/>
                      <w:sz w:val="18"/>
                      <w:szCs w:val="18"/>
                    </w:rPr>
                  </w:pP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404C52B0">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3500</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F91CB5C">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1.21 </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4B73A13">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0.004 </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2CE664D7">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2400</w:t>
                  </w:r>
                </w:p>
              </w:tc>
            </w:tr>
            <w:tr w14:paraId="34D73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vMerge w:val="restart"/>
                  <w:tcBorders>
                    <w:top w:val="single" w:color="auto" w:sz="4" w:space="0"/>
                    <w:left w:val="single" w:color="auto" w:sz="4" w:space="0"/>
                    <w:right w:val="single" w:color="auto" w:sz="4" w:space="0"/>
                  </w:tcBorders>
                  <w:tcMar>
                    <w:top w:w="15" w:type="dxa"/>
                    <w:left w:w="15" w:type="dxa"/>
                    <w:bottom w:w="15" w:type="dxa"/>
                    <w:right w:w="15" w:type="dxa"/>
                  </w:tcMar>
                  <w:vAlign w:val="center"/>
                </w:tcPr>
                <w:p w14:paraId="78FF3C3E">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酸洗、储罐</w:t>
                  </w:r>
                </w:p>
              </w:tc>
              <w:tc>
                <w:tcPr>
                  <w:tcW w:w="579" w:type="dxa"/>
                  <w:vMerge w:val="restart"/>
                  <w:tcBorders>
                    <w:top w:val="single" w:color="auto" w:sz="4" w:space="0"/>
                    <w:left w:val="nil"/>
                    <w:right w:val="single" w:color="auto" w:sz="4" w:space="0"/>
                  </w:tcBorders>
                  <w:tcMar>
                    <w:top w:w="15" w:type="dxa"/>
                    <w:left w:w="15" w:type="dxa"/>
                    <w:bottom w:w="15" w:type="dxa"/>
                    <w:right w:w="15" w:type="dxa"/>
                  </w:tcMar>
                  <w:vAlign w:val="center"/>
                </w:tcPr>
                <w:p w14:paraId="348C4AA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DA003</w:t>
                  </w:r>
                </w:p>
              </w:tc>
              <w:tc>
                <w:tcPr>
                  <w:tcW w:w="627" w:type="dxa"/>
                  <w:vMerge w:val="continue"/>
                  <w:tcBorders>
                    <w:left w:val="nil"/>
                    <w:right w:val="single" w:color="auto" w:sz="4" w:space="0"/>
                  </w:tcBorders>
                  <w:tcMar>
                    <w:top w:w="15" w:type="dxa"/>
                    <w:left w:w="15" w:type="dxa"/>
                    <w:bottom w:w="15" w:type="dxa"/>
                    <w:right w:w="15" w:type="dxa"/>
                  </w:tcMar>
                  <w:vAlign w:val="center"/>
                </w:tcPr>
                <w:p w14:paraId="05F7FD31">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80B134D">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氯化氢</w:t>
                  </w:r>
                </w:p>
              </w:tc>
              <w:tc>
                <w:tcPr>
                  <w:tcW w:w="318" w:type="dxa"/>
                  <w:vMerge w:val="continue"/>
                  <w:tcBorders>
                    <w:left w:val="nil"/>
                    <w:right w:val="single" w:color="auto" w:sz="4" w:space="0"/>
                  </w:tcBorders>
                  <w:tcMar>
                    <w:top w:w="15" w:type="dxa"/>
                    <w:left w:w="15" w:type="dxa"/>
                    <w:bottom w:w="15" w:type="dxa"/>
                    <w:right w:w="15" w:type="dxa"/>
                  </w:tcMar>
                  <w:vAlign w:val="center"/>
                </w:tcPr>
                <w:p w14:paraId="535EE95B">
                  <w:pPr>
                    <w:adjustRightInd w:val="0"/>
                    <w:snapToGrid w:val="0"/>
                    <w:jc w:val="center"/>
                    <w:rPr>
                      <w:rFonts w:hint="default" w:ascii="Times New Roman" w:hAnsi="Times New Roman" w:cs="Times New Roman"/>
                      <w:color w:val="auto"/>
                      <w:sz w:val="18"/>
                      <w:szCs w:val="18"/>
                    </w:rPr>
                  </w:pP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40333085">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1800</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4061897">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1007.</w:t>
                  </w:r>
                  <w:r>
                    <w:rPr>
                      <w:rFonts w:hint="eastAsia" w:cs="Times New Roman"/>
                      <w:color w:val="auto"/>
                      <w:kern w:val="0"/>
                      <w:sz w:val="18"/>
                      <w:szCs w:val="18"/>
                      <w:lang w:val="en-US" w:eastAsia="zh-CN"/>
                    </w:rPr>
                    <w:t>2</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49B09CE">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1.813 </w:t>
                  </w:r>
                </w:p>
              </w:tc>
              <w:tc>
                <w:tcPr>
                  <w:tcW w:w="673" w:type="dxa"/>
                  <w:vMerge w:val="restart"/>
                  <w:tcBorders>
                    <w:left w:val="nil"/>
                    <w:right w:val="single" w:color="auto" w:sz="4" w:space="0"/>
                  </w:tcBorders>
                  <w:tcMar>
                    <w:top w:w="15" w:type="dxa"/>
                    <w:left w:w="15" w:type="dxa"/>
                    <w:bottom w:w="15" w:type="dxa"/>
                    <w:right w:w="15" w:type="dxa"/>
                  </w:tcMar>
                  <w:vAlign w:val="center"/>
                </w:tcPr>
                <w:p w14:paraId="2282E1B6">
                  <w:pPr>
                    <w:widowControl/>
                    <w:jc w:val="center"/>
                    <w:textAlignment w:val="center"/>
                    <w:rPr>
                      <w:rFonts w:hint="default" w:ascii="Times New Roman" w:hAnsi="Times New Roman" w:cs="Times New Roman"/>
                      <w:color w:val="auto"/>
                      <w:kern w:val="0"/>
                      <w:sz w:val="18"/>
                      <w:szCs w:val="18"/>
                      <w:lang w:val="en-US" w:eastAsia="zh-CN"/>
                    </w:rPr>
                  </w:pPr>
                  <w:r>
                    <w:rPr>
                      <w:rFonts w:hint="eastAsia" w:cs="Times New Roman"/>
                      <w:color w:val="auto"/>
                      <w:kern w:val="0"/>
                      <w:sz w:val="18"/>
                      <w:szCs w:val="18"/>
                      <w:lang w:val="en-US" w:eastAsia="zh-CN"/>
                    </w:rPr>
                    <w:t>两级碱</w:t>
                  </w:r>
                  <w:r>
                    <w:rPr>
                      <w:rFonts w:hint="eastAsia" w:ascii="Times New Roman" w:hAnsi="Times New Roman" w:cs="Times New Roman"/>
                      <w:color w:val="auto"/>
                      <w:kern w:val="0"/>
                      <w:sz w:val="18"/>
                      <w:szCs w:val="18"/>
                      <w:lang w:val="en-US" w:eastAsia="zh-CN"/>
                    </w:rPr>
                    <w:t>喷淋</w:t>
                  </w: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FAEB38E">
                  <w:pPr>
                    <w:widowControl/>
                    <w:jc w:val="center"/>
                    <w:textAlignment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95</w:t>
                  </w:r>
                </w:p>
              </w:tc>
              <w:tc>
                <w:tcPr>
                  <w:tcW w:w="287" w:type="dxa"/>
                  <w:vMerge w:val="continue"/>
                  <w:tcBorders>
                    <w:left w:val="nil"/>
                    <w:right w:val="single" w:color="auto" w:sz="4" w:space="0"/>
                  </w:tcBorders>
                  <w:tcMar>
                    <w:top w:w="15" w:type="dxa"/>
                    <w:left w:w="15" w:type="dxa"/>
                    <w:bottom w:w="15" w:type="dxa"/>
                    <w:right w:w="15" w:type="dxa"/>
                  </w:tcMar>
                  <w:vAlign w:val="center"/>
                </w:tcPr>
                <w:p w14:paraId="6CA51ECB">
                  <w:pPr>
                    <w:adjustRightInd w:val="0"/>
                    <w:snapToGrid w:val="0"/>
                    <w:jc w:val="center"/>
                    <w:rPr>
                      <w:rFonts w:hint="default" w:ascii="Times New Roman" w:hAnsi="Times New Roman" w:cs="Times New Roman"/>
                      <w:color w:val="auto"/>
                      <w:sz w:val="18"/>
                      <w:szCs w:val="18"/>
                    </w:rPr>
                  </w:pP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406C47C2">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1800</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7F16B63">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50.12 </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4FFFF9DB">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0.090 </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781083E5">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2400</w:t>
                  </w:r>
                </w:p>
              </w:tc>
            </w:tr>
            <w:tr w14:paraId="1B593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vMerge w:val="continue"/>
                  <w:tcBorders>
                    <w:left w:val="single" w:color="auto" w:sz="4" w:space="0"/>
                    <w:bottom w:val="single" w:color="auto" w:sz="4" w:space="0"/>
                    <w:right w:val="single" w:color="auto" w:sz="4" w:space="0"/>
                  </w:tcBorders>
                  <w:tcMar>
                    <w:top w:w="15" w:type="dxa"/>
                    <w:left w:w="15" w:type="dxa"/>
                    <w:bottom w:w="15" w:type="dxa"/>
                    <w:right w:w="15" w:type="dxa"/>
                  </w:tcMar>
                  <w:vAlign w:val="center"/>
                </w:tcPr>
                <w:p w14:paraId="5562CE29">
                  <w:pPr>
                    <w:jc w:val="center"/>
                    <w:rPr>
                      <w:rFonts w:hint="default" w:ascii="Times New Roman" w:hAnsi="Times New Roman" w:cs="Times New Roman"/>
                      <w:color w:val="auto"/>
                      <w:sz w:val="18"/>
                      <w:szCs w:val="18"/>
                    </w:rPr>
                  </w:pPr>
                </w:p>
              </w:tc>
              <w:tc>
                <w:tcPr>
                  <w:tcW w:w="579" w:type="dxa"/>
                  <w:vMerge w:val="continue"/>
                  <w:tcBorders>
                    <w:left w:val="nil"/>
                    <w:bottom w:val="single" w:color="auto" w:sz="4" w:space="0"/>
                    <w:right w:val="single" w:color="auto" w:sz="4" w:space="0"/>
                  </w:tcBorders>
                  <w:tcMar>
                    <w:top w:w="15" w:type="dxa"/>
                    <w:left w:w="15" w:type="dxa"/>
                    <w:bottom w:w="15" w:type="dxa"/>
                    <w:right w:w="15" w:type="dxa"/>
                  </w:tcMar>
                  <w:vAlign w:val="center"/>
                </w:tcPr>
                <w:p w14:paraId="0C1C2B11">
                  <w:pPr>
                    <w:adjustRightInd w:val="0"/>
                    <w:snapToGrid w:val="0"/>
                    <w:jc w:val="center"/>
                    <w:rPr>
                      <w:rFonts w:hint="default" w:ascii="Times New Roman" w:hAnsi="Times New Roman" w:cs="Times New Roman"/>
                      <w:color w:val="auto"/>
                      <w:sz w:val="18"/>
                      <w:szCs w:val="18"/>
                    </w:rPr>
                  </w:pPr>
                </w:p>
              </w:tc>
              <w:tc>
                <w:tcPr>
                  <w:tcW w:w="627" w:type="dxa"/>
                  <w:vMerge w:val="continue"/>
                  <w:tcBorders>
                    <w:left w:val="nil"/>
                    <w:right w:val="single" w:color="auto" w:sz="4" w:space="0"/>
                  </w:tcBorders>
                  <w:tcMar>
                    <w:top w:w="15" w:type="dxa"/>
                    <w:left w:w="15" w:type="dxa"/>
                    <w:bottom w:w="15" w:type="dxa"/>
                    <w:right w:w="15" w:type="dxa"/>
                  </w:tcMar>
                  <w:vAlign w:val="center"/>
                </w:tcPr>
                <w:p w14:paraId="36B99D4B">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66F0068">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氟化氢</w:t>
                  </w:r>
                </w:p>
              </w:tc>
              <w:tc>
                <w:tcPr>
                  <w:tcW w:w="318" w:type="dxa"/>
                  <w:vMerge w:val="continue"/>
                  <w:tcBorders>
                    <w:left w:val="nil"/>
                    <w:right w:val="single" w:color="auto" w:sz="4" w:space="0"/>
                  </w:tcBorders>
                  <w:tcMar>
                    <w:top w:w="15" w:type="dxa"/>
                    <w:left w:w="15" w:type="dxa"/>
                    <w:bottom w:w="15" w:type="dxa"/>
                    <w:right w:w="15" w:type="dxa"/>
                  </w:tcMar>
                  <w:vAlign w:val="center"/>
                </w:tcPr>
                <w:p w14:paraId="7C5610B9">
                  <w:pPr>
                    <w:adjustRightInd w:val="0"/>
                    <w:snapToGrid w:val="0"/>
                    <w:jc w:val="center"/>
                    <w:rPr>
                      <w:rFonts w:hint="default" w:ascii="Times New Roman" w:hAnsi="Times New Roman" w:cs="Times New Roman"/>
                      <w:color w:val="auto"/>
                      <w:sz w:val="18"/>
                      <w:szCs w:val="18"/>
                    </w:rPr>
                  </w:pP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191E798E">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1800</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D6E2A17">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12.96 </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1C1745F">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0.023 </w:t>
                  </w:r>
                </w:p>
              </w:tc>
              <w:tc>
                <w:tcPr>
                  <w:tcW w:w="673" w:type="dxa"/>
                  <w:vMerge w:val="continue"/>
                  <w:tcBorders>
                    <w:left w:val="nil"/>
                    <w:right w:val="single" w:color="auto" w:sz="4" w:space="0"/>
                  </w:tcBorders>
                  <w:tcMar>
                    <w:top w:w="15" w:type="dxa"/>
                    <w:left w:w="15" w:type="dxa"/>
                    <w:bottom w:w="15" w:type="dxa"/>
                    <w:right w:w="15" w:type="dxa"/>
                  </w:tcMar>
                  <w:vAlign w:val="center"/>
                </w:tcPr>
                <w:p w14:paraId="5DF5F6C9">
                  <w:pPr>
                    <w:widowControl/>
                    <w:jc w:val="center"/>
                    <w:textAlignment w:val="center"/>
                    <w:rPr>
                      <w:rFonts w:hint="default" w:ascii="Times New Roman" w:hAnsi="Times New Roman" w:cs="Times New Roman"/>
                      <w:color w:val="auto"/>
                      <w:kern w:val="0"/>
                      <w:sz w:val="18"/>
                      <w:szCs w:val="18"/>
                    </w:rPr>
                  </w:pP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F90B56F">
                  <w:pPr>
                    <w:widowControl/>
                    <w:jc w:val="center"/>
                    <w:textAlignment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95</w:t>
                  </w:r>
                </w:p>
              </w:tc>
              <w:tc>
                <w:tcPr>
                  <w:tcW w:w="287" w:type="dxa"/>
                  <w:vMerge w:val="continue"/>
                  <w:tcBorders>
                    <w:left w:val="nil"/>
                    <w:right w:val="single" w:color="auto" w:sz="4" w:space="0"/>
                  </w:tcBorders>
                  <w:tcMar>
                    <w:top w:w="15" w:type="dxa"/>
                    <w:left w:w="15" w:type="dxa"/>
                    <w:bottom w:w="15" w:type="dxa"/>
                    <w:right w:w="15" w:type="dxa"/>
                  </w:tcMar>
                  <w:vAlign w:val="center"/>
                </w:tcPr>
                <w:p w14:paraId="5F161575">
                  <w:pPr>
                    <w:adjustRightInd w:val="0"/>
                    <w:snapToGrid w:val="0"/>
                    <w:jc w:val="center"/>
                    <w:rPr>
                      <w:rFonts w:hint="default" w:ascii="Times New Roman" w:hAnsi="Times New Roman" w:cs="Times New Roman"/>
                      <w:color w:val="auto"/>
                      <w:sz w:val="18"/>
                      <w:szCs w:val="18"/>
                    </w:rPr>
                  </w:pP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1C4F8803">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1800</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E93D536">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0.59 </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2A893AF">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0.001</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2DDD47EB">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2400</w:t>
                  </w:r>
                </w:p>
              </w:tc>
            </w:tr>
            <w:tr w14:paraId="475A8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4DA8628">
                  <w:pPr>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烤砂</w:t>
                  </w:r>
                </w:p>
              </w:tc>
              <w:tc>
                <w:tcPr>
                  <w:tcW w:w="579"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E51624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D</w:t>
                  </w:r>
                  <w:r>
                    <w:rPr>
                      <w:rFonts w:hint="eastAsia" w:cs="Times New Roman"/>
                      <w:color w:val="auto"/>
                      <w:sz w:val="18"/>
                      <w:szCs w:val="18"/>
                      <w:lang w:val="en-US" w:eastAsia="zh-CN"/>
                    </w:rPr>
                    <w:t>A</w:t>
                  </w:r>
                  <w:r>
                    <w:rPr>
                      <w:rFonts w:hint="default" w:ascii="Times New Roman" w:hAnsi="Times New Roman" w:cs="Times New Roman"/>
                      <w:color w:val="auto"/>
                      <w:sz w:val="18"/>
                      <w:szCs w:val="18"/>
                      <w:lang w:val="en-US" w:eastAsia="zh-CN"/>
                    </w:rPr>
                    <w:t>004</w:t>
                  </w:r>
                </w:p>
              </w:tc>
              <w:tc>
                <w:tcPr>
                  <w:tcW w:w="627" w:type="dxa"/>
                  <w:vMerge w:val="continue"/>
                  <w:tcBorders>
                    <w:left w:val="nil"/>
                    <w:right w:val="single" w:color="auto" w:sz="4" w:space="0"/>
                  </w:tcBorders>
                  <w:tcMar>
                    <w:top w:w="15" w:type="dxa"/>
                    <w:left w:w="15" w:type="dxa"/>
                    <w:bottom w:w="15" w:type="dxa"/>
                    <w:right w:w="15" w:type="dxa"/>
                  </w:tcMar>
                  <w:vAlign w:val="center"/>
                </w:tcPr>
                <w:p w14:paraId="0C8E8EA3">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43295E3">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颗粒物</w:t>
                  </w:r>
                </w:p>
              </w:tc>
              <w:tc>
                <w:tcPr>
                  <w:tcW w:w="318" w:type="dxa"/>
                  <w:vMerge w:val="continue"/>
                  <w:tcBorders>
                    <w:left w:val="nil"/>
                    <w:right w:val="single" w:color="auto" w:sz="4" w:space="0"/>
                  </w:tcBorders>
                  <w:tcMar>
                    <w:top w:w="15" w:type="dxa"/>
                    <w:left w:w="15" w:type="dxa"/>
                    <w:bottom w:w="15" w:type="dxa"/>
                    <w:right w:w="15" w:type="dxa"/>
                  </w:tcMar>
                  <w:vAlign w:val="center"/>
                </w:tcPr>
                <w:p w14:paraId="60A439B2">
                  <w:pPr>
                    <w:adjustRightInd w:val="0"/>
                    <w:snapToGrid w:val="0"/>
                    <w:jc w:val="center"/>
                    <w:rPr>
                      <w:rFonts w:hint="default" w:ascii="Times New Roman" w:hAnsi="Times New Roman" w:cs="Times New Roman"/>
                      <w:color w:val="auto"/>
                      <w:sz w:val="18"/>
                      <w:szCs w:val="18"/>
                    </w:rPr>
                  </w:pP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7DCCD792">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3500</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7FA90110">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2.02 </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77DDB0C">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0.007 </w:t>
                  </w:r>
                </w:p>
              </w:tc>
              <w:tc>
                <w:tcPr>
                  <w:tcW w:w="673" w:type="dxa"/>
                  <w:tcBorders>
                    <w:left w:val="nil"/>
                    <w:right w:val="single" w:color="auto" w:sz="4" w:space="0"/>
                  </w:tcBorders>
                  <w:tcMar>
                    <w:top w:w="15" w:type="dxa"/>
                    <w:left w:w="15" w:type="dxa"/>
                    <w:bottom w:w="15" w:type="dxa"/>
                    <w:right w:w="15" w:type="dxa"/>
                  </w:tcMar>
                  <w:vAlign w:val="center"/>
                </w:tcPr>
                <w:p w14:paraId="7FC1F7CF">
                  <w:pPr>
                    <w:widowControl/>
                    <w:jc w:val="center"/>
                    <w:textAlignment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水喷淋</w:t>
                  </w: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1D90C8F">
                  <w:pPr>
                    <w:widowControl/>
                    <w:jc w:val="center"/>
                    <w:textAlignment w:val="center"/>
                    <w:rPr>
                      <w:rFonts w:hint="default" w:ascii="Times New Roman" w:hAnsi="Times New Roman" w:cs="Times New Roman"/>
                      <w:color w:val="auto"/>
                      <w:kern w:val="0"/>
                      <w:sz w:val="18"/>
                      <w:szCs w:val="18"/>
                      <w:lang w:val="en-US"/>
                    </w:rPr>
                  </w:pPr>
                  <w:r>
                    <w:rPr>
                      <w:rFonts w:hint="eastAsia" w:cs="Times New Roman"/>
                      <w:color w:val="auto"/>
                      <w:kern w:val="0"/>
                      <w:sz w:val="18"/>
                      <w:szCs w:val="18"/>
                      <w:lang w:val="en-US" w:eastAsia="zh-CN"/>
                    </w:rPr>
                    <w:t>40</w:t>
                  </w:r>
                </w:p>
              </w:tc>
              <w:tc>
                <w:tcPr>
                  <w:tcW w:w="287" w:type="dxa"/>
                  <w:vMerge w:val="continue"/>
                  <w:tcBorders>
                    <w:left w:val="nil"/>
                    <w:right w:val="single" w:color="auto" w:sz="4" w:space="0"/>
                  </w:tcBorders>
                  <w:tcMar>
                    <w:top w:w="15" w:type="dxa"/>
                    <w:left w:w="15" w:type="dxa"/>
                    <w:bottom w:w="15" w:type="dxa"/>
                    <w:right w:w="15" w:type="dxa"/>
                  </w:tcMar>
                  <w:vAlign w:val="center"/>
                </w:tcPr>
                <w:p w14:paraId="0E5330D8">
                  <w:pPr>
                    <w:adjustRightInd w:val="0"/>
                    <w:snapToGrid w:val="0"/>
                    <w:jc w:val="center"/>
                    <w:rPr>
                      <w:rFonts w:hint="default" w:ascii="Times New Roman" w:hAnsi="Times New Roman" w:cs="Times New Roman"/>
                      <w:color w:val="auto"/>
                      <w:sz w:val="18"/>
                      <w:szCs w:val="18"/>
                    </w:rPr>
                  </w:pP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3CB52DC4">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3500</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461728C2">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1.21 </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2F10385">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0.004 </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27E3EB9D">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2400</w:t>
                  </w:r>
                </w:p>
              </w:tc>
            </w:tr>
            <w:tr w14:paraId="5A74F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vMerge w:val="restart"/>
                  <w:tcBorders>
                    <w:top w:val="single" w:color="auto" w:sz="4" w:space="0"/>
                    <w:left w:val="single" w:color="auto" w:sz="4" w:space="0"/>
                    <w:right w:val="single" w:color="auto" w:sz="4" w:space="0"/>
                  </w:tcBorders>
                  <w:tcMar>
                    <w:top w:w="15" w:type="dxa"/>
                    <w:left w:w="15" w:type="dxa"/>
                    <w:bottom w:w="15" w:type="dxa"/>
                    <w:right w:w="15" w:type="dxa"/>
                  </w:tcMar>
                  <w:vAlign w:val="center"/>
                </w:tcPr>
                <w:p w14:paraId="086FF149">
                  <w:pPr>
                    <w:pStyle w:val="29"/>
                    <w:widowControl w:val="0"/>
                    <w:adjustRightInd w:val="0"/>
                    <w:snapToGrid w:val="0"/>
                    <w:spacing w:before="0" w:beforeAutospacing="0" w:after="0" w:afterAutospacing="0"/>
                    <w:jc w:val="center"/>
                    <w:rPr>
                      <w:rFonts w:hint="eastAsia"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纯化</w:t>
                  </w:r>
                </w:p>
              </w:tc>
              <w:tc>
                <w:tcPr>
                  <w:tcW w:w="579" w:type="dxa"/>
                  <w:vMerge w:val="restart"/>
                  <w:tcBorders>
                    <w:top w:val="single" w:color="auto" w:sz="4" w:space="0"/>
                    <w:left w:val="nil"/>
                    <w:right w:val="single" w:color="auto" w:sz="4" w:space="0"/>
                  </w:tcBorders>
                  <w:tcMar>
                    <w:top w:w="15" w:type="dxa"/>
                    <w:left w:w="15" w:type="dxa"/>
                    <w:bottom w:w="15" w:type="dxa"/>
                    <w:right w:w="15" w:type="dxa"/>
                  </w:tcMar>
                  <w:vAlign w:val="center"/>
                </w:tcPr>
                <w:p w14:paraId="2DF9DEE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DA005</w:t>
                  </w:r>
                </w:p>
              </w:tc>
              <w:tc>
                <w:tcPr>
                  <w:tcW w:w="627" w:type="dxa"/>
                  <w:vMerge w:val="continue"/>
                  <w:tcBorders>
                    <w:left w:val="nil"/>
                    <w:right w:val="single" w:color="auto" w:sz="4" w:space="0"/>
                  </w:tcBorders>
                  <w:tcMar>
                    <w:top w:w="15" w:type="dxa"/>
                    <w:left w:w="15" w:type="dxa"/>
                    <w:bottom w:w="15" w:type="dxa"/>
                    <w:right w:w="15" w:type="dxa"/>
                  </w:tcMar>
                  <w:vAlign w:val="center"/>
                </w:tcPr>
                <w:p w14:paraId="0E1E44E6">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7421660">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氯化氢</w:t>
                  </w:r>
                </w:p>
              </w:tc>
              <w:tc>
                <w:tcPr>
                  <w:tcW w:w="318" w:type="dxa"/>
                  <w:vMerge w:val="continue"/>
                  <w:tcBorders>
                    <w:left w:val="nil"/>
                    <w:right w:val="single" w:color="auto" w:sz="4" w:space="0"/>
                  </w:tcBorders>
                  <w:tcMar>
                    <w:top w:w="15" w:type="dxa"/>
                    <w:left w:w="15" w:type="dxa"/>
                    <w:bottom w:w="15" w:type="dxa"/>
                    <w:right w:w="15" w:type="dxa"/>
                  </w:tcMar>
                  <w:vAlign w:val="center"/>
                </w:tcPr>
                <w:p w14:paraId="25475B59">
                  <w:pPr>
                    <w:adjustRightInd w:val="0"/>
                    <w:snapToGrid w:val="0"/>
                    <w:jc w:val="center"/>
                    <w:rPr>
                      <w:rFonts w:hint="default" w:ascii="Times New Roman" w:hAnsi="Times New Roman" w:cs="Times New Roman"/>
                      <w:color w:val="auto"/>
                      <w:sz w:val="18"/>
                      <w:szCs w:val="18"/>
                    </w:rPr>
                  </w:pP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01191BFD">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5000</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25B85B70">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291.67 </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2D5DD91">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1.458 </w:t>
                  </w:r>
                </w:p>
              </w:tc>
              <w:tc>
                <w:tcPr>
                  <w:tcW w:w="673" w:type="dxa"/>
                  <w:vMerge w:val="restart"/>
                  <w:tcBorders>
                    <w:left w:val="nil"/>
                    <w:right w:val="single" w:color="auto" w:sz="4" w:space="0"/>
                  </w:tcBorders>
                  <w:tcMar>
                    <w:top w:w="15" w:type="dxa"/>
                    <w:left w:w="15" w:type="dxa"/>
                    <w:bottom w:w="15" w:type="dxa"/>
                    <w:right w:w="15" w:type="dxa"/>
                  </w:tcMar>
                  <w:vAlign w:val="center"/>
                </w:tcPr>
                <w:p w14:paraId="3C52407B">
                  <w:pPr>
                    <w:widowControl/>
                    <w:jc w:val="center"/>
                    <w:textAlignment w:val="center"/>
                    <w:rPr>
                      <w:rFonts w:hint="default" w:ascii="Times New Roman" w:hAnsi="Times New Roman" w:cs="Times New Roman"/>
                      <w:color w:val="auto"/>
                      <w:kern w:val="0"/>
                      <w:sz w:val="18"/>
                      <w:szCs w:val="18"/>
                    </w:rPr>
                  </w:pPr>
                  <w:r>
                    <w:rPr>
                      <w:rFonts w:hint="eastAsia" w:cs="Times New Roman"/>
                      <w:color w:val="auto"/>
                      <w:kern w:val="0"/>
                      <w:sz w:val="18"/>
                      <w:szCs w:val="18"/>
                      <w:lang w:eastAsia="zh-CN"/>
                    </w:rPr>
                    <w:t>两级碱</w:t>
                  </w:r>
                  <w:r>
                    <w:rPr>
                      <w:rFonts w:hint="default" w:ascii="Times New Roman" w:hAnsi="Times New Roman" w:cs="Times New Roman"/>
                      <w:color w:val="auto"/>
                      <w:kern w:val="0"/>
                      <w:sz w:val="18"/>
                      <w:szCs w:val="18"/>
                    </w:rPr>
                    <w:t>喷淋</w:t>
                  </w: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D38A8FB">
                  <w:pPr>
                    <w:widowControl/>
                    <w:jc w:val="center"/>
                    <w:textAlignment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lang w:val="en-US" w:eastAsia="zh-CN"/>
                    </w:rPr>
                    <w:t>95</w:t>
                  </w:r>
                </w:p>
              </w:tc>
              <w:tc>
                <w:tcPr>
                  <w:tcW w:w="287" w:type="dxa"/>
                  <w:vMerge w:val="continue"/>
                  <w:tcBorders>
                    <w:left w:val="nil"/>
                    <w:right w:val="single" w:color="auto" w:sz="4" w:space="0"/>
                  </w:tcBorders>
                  <w:tcMar>
                    <w:top w:w="15" w:type="dxa"/>
                    <w:left w:w="15" w:type="dxa"/>
                    <w:bottom w:w="15" w:type="dxa"/>
                    <w:right w:w="15" w:type="dxa"/>
                  </w:tcMar>
                  <w:vAlign w:val="center"/>
                </w:tcPr>
                <w:p w14:paraId="634AD9B5">
                  <w:pPr>
                    <w:adjustRightInd w:val="0"/>
                    <w:snapToGrid w:val="0"/>
                    <w:jc w:val="center"/>
                    <w:rPr>
                      <w:rFonts w:hint="default" w:ascii="Times New Roman" w:hAnsi="Times New Roman" w:cs="Times New Roman"/>
                      <w:color w:val="auto"/>
                      <w:sz w:val="18"/>
                      <w:szCs w:val="18"/>
                    </w:rPr>
                  </w:pP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537B1F08">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5000</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14A907FD">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14.58 </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75381B05">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0.073 </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79FACF8D">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7200</w:t>
                  </w:r>
                </w:p>
              </w:tc>
            </w:tr>
            <w:tr w14:paraId="47211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vMerge w:val="continue"/>
                  <w:tcBorders>
                    <w:left w:val="single" w:color="auto" w:sz="4" w:space="0"/>
                    <w:right w:val="single" w:color="auto" w:sz="4" w:space="0"/>
                  </w:tcBorders>
                  <w:tcMar>
                    <w:top w:w="15" w:type="dxa"/>
                    <w:left w:w="15" w:type="dxa"/>
                    <w:bottom w:w="15" w:type="dxa"/>
                    <w:right w:w="15" w:type="dxa"/>
                  </w:tcMar>
                  <w:vAlign w:val="center"/>
                </w:tcPr>
                <w:p w14:paraId="3B3D601E">
                  <w:pPr>
                    <w:jc w:val="center"/>
                    <w:rPr>
                      <w:rFonts w:hint="default" w:ascii="Times New Roman" w:hAnsi="Times New Roman" w:cs="Times New Roman"/>
                      <w:color w:val="auto"/>
                      <w:sz w:val="18"/>
                      <w:szCs w:val="18"/>
                    </w:rPr>
                  </w:pPr>
                </w:p>
              </w:tc>
              <w:tc>
                <w:tcPr>
                  <w:tcW w:w="579" w:type="dxa"/>
                  <w:vMerge w:val="continue"/>
                  <w:tcBorders>
                    <w:left w:val="nil"/>
                    <w:right w:val="single" w:color="auto" w:sz="4" w:space="0"/>
                  </w:tcBorders>
                  <w:tcMar>
                    <w:top w:w="15" w:type="dxa"/>
                    <w:left w:w="15" w:type="dxa"/>
                    <w:bottom w:w="15" w:type="dxa"/>
                    <w:right w:w="15" w:type="dxa"/>
                  </w:tcMar>
                  <w:vAlign w:val="center"/>
                </w:tcPr>
                <w:p w14:paraId="52447CC6">
                  <w:pPr>
                    <w:adjustRightInd w:val="0"/>
                    <w:snapToGrid w:val="0"/>
                    <w:jc w:val="center"/>
                    <w:rPr>
                      <w:rFonts w:hint="default" w:ascii="Times New Roman" w:hAnsi="Times New Roman" w:cs="Times New Roman"/>
                      <w:color w:val="auto"/>
                      <w:sz w:val="18"/>
                      <w:szCs w:val="18"/>
                    </w:rPr>
                  </w:pPr>
                </w:p>
              </w:tc>
              <w:tc>
                <w:tcPr>
                  <w:tcW w:w="627" w:type="dxa"/>
                  <w:vMerge w:val="continue"/>
                  <w:tcBorders>
                    <w:left w:val="nil"/>
                    <w:right w:val="single" w:color="auto" w:sz="4" w:space="0"/>
                  </w:tcBorders>
                  <w:tcMar>
                    <w:top w:w="15" w:type="dxa"/>
                    <w:left w:w="15" w:type="dxa"/>
                    <w:bottom w:w="15" w:type="dxa"/>
                    <w:right w:w="15" w:type="dxa"/>
                  </w:tcMar>
                  <w:vAlign w:val="center"/>
                </w:tcPr>
                <w:p w14:paraId="4582587B">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406799E3">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颗粒物</w:t>
                  </w:r>
                </w:p>
              </w:tc>
              <w:tc>
                <w:tcPr>
                  <w:tcW w:w="318" w:type="dxa"/>
                  <w:vMerge w:val="continue"/>
                  <w:tcBorders>
                    <w:left w:val="nil"/>
                    <w:right w:val="single" w:color="auto" w:sz="4" w:space="0"/>
                  </w:tcBorders>
                  <w:tcMar>
                    <w:top w:w="15" w:type="dxa"/>
                    <w:left w:w="15" w:type="dxa"/>
                    <w:bottom w:w="15" w:type="dxa"/>
                    <w:right w:w="15" w:type="dxa"/>
                  </w:tcMar>
                  <w:vAlign w:val="center"/>
                </w:tcPr>
                <w:p w14:paraId="6F1ACA35">
                  <w:pPr>
                    <w:adjustRightInd w:val="0"/>
                    <w:snapToGrid w:val="0"/>
                    <w:jc w:val="center"/>
                    <w:rPr>
                      <w:rFonts w:hint="default" w:ascii="Times New Roman" w:hAnsi="Times New Roman" w:cs="Times New Roman"/>
                      <w:color w:val="auto"/>
                      <w:sz w:val="18"/>
                      <w:szCs w:val="18"/>
                    </w:rPr>
                  </w:pP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686862E8">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5000</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28F195C">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13.89 </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C300623">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0.069 </w:t>
                  </w:r>
                </w:p>
              </w:tc>
              <w:tc>
                <w:tcPr>
                  <w:tcW w:w="673" w:type="dxa"/>
                  <w:vMerge w:val="continue"/>
                  <w:tcBorders>
                    <w:left w:val="nil"/>
                    <w:right w:val="single" w:color="auto" w:sz="4" w:space="0"/>
                  </w:tcBorders>
                  <w:tcMar>
                    <w:top w:w="15" w:type="dxa"/>
                    <w:left w:w="15" w:type="dxa"/>
                    <w:bottom w:w="15" w:type="dxa"/>
                    <w:right w:w="15" w:type="dxa"/>
                  </w:tcMar>
                  <w:vAlign w:val="center"/>
                </w:tcPr>
                <w:p w14:paraId="64118B93">
                  <w:pPr>
                    <w:widowControl/>
                    <w:jc w:val="center"/>
                    <w:textAlignment w:val="center"/>
                    <w:rPr>
                      <w:rFonts w:hint="default" w:ascii="Times New Roman" w:hAnsi="Times New Roman" w:cs="Times New Roman"/>
                      <w:color w:val="auto"/>
                      <w:kern w:val="0"/>
                      <w:sz w:val="18"/>
                      <w:szCs w:val="18"/>
                    </w:rPr>
                  </w:pP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63D7E1B">
                  <w:pPr>
                    <w:widowControl/>
                    <w:jc w:val="center"/>
                    <w:textAlignment w:val="center"/>
                    <w:rPr>
                      <w:rFonts w:hint="default" w:ascii="Times New Roman" w:hAnsi="Times New Roman" w:cs="Times New Roman"/>
                      <w:color w:val="auto"/>
                      <w:kern w:val="0"/>
                      <w:sz w:val="18"/>
                      <w:szCs w:val="18"/>
                      <w:lang w:val="en-US"/>
                    </w:rPr>
                  </w:pPr>
                  <w:r>
                    <w:rPr>
                      <w:rFonts w:hint="eastAsia" w:cs="Times New Roman"/>
                      <w:color w:val="auto"/>
                      <w:kern w:val="0"/>
                      <w:sz w:val="18"/>
                      <w:szCs w:val="18"/>
                      <w:lang w:val="en-US" w:eastAsia="zh-CN"/>
                    </w:rPr>
                    <w:t>40</w:t>
                  </w:r>
                </w:p>
              </w:tc>
              <w:tc>
                <w:tcPr>
                  <w:tcW w:w="287" w:type="dxa"/>
                  <w:vMerge w:val="continue"/>
                  <w:tcBorders>
                    <w:left w:val="nil"/>
                    <w:right w:val="single" w:color="auto" w:sz="4" w:space="0"/>
                  </w:tcBorders>
                  <w:tcMar>
                    <w:top w:w="15" w:type="dxa"/>
                    <w:left w:w="15" w:type="dxa"/>
                    <w:bottom w:w="15" w:type="dxa"/>
                    <w:right w:w="15" w:type="dxa"/>
                  </w:tcMar>
                  <w:vAlign w:val="center"/>
                </w:tcPr>
                <w:p w14:paraId="34ED45D6">
                  <w:pPr>
                    <w:adjustRightInd w:val="0"/>
                    <w:snapToGrid w:val="0"/>
                    <w:jc w:val="center"/>
                    <w:rPr>
                      <w:rFonts w:hint="default" w:ascii="Times New Roman" w:hAnsi="Times New Roman" w:cs="Times New Roman"/>
                      <w:color w:val="auto"/>
                      <w:sz w:val="18"/>
                      <w:szCs w:val="18"/>
                    </w:rPr>
                  </w:pP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01D338E5">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5000</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5594BC1">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8.33 </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0EEE8A7B">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 xml:space="preserve">0.042 </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1F4AF8BD">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7200</w:t>
                  </w:r>
                </w:p>
              </w:tc>
            </w:tr>
            <w:tr w14:paraId="35F13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dxa"/>
                  <w:tcBorders>
                    <w:top w:val="nil"/>
                    <w:left w:val="single" w:color="auto" w:sz="4" w:space="0"/>
                    <w:right w:val="single" w:color="auto" w:sz="4" w:space="0"/>
                  </w:tcBorders>
                  <w:tcMar>
                    <w:top w:w="15" w:type="dxa"/>
                    <w:left w:w="15" w:type="dxa"/>
                    <w:bottom w:w="15" w:type="dxa"/>
                    <w:right w:w="15" w:type="dxa"/>
                  </w:tcMar>
                  <w:vAlign w:val="center"/>
                </w:tcPr>
                <w:p w14:paraId="3A2E85D3">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579" w:type="dxa"/>
                  <w:tcBorders>
                    <w:top w:val="single" w:color="auto" w:sz="4" w:space="0"/>
                    <w:left w:val="nil"/>
                    <w:right w:val="single" w:color="auto" w:sz="4" w:space="0"/>
                  </w:tcBorders>
                  <w:tcMar>
                    <w:top w:w="15" w:type="dxa"/>
                    <w:left w:w="15" w:type="dxa"/>
                    <w:bottom w:w="15" w:type="dxa"/>
                    <w:right w:w="15" w:type="dxa"/>
                  </w:tcMar>
                  <w:vAlign w:val="center"/>
                </w:tcPr>
                <w:p w14:paraId="532EE96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车间</w:t>
                  </w:r>
                </w:p>
              </w:tc>
              <w:tc>
                <w:tcPr>
                  <w:tcW w:w="627" w:type="dxa"/>
                  <w:tcBorders>
                    <w:top w:val="single" w:color="auto" w:sz="4" w:space="0"/>
                    <w:left w:val="nil"/>
                    <w:right w:val="single" w:color="auto" w:sz="4" w:space="0"/>
                  </w:tcBorders>
                  <w:tcMar>
                    <w:top w:w="15" w:type="dxa"/>
                    <w:left w:w="15" w:type="dxa"/>
                    <w:bottom w:w="15" w:type="dxa"/>
                    <w:right w:w="15" w:type="dxa"/>
                  </w:tcMar>
                  <w:vAlign w:val="center"/>
                </w:tcPr>
                <w:p w14:paraId="1FD569A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w:t>
                  </w:r>
                </w:p>
              </w:tc>
              <w:tc>
                <w:tcPr>
                  <w:tcW w:w="848"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422A050">
                  <w:pPr>
                    <w:pStyle w:val="29"/>
                    <w:widowControl w:val="0"/>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颗粒物</w:t>
                  </w:r>
                </w:p>
              </w:tc>
              <w:tc>
                <w:tcPr>
                  <w:tcW w:w="318" w:type="dxa"/>
                  <w:vMerge w:val="continue"/>
                  <w:tcBorders>
                    <w:left w:val="nil"/>
                    <w:right w:val="single" w:color="auto" w:sz="4" w:space="0"/>
                  </w:tcBorders>
                  <w:tcMar>
                    <w:top w:w="15" w:type="dxa"/>
                    <w:left w:w="15" w:type="dxa"/>
                    <w:bottom w:w="15" w:type="dxa"/>
                    <w:right w:w="15" w:type="dxa"/>
                  </w:tcMar>
                  <w:vAlign w:val="center"/>
                </w:tcPr>
                <w:p w14:paraId="537531D4">
                  <w:pPr>
                    <w:adjustRightInd w:val="0"/>
                    <w:snapToGrid w:val="0"/>
                    <w:jc w:val="center"/>
                    <w:rPr>
                      <w:rFonts w:hint="default" w:ascii="Times New Roman" w:hAnsi="Times New Roman" w:cs="Times New Roman"/>
                      <w:color w:val="auto"/>
                      <w:sz w:val="18"/>
                      <w:szCs w:val="18"/>
                    </w:rPr>
                  </w:pPr>
                </w:p>
              </w:tc>
              <w:tc>
                <w:tcPr>
                  <w:tcW w:w="538" w:type="dxa"/>
                  <w:tcBorders>
                    <w:top w:val="single" w:color="auto" w:sz="4" w:space="0"/>
                    <w:left w:val="nil"/>
                    <w:right w:val="single" w:color="auto" w:sz="4" w:space="0"/>
                  </w:tcBorders>
                  <w:tcMar>
                    <w:top w:w="15" w:type="dxa"/>
                    <w:left w:w="15" w:type="dxa"/>
                    <w:bottom w:w="15" w:type="dxa"/>
                    <w:right w:w="15" w:type="dxa"/>
                  </w:tcMar>
                  <w:vAlign w:val="center"/>
                </w:tcPr>
                <w:p w14:paraId="4E5BC1F0">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w:t>
                  </w:r>
                </w:p>
              </w:tc>
              <w:tc>
                <w:tcPr>
                  <w:tcW w:w="5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574EE76E">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w:t>
                  </w:r>
                </w:p>
              </w:tc>
              <w:tc>
                <w:tcPr>
                  <w:tcW w:w="557"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80B31A3">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0.084 </w:t>
                  </w:r>
                </w:p>
              </w:tc>
              <w:tc>
                <w:tcPr>
                  <w:tcW w:w="673" w:type="dxa"/>
                  <w:tcBorders>
                    <w:top w:val="single" w:color="auto" w:sz="4" w:space="0"/>
                    <w:left w:val="nil"/>
                    <w:right w:val="single" w:color="auto" w:sz="4" w:space="0"/>
                  </w:tcBorders>
                  <w:tcMar>
                    <w:top w:w="15" w:type="dxa"/>
                    <w:left w:w="15" w:type="dxa"/>
                    <w:bottom w:w="15" w:type="dxa"/>
                    <w:right w:w="15" w:type="dxa"/>
                  </w:tcMar>
                  <w:vAlign w:val="center"/>
                </w:tcPr>
                <w:p w14:paraId="58826F3A">
                  <w:pPr>
                    <w:widowControl/>
                    <w:jc w:val="center"/>
                    <w:textAlignment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501"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615E753B">
                  <w:pPr>
                    <w:widowControl/>
                    <w:jc w:val="center"/>
                    <w:textAlignment w:val="center"/>
                    <w:rPr>
                      <w:rFonts w:hint="default" w:ascii="Times New Roman" w:hAnsi="Times New Roman" w:cs="Times New Roman"/>
                      <w:color w:val="auto"/>
                      <w:kern w:val="0"/>
                      <w:sz w:val="18"/>
                      <w:szCs w:val="18"/>
                      <w:lang w:val="en-US"/>
                    </w:rPr>
                  </w:pPr>
                  <w:r>
                    <w:rPr>
                      <w:rFonts w:hint="eastAsia" w:cs="Times New Roman"/>
                      <w:color w:val="auto"/>
                      <w:kern w:val="0"/>
                      <w:sz w:val="18"/>
                      <w:szCs w:val="18"/>
                      <w:lang w:val="en-US" w:eastAsia="zh-CN"/>
                    </w:rPr>
                    <w:t>/</w:t>
                  </w:r>
                </w:p>
              </w:tc>
              <w:tc>
                <w:tcPr>
                  <w:tcW w:w="287" w:type="dxa"/>
                  <w:vMerge w:val="continue"/>
                  <w:tcBorders>
                    <w:left w:val="nil"/>
                    <w:right w:val="single" w:color="auto" w:sz="4" w:space="0"/>
                  </w:tcBorders>
                  <w:tcMar>
                    <w:top w:w="15" w:type="dxa"/>
                    <w:left w:w="15" w:type="dxa"/>
                    <w:bottom w:w="15" w:type="dxa"/>
                    <w:right w:w="15" w:type="dxa"/>
                  </w:tcMar>
                  <w:vAlign w:val="center"/>
                </w:tcPr>
                <w:p w14:paraId="179109D0">
                  <w:pPr>
                    <w:adjustRightInd w:val="0"/>
                    <w:snapToGrid w:val="0"/>
                    <w:jc w:val="center"/>
                    <w:rPr>
                      <w:rFonts w:hint="default" w:ascii="Times New Roman" w:hAnsi="Times New Roman" w:cs="Times New Roman"/>
                      <w:color w:val="auto"/>
                      <w:sz w:val="18"/>
                      <w:szCs w:val="18"/>
                    </w:rPr>
                  </w:pPr>
                </w:p>
              </w:tc>
              <w:tc>
                <w:tcPr>
                  <w:tcW w:w="529" w:type="dxa"/>
                  <w:tcBorders>
                    <w:top w:val="single" w:color="auto" w:sz="4" w:space="0"/>
                    <w:left w:val="nil"/>
                    <w:right w:val="single" w:color="auto" w:sz="4" w:space="0"/>
                  </w:tcBorders>
                  <w:tcMar>
                    <w:top w:w="15" w:type="dxa"/>
                    <w:left w:w="15" w:type="dxa"/>
                    <w:bottom w:w="15" w:type="dxa"/>
                    <w:right w:w="15" w:type="dxa"/>
                  </w:tcMar>
                  <w:vAlign w:val="center"/>
                </w:tcPr>
                <w:p w14:paraId="361ACE26">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w:t>
                  </w:r>
                </w:p>
              </w:tc>
              <w:tc>
                <w:tcPr>
                  <w:tcW w:w="533"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4E5F0D03">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w:t>
                  </w:r>
                </w:p>
              </w:tc>
              <w:tc>
                <w:tcPr>
                  <w:tcW w:w="450" w:type="dxa"/>
                  <w:tcBorders>
                    <w:top w:val="single" w:color="auto" w:sz="4" w:space="0"/>
                    <w:left w:val="nil"/>
                    <w:bottom w:val="single" w:color="auto" w:sz="4" w:space="0"/>
                    <w:right w:val="single" w:color="auto" w:sz="4" w:space="0"/>
                  </w:tcBorders>
                  <w:tcMar>
                    <w:top w:w="15" w:type="dxa"/>
                    <w:left w:w="15" w:type="dxa"/>
                    <w:bottom w:w="15" w:type="dxa"/>
                    <w:right w:w="15" w:type="dxa"/>
                  </w:tcMar>
                  <w:vAlign w:val="center"/>
                </w:tcPr>
                <w:p w14:paraId="3EAE5055">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0.084 </w:t>
                  </w:r>
                </w:p>
              </w:tc>
              <w:tc>
                <w:tcPr>
                  <w:tcW w:w="454" w:type="dxa"/>
                  <w:tcBorders>
                    <w:top w:val="single" w:color="auto" w:sz="4" w:space="0"/>
                    <w:left w:val="nil"/>
                    <w:right w:val="single" w:color="auto" w:sz="4" w:space="0"/>
                  </w:tcBorders>
                  <w:tcMar>
                    <w:top w:w="15" w:type="dxa"/>
                    <w:left w:w="15" w:type="dxa"/>
                    <w:bottom w:w="15" w:type="dxa"/>
                    <w:right w:w="15" w:type="dxa"/>
                  </w:tcMar>
                  <w:vAlign w:val="center"/>
                </w:tcPr>
                <w:p w14:paraId="1E734400">
                  <w:pPr>
                    <w:widowControl/>
                    <w:jc w:val="center"/>
                    <w:textAlignment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eastAsia="宋体" w:cs="Times New Roman"/>
                      <w:color w:val="auto"/>
                      <w:kern w:val="0"/>
                      <w:sz w:val="18"/>
                      <w:szCs w:val="18"/>
                      <w:lang w:val="en-US" w:eastAsia="zh-CN"/>
                    </w:rPr>
                    <w:t>/</w:t>
                  </w:r>
                </w:p>
              </w:tc>
            </w:tr>
          </w:tbl>
          <w:p w14:paraId="72D68323">
            <w:pPr>
              <w:adjustRightInd w:val="0"/>
              <w:snapToGrid w:val="0"/>
              <w:spacing w:line="360" w:lineRule="auto"/>
              <w:ind w:left="420" w:leftChars="200"/>
              <w:rPr>
                <w:rFonts w:hint="default" w:ascii="Times New Roman" w:hAnsi="Times New Roman" w:cs="Times New Roman"/>
                <w:b/>
                <w:color w:val="auto"/>
                <w:sz w:val="24"/>
              </w:rPr>
            </w:pPr>
            <w:r>
              <w:rPr>
                <w:rFonts w:hint="default" w:ascii="Times New Roman" w:hAnsi="Times New Roman" w:cs="Times New Roman"/>
                <w:b/>
                <w:color w:val="auto"/>
                <w:sz w:val="24"/>
              </w:rPr>
              <w:t>3、非正常工况废气排放源强</w:t>
            </w:r>
          </w:p>
          <w:p w14:paraId="261D00C8">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本项目非正常工况废气主要为生产时由于废气处理装置故障出现的非正常排放。</w:t>
            </w:r>
          </w:p>
          <w:p w14:paraId="54641DDE">
            <w:pPr>
              <w:pStyle w:val="9"/>
              <w:ind w:firstLine="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表4.2.1-1</w:t>
            </w:r>
            <w:r>
              <w:rPr>
                <w:rFonts w:hint="eastAsia" w:cs="Times New Roman"/>
                <w:b/>
                <w:color w:val="auto"/>
                <w:szCs w:val="21"/>
                <w:lang w:val="en-US" w:eastAsia="zh-CN"/>
              </w:rPr>
              <w:t>0</w:t>
            </w:r>
            <w:r>
              <w:rPr>
                <w:rFonts w:hint="default" w:ascii="Times New Roman" w:hAnsi="Times New Roman" w:cs="Times New Roman"/>
                <w:b/>
                <w:color w:val="auto"/>
                <w:szCs w:val="21"/>
              </w:rPr>
              <w:t xml:space="preserve">  非正常工况厂区废气污染物排放情况一览</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8"/>
              <w:gridCol w:w="797"/>
              <w:gridCol w:w="1044"/>
              <w:gridCol w:w="801"/>
              <w:gridCol w:w="1312"/>
              <w:gridCol w:w="1110"/>
              <w:gridCol w:w="917"/>
              <w:gridCol w:w="766"/>
              <w:gridCol w:w="671"/>
            </w:tblGrid>
            <w:tr w14:paraId="49D54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518" w:type="dxa"/>
                  <w:vAlign w:val="center"/>
                </w:tcPr>
                <w:p w14:paraId="077BF5E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797" w:type="dxa"/>
                  <w:vAlign w:val="center"/>
                </w:tcPr>
                <w:p w14:paraId="61E5DE2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w:t>
                  </w:r>
                </w:p>
              </w:tc>
              <w:tc>
                <w:tcPr>
                  <w:tcW w:w="1044" w:type="dxa"/>
                  <w:vAlign w:val="center"/>
                </w:tcPr>
                <w:p w14:paraId="656075F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非正常排放原因</w:t>
                  </w:r>
                </w:p>
              </w:tc>
              <w:tc>
                <w:tcPr>
                  <w:tcW w:w="801" w:type="dxa"/>
                  <w:vAlign w:val="center"/>
                </w:tcPr>
                <w:p w14:paraId="636FA0A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1312" w:type="dxa"/>
                  <w:vAlign w:val="center"/>
                </w:tcPr>
                <w:p w14:paraId="1467F43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非正常排放浓度/（mg/m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1110" w:type="dxa"/>
                  <w:vAlign w:val="center"/>
                </w:tcPr>
                <w:p w14:paraId="47456AF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非正常排放速率/ kg/h</w:t>
                  </w:r>
                </w:p>
              </w:tc>
              <w:tc>
                <w:tcPr>
                  <w:tcW w:w="917" w:type="dxa"/>
                  <w:vAlign w:val="center"/>
                </w:tcPr>
                <w:p w14:paraId="6A38099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单次持续时间/h</w:t>
                  </w:r>
                </w:p>
              </w:tc>
              <w:tc>
                <w:tcPr>
                  <w:tcW w:w="766" w:type="dxa"/>
                  <w:vAlign w:val="center"/>
                </w:tcPr>
                <w:p w14:paraId="3CB1749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年发生频次/次</w:t>
                  </w:r>
                </w:p>
              </w:tc>
              <w:tc>
                <w:tcPr>
                  <w:tcW w:w="671" w:type="dxa"/>
                  <w:vAlign w:val="center"/>
                </w:tcPr>
                <w:p w14:paraId="17F3D93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应对措施</w:t>
                  </w:r>
                </w:p>
              </w:tc>
            </w:tr>
            <w:tr w14:paraId="7476C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518" w:type="dxa"/>
                  <w:vAlign w:val="center"/>
                </w:tcPr>
                <w:p w14:paraId="19FEBA0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797" w:type="dxa"/>
                  <w:shd w:val="clear" w:color="auto" w:fill="auto"/>
                  <w:vAlign w:val="center"/>
                </w:tcPr>
                <w:p w14:paraId="5B7063A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DA001</w:t>
                  </w:r>
                </w:p>
              </w:tc>
              <w:tc>
                <w:tcPr>
                  <w:tcW w:w="1044" w:type="dxa"/>
                  <w:vMerge w:val="restart"/>
                  <w:vAlign w:val="center"/>
                </w:tcPr>
                <w:p w14:paraId="2EF6570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废气处理装置故障</w:t>
                  </w:r>
                </w:p>
              </w:tc>
              <w:tc>
                <w:tcPr>
                  <w:tcW w:w="801" w:type="dxa"/>
                  <w:shd w:val="clear" w:color="auto" w:fill="auto"/>
                  <w:vAlign w:val="center"/>
                </w:tcPr>
                <w:p w14:paraId="3EEC6178">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sz w:val="18"/>
                      <w:szCs w:val="18"/>
                      <w:lang w:val="en-US" w:eastAsia="zh-CN"/>
                    </w:rPr>
                    <w:t>颗粒物</w:t>
                  </w:r>
                </w:p>
              </w:tc>
              <w:tc>
                <w:tcPr>
                  <w:tcW w:w="1312" w:type="dxa"/>
                  <w:vAlign w:val="center"/>
                </w:tcPr>
                <w:p w14:paraId="6D90D2A2">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8.06 </w:t>
                  </w:r>
                </w:p>
              </w:tc>
              <w:tc>
                <w:tcPr>
                  <w:tcW w:w="1110" w:type="dxa"/>
                  <w:vAlign w:val="center"/>
                </w:tcPr>
                <w:p w14:paraId="1E6842A1">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0.201 </w:t>
                  </w:r>
                </w:p>
              </w:tc>
              <w:tc>
                <w:tcPr>
                  <w:tcW w:w="917" w:type="dxa"/>
                  <w:vMerge w:val="restart"/>
                  <w:vAlign w:val="center"/>
                </w:tcPr>
                <w:p w14:paraId="7738C3A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766" w:type="dxa"/>
                  <w:vMerge w:val="restart"/>
                  <w:vAlign w:val="center"/>
                </w:tcPr>
                <w:p w14:paraId="0138D76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671" w:type="dxa"/>
                  <w:vMerge w:val="restart"/>
                  <w:vAlign w:val="center"/>
                </w:tcPr>
                <w:p w14:paraId="66C0B3C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按照应急处置</w:t>
                  </w:r>
                </w:p>
              </w:tc>
            </w:tr>
            <w:tr w14:paraId="308B5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8" w:type="dxa"/>
                  <w:vAlign w:val="center"/>
                </w:tcPr>
                <w:p w14:paraId="3576142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797" w:type="dxa"/>
                  <w:shd w:val="clear" w:color="auto" w:fill="auto"/>
                  <w:vAlign w:val="center"/>
                </w:tcPr>
                <w:p w14:paraId="4992D78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DA002</w:t>
                  </w:r>
                </w:p>
              </w:tc>
              <w:tc>
                <w:tcPr>
                  <w:tcW w:w="1044" w:type="dxa"/>
                  <w:vMerge w:val="continue"/>
                  <w:vAlign w:val="center"/>
                </w:tcPr>
                <w:p w14:paraId="317D670E">
                  <w:pPr>
                    <w:adjustRightInd w:val="0"/>
                    <w:snapToGrid w:val="0"/>
                    <w:jc w:val="center"/>
                    <w:rPr>
                      <w:rFonts w:hint="default" w:ascii="Times New Roman" w:hAnsi="Times New Roman" w:cs="Times New Roman"/>
                      <w:color w:val="auto"/>
                      <w:sz w:val="18"/>
                      <w:szCs w:val="18"/>
                    </w:rPr>
                  </w:pPr>
                </w:p>
              </w:tc>
              <w:tc>
                <w:tcPr>
                  <w:tcW w:w="801" w:type="dxa"/>
                  <w:shd w:val="clear" w:color="auto" w:fill="auto"/>
                  <w:vAlign w:val="center"/>
                </w:tcPr>
                <w:p w14:paraId="6C50FFD0">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sz w:val="18"/>
                      <w:szCs w:val="18"/>
                      <w:lang w:val="en-US" w:eastAsia="zh-CN"/>
                    </w:rPr>
                    <w:t>颗粒物</w:t>
                  </w:r>
                </w:p>
              </w:tc>
              <w:tc>
                <w:tcPr>
                  <w:tcW w:w="1312" w:type="dxa"/>
                  <w:vAlign w:val="center"/>
                </w:tcPr>
                <w:p w14:paraId="06010CDC">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1.21 </w:t>
                  </w:r>
                </w:p>
              </w:tc>
              <w:tc>
                <w:tcPr>
                  <w:tcW w:w="1110" w:type="dxa"/>
                  <w:vAlign w:val="center"/>
                </w:tcPr>
                <w:p w14:paraId="27EB7AC2">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0.004 </w:t>
                  </w:r>
                </w:p>
              </w:tc>
              <w:tc>
                <w:tcPr>
                  <w:tcW w:w="917" w:type="dxa"/>
                  <w:vMerge w:val="continue"/>
                  <w:vAlign w:val="center"/>
                </w:tcPr>
                <w:p w14:paraId="2878FDB8">
                  <w:pPr>
                    <w:adjustRightInd w:val="0"/>
                    <w:snapToGrid w:val="0"/>
                    <w:jc w:val="center"/>
                    <w:rPr>
                      <w:rFonts w:hint="default" w:ascii="Times New Roman" w:hAnsi="Times New Roman" w:cs="Times New Roman"/>
                      <w:color w:val="auto"/>
                      <w:sz w:val="18"/>
                      <w:szCs w:val="18"/>
                    </w:rPr>
                  </w:pPr>
                </w:p>
              </w:tc>
              <w:tc>
                <w:tcPr>
                  <w:tcW w:w="766" w:type="dxa"/>
                  <w:vMerge w:val="continue"/>
                  <w:vAlign w:val="center"/>
                </w:tcPr>
                <w:p w14:paraId="43E09CB8">
                  <w:pPr>
                    <w:adjustRightInd w:val="0"/>
                    <w:snapToGrid w:val="0"/>
                    <w:jc w:val="center"/>
                    <w:rPr>
                      <w:rFonts w:hint="default" w:ascii="Times New Roman" w:hAnsi="Times New Roman" w:cs="Times New Roman"/>
                      <w:color w:val="auto"/>
                      <w:sz w:val="18"/>
                      <w:szCs w:val="18"/>
                    </w:rPr>
                  </w:pPr>
                </w:p>
              </w:tc>
              <w:tc>
                <w:tcPr>
                  <w:tcW w:w="671" w:type="dxa"/>
                  <w:vMerge w:val="continue"/>
                  <w:vAlign w:val="center"/>
                </w:tcPr>
                <w:p w14:paraId="2433B7BF">
                  <w:pPr>
                    <w:adjustRightInd w:val="0"/>
                    <w:snapToGrid w:val="0"/>
                    <w:jc w:val="center"/>
                    <w:rPr>
                      <w:rFonts w:hint="default" w:ascii="Times New Roman" w:hAnsi="Times New Roman" w:cs="Times New Roman"/>
                      <w:color w:val="auto"/>
                      <w:sz w:val="18"/>
                      <w:szCs w:val="18"/>
                    </w:rPr>
                  </w:pPr>
                </w:p>
              </w:tc>
            </w:tr>
            <w:tr w14:paraId="03FDF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8" w:type="dxa"/>
                  <w:vAlign w:val="center"/>
                </w:tcPr>
                <w:p w14:paraId="775E8B9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797" w:type="dxa"/>
                  <w:vMerge w:val="restart"/>
                  <w:shd w:val="clear" w:color="auto" w:fill="auto"/>
                  <w:vAlign w:val="center"/>
                </w:tcPr>
                <w:p w14:paraId="5E2F5FE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DA003</w:t>
                  </w:r>
                </w:p>
              </w:tc>
              <w:tc>
                <w:tcPr>
                  <w:tcW w:w="1044" w:type="dxa"/>
                  <w:vMerge w:val="continue"/>
                  <w:vAlign w:val="center"/>
                </w:tcPr>
                <w:p w14:paraId="16B2FE58">
                  <w:pPr>
                    <w:adjustRightInd w:val="0"/>
                    <w:snapToGrid w:val="0"/>
                    <w:jc w:val="center"/>
                    <w:rPr>
                      <w:rFonts w:hint="default" w:ascii="Times New Roman" w:hAnsi="Times New Roman" w:cs="Times New Roman"/>
                      <w:color w:val="auto"/>
                      <w:sz w:val="18"/>
                      <w:szCs w:val="18"/>
                    </w:rPr>
                  </w:pPr>
                </w:p>
              </w:tc>
              <w:tc>
                <w:tcPr>
                  <w:tcW w:w="801" w:type="dxa"/>
                  <w:shd w:val="clear" w:color="auto" w:fill="auto"/>
                  <w:vAlign w:val="center"/>
                </w:tcPr>
                <w:p w14:paraId="77D9FC41">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sz w:val="18"/>
                      <w:szCs w:val="18"/>
                      <w:lang w:val="en-US" w:eastAsia="zh-CN"/>
                    </w:rPr>
                    <w:t>氯化氢</w:t>
                  </w:r>
                </w:p>
              </w:tc>
              <w:tc>
                <w:tcPr>
                  <w:tcW w:w="1312" w:type="dxa"/>
                  <w:vAlign w:val="center"/>
                </w:tcPr>
                <w:p w14:paraId="7E2D170A">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528.77 </w:t>
                  </w:r>
                </w:p>
              </w:tc>
              <w:tc>
                <w:tcPr>
                  <w:tcW w:w="1110" w:type="dxa"/>
                  <w:vAlign w:val="center"/>
                </w:tcPr>
                <w:p w14:paraId="040E501A">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0.952 </w:t>
                  </w:r>
                </w:p>
              </w:tc>
              <w:tc>
                <w:tcPr>
                  <w:tcW w:w="917" w:type="dxa"/>
                  <w:vMerge w:val="continue"/>
                  <w:vAlign w:val="center"/>
                </w:tcPr>
                <w:p w14:paraId="5F378A8C">
                  <w:pPr>
                    <w:adjustRightInd w:val="0"/>
                    <w:snapToGrid w:val="0"/>
                    <w:jc w:val="center"/>
                    <w:rPr>
                      <w:rFonts w:hint="default" w:ascii="Times New Roman" w:hAnsi="Times New Roman" w:cs="Times New Roman"/>
                      <w:color w:val="auto"/>
                      <w:sz w:val="18"/>
                      <w:szCs w:val="18"/>
                    </w:rPr>
                  </w:pPr>
                </w:p>
              </w:tc>
              <w:tc>
                <w:tcPr>
                  <w:tcW w:w="766" w:type="dxa"/>
                  <w:vMerge w:val="continue"/>
                  <w:vAlign w:val="center"/>
                </w:tcPr>
                <w:p w14:paraId="070E8A11">
                  <w:pPr>
                    <w:adjustRightInd w:val="0"/>
                    <w:snapToGrid w:val="0"/>
                    <w:jc w:val="center"/>
                    <w:rPr>
                      <w:rFonts w:hint="default" w:ascii="Times New Roman" w:hAnsi="Times New Roman" w:cs="Times New Roman"/>
                      <w:color w:val="auto"/>
                      <w:sz w:val="18"/>
                      <w:szCs w:val="18"/>
                    </w:rPr>
                  </w:pPr>
                </w:p>
              </w:tc>
              <w:tc>
                <w:tcPr>
                  <w:tcW w:w="671" w:type="dxa"/>
                  <w:vMerge w:val="continue"/>
                  <w:vAlign w:val="center"/>
                </w:tcPr>
                <w:p w14:paraId="4A7BB7A9">
                  <w:pPr>
                    <w:adjustRightInd w:val="0"/>
                    <w:snapToGrid w:val="0"/>
                    <w:jc w:val="center"/>
                    <w:rPr>
                      <w:rFonts w:hint="default" w:ascii="Times New Roman" w:hAnsi="Times New Roman" w:cs="Times New Roman"/>
                      <w:color w:val="auto"/>
                      <w:sz w:val="18"/>
                      <w:szCs w:val="18"/>
                    </w:rPr>
                  </w:pPr>
                </w:p>
              </w:tc>
            </w:tr>
            <w:tr w14:paraId="5A60B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8" w:type="dxa"/>
                  <w:vAlign w:val="center"/>
                </w:tcPr>
                <w:p w14:paraId="459A776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797" w:type="dxa"/>
                  <w:vMerge w:val="continue"/>
                  <w:vAlign w:val="center"/>
                </w:tcPr>
                <w:p w14:paraId="0358B2DC">
                  <w:pPr>
                    <w:adjustRightInd w:val="0"/>
                    <w:snapToGrid w:val="0"/>
                    <w:jc w:val="center"/>
                    <w:rPr>
                      <w:rFonts w:hint="default" w:ascii="Times New Roman" w:hAnsi="Times New Roman" w:cs="Times New Roman"/>
                      <w:color w:val="auto"/>
                      <w:sz w:val="18"/>
                      <w:szCs w:val="18"/>
                    </w:rPr>
                  </w:pPr>
                </w:p>
              </w:tc>
              <w:tc>
                <w:tcPr>
                  <w:tcW w:w="1044" w:type="dxa"/>
                  <w:vMerge w:val="continue"/>
                  <w:vAlign w:val="center"/>
                </w:tcPr>
                <w:p w14:paraId="17427788">
                  <w:pPr>
                    <w:adjustRightInd w:val="0"/>
                    <w:snapToGrid w:val="0"/>
                    <w:jc w:val="center"/>
                    <w:rPr>
                      <w:rFonts w:hint="default" w:ascii="Times New Roman" w:hAnsi="Times New Roman" w:cs="Times New Roman"/>
                      <w:color w:val="auto"/>
                      <w:sz w:val="18"/>
                      <w:szCs w:val="18"/>
                    </w:rPr>
                  </w:pPr>
                </w:p>
              </w:tc>
              <w:tc>
                <w:tcPr>
                  <w:tcW w:w="801" w:type="dxa"/>
                  <w:shd w:val="clear" w:color="auto" w:fill="auto"/>
                  <w:vAlign w:val="center"/>
                </w:tcPr>
                <w:p w14:paraId="4674FBCC">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sz w:val="18"/>
                      <w:szCs w:val="18"/>
                      <w:lang w:val="en-US" w:eastAsia="zh-CN"/>
                    </w:rPr>
                    <w:t>氟化氢</w:t>
                  </w:r>
                </w:p>
              </w:tc>
              <w:tc>
                <w:tcPr>
                  <w:tcW w:w="1312" w:type="dxa"/>
                  <w:vAlign w:val="center"/>
                </w:tcPr>
                <w:p w14:paraId="4FEBFEBC">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6.81 </w:t>
                  </w:r>
                </w:p>
              </w:tc>
              <w:tc>
                <w:tcPr>
                  <w:tcW w:w="1110" w:type="dxa"/>
                  <w:vAlign w:val="center"/>
                </w:tcPr>
                <w:p w14:paraId="623C26C0">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0.012 </w:t>
                  </w:r>
                </w:p>
              </w:tc>
              <w:tc>
                <w:tcPr>
                  <w:tcW w:w="917" w:type="dxa"/>
                  <w:vMerge w:val="continue"/>
                  <w:vAlign w:val="center"/>
                </w:tcPr>
                <w:p w14:paraId="44665BE8">
                  <w:pPr>
                    <w:adjustRightInd w:val="0"/>
                    <w:snapToGrid w:val="0"/>
                    <w:jc w:val="center"/>
                    <w:rPr>
                      <w:rFonts w:hint="default" w:ascii="Times New Roman" w:hAnsi="Times New Roman" w:cs="Times New Roman"/>
                      <w:color w:val="auto"/>
                      <w:sz w:val="18"/>
                      <w:szCs w:val="18"/>
                    </w:rPr>
                  </w:pPr>
                </w:p>
              </w:tc>
              <w:tc>
                <w:tcPr>
                  <w:tcW w:w="766" w:type="dxa"/>
                  <w:vMerge w:val="continue"/>
                  <w:vAlign w:val="center"/>
                </w:tcPr>
                <w:p w14:paraId="6F7DB09B">
                  <w:pPr>
                    <w:adjustRightInd w:val="0"/>
                    <w:snapToGrid w:val="0"/>
                    <w:jc w:val="center"/>
                    <w:rPr>
                      <w:rFonts w:hint="default" w:ascii="Times New Roman" w:hAnsi="Times New Roman" w:cs="Times New Roman"/>
                      <w:color w:val="auto"/>
                      <w:sz w:val="18"/>
                      <w:szCs w:val="18"/>
                    </w:rPr>
                  </w:pPr>
                </w:p>
              </w:tc>
              <w:tc>
                <w:tcPr>
                  <w:tcW w:w="671" w:type="dxa"/>
                  <w:vMerge w:val="continue"/>
                  <w:vAlign w:val="center"/>
                </w:tcPr>
                <w:p w14:paraId="1A0884DB">
                  <w:pPr>
                    <w:adjustRightInd w:val="0"/>
                    <w:snapToGrid w:val="0"/>
                    <w:jc w:val="center"/>
                    <w:rPr>
                      <w:rFonts w:hint="default" w:ascii="Times New Roman" w:hAnsi="Times New Roman" w:cs="Times New Roman"/>
                      <w:color w:val="auto"/>
                      <w:sz w:val="18"/>
                      <w:szCs w:val="18"/>
                    </w:rPr>
                  </w:pPr>
                </w:p>
              </w:tc>
            </w:tr>
            <w:tr w14:paraId="76F5F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8" w:type="dxa"/>
                  <w:vAlign w:val="center"/>
                </w:tcPr>
                <w:p w14:paraId="28EF63F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797" w:type="dxa"/>
                  <w:shd w:val="clear" w:color="auto" w:fill="auto"/>
                  <w:vAlign w:val="center"/>
                </w:tcPr>
                <w:p w14:paraId="3345760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D</w:t>
                  </w:r>
                  <w:r>
                    <w:rPr>
                      <w:rFonts w:hint="eastAsia" w:cs="Times New Roman"/>
                      <w:color w:val="auto"/>
                      <w:sz w:val="18"/>
                      <w:szCs w:val="18"/>
                      <w:lang w:val="en-US" w:eastAsia="zh-CN"/>
                    </w:rPr>
                    <w:t>A</w:t>
                  </w:r>
                  <w:r>
                    <w:rPr>
                      <w:rFonts w:hint="default" w:ascii="Times New Roman" w:hAnsi="Times New Roman" w:cs="Times New Roman"/>
                      <w:color w:val="auto"/>
                      <w:sz w:val="18"/>
                      <w:szCs w:val="18"/>
                      <w:lang w:val="en-US" w:eastAsia="zh-CN"/>
                    </w:rPr>
                    <w:t>004</w:t>
                  </w:r>
                </w:p>
              </w:tc>
              <w:tc>
                <w:tcPr>
                  <w:tcW w:w="1044" w:type="dxa"/>
                  <w:vMerge w:val="continue"/>
                  <w:vAlign w:val="center"/>
                </w:tcPr>
                <w:p w14:paraId="5D95ABB4">
                  <w:pPr>
                    <w:adjustRightInd w:val="0"/>
                    <w:snapToGrid w:val="0"/>
                    <w:jc w:val="center"/>
                    <w:rPr>
                      <w:rFonts w:hint="default" w:ascii="Times New Roman" w:hAnsi="Times New Roman" w:cs="Times New Roman"/>
                      <w:color w:val="auto"/>
                      <w:sz w:val="18"/>
                      <w:szCs w:val="18"/>
                    </w:rPr>
                  </w:pPr>
                </w:p>
              </w:tc>
              <w:tc>
                <w:tcPr>
                  <w:tcW w:w="801" w:type="dxa"/>
                  <w:shd w:val="clear" w:color="auto" w:fill="auto"/>
                  <w:vAlign w:val="center"/>
                </w:tcPr>
                <w:p w14:paraId="08E3FEC2">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sz w:val="18"/>
                      <w:szCs w:val="18"/>
                      <w:lang w:val="en-US" w:eastAsia="zh-CN"/>
                    </w:rPr>
                    <w:t>颗粒物</w:t>
                  </w:r>
                </w:p>
              </w:tc>
              <w:tc>
                <w:tcPr>
                  <w:tcW w:w="1312" w:type="dxa"/>
                  <w:vAlign w:val="center"/>
                </w:tcPr>
                <w:p w14:paraId="1AAD3D4D">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1.21 </w:t>
                  </w:r>
                </w:p>
              </w:tc>
              <w:tc>
                <w:tcPr>
                  <w:tcW w:w="1110" w:type="dxa"/>
                  <w:vAlign w:val="center"/>
                </w:tcPr>
                <w:p w14:paraId="38737CDD">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0.004 </w:t>
                  </w:r>
                </w:p>
              </w:tc>
              <w:tc>
                <w:tcPr>
                  <w:tcW w:w="917" w:type="dxa"/>
                  <w:vMerge w:val="continue"/>
                  <w:vAlign w:val="center"/>
                </w:tcPr>
                <w:p w14:paraId="59EAE593">
                  <w:pPr>
                    <w:adjustRightInd w:val="0"/>
                    <w:snapToGrid w:val="0"/>
                    <w:jc w:val="center"/>
                    <w:rPr>
                      <w:rFonts w:hint="default" w:ascii="Times New Roman" w:hAnsi="Times New Roman" w:cs="Times New Roman"/>
                      <w:color w:val="auto"/>
                      <w:sz w:val="18"/>
                      <w:szCs w:val="18"/>
                    </w:rPr>
                  </w:pPr>
                </w:p>
              </w:tc>
              <w:tc>
                <w:tcPr>
                  <w:tcW w:w="766" w:type="dxa"/>
                  <w:vMerge w:val="continue"/>
                  <w:vAlign w:val="center"/>
                </w:tcPr>
                <w:p w14:paraId="0B1DD0A6">
                  <w:pPr>
                    <w:adjustRightInd w:val="0"/>
                    <w:snapToGrid w:val="0"/>
                    <w:jc w:val="center"/>
                    <w:rPr>
                      <w:rFonts w:hint="default" w:ascii="Times New Roman" w:hAnsi="Times New Roman" w:cs="Times New Roman"/>
                      <w:color w:val="auto"/>
                      <w:sz w:val="18"/>
                      <w:szCs w:val="18"/>
                    </w:rPr>
                  </w:pPr>
                </w:p>
              </w:tc>
              <w:tc>
                <w:tcPr>
                  <w:tcW w:w="671" w:type="dxa"/>
                  <w:vMerge w:val="continue"/>
                  <w:vAlign w:val="center"/>
                </w:tcPr>
                <w:p w14:paraId="0FB5A45C">
                  <w:pPr>
                    <w:adjustRightInd w:val="0"/>
                    <w:snapToGrid w:val="0"/>
                    <w:jc w:val="center"/>
                    <w:rPr>
                      <w:rFonts w:hint="default" w:ascii="Times New Roman" w:hAnsi="Times New Roman" w:cs="Times New Roman"/>
                      <w:color w:val="auto"/>
                      <w:sz w:val="18"/>
                      <w:szCs w:val="18"/>
                    </w:rPr>
                  </w:pPr>
                </w:p>
              </w:tc>
            </w:tr>
            <w:tr w14:paraId="1398A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8" w:type="dxa"/>
                  <w:vAlign w:val="center"/>
                </w:tcPr>
                <w:p w14:paraId="278B9EAB">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6</w:t>
                  </w:r>
                </w:p>
              </w:tc>
              <w:tc>
                <w:tcPr>
                  <w:tcW w:w="797" w:type="dxa"/>
                  <w:vMerge w:val="restart"/>
                  <w:shd w:val="clear" w:color="auto" w:fill="auto"/>
                  <w:vAlign w:val="center"/>
                </w:tcPr>
                <w:p w14:paraId="75632AB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DA005</w:t>
                  </w:r>
                </w:p>
              </w:tc>
              <w:tc>
                <w:tcPr>
                  <w:tcW w:w="1044" w:type="dxa"/>
                  <w:vMerge w:val="continue"/>
                  <w:vAlign w:val="center"/>
                </w:tcPr>
                <w:p w14:paraId="20089AB5">
                  <w:pPr>
                    <w:adjustRightInd w:val="0"/>
                    <w:snapToGrid w:val="0"/>
                    <w:jc w:val="center"/>
                    <w:rPr>
                      <w:rFonts w:hint="default" w:ascii="Times New Roman" w:hAnsi="Times New Roman" w:cs="Times New Roman"/>
                      <w:color w:val="auto"/>
                      <w:sz w:val="18"/>
                      <w:szCs w:val="18"/>
                    </w:rPr>
                  </w:pPr>
                </w:p>
              </w:tc>
              <w:tc>
                <w:tcPr>
                  <w:tcW w:w="801" w:type="dxa"/>
                  <w:shd w:val="clear" w:color="auto" w:fill="auto"/>
                  <w:vAlign w:val="center"/>
                </w:tcPr>
                <w:p w14:paraId="0C3A715D">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sz w:val="18"/>
                      <w:szCs w:val="18"/>
                      <w:lang w:val="en-US" w:eastAsia="zh-CN"/>
                    </w:rPr>
                    <w:t>氯化氢</w:t>
                  </w:r>
                </w:p>
              </w:tc>
              <w:tc>
                <w:tcPr>
                  <w:tcW w:w="1312" w:type="dxa"/>
                  <w:vAlign w:val="center"/>
                </w:tcPr>
                <w:p w14:paraId="3F119A44">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153.13 </w:t>
                  </w:r>
                </w:p>
              </w:tc>
              <w:tc>
                <w:tcPr>
                  <w:tcW w:w="1110" w:type="dxa"/>
                  <w:vAlign w:val="center"/>
                </w:tcPr>
                <w:p w14:paraId="393C0053">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0.766 </w:t>
                  </w:r>
                </w:p>
              </w:tc>
              <w:tc>
                <w:tcPr>
                  <w:tcW w:w="917" w:type="dxa"/>
                  <w:vMerge w:val="continue"/>
                  <w:vAlign w:val="center"/>
                </w:tcPr>
                <w:p w14:paraId="0E229B14">
                  <w:pPr>
                    <w:adjustRightInd w:val="0"/>
                    <w:snapToGrid w:val="0"/>
                    <w:jc w:val="center"/>
                    <w:rPr>
                      <w:rFonts w:hint="default" w:ascii="Times New Roman" w:hAnsi="Times New Roman" w:cs="Times New Roman"/>
                      <w:color w:val="auto"/>
                      <w:sz w:val="18"/>
                      <w:szCs w:val="18"/>
                    </w:rPr>
                  </w:pPr>
                </w:p>
              </w:tc>
              <w:tc>
                <w:tcPr>
                  <w:tcW w:w="766" w:type="dxa"/>
                  <w:vMerge w:val="continue"/>
                  <w:vAlign w:val="center"/>
                </w:tcPr>
                <w:p w14:paraId="77445D99">
                  <w:pPr>
                    <w:adjustRightInd w:val="0"/>
                    <w:snapToGrid w:val="0"/>
                    <w:jc w:val="center"/>
                    <w:rPr>
                      <w:rFonts w:hint="default" w:ascii="Times New Roman" w:hAnsi="Times New Roman" w:cs="Times New Roman"/>
                      <w:color w:val="auto"/>
                      <w:sz w:val="18"/>
                      <w:szCs w:val="18"/>
                    </w:rPr>
                  </w:pPr>
                </w:p>
              </w:tc>
              <w:tc>
                <w:tcPr>
                  <w:tcW w:w="671" w:type="dxa"/>
                  <w:vMerge w:val="continue"/>
                  <w:vAlign w:val="center"/>
                </w:tcPr>
                <w:p w14:paraId="746452C7">
                  <w:pPr>
                    <w:adjustRightInd w:val="0"/>
                    <w:snapToGrid w:val="0"/>
                    <w:jc w:val="center"/>
                    <w:rPr>
                      <w:rFonts w:hint="default" w:ascii="Times New Roman" w:hAnsi="Times New Roman" w:cs="Times New Roman"/>
                      <w:color w:val="auto"/>
                      <w:sz w:val="18"/>
                      <w:szCs w:val="18"/>
                    </w:rPr>
                  </w:pPr>
                </w:p>
              </w:tc>
            </w:tr>
            <w:tr w14:paraId="25240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8" w:type="dxa"/>
                  <w:vAlign w:val="center"/>
                </w:tcPr>
                <w:p w14:paraId="46A3A4D6">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7</w:t>
                  </w:r>
                </w:p>
              </w:tc>
              <w:tc>
                <w:tcPr>
                  <w:tcW w:w="797" w:type="dxa"/>
                  <w:vMerge w:val="continue"/>
                  <w:vAlign w:val="center"/>
                </w:tcPr>
                <w:p w14:paraId="60810606">
                  <w:pPr>
                    <w:adjustRightInd w:val="0"/>
                    <w:snapToGrid w:val="0"/>
                    <w:jc w:val="center"/>
                    <w:rPr>
                      <w:rFonts w:hint="default" w:ascii="Times New Roman" w:hAnsi="Times New Roman" w:cs="Times New Roman"/>
                      <w:color w:val="auto"/>
                      <w:sz w:val="18"/>
                      <w:szCs w:val="18"/>
                    </w:rPr>
                  </w:pPr>
                </w:p>
              </w:tc>
              <w:tc>
                <w:tcPr>
                  <w:tcW w:w="1044" w:type="dxa"/>
                  <w:vMerge w:val="continue"/>
                  <w:vAlign w:val="center"/>
                </w:tcPr>
                <w:p w14:paraId="7A643E27">
                  <w:pPr>
                    <w:adjustRightInd w:val="0"/>
                    <w:snapToGrid w:val="0"/>
                    <w:jc w:val="center"/>
                    <w:rPr>
                      <w:rFonts w:hint="default" w:ascii="Times New Roman" w:hAnsi="Times New Roman" w:cs="Times New Roman"/>
                      <w:color w:val="auto"/>
                      <w:sz w:val="18"/>
                      <w:szCs w:val="18"/>
                    </w:rPr>
                  </w:pPr>
                </w:p>
              </w:tc>
              <w:tc>
                <w:tcPr>
                  <w:tcW w:w="801" w:type="dxa"/>
                  <w:shd w:val="clear" w:color="auto" w:fill="auto"/>
                  <w:vAlign w:val="center"/>
                </w:tcPr>
                <w:p w14:paraId="5F6C6424">
                  <w:pPr>
                    <w:pStyle w:val="29"/>
                    <w:widowControl w:val="0"/>
                    <w:adjustRightInd w:val="0"/>
                    <w:snapToGrid w:val="0"/>
                    <w:spacing w:before="0" w:beforeAutospacing="0" w:after="0" w:afterAutospacing="0"/>
                    <w:jc w:val="center"/>
                    <w:rPr>
                      <w:rFonts w:hint="default" w:ascii="Times New Roman" w:hAnsi="Times New Roman" w:eastAsia="宋体" w:cs="Times New Roman"/>
                      <w:color w:val="auto"/>
                      <w:kern w:val="0"/>
                      <w:sz w:val="18"/>
                      <w:szCs w:val="18"/>
                      <w:lang w:val="en-US" w:eastAsia="zh-CN" w:bidi="ar-SA"/>
                    </w:rPr>
                  </w:pPr>
                  <w:r>
                    <w:rPr>
                      <w:rFonts w:hint="eastAsia" w:ascii="Times New Roman" w:hAnsi="Times New Roman" w:cs="Times New Roman"/>
                      <w:color w:val="auto"/>
                      <w:sz w:val="18"/>
                      <w:szCs w:val="18"/>
                      <w:lang w:val="en-US" w:eastAsia="zh-CN"/>
                    </w:rPr>
                    <w:t>颗粒物</w:t>
                  </w:r>
                </w:p>
              </w:tc>
              <w:tc>
                <w:tcPr>
                  <w:tcW w:w="1312" w:type="dxa"/>
                  <w:vAlign w:val="center"/>
                </w:tcPr>
                <w:p w14:paraId="54ABC327">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8.33 </w:t>
                  </w:r>
                </w:p>
              </w:tc>
              <w:tc>
                <w:tcPr>
                  <w:tcW w:w="1110" w:type="dxa"/>
                  <w:vAlign w:val="center"/>
                </w:tcPr>
                <w:p w14:paraId="7DA5B0BE">
                  <w:pPr>
                    <w:widowControl/>
                    <w:jc w:val="center"/>
                    <w:textAlignment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eastAsia="宋体" w:cs="Times New Roman"/>
                      <w:color w:val="auto"/>
                      <w:kern w:val="0"/>
                      <w:sz w:val="18"/>
                      <w:szCs w:val="18"/>
                      <w:lang w:val="en-US" w:eastAsia="zh-CN"/>
                    </w:rPr>
                    <w:t xml:space="preserve">0.042 </w:t>
                  </w:r>
                </w:p>
              </w:tc>
              <w:tc>
                <w:tcPr>
                  <w:tcW w:w="917" w:type="dxa"/>
                  <w:vMerge w:val="continue"/>
                  <w:vAlign w:val="center"/>
                </w:tcPr>
                <w:p w14:paraId="296E3689">
                  <w:pPr>
                    <w:adjustRightInd w:val="0"/>
                    <w:snapToGrid w:val="0"/>
                    <w:jc w:val="center"/>
                    <w:rPr>
                      <w:rFonts w:hint="default" w:ascii="Times New Roman" w:hAnsi="Times New Roman" w:cs="Times New Roman"/>
                      <w:color w:val="auto"/>
                      <w:sz w:val="18"/>
                      <w:szCs w:val="18"/>
                    </w:rPr>
                  </w:pPr>
                </w:p>
              </w:tc>
              <w:tc>
                <w:tcPr>
                  <w:tcW w:w="766" w:type="dxa"/>
                  <w:vMerge w:val="continue"/>
                  <w:vAlign w:val="center"/>
                </w:tcPr>
                <w:p w14:paraId="6FEF7417">
                  <w:pPr>
                    <w:adjustRightInd w:val="0"/>
                    <w:snapToGrid w:val="0"/>
                    <w:jc w:val="center"/>
                    <w:rPr>
                      <w:rFonts w:hint="default" w:ascii="Times New Roman" w:hAnsi="Times New Roman" w:cs="Times New Roman"/>
                      <w:color w:val="auto"/>
                      <w:sz w:val="18"/>
                      <w:szCs w:val="18"/>
                    </w:rPr>
                  </w:pPr>
                </w:p>
              </w:tc>
              <w:tc>
                <w:tcPr>
                  <w:tcW w:w="671" w:type="dxa"/>
                  <w:vMerge w:val="continue"/>
                  <w:vAlign w:val="center"/>
                </w:tcPr>
                <w:p w14:paraId="0D576E31">
                  <w:pPr>
                    <w:adjustRightInd w:val="0"/>
                    <w:snapToGrid w:val="0"/>
                    <w:jc w:val="center"/>
                    <w:rPr>
                      <w:rFonts w:hint="default" w:ascii="Times New Roman" w:hAnsi="Times New Roman" w:cs="Times New Roman"/>
                      <w:color w:val="auto"/>
                      <w:sz w:val="18"/>
                      <w:szCs w:val="18"/>
                    </w:rPr>
                  </w:pPr>
                </w:p>
              </w:tc>
            </w:tr>
          </w:tbl>
          <w:p w14:paraId="01C3AF77">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环评要求企业对加强污染物处理装置的管理及日常检修维护，严防非正常工况的发生，在非正常工况发生时要求企业立即停止生产，及时排除故障，使非正常工况对周围环境及保护目标的影响减少到最低程度，建议企业建立相关的奖惩条例，切实落实废气污染防治措施。</w:t>
            </w:r>
          </w:p>
          <w:p w14:paraId="6C0C571B">
            <w:pPr>
              <w:tabs>
                <w:tab w:val="left" w:pos="6105"/>
              </w:tabs>
              <w:adjustRightInd w:val="0"/>
              <w:snapToGrid w:val="0"/>
              <w:spacing w:beforeLines="50" w:line="360" w:lineRule="auto"/>
              <w:jc w:val="left"/>
              <w:outlineLvl w:val="3"/>
              <w:rPr>
                <w:rFonts w:hint="default" w:ascii="Times New Roman" w:hAnsi="Times New Roman" w:cs="Times New Roman"/>
                <w:b/>
                <w:color w:val="auto"/>
                <w:kern w:val="0"/>
                <w:sz w:val="24"/>
              </w:rPr>
            </w:pPr>
            <w:r>
              <w:rPr>
                <w:rFonts w:hint="default" w:ascii="Times New Roman" w:hAnsi="Times New Roman" w:cs="Times New Roman"/>
                <w:b/>
                <w:color w:val="auto"/>
                <w:kern w:val="0"/>
                <w:sz w:val="24"/>
              </w:rPr>
              <w:t>4.2.2</w:t>
            </w:r>
            <w:r>
              <w:rPr>
                <w:rFonts w:hint="default" w:ascii="Times New Roman" w:hAnsi="Times New Roman" w:cs="Times New Roman"/>
                <w:b/>
                <w:bCs/>
                <w:color w:val="auto"/>
                <w:sz w:val="24"/>
              </w:rPr>
              <w:t>大气环境影响分析</w:t>
            </w:r>
          </w:p>
          <w:p w14:paraId="39E6AC5B">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color w:val="auto"/>
                <w:kern w:val="0"/>
                <w:sz w:val="24"/>
              </w:rPr>
              <w:t>参考《排污许可证申请与核发技术规范 石墨及其他非金属矿物制品制造》（HJ1119-2020）“表6”，破碎等产生的颗粒物可行的污染防治设施工艺为袋式除尘法或其他。参考《排污许可证申请与核发技术规范 石墨及其他非金属矿物制品制造》（HJ1119-2020），产生的氯化氢、氟化物可行的污染防治设施工艺为冷凝、淋洗或其他。本项目采取的</w:t>
            </w:r>
            <w:r>
              <w:rPr>
                <w:rFonts w:hint="eastAsia" w:cs="Times New Roman"/>
                <w:color w:val="auto"/>
                <w:kern w:val="0"/>
                <w:sz w:val="24"/>
                <w:lang w:val="en-US" w:eastAsia="zh-CN"/>
              </w:rPr>
              <w:t>水喷淋、</w:t>
            </w:r>
            <w:r>
              <w:rPr>
                <w:rFonts w:hint="default" w:ascii="Times New Roman" w:hAnsi="Times New Roman" w:cs="Times New Roman"/>
                <w:color w:val="auto"/>
                <w:kern w:val="0"/>
                <w:sz w:val="24"/>
              </w:rPr>
              <w:t>碱液喷淋塔、布袋除尘属于《排污许可证申请与核发技术规范 石墨及其他非金属矿物制品制造》（HJ1119-2020）中的可行技术，措施可行。且废气经</w:t>
            </w:r>
            <w:r>
              <w:rPr>
                <w:rFonts w:hint="default" w:ascii="Times New Roman" w:hAnsi="Times New Roman" w:cs="Times New Roman"/>
                <w:bCs/>
                <w:color w:val="auto"/>
                <w:sz w:val="24"/>
              </w:rPr>
              <w:t>处理后可满足</w:t>
            </w:r>
            <w:r>
              <w:rPr>
                <w:rFonts w:hint="default" w:ascii="Times New Roman" w:hAnsi="Times New Roman" w:cs="Times New Roman"/>
                <w:color w:val="auto"/>
                <w:kern w:val="0"/>
                <w:sz w:val="24"/>
              </w:rPr>
              <w:t>《大气污染物综合排放标准》（GB 16297-1996）表2大气污染物二级标准排放限值</w:t>
            </w:r>
            <w:r>
              <w:rPr>
                <w:rFonts w:hint="default" w:ascii="Times New Roman" w:hAnsi="Times New Roman" w:cs="Times New Roman"/>
                <w:bCs/>
                <w:color w:val="auto"/>
                <w:sz w:val="24"/>
              </w:rPr>
              <w:t>，因此项目实施后对周围环境空气影响不大。</w:t>
            </w:r>
          </w:p>
          <w:p w14:paraId="072B0378">
            <w:pPr>
              <w:snapToGrid w:val="0"/>
              <w:spacing w:line="360" w:lineRule="auto"/>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4.2.3废气自行监测要求</w:t>
            </w:r>
          </w:p>
          <w:p w14:paraId="417DC801">
            <w:pPr>
              <w:pStyle w:val="123"/>
              <w:ind w:firstLine="480"/>
              <w:rPr>
                <w:rFonts w:hint="default" w:ascii="Times New Roman" w:hAnsi="Times New Roman" w:cs="Times New Roman"/>
                <w:color w:val="auto"/>
                <w:sz w:val="21"/>
                <w:szCs w:val="21"/>
              </w:rPr>
            </w:pPr>
            <w:r>
              <w:rPr>
                <w:rFonts w:hint="default" w:ascii="Times New Roman" w:hAnsi="Times New Roman" w:cs="Times New Roman"/>
                <w:color w:val="auto"/>
              </w:rPr>
              <w:t>本项目属于其他非金属矿物制品制造，参考《排污许可证申请与核发技术规范 石墨及其他非金属矿物制品制造》（HJ1119-2020）中多晶硅棒自行监测要求及《排污单位自行监测技术指南总则》（HJ819-2017）相关要求，本项目废气污染源监测计划具体见下表。</w:t>
            </w:r>
          </w:p>
          <w:p w14:paraId="48070E86">
            <w:pPr>
              <w:pStyle w:val="9"/>
              <w:ind w:firstLine="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表4.2.3-1  废气自行监测计划</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8"/>
              <w:gridCol w:w="2724"/>
              <w:gridCol w:w="2206"/>
              <w:gridCol w:w="1548"/>
            </w:tblGrid>
            <w:tr w14:paraId="6CBE8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 w:type="pct"/>
                  <w:vAlign w:val="center"/>
                </w:tcPr>
                <w:p w14:paraId="38D27BBF">
                  <w:pPr>
                    <w:pStyle w:val="123"/>
                    <w:spacing w:line="240" w:lineRule="exac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监测点位</w:t>
                  </w:r>
                </w:p>
              </w:tc>
              <w:tc>
                <w:tcPr>
                  <w:tcW w:w="1716" w:type="pct"/>
                  <w:vAlign w:val="center"/>
                </w:tcPr>
                <w:p w14:paraId="38D23BCE">
                  <w:pPr>
                    <w:pStyle w:val="123"/>
                    <w:spacing w:line="240" w:lineRule="exac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监测因子</w:t>
                  </w:r>
                </w:p>
              </w:tc>
              <w:tc>
                <w:tcPr>
                  <w:tcW w:w="1389" w:type="pct"/>
                  <w:vAlign w:val="center"/>
                </w:tcPr>
                <w:p w14:paraId="72DA894E">
                  <w:pPr>
                    <w:pStyle w:val="123"/>
                    <w:spacing w:line="240" w:lineRule="exac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执行排放标准</w:t>
                  </w:r>
                </w:p>
              </w:tc>
              <w:tc>
                <w:tcPr>
                  <w:tcW w:w="975" w:type="pct"/>
                  <w:vAlign w:val="center"/>
                </w:tcPr>
                <w:p w14:paraId="63AC0F5D">
                  <w:pPr>
                    <w:pStyle w:val="123"/>
                    <w:spacing w:line="240" w:lineRule="exac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监测频次</w:t>
                  </w:r>
                </w:p>
              </w:tc>
            </w:tr>
            <w:tr w14:paraId="19754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8" w:type="pct"/>
                  <w:vAlign w:val="center"/>
                </w:tcPr>
                <w:p w14:paraId="54267B74">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DA001</w:t>
                  </w:r>
                </w:p>
              </w:tc>
              <w:tc>
                <w:tcPr>
                  <w:tcW w:w="1716" w:type="pct"/>
                  <w:vAlign w:val="center"/>
                </w:tcPr>
                <w:p w14:paraId="1E0E72F9">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1389" w:type="pct"/>
                  <w:vMerge w:val="restart"/>
                  <w:vAlign w:val="center"/>
                </w:tcPr>
                <w:p w14:paraId="71F20EB9">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《大气污染物综合排放标准》（GB16297-1996）</w:t>
                  </w:r>
                </w:p>
              </w:tc>
              <w:tc>
                <w:tcPr>
                  <w:tcW w:w="975" w:type="pct"/>
                  <w:vAlign w:val="center"/>
                </w:tcPr>
                <w:p w14:paraId="6FB21D8B">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1年/次</w:t>
                  </w:r>
                </w:p>
              </w:tc>
            </w:tr>
            <w:tr w14:paraId="634AB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8" w:type="pct"/>
                  <w:shd w:val="clear" w:color="auto" w:fill="auto"/>
                  <w:vAlign w:val="center"/>
                </w:tcPr>
                <w:p w14:paraId="35F6C0A1">
                  <w:pPr>
                    <w:pStyle w:val="17"/>
                    <w:spacing w:line="24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DA002</w:t>
                  </w:r>
                </w:p>
              </w:tc>
              <w:tc>
                <w:tcPr>
                  <w:tcW w:w="1716" w:type="pct"/>
                  <w:vAlign w:val="center"/>
                </w:tcPr>
                <w:p w14:paraId="7356AAA2">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1389" w:type="pct"/>
                  <w:vMerge w:val="continue"/>
                  <w:vAlign w:val="center"/>
                </w:tcPr>
                <w:p w14:paraId="313467EF">
                  <w:pPr>
                    <w:pStyle w:val="17"/>
                    <w:spacing w:line="240" w:lineRule="exact"/>
                    <w:jc w:val="center"/>
                    <w:rPr>
                      <w:rFonts w:hint="default" w:ascii="Times New Roman" w:hAnsi="Times New Roman" w:cs="Times New Roman"/>
                      <w:color w:val="auto"/>
                      <w:sz w:val="18"/>
                      <w:szCs w:val="18"/>
                    </w:rPr>
                  </w:pPr>
                </w:p>
              </w:tc>
              <w:tc>
                <w:tcPr>
                  <w:tcW w:w="975" w:type="pct"/>
                  <w:vAlign w:val="center"/>
                </w:tcPr>
                <w:p w14:paraId="188B2A61">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1年/次</w:t>
                  </w:r>
                </w:p>
              </w:tc>
            </w:tr>
            <w:tr w14:paraId="1B915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8" w:type="pct"/>
                  <w:shd w:val="clear" w:color="auto" w:fill="auto"/>
                  <w:vAlign w:val="center"/>
                </w:tcPr>
                <w:p w14:paraId="2B465357">
                  <w:pPr>
                    <w:pStyle w:val="17"/>
                    <w:spacing w:line="24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DA003</w:t>
                  </w:r>
                </w:p>
              </w:tc>
              <w:tc>
                <w:tcPr>
                  <w:tcW w:w="1716" w:type="pct"/>
                  <w:vAlign w:val="center"/>
                </w:tcPr>
                <w:p w14:paraId="6480ACB1">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氯化氢、</w:t>
                  </w:r>
                  <w:r>
                    <w:rPr>
                      <w:rFonts w:hint="default" w:ascii="Times New Roman" w:hAnsi="Times New Roman" w:cs="Times New Roman"/>
                      <w:color w:val="auto"/>
                      <w:sz w:val="18"/>
                      <w:szCs w:val="18"/>
                      <w:lang w:val="en-US" w:eastAsia="zh-CN"/>
                    </w:rPr>
                    <w:t>氟化物</w:t>
                  </w:r>
                </w:p>
              </w:tc>
              <w:tc>
                <w:tcPr>
                  <w:tcW w:w="1389" w:type="pct"/>
                  <w:vMerge w:val="continue"/>
                  <w:vAlign w:val="center"/>
                </w:tcPr>
                <w:p w14:paraId="1E3BCFD7">
                  <w:pPr>
                    <w:pStyle w:val="17"/>
                    <w:spacing w:line="240" w:lineRule="exact"/>
                    <w:jc w:val="center"/>
                    <w:rPr>
                      <w:rFonts w:hint="default" w:ascii="Times New Roman" w:hAnsi="Times New Roman" w:cs="Times New Roman"/>
                      <w:color w:val="auto"/>
                      <w:sz w:val="18"/>
                      <w:szCs w:val="18"/>
                    </w:rPr>
                  </w:pPr>
                </w:p>
              </w:tc>
              <w:tc>
                <w:tcPr>
                  <w:tcW w:w="975" w:type="pct"/>
                  <w:vAlign w:val="center"/>
                </w:tcPr>
                <w:p w14:paraId="2D275CAB">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半年/次</w:t>
                  </w:r>
                </w:p>
              </w:tc>
            </w:tr>
            <w:tr w14:paraId="0D1E9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8" w:type="pct"/>
                  <w:vAlign w:val="center"/>
                </w:tcPr>
                <w:p w14:paraId="40DF78D1">
                  <w:pPr>
                    <w:pStyle w:val="17"/>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DA004</w:t>
                  </w:r>
                </w:p>
              </w:tc>
              <w:tc>
                <w:tcPr>
                  <w:tcW w:w="1716" w:type="pct"/>
                  <w:vAlign w:val="center"/>
                </w:tcPr>
                <w:p w14:paraId="2B1CF1E6">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1389" w:type="pct"/>
                  <w:vMerge w:val="continue"/>
                  <w:vAlign w:val="center"/>
                </w:tcPr>
                <w:p w14:paraId="17C1A2E1">
                  <w:pPr>
                    <w:pStyle w:val="17"/>
                    <w:spacing w:line="240" w:lineRule="exact"/>
                    <w:jc w:val="center"/>
                    <w:rPr>
                      <w:rFonts w:hint="default" w:ascii="Times New Roman" w:hAnsi="Times New Roman" w:cs="Times New Roman"/>
                      <w:color w:val="auto"/>
                      <w:sz w:val="18"/>
                      <w:szCs w:val="18"/>
                    </w:rPr>
                  </w:pPr>
                </w:p>
              </w:tc>
              <w:tc>
                <w:tcPr>
                  <w:tcW w:w="975" w:type="pct"/>
                  <w:vAlign w:val="center"/>
                </w:tcPr>
                <w:p w14:paraId="43CA52D4">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1年/次</w:t>
                  </w:r>
                </w:p>
              </w:tc>
            </w:tr>
            <w:tr w14:paraId="2A500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8" w:type="pct"/>
                  <w:vMerge w:val="restart"/>
                  <w:vAlign w:val="center"/>
                </w:tcPr>
                <w:p w14:paraId="4797B0C0">
                  <w:pPr>
                    <w:pStyle w:val="17"/>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DA005</w:t>
                  </w:r>
                </w:p>
              </w:tc>
              <w:tc>
                <w:tcPr>
                  <w:tcW w:w="1716" w:type="pct"/>
                  <w:vAlign w:val="center"/>
                </w:tcPr>
                <w:p w14:paraId="1F38A45A">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1389" w:type="pct"/>
                  <w:vMerge w:val="continue"/>
                  <w:vAlign w:val="center"/>
                </w:tcPr>
                <w:p w14:paraId="3EBB1CBB">
                  <w:pPr>
                    <w:pStyle w:val="17"/>
                    <w:spacing w:line="240" w:lineRule="exact"/>
                    <w:jc w:val="center"/>
                    <w:rPr>
                      <w:rFonts w:hint="default" w:ascii="Times New Roman" w:hAnsi="Times New Roman" w:cs="Times New Roman"/>
                      <w:color w:val="auto"/>
                      <w:sz w:val="18"/>
                      <w:szCs w:val="18"/>
                    </w:rPr>
                  </w:pPr>
                </w:p>
              </w:tc>
              <w:tc>
                <w:tcPr>
                  <w:tcW w:w="975" w:type="pct"/>
                  <w:shd w:val="clear" w:color="auto" w:fill="auto"/>
                  <w:vAlign w:val="center"/>
                </w:tcPr>
                <w:p w14:paraId="1AFAB669">
                  <w:pPr>
                    <w:pStyle w:val="17"/>
                    <w:spacing w:line="24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1年/次</w:t>
                  </w:r>
                </w:p>
              </w:tc>
            </w:tr>
            <w:tr w14:paraId="03037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8" w:type="pct"/>
                  <w:vMerge w:val="continue"/>
                  <w:vAlign w:val="center"/>
                </w:tcPr>
                <w:p w14:paraId="28093B55">
                  <w:pPr>
                    <w:pStyle w:val="17"/>
                    <w:spacing w:line="240" w:lineRule="exact"/>
                    <w:jc w:val="center"/>
                    <w:rPr>
                      <w:rFonts w:hint="default" w:ascii="Times New Roman" w:hAnsi="Times New Roman" w:cs="Times New Roman"/>
                      <w:color w:val="auto"/>
                      <w:sz w:val="18"/>
                      <w:szCs w:val="18"/>
                    </w:rPr>
                  </w:pPr>
                </w:p>
              </w:tc>
              <w:tc>
                <w:tcPr>
                  <w:tcW w:w="1716" w:type="pct"/>
                  <w:vAlign w:val="center"/>
                </w:tcPr>
                <w:p w14:paraId="31C1C876">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氯化氢</w:t>
                  </w:r>
                </w:p>
              </w:tc>
              <w:tc>
                <w:tcPr>
                  <w:tcW w:w="1389" w:type="pct"/>
                  <w:vMerge w:val="continue"/>
                  <w:vAlign w:val="center"/>
                </w:tcPr>
                <w:p w14:paraId="72F5006A">
                  <w:pPr>
                    <w:pStyle w:val="17"/>
                    <w:spacing w:line="240" w:lineRule="exact"/>
                    <w:jc w:val="center"/>
                    <w:rPr>
                      <w:rFonts w:hint="default" w:ascii="Times New Roman" w:hAnsi="Times New Roman" w:cs="Times New Roman"/>
                      <w:color w:val="auto"/>
                      <w:sz w:val="18"/>
                      <w:szCs w:val="18"/>
                    </w:rPr>
                  </w:pPr>
                </w:p>
              </w:tc>
              <w:tc>
                <w:tcPr>
                  <w:tcW w:w="975" w:type="pct"/>
                  <w:shd w:val="clear" w:color="auto" w:fill="auto"/>
                  <w:vAlign w:val="center"/>
                </w:tcPr>
                <w:p w14:paraId="06F401D1">
                  <w:pPr>
                    <w:pStyle w:val="17"/>
                    <w:spacing w:line="240" w:lineRule="exact"/>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半年/次</w:t>
                  </w:r>
                </w:p>
              </w:tc>
            </w:tr>
            <w:tr w14:paraId="5A7CA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8" w:type="pct"/>
                  <w:vAlign w:val="center"/>
                </w:tcPr>
                <w:p w14:paraId="4C35C672">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厂界四周</w:t>
                  </w:r>
                </w:p>
              </w:tc>
              <w:tc>
                <w:tcPr>
                  <w:tcW w:w="1716" w:type="pct"/>
                  <w:vAlign w:val="center"/>
                </w:tcPr>
                <w:p w14:paraId="0FF902FB">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颗粒物、氯化氢、</w:t>
                  </w:r>
                  <w:r>
                    <w:rPr>
                      <w:rFonts w:hint="default" w:ascii="Times New Roman" w:hAnsi="Times New Roman" w:cs="Times New Roman"/>
                      <w:color w:val="auto"/>
                      <w:sz w:val="18"/>
                      <w:szCs w:val="18"/>
                      <w:lang w:val="en-US" w:eastAsia="zh-CN"/>
                    </w:rPr>
                    <w:t>氟化物</w:t>
                  </w:r>
                </w:p>
              </w:tc>
              <w:tc>
                <w:tcPr>
                  <w:tcW w:w="1389" w:type="pct"/>
                  <w:vMerge w:val="continue"/>
                  <w:vAlign w:val="center"/>
                </w:tcPr>
                <w:p w14:paraId="70A786F6">
                  <w:pPr>
                    <w:pStyle w:val="17"/>
                    <w:spacing w:line="240" w:lineRule="exact"/>
                    <w:jc w:val="center"/>
                    <w:rPr>
                      <w:rFonts w:hint="default" w:ascii="Times New Roman" w:hAnsi="Times New Roman" w:cs="Times New Roman"/>
                      <w:color w:val="auto"/>
                      <w:sz w:val="18"/>
                      <w:szCs w:val="18"/>
                    </w:rPr>
                  </w:pPr>
                </w:p>
              </w:tc>
              <w:tc>
                <w:tcPr>
                  <w:tcW w:w="975" w:type="pct"/>
                  <w:vAlign w:val="center"/>
                </w:tcPr>
                <w:p w14:paraId="739AC39E">
                  <w:pPr>
                    <w:pStyle w:val="17"/>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半年/次</w:t>
                  </w:r>
                </w:p>
              </w:tc>
            </w:tr>
          </w:tbl>
          <w:p w14:paraId="49279A5E">
            <w:pPr>
              <w:snapToGrid w:val="0"/>
              <w:spacing w:line="360" w:lineRule="auto"/>
              <w:rPr>
                <w:rFonts w:hint="default" w:ascii="Times New Roman" w:hAnsi="Times New Roman" w:cs="Times New Roman"/>
                <w:b/>
                <w:bCs/>
                <w:color w:val="auto"/>
                <w:sz w:val="24"/>
              </w:rPr>
            </w:pPr>
            <w:r>
              <w:rPr>
                <w:rFonts w:hint="default" w:ascii="Times New Roman" w:hAnsi="Times New Roman" w:cs="Times New Roman"/>
                <w:b/>
                <w:color w:val="auto"/>
                <w:sz w:val="24"/>
              </w:rPr>
              <w:t>4.2.4</w:t>
            </w:r>
            <w:r>
              <w:rPr>
                <w:rFonts w:hint="default" w:ascii="Times New Roman" w:hAnsi="Times New Roman" w:cs="Times New Roman"/>
                <w:b/>
                <w:bCs/>
                <w:color w:val="auto"/>
                <w:sz w:val="24"/>
              </w:rPr>
              <w:t>废水</w:t>
            </w:r>
          </w:p>
          <w:p w14:paraId="285309DC">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1、废水源强分析</w:t>
            </w:r>
          </w:p>
          <w:p w14:paraId="61CAF761">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本项目废水为浮洗废水W</w:t>
            </w:r>
            <w:r>
              <w:rPr>
                <w:rFonts w:hint="eastAsia" w:cs="Times New Roman"/>
                <w:bCs/>
                <w:color w:val="auto"/>
                <w:sz w:val="24"/>
                <w:lang w:val="en-US" w:eastAsia="zh-CN"/>
              </w:rPr>
              <w:t>1、</w:t>
            </w:r>
            <w:r>
              <w:rPr>
                <w:rFonts w:hint="default" w:ascii="Times New Roman" w:hAnsi="Times New Roman" w:cs="Times New Roman"/>
                <w:bCs/>
                <w:color w:val="auto"/>
                <w:sz w:val="24"/>
              </w:rPr>
              <w:t>清洗废水W</w:t>
            </w:r>
            <w:r>
              <w:rPr>
                <w:rFonts w:hint="eastAsia" w:cs="Times New Roman"/>
                <w:bCs/>
                <w:color w:val="auto"/>
                <w:sz w:val="24"/>
                <w:lang w:val="en-US" w:eastAsia="zh-CN"/>
              </w:rPr>
              <w:t>2、</w:t>
            </w:r>
            <w:r>
              <w:rPr>
                <w:rFonts w:hint="default" w:ascii="Times New Roman" w:hAnsi="Times New Roman" w:cs="Times New Roman"/>
                <w:bCs/>
                <w:color w:val="auto"/>
                <w:sz w:val="24"/>
              </w:rPr>
              <w:t>清洗废水W</w:t>
            </w:r>
            <w:r>
              <w:rPr>
                <w:rFonts w:hint="eastAsia" w:cs="Times New Roman"/>
                <w:bCs/>
                <w:color w:val="auto"/>
                <w:sz w:val="24"/>
                <w:lang w:val="en-US" w:eastAsia="zh-CN"/>
              </w:rPr>
              <w:t>3</w:t>
            </w:r>
            <w:r>
              <w:rPr>
                <w:rFonts w:hint="default" w:ascii="Times New Roman" w:hAnsi="Times New Roman" w:cs="Times New Roman"/>
                <w:bCs/>
                <w:color w:val="auto"/>
                <w:sz w:val="24"/>
              </w:rPr>
              <w:t>、</w:t>
            </w:r>
            <w:r>
              <w:rPr>
                <w:rFonts w:hint="eastAsia" w:cs="Times New Roman"/>
                <w:bCs/>
                <w:color w:val="auto"/>
                <w:sz w:val="24"/>
                <w:lang w:val="en-US" w:eastAsia="zh-CN"/>
              </w:rPr>
              <w:t>地面拖洗</w:t>
            </w:r>
            <w:r>
              <w:rPr>
                <w:rFonts w:hint="default" w:ascii="Times New Roman" w:hAnsi="Times New Roman" w:cs="Times New Roman"/>
                <w:bCs/>
                <w:color w:val="auto"/>
                <w:sz w:val="24"/>
              </w:rPr>
              <w:t>废水、喷淋废水、纯水制备浓水、生活污水。</w:t>
            </w:r>
          </w:p>
          <w:p w14:paraId="364D289C">
            <w:pPr>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（1）工艺废水（</w:t>
            </w:r>
            <w:r>
              <w:rPr>
                <w:rFonts w:hint="default" w:ascii="Times New Roman" w:hAnsi="Times New Roman" w:cs="Times New Roman"/>
                <w:bCs/>
                <w:color w:val="auto"/>
                <w:sz w:val="24"/>
              </w:rPr>
              <w:t>浮洗废水W</w:t>
            </w:r>
            <w:r>
              <w:rPr>
                <w:rFonts w:hint="eastAsia" w:cs="Times New Roman"/>
                <w:bCs/>
                <w:color w:val="auto"/>
                <w:sz w:val="24"/>
                <w:lang w:val="en-US" w:eastAsia="zh-CN"/>
              </w:rPr>
              <w:t>1、</w:t>
            </w:r>
            <w:r>
              <w:rPr>
                <w:rFonts w:hint="default" w:ascii="Times New Roman" w:hAnsi="Times New Roman" w:cs="Times New Roman"/>
                <w:bCs/>
                <w:color w:val="auto"/>
                <w:sz w:val="24"/>
              </w:rPr>
              <w:t>清洗废水W</w:t>
            </w:r>
            <w:r>
              <w:rPr>
                <w:rFonts w:hint="eastAsia" w:cs="Times New Roman"/>
                <w:bCs/>
                <w:color w:val="auto"/>
                <w:sz w:val="24"/>
                <w:lang w:val="en-US" w:eastAsia="zh-CN"/>
              </w:rPr>
              <w:t>2、</w:t>
            </w:r>
            <w:r>
              <w:rPr>
                <w:rFonts w:hint="default" w:ascii="Times New Roman" w:hAnsi="Times New Roman" w:cs="Times New Roman"/>
                <w:bCs/>
                <w:color w:val="auto"/>
                <w:sz w:val="24"/>
              </w:rPr>
              <w:t>清洗废水W</w:t>
            </w:r>
            <w:r>
              <w:rPr>
                <w:rFonts w:hint="eastAsia" w:cs="Times New Roman"/>
                <w:bCs/>
                <w:color w:val="auto"/>
                <w:sz w:val="24"/>
                <w:lang w:val="en-US" w:eastAsia="zh-CN"/>
              </w:rPr>
              <w:t>3</w:t>
            </w:r>
            <w:r>
              <w:rPr>
                <w:rFonts w:hint="default" w:ascii="Times New Roman" w:hAnsi="Times New Roman" w:cs="Times New Roman"/>
                <w:bCs/>
                <w:color w:val="auto"/>
                <w:sz w:val="24"/>
              </w:rPr>
              <w:t>）</w:t>
            </w:r>
          </w:p>
          <w:p w14:paraId="4711FD8A">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w:t>
            </w:r>
            <w:r>
              <w:rPr>
                <w:rFonts w:hint="default" w:ascii="Times New Roman" w:hAnsi="Times New Roman" w:cs="Times New Roman"/>
                <w:bCs/>
                <w:color w:val="auto"/>
                <w:sz w:val="24"/>
              </w:rPr>
              <w:t>浮洗废水W</w:t>
            </w:r>
            <w:r>
              <w:rPr>
                <w:rFonts w:hint="eastAsia" w:cs="Times New Roman"/>
                <w:bCs/>
                <w:color w:val="auto"/>
                <w:sz w:val="24"/>
                <w:lang w:val="en-US" w:eastAsia="zh-CN"/>
              </w:rPr>
              <w:t>1</w:t>
            </w:r>
          </w:p>
          <w:p w14:paraId="04E3F6AF">
            <w:pPr>
              <w:adjustRightInd w:val="0"/>
              <w:snapToGrid w:val="0"/>
              <w:spacing w:line="360" w:lineRule="auto"/>
              <w:ind w:firstLine="480" w:firstLineChars="200"/>
              <w:rPr>
                <w:rFonts w:hint="default" w:cs="Times New Roman"/>
                <w:color w:val="auto"/>
                <w:sz w:val="24"/>
                <w:szCs w:val="24"/>
                <w:highlight w:val="none"/>
                <w:lang w:val="en-US" w:eastAsia="zh-CN"/>
              </w:rPr>
            </w:pPr>
            <w:r>
              <w:rPr>
                <w:rFonts w:hint="default" w:ascii="Times New Roman" w:hAnsi="Times New Roman" w:cs="Times New Roman"/>
                <w:color w:val="auto"/>
                <w:sz w:val="24"/>
              </w:rPr>
              <w:t>项目</w:t>
            </w:r>
            <w:r>
              <w:rPr>
                <w:rFonts w:hint="default" w:ascii="Times New Roman" w:hAnsi="Times New Roman" w:cs="Times New Roman"/>
                <w:bCs/>
                <w:color w:val="auto"/>
                <w:sz w:val="24"/>
              </w:rPr>
              <w:t>浮洗</w:t>
            </w:r>
            <w:r>
              <w:rPr>
                <w:rFonts w:hint="default" w:ascii="Times New Roman" w:hAnsi="Times New Roman" w:cs="Times New Roman"/>
                <w:color w:val="auto"/>
                <w:sz w:val="24"/>
              </w:rPr>
              <w:t>采用纯水，</w:t>
            </w:r>
            <w:r>
              <w:rPr>
                <w:rFonts w:hint="default" w:ascii="Times New Roman" w:hAnsi="Times New Roman" w:eastAsia="宋体" w:cs="Times New Roman"/>
                <w:color w:val="auto"/>
                <w:sz w:val="24"/>
                <w:szCs w:val="24"/>
                <w:highlight w:val="none"/>
                <w:lang w:val="en-US" w:eastAsia="zh-CN"/>
              </w:rPr>
              <w:t>本项目浮洗1t石英砂加入</w:t>
            </w:r>
            <w:r>
              <w:rPr>
                <w:rFonts w:hint="default" w:ascii="Times New Roman" w:hAnsi="Times New Roman" w:eastAsia="宋体" w:cs="Times New Roman"/>
                <w:color w:val="auto"/>
                <w:sz w:val="24"/>
                <w:szCs w:val="24"/>
                <w:highlight w:val="none"/>
              </w:rPr>
              <w:t>浮洗剂</w:t>
            </w:r>
            <w:r>
              <w:rPr>
                <w:rFonts w:hint="eastAsia"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lang w:val="en-US" w:eastAsia="zh-CN"/>
              </w:rPr>
              <w:t>kg</w:t>
            </w: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浮洗过程需保持石英砂与水的比例约35%，即1t石英砂浮洗需2.8t纯水，损耗约10%，</w:t>
            </w:r>
            <w:r>
              <w:rPr>
                <w:rFonts w:hint="eastAsia"/>
                <w:color w:val="auto"/>
                <w:kern w:val="0"/>
                <w:sz w:val="24"/>
                <w:highlight w:val="none"/>
                <w:lang w:val="en-US" w:eastAsia="zh-CN" w:bidi="ar"/>
              </w:rPr>
              <w:t>故2000t产品</w:t>
            </w:r>
            <w:r>
              <w:rPr>
                <w:rFonts w:hint="eastAsia" w:ascii="Times New Roman" w:hAnsi="Times New Roman" w:eastAsia="宋体" w:cs="Times New Roman"/>
                <w:color w:val="auto"/>
                <w:sz w:val="24"/>
                <w:szCs w:val="24"/>
                <w:highlight w:val="none"/>
                <w:lang w:val="en-US" w:eastAsia="zh-CN"/>
              </w:rPr>
              <w:t>浮洗</w:t>
            </w:r>
            <w:r>
              <w:rPr>
                <w:rFonts w:hint="eastAsia"/>
                <w:color w:val="auto"/>
                <w:kern w:val="0"/>
                <w:sz w:val="24"/>
                <w:highlight w:val="none"/>
                <w:lang w:val="en-US" w:eastAsia="zh-CN" w:bidi="ar"/>
              </w:rPr>
              <w:t>废水W1约5000t/a，</w:t>
            </w:r>
            <w:r>
              <w:rPr>
                <w:rFonts w:hint="default" w:ascii="Times New Roman" w:hAnsi="Times New Roman" w:cs="Times New Roman"/>
                <w:bCs/>
                <w:color w:val="auto"/>
                <w:sz w:val="24"/>
              </w:rPr>
              <w:t>污染物浓度</w:t>
            </w:r>
            <w:r>
              <w:rPr>
                <w:rFonts w:hint="default" w:ascii="Times New Roman" w:hAnsi="Times New Roman" w:cs="Times New Roman"/>
                <w:color w:val="auto"/>
                <w:sz w:val="24"/>
              </w:rPr>
              <w:t>CODcr</w:t>
            </w:r>
            <w:r>
              <w:rPr>
                <w:rFonts w:hint="eastAsia" w:cs="Times New Roman"/>
                <w:color w:val="auto"/>
                <w:sz w:val="24"/>
                <w:lang w:val="en-US" w:eastAsia="zh-CN"/>
              </w:rPr>
              <w:t>8</w:t>
            </w:r>
            <w:r>
              <w:rPr>
                <w:rFonts w:hint="default" w:ascii="Times New Roman" w:hAnsi="Times New Roman" w:cs="Times New Roman"/>
                <w:color w:val="auto"/>
                <w:sz w:val="24"/>
              </w:rPr>
              <w:t>0</w:t>
            </w:r>
            <w:r>
              <w:rPr>
                <w:rFonts w:hint="eastAsia" w:cs="Times New Roman"/>
                <w:color w:val="auto"/>
                <w:sz w:val="24"/>
                <w:lang w:val="en-US" w:eastAsia="zh-CN"/>
              </w:rPr>
              <w:t>0</w:t>
            </w:r>
            <w:r>
              <w:rPr>
                <w:rFonts w:hint="default" w:ascii="Times New Roman" w:hAnsi="Times New Roman" w:cs="Times New Roman"/>
                <w:color w:val="auto"/>
                <w:sz w:val="24"/>
              </w:rPr>
              <w:t>mg/L、SS</w:t>
            </w:r>
            <w:r>
              <w:rPr>
                <w:rFonts w:hint="eastAsia" w:cs="Times New Roman"/>
                <w:color w:val="auto"/>
                <w:sz w:val="24"/>
                <w:lang w:val="en-US" w:eastAsia="zh-CN"/>
              </w:rPr>
              <w:t>8</w:t>
            </w:r>
            <w:r>
              <w:rPr>
                <w:rFonts w:hint="default" w:ascii="Times New Roman" w:hAnsi="Times New Roman" w:cs="Times New Roman"/>
                <w:color w:val="auto"/>
                <w:sz w:val="24"/>
              </w:rPr>
              <w:t>00mg/L、Cl</w:t>
            </w:r>
            <w:r>
              <w:rPr>
                <w:rFonts w:hint="default" w:ascii="Times New Roman" w:hAnsi="Times New Roman" w:cs="Times New Roman"/>
                <w:color w:val="auto"/>
                <w:sz w:val="24"/>
                <w:vertAlign w:val="superscript"/>
              </w:rPr>
              <w:t>-</w:t>
            </w:r>
            <w:r>
              <w:rPr>
                <w:rFonts w:hint="eastAsia" w:cs="Times New Roman"/>
                <w:color w:val="auto"/>
                <w:sz w:val="24"/>
                <w:lang w:val="en-US" w:eastAsia="zh-CN"/>
              </w:rPr>
              <w:t>5</w:t>
            </w:r>
            <w:r>
              <w:rPr>
                <w:rFonts w:hint="default" w:ascii="Times New Roman" w:hAnsi="Times New Roman" w:cs="Times New Roman"/>
                <w:color w:val="auto"/>
                <w:sz w:val="24"/>
              </w:rPr>
              <w:t>0mg/L</w:t>
            </w:r>
            <w:r>
              <w:rPr>
                <w:rFonts w:hint="default" w:ascii="Times New Roman" w:hAnsi="Times New Roman" w:cs="Times New Roman"/>
                <w:color w:val="auto"/>
                <w:sz w:val="24"/>
                <w:szCs w:val="24"/>
              </w:rPr>
              <w:t>、氨氮</w:t>
            </w:r>
            <w:r>
              <w:rPr>
                <w:rFonts w:hint="eastAsia" w:cs="Times New Roman"/>
                <w:color w:val="auto"/>
                <w:sz w:val="24"/>
                <w:szCs w:val="24"/>
                <w:lang w:val="en-US" w:eastAsia="zh-CN"/>
              </w:rPr>
              <w:t>5</w:t>
            </w:r>
            <w:r>
              <w:rPr>
                <w:rFonts w:hint="default" w:ascii="Times New Roman" w:hAnsi="Times New Roman" w:cs="Times New Roman"/>
                <w:color w:val="auto"/>
                <w:sz w:val="24"/>
                <w:szCs w:val="24"/>
              </w:rPr>
              <w:t>mg/L、总氮</w:t>
            </w:r>
            <w:r>
              <w:rPr>
                <w:rFonts w:hint="eastAsia" w:cs="Times New Roman"/>
                <w:color w:val="auto"/>
                <w:sz w:val="24"/>
                <w:szCs w:val="24"/>
                <w:lang w:val="en-US" w:eastAsia="zh-CN"/>
              </w:rPr>
              <w:t>4</w:t>
            </w:r>
            <w:r>
              <w:rPr>
                <w:rFonts w:hint="default" w:ascii="Times New Roman" w:hAnsi="Times New Roman" w:cs="Times New Roman"/>
                <w:color w:val="auto"/>
                <w:sz w:val="24"/>
                <w:szCs w:val="24"/>
              </w:rPr>
              <w:t>0mg/L</w:t>
            </w:r>
            <w:r>
              <w:rPr>
                <w:rFonts w:hint="default" w:ascii="Times New Roman" w:hAnsi="Times New Roman" w:cs="Times New Roman"/>
                <w:color w:val="auto"/>
                <w:sz w:val="24"/>
              </w:rPr>
              <w:t>、LAS</w:t>
            </w:r>
            <w:r>
              <w:rPr>
                <w:rFonts w:hint="eastAsia" w:cs="Times New Roman"/>
                <w:color w:val="auto"/>
                <w:sz w:val="24"/>
                <w:lang w:val="en-US" w:eastAsia="zh-CN"/>
              </w:rPr>
              <w:t>30</w:t>
            </w:r>
            <w:r>
              <w:rPr>
                <w:rFonts w:hint="default" w:ascii="Times New Roman" w:hAnsi="Times New Roman" w:cs="Times New Roman"/>
                <w:color w:val="auto"/>
                <w:sz w:val="24"/>
              </w:rPr>
              <w:t>mg/L</w:t>
            </w:r>
            <w:r>
              <w:rPr>
                <w:rFonts w:hint="eastAsia" w:cs="Times New Roman"/>
                <w:color w:val="auto"/>
                <w:sz w:val="24"/>
                <w:lang w:eastAsia="zh-CN"/>
              </w:rPr>
              <w:t>、</w:t>
            </w:r>
            <w:r>
              <w:rPr>
                <w:rFonts w:hint="eastAsia" w:cs="Times New Roman"/>
                <w:color w:val="auto"/>
                <w:sz w:val="24"/>
                <w:lang w:val="en-US" w:eastAsia="zh-CN"/>
              </w:rPr>
              <w:t>全盐量100</w:t>
            </w:r>
            <w:r>
              <w:rPr>
                <w:rFonts w:hint="default" w:ascii="Times New Roman" w:hAnsi="Times New Roman" w:cs="Times New Roman"/>
                <w:color w:val="auto"/>
                <w:sz w:val="24"/>
              </w:rPr>
              <w:t>mg/L。</w:t>
            </w:r>
          </w:p>
          <w:p w14:paraId="0D0EFA05">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w:t>
            </w:r>
            <w:r>
              <w:rPr>
                <w:rFonts w:hint="default" w:ascii="Times New Roman" w:hAnsi="Times New Roman" w:cs="Times New Roman"/>
                <w:bCs/>
                <w:color w:val="auto"/>
                <w:sz w:val="24"/>
              </w:rPr>
              <w:t>清洗废水W</w:t>
            </w:r>
            <w:r>
              <w:rPr>
                <w:rFonts w:hint="eastAsia" w:cs="Times New Roman"/>
                <w:bCs/>
                <w:color w:val="auto"/>
                <w:sz w:val="24"/>
                <w:lang w:val="en-US" w:eastAsia="zh-CN"/>
              </w:rPr>
              <w:t>2、</w:t>
            </w:r>
            <w:r>
              <w:rPr>
                <w:rFonts w:hint="default" w:ascii="Times New Roman" w:hAnsi="Times New Roman" w:cs="Times New Roman"/>
                <w:bCs/>
                <w:color w:val="auto"/>
                <w:sz w:val="24"/>
              </w:rPr>
              <w:t>清洗废水W</w:t>
            </w:r>
            <w:r>
              <w:rPr>
                <w:rFonts w:hint="eastAsia" w:cs="Times New Roman"/>
                <w:bCs/>
                <w:color w:val="auto"/>
                <w:sz w:val="24"/>
                <w:lang w:val="en-US" w:eastAsia="zh-CN"/>
              </w:rPr>
              <w:t>3</w:t>
            </w:r>
          </w:p>
          <w:p w14:paraId="22442D40">
            <w:pPr>
              <w:tabs>
                <w:tab w:val="left" w:pos="4253"/>
              </w:tabs>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浮洗后的石英砂需加纯水进行</w:t>
            </w:r>
            <w:r>
              <w:rPr>
                <w:rFonts w:hint="eastAsia" w:cs="Times New Roman"/>
                <w:color w:val="auto"/>
                <w:sz w:val="24"/>
                <w:lang w:val="en-US" w:eastAsia="zh-CN"/>
              </w:rPr>
              <w:t>水</w:t>
            </w:r>
            <w:r>
              <w:rPr>
                <w:rFonts w:hint="default" w:ascii="Times New Roman" w:hAnsi="Times New Roman" w:cs="Times New Roman"/>
                <w:color w:val="auto"/>
                <w:sz w:val="24"/>
              </w:rPr>
              <w:t>洗，直至pH为中性，</w:t>
            </w:r>
            <w:r>
              <w:rPr>
                <w:rFonts w:hint="eastAsia"/>
                <w:color w:val="auto"/>
                <w:kern w:val="0"/>
                <w:sz w:val="24"/>
                <w:highlight w:val="none"/>
                <w:lang w:val="en-US" w:eastAsia="zh-CN" w:bidi="ar"/>
              </w:rPr>
              <w:t>该道水洗废水产生量约2t/t原料，故清洗废水W2约4000t/a</w:t>
            </w:r>
            <w:r>
              <w:rPr>
                <w:rFonts w:hint="default" w:ascii="Times New Roman" w:hAnsi="Times New Roman" w:cs="Times New Roman"/>
                <w:color w:val="auto"/>
                <w:sz w:val="24"/>
              </w:rPr>
              <w:t>，</w:t>
            </w:r>
            <w:r>
              <w:rPr>
                <w:rFonts w:hint="default" w:ascii="Times New Roman" w:hAnsi="Times New Roman" w:cs="Times New Roman"/>
                <w:bCs/>
                <w:color w:val="auto"/>
                <w:sz w:val="24"/>
              </w:rPr>
              <w:t>污染物浓度</w:t>
            </w:r>
            <w:r>
              <w:rPr>
                <w:rFonts w:hint="default" w:ascii="Times New Roman" w:hAnsi="Times New Roman" w:cs="Times New Roman"/>
                <w:color w:val="auto"/>
                <w:sz w:val="24"/>
              </w:rPr>
              <w:t>CODcr</w:t>
            </w:r>
            <w:r>
              <w:rPr>
                <w:rFonts w:hint="eastAsia" w:cs="Times New Roman"/>
                <w:color w:val="auto"/>
                <w:sz w:val="24"/>
                <w:lang w:val="en-US" w:eastAsia="zh-CN"/>
              </w:rPr>
              <w:t>1</w:t>
            </w:r>
            <w:r>
              <w:rPr>
                <w:rFonts w:hint="default" w:ascii="Times New Roman" w:hAnsi="Times New Roman" w:cs="Times New Roman"/>
                <w:color w:val="auto"/>
                <w:sz w:val="24"/>
              </w:rPr>
              <w:t>0</w:t>
            </w:r>
            <w:r>
              <w:rPr>
                <w:rFonts w:hint="eastAsia" w:cs="Times New Roman"/>
                <w:color w:val="auto"/>
                <w:sz w:val="24"/>
                <w:lang w:val="en-US" w:eastAsia="zh-CN"/>
              </w:rPr>
              <w:t>0</w:t>
            </w:r>
            <w:r>
              <w:rPr>
                <w:rFonts w:hint="default" w:ascii="Times New Roman" w:hAnsi="Times New Roman" w:cs="Times New Roman"/>
                <w:color w:val="auto"/>
                <w:sz w:val="24"/>
              </w:rPr>
              <w:t>mg/L、SS</w:t>
            </w:r>
            <w:r>
              <w:rPr>
                <w:rFonts w:hint="eastAsia" w:cs="Times New Roman"/>
                <w:color w:val="auto"/>
                <w:sz w:val="24"/>
                <w:lang w:val="en-US" w:eastAsia="zh-CN"/>
              </w:rPr>
              <w:t>4</w:t>
            </w:r>
            <w:r>
              <w:rPr>
                <w:rFonts w:hint="default" w:ascii="Times New Roman" w:hAnsi="Times New Roman" w:cs="Times New Roman"/>
                <w:color w:val="auto"/>
                <w:sz w:val="24"/>
              </w:rPr>
              <w:t>00mg/L</w:t>
            </w:r>
            <w:r>
              <w:rPr>
                <w:rFonts w:hint="default" w:ascii="Times New Roman" w:hAnsi="Times New Roman" w:cs="Times New Roman"/>
                <w:color w:val="auto"/>
                <w:sz w:val="24"/>
                <w:szCs w:val="24"/>
              </w:rPr>
              <w:t>、氨氮</w:t>
            </w:r>
            <w:r>
              <w:rPr>
                <w:rFonts w:hint="eastAsia" w:cs="Times New Roman"/>
                <w:color w:val="auto"/>
                <w:sz w:val="24"/>
                <w:szCs w:val="24"/>
                <w:lang w:val="en-US" w:eastAsia="zh-CN"/>
              </w:rPr>
              <w:t>2</w:t>
            </w:r>
            <w:r>
              <w:rPr>
                <w:rFonts w:hint="default" w:ascii="Times New Roman" w:hAnsi="Times New Roman" w:cs="Times New Roman"/>
                <w:color w:val="auto"/>
                <w:sz w:val="24"/>
                <w:szCs w:val="24"/>
              </w:rPr>
              <w:t>mg/L、总氮</w:t>
            </w:r>
            <w:r>
              <w:rPr>
                <w:rFonts w:hint="eastAsia" w:cs="Times New Roman"/>
                <w:color w:val="auto"/>
                <w:sz w:val="24"/>
                <w:szCs w:val="24"/>
                <w:lang w:val="en-US" w:eastAsia="zh-CN"/>
              </w:rPr>
              <w:t>20</w:t>
            </w:r>
            <w:r>
              <w:rPr>
                <w:rFonts w:hint="default" w:ascii="Times New Roman" w:hAnsi="Times New Roman" w:cs="Times New Roman"/>
                <w:color w:val="auto"/>
                <w:sz w:val="24"/>
                <w:szCs w:val="24"/>
              </w:rPr>
              <w:t>mg/L</w:t>
            </w:r>
            <w:r>
              <w:rPr>
                <w:rFonts w:hint="default" w:ascii="Times New Roman" w:hAnsi="Times New Roman" w:cs="Times New Roman"/>
                <w:color w:val="auto"/>
                <w:sz w:val="24"/>
              </w:rPr>
              <w:t>、LAS</w:t>
            </w:r>
            <w:r>
              <w:rPr>
                <w:rFonts w:hint="eastAsia" w:cs="Times New Roman"/>
                <w:color w:val="auto"/>
                <w:sz w:val="24"/>
                <w:lang w:val="en-US" w:eastAsia="zh-CN"/>
              </w:rPr>
              <w:t>15</w:t>
            </w:r>
            <w:r>
              <w:rPr>
                <w:rFonts w:hint="default" w:ascii="Times New Roman" w:hAnsi="Times New Roman" w:cs="Times New Roman"/>
                <w:color w:val="auto"/>
                <w:sz w:val="24"/>
              </w:rPr>
              <w:t>mg/L</w:t>
            </w:r>
            <w:r>
              <w:rPr>
                <w:rFonts w:hint="eastAsia" w:cs="Times New Roman"/>
                <w:color w:val="auto"/>
                <w:sz w:val="24"/>
                <w:lang w:eastAsia="zh-CN"/>
              </w:rPr>
              <w:t>、</w:t>
            </w:r>
            <w:r>
              <w:rPr>
                <w:rFonts w:hint="default" w:ascii="Times New Roman" w:hAnsi="Times New Roman" w:cs="Times New Roman"/>
                <w:color w:val="auto"/>
                <w:sz w:val="24"/>
              </w:rPr>
              <w:t>Cl</w:t>
            </w:r>
            <w:r>
              <w:rPr>
                <w:rFonts w:hint="default" w:ascii="Times New Roman" w:hAnsi="Times New Roman" w:cs="Times New Roman"/>
                <w:color w:val="auto"/>
                <w:sz w:val="24"/>
                <w:vertAlign w:val="superscript"/>
              </w:rPr>
              <w:t>-</w:t>
            </w:r>
            <w:r>
              <w:rPr>
                <w:rFonts w:hint="eastAsia" w:cs="Times New Roman"/>
                <w:color w:val="auto"/>
                <w:sz w:val="24"/>
                <w:lang w:val="en-US" w:eastAsia="zh-CN"/>
              </w:rPr>
              <w:t>20</w:t>
            </w:r>
            <w:r>
              <w:rPr>
                <w:rFonts w:hint="default" w:ascii="Times New Roman" w:hAnsi="Times New Roman" w:cs="Times New Roman"/>
                <w:color w:val="auto"/>
                <w:sz w:val="24"/>
              </w:rPr>
              <w:t>mg/L</w:t>
            </w:r>
            <w:r>
              <w:rPr>
                <w:rFonts w:hint="default" w:ascii="Times New Roman" w:hAnsi="Times New Roman" w:cs="Times New Roman"/>
                <w:color w:val="auto"/>
                <w:sz w:val="24"/>
                <w:szCs w:val="24"/>
              </w:rPr>
              <w:t>、</w:t>
            </w:r>
            <w:r>
              <w:rPr>
                <w:rFonts w:hint="eastAsia" w:cs="Times New Roman"/>
                <w:color w:val="auto"/>
                <w:sz w:val="24"/>
                <w:lang w:val="en-US" w:eastAsia="zh-CN"/>
              </w:rPr>
              <w:t>全盐量40</w:t>
            </w:r>
            <w:r>
              <w:rPr>
                <w:rFonts w:hint="default" w:ascii="Times New Roman" w:hAnsi="Times New Roman" w:cs="Times New Roman"/>
                <w:color w:val="auto"/>
                <w:sz w:val="24"/>
              </w:rPr>
              <w:t>mg/L。</w:t>
            </w:r>
          </w:p>
          <w:p w14:paraId="3EA9A854">
            <w:pPr>
              <w:tabs>
                <w:tab w:val="left" w:pos="4253"/>
              </w:tabs>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项目酸洗后废酸进入废酸罐作为固废处置，酸洗后的石英砂进入清洗环节，项目</w:t>
            </w:r>
            <w:r>
              <w:rPr>
                <w:rFonts w:hint="default" w:ascii="Times New Roman" w:hAnsi="Times New Roman" w:cs="Times New Roman"/>
                <w:bCs/>
                <w:color w:val="auto"/>
                <w:sz w:val="24"/>
              </w:rPr>
              <w:t>清洗</w:t>
            </w:r>
            <w:r>
              <w:rPr>
                <w:rFonts w:hint="default" w:ascii="Times New Roman" w:hAnsi="Times New Roman" w:cs="Times New Roman"/>
                <w:color w:val="auto"/>
                <w:sz w:val="24"/>
              </w:rPr>
              <w:t>采用纯水，每年需清洗石英砂量2000t，</w:t>
            </w:r>
            <w:r>
              <w:rPr>
                <w:rFonts w:hint="default" w:ascii="Times New Roman" w:hAnsi="Times New Roman" w:eastAsia="宋体" w:cs="Times New Roman"/>
                <w:color w:val="auto"/>
                <w:sz w:val="24"/>
                <w:szCs w:val="24"/>
                <w:highlight w:val="none"/>
              </w:rPr>
              <w:t>清洗废水量与石英砂清洗量约</w:t>
            </w:r>
            <w:r>
              <w:rPr>
                <w:rFonts w:hint="eastAsia"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rPr>
              <w:t>:1，因此清洗</w:t>
            </w:r>
            <w:r>
              <w:rPr>
                <w:rFonts w:hint="default" w:ascii="Times New Roman" w:hAnsi="Times New Roman" w:eastAsia="宋体" w:cs="Times New Roman"/>
                <w:bCs/>
                <w:color w:val="auto"/>
                <w:sz w:val="24"/>
                <w:szCs w:val="24"/>
                <w:highlight w:val="none"/>
              </w:rPr>
              <w:t>废水</w:t>
            </w:r>
            <w:r>
              <w:rPr>
                <w:rFonts w:hint="default" w:ascii="Times New Roman" w:hAnsi="Times New Roman" w:eastAsia="宋体" w:cs="Times New Roman"/>
                <w:color w:val="auto"/>
                <w:sz w:val="24"/>
                <w:szCs w:val="24"/>
                <w:highlight w:val="none"/>
              </w:rPr>
              <w:t>量约</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r>
              <w:rPr>
                <w:rFonts w:hint="default" w:ascii="Times New Roman" w:hAnsi="Times New Roman" w:cs="Times New Roman"/>
                <w:color w:val="auto"/>
                <w:sz w:val="24"/>
              </w:rPr>
              <w:t>，</w:t>
            </w:r>
            <w:r>
              <w:rPr>
                <w:rFonts w:hint="default" w:ascii="Times New Roman" w:hAnsi="Times New Roman" w:cs="Times New Roman"/>
                <w:bCs/>
                <w:color w:val="auto"/>
                <w:sz w:val="24"/>
              </w:rPr>
              <w:t>污染物浓度</w:t>
            </w:r>
            <w:r>
              <w:rPr>
                <w:rFonts w:hint="default" w:ascii="Times New Roman" w:hAnsi="Times New Roman" w:cs="Times New Roman"/>
                <w:color w:val="auto"/>
                <w:sz w:val="24"/>
              </w:rPr>
              <w:t>CODcr</w:t>
            </w:r>
            <w:r>
              <w:rPr>
                <w:rFonts w:hint="eastAsia" w:cs="Times New Roman"/>
                <w:color w:val="auto"/>
                <w:sz w:val="24"/>
                <w:lang w:val="en-US" w:eastAsia="zh-CN"/>
              </w:rPr>
              <w:t>1</w:t>
            </w:r>
            <w:r>
              <w:rPr>
                <w:rFonts w:hint="default" w:ascii="Times New Roman" w:hAnsi="Times New Roman" w:cs="Times New Roman"/>
                <w:color w:val="auto"/>
                <w:sz w:val="24"/>
              </w:rPr>
              <w:t>0</w:t>
            </w:r>
            <w:r>
              <w:rPr>
                <w:rFonts w:hint="eastAsia" w:cs="Times New Roman"/>
                <w:color w:val="auto"/>
                <w:sz w:val="24"/>
                <w:lang w:val="en-US" w:eastAsia="zh-CN"/>
              </w:rPr>
              <w:t>0</w:t>
            </w:r>
            <w:r>
              <w:rPr>
                <w:rFonts w:hint="default" w:ascii="Times New Roman" w:hAnsi="Times New Roman" w:cs="Times New Roman"/>
                <w:color w:val="auto"/>
                <w:sz w:val="24"/>
              </w:rPr>
              <w:t>mg/L、SS</w:t>
            </w:r>
            <w:r>
              <w:rPr>
                <w:rFonts w:hint="eastAsia" w:cs="Times New Roman"/>
                <w:color w:val="auto"/>
                <w:sz w:val="24"/>
                <w:lang w:val="en-US" w:eastAsia="zh-CN"/>
              </w:rPr>
              <w:t>5</w:t>
            </w:r>
            <w:r>
              <w:rPr>
                <w:rFonts w:hint="default" w:ascii="Times New Roman" w:hAnsi="Times New Roman" w:cs="Times New Roman"/>
                <w:color w:val="auto"/>
                <w:sz w:val="24"/>
              </w:rPr>
              <w:t>00mg/L、Cl</w:t>
            </w:r>
            <w:r>
              <w:rPr>
                <w:rFonts w:hint="default" w:ascii="Times New Roman" w:hAnsi="Times New Roman" w:cs="Times New Roman"/>
                <w:color w:val="auto"/>
                <w:sz w:val="24"/>
                <w:vertAlign w:val="superscript"/>
              </w:rPr>
              <w:t>-</w:t>
            </w:r>
            <w:r>
              <w:rPr>
                <w:rFonts w:hint="eastAsia" w:cs="Times New Roman"/>
                <w:color w:val="auto"/>
                <w:sz w:val="24"/>
                <w:lang w:val="en-US" w:eastAsia="zh-CN"/>
              </w:rPr>
              <w:t>2000</w:t>
            </w:r>
            <w:r>
              <w:rPr>
                <w:rFonts w:hint="default" w:ascii="Times New Roman" w:hAnsi="Times New Roman" w:cs="Times New Roman"/>
                <w:color w:val="auto"/>
                <w:sz w:val="24"/>
              </w:rPr>
              <w:t>mg/L</w:t>
            </w:r>
            <w:r>
              <w:rPr>
                <w:rFonts w:hint="default" w:ascii="Times New Roman" w:hAnsi="Times New Roman" w:cs="Times New Roman"/>
                <w:color w:val="auto"/>
                <w:sz w:val="24"/>
                <w:szCs w:val="24"/>
              </w:rPr>
              <w:t>、氨氮</w:t>
            </w:r>
            <w:r>
              <w:rPr>
                <w:rFonts w:hint="eastAsia" w:cs="Times New Roman"/>
                <w:color w:val="auto"/>
                <w:sz w:val="24"/>
                <w:szCs w:val="24"/>
                <w:lang w:val="en-US" w:eastAsia="zh-CN"/>
              </w:rPr>
              <w:t>5</w:t>
            </w:r>
            <w:r>
              <w:rPr>
                <w:rFonts w:hint="default" w:ascii="Times New Roman" w:hAnsi="Times New Roman" w:cs="Times New Roman"/>
                <w:color w:val="auto"/>
                <w:sz w:val="24"/>
                <w:szCs w:val="24"/>
              </w:rPr>
              <w:t>mg/L、总氮</w:t>
            </w:r>
            <w:r>
              <w:rPr>
                <w:rFonts w:hint="eastAsia" w:cs="Times New Roman"/>
                <w:color w:val="auto"/>
                <w:sz w:val="24"/>
                <w:szCs w:val="24"/>
                <w:lang w:val="en-US" w:eastAsia="zh-CN"/>
              </w:rPr>
              <w:t>4</w:t>
            </w:r>
            <w:r>
              <w:rPr>
                <w:rFonts w:hint="default" w:ascii="Times New Roman" w:hAnsi="Times New Roman" w:cs="Times New Roman"/>
                <w:color w:val="auto"/>
                <w:sz w:val="24"/>
                <w:szCs w:val="24"/>
              </w:rPr>
              <w:t>0mg/L</w:t>
            </w:r>
            <w:r>
              <w:rPr>
                <w:rFonts w:hint="default" w:ascii="Times New Roman" w:hAnsi="Times New Roman" w:cs="Times New Roman"/>
                <w:color w:val="auto"/>
                <w:sz w:val="24"/>
              </w:rPr>
              <w:t>、氟化物</w:t>
            </w:r>
            <w:r>
              <w:rPr>
                <w:rFonts w:hint="eastAsia" w:cs="Times New Roman"/>
                <w:color w:val="auto"/>
                <w:sz w:val="24"/>
                <w:lang w:val="en-US" w:eastAsia="zh-CN"/>
              </w:rPr>
              <w:t>400</w:t>
            </w:r>
            <w:r>
              <w:rPr>
                <w:rFonts w:hint="default" w:ascii="Times New Roman" w:hAnsi="Times New Roman" w:cs="Times New Roman"/>
                <w:color w:val="auto"/>
                <w:sz w:val="24"/>
              </w:rPr>
              <w:t>mg/L</w:t>
            </w:r>
            <w:r>
              <w:rPr>
                <w:rFonts w:hint="eastAsia" w:cs="Times New Roman"/>
                <w:color w:val="auto"/>
                <w:sz w:val="24"/>
                <w:lang w:eastAsia="zh-CN"/>
              </w:rPr>
              <w:t>、</w:t>
            </w:r>
            <w:r>
              <w:rPr>
                <w:rFonts w:hint="eastAsia" w:cs="Times New Roman"/>
                <w:color w:val="auto"/>
                <w:sz w:val="24"/>
                <w:lang w:val="en-US" w:eastAsia="zh-CN"/>
              </w:rPr>
              <w:t>全盐量3500</w:t>
            </w:r>
            <w:r>
              <w:rPr>
                <w:rFonts w:hint="default" w:ascii="Times New Roman" w:hAnsi="Times New Roman" w:cs="Times New Roman"/>
                <w:color w:val="auto"/>
                <w:sz w:val="24"/>
              </w:rPr>
              <w:t>mg/L。</w:t>
            </w:r>
          </w:p>
          <w:p w14:paraId="3C2DC4AE">
            <w:pPr>
              <w:snapToGrid w:val="0"/>
              <w:spacing w:line="360" w:lineRule="auto"/>
              <w:ind w:firstLine="480" w:firstLineChars="200"/>
              <w:rPr>
                <w:rFonts w:hint="eastAsia" w:ascii="Times New Roman" w:hAnsi="Times New Roman" w:eastAsia="宋体" w:cs="Times New Roman"/>
                <w:color w:val="auto"/>
                <w:sz w:val="24"/>
                <w:lang w:eastAsia="zh-CN"/>
              </w:rPr>
            </w:pPr>
            <w:r>
              <w:rPr>
                <w:rFonts w:hint="default" w:ascii="Times New Roman" w:hAnsi="Times New Roman" w:cs="Times New Roman"/>
                <w:color w:val="auto"/>
                <w:sz w:val="24"/>
              </w:rPr>
              <w:t>（</w:t>
            </w:r>
            <w:r>
              <w:rPr>
                <w:rFonts w:hint="eastAsia" w:cs="Times New Roman"/>
                <w:color w:val="auto"/>
                <w:sz w:val="24"/>
                <w:lang w:val="en-US" w:eastAsia="zh-CN"/>
              </w:rPr>
              <w:t>2</w:t>
            </w:r>
            <w:r>
              <w:rPr>
                <w:rFonts w:hint="default" w:ascii="Times New Roman" w:hAnsi="Times New Roman" w:cs="Times New Roman"/>
                <w:color w:val="auto"/>
                <w:sz w:val="24"/>
              </w:rPr>
              <w:t>）</w:t>
            </w:r>
            <w:r>
              <w:rPr>
                <w:rFonts w:hint="eastAsia" w:cs="Times New Roman"/>
                <w:bCs/>
                <w:color w:val="auto"/>
                <w:sz w:val="24"/>
                <w:lang w:eastAsia="zh-CN"/>
              </w:rPr>
              <w:t>拖洗废水</w:t>
            </w:r>
          </w:p>
          <w:p w14:paraId="4AEDA1B9">
            <w:pPr>
              <w:pStyle w:val="9"/>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为确保工作场地干净整洁，建设单位需对</w:t>
            </w:r>
            <w:r>
              <w:rPr>
                <w:rFonts w:hint="eastAsia" w:cs="Times New Roman"/>
                <w:color w:val="auto"/>
                <w:sz w:val="24"/>
                <w:szCs w:val="24"/>
                <w:lang w:val="en-US" w:eastAsia="zh-CN"/>
              </w:rPr>
              <w:t>主要生产</w:t>
            </w:r>
            <w:r>
              <w:rPr>
                <w:rFonts w:hint="default" w:ascii="Times New Roman" w:hAnsi="Times New Roman" w:cs="Times New Roman"/>
                <w:color w:val="auto"/>
                <w:sz w:val="24"/>
                <w:szCs w:val="24"/>
              </w:rPr>
              <w:t>车间地面进行清洗。</w:t>
            </w:r>
            <w:r>
              <w:rPr>
                <w:rFonts w:hint="eastAsia" w:cs="Times New Roman"/>
                <w:color w:val="auto"/>
                <w:sz w:val="24"/>
                <w:szCs w:val="24"/>
                <w:lang w:val="en-US" w:eastAsia="zh-CN"/>
              </w:rPr>
              <w:t>参考</w:t>
            </w:r>
            <w:r>
              <w:rPr>
                <w:rFonts w:hint="default" w:ascii="Times New Roman" w:hAnsi="Times New Roman" w:cs="Times New Roman"/>
                <w:color w:val="auto"/>
                <w:sz w:val="24"/>
                <w:szCs w:val="24"/>
              </w:rPr>
              <w:t>《清洁生产标准 机械行业》（HJ 2303-2018）附录B规定：机械加工车间地面冲洗水耗应≤5 L/m²·次</w:t>
            </w:r>
            <w:r>
              <w:rPr>
                <w:rFonts w:hint="eastAsia" w:cs="Times New Roman"/>
                <w:color w:val="auto"/>
                <w:sz w:val="24"/>
                <w:szCs w:val="24"/>
                <w:lang w:eastAsia="zh-CN"/>
              </w:rPr>
              <w:t>，</w:t>
            </w:r>
            <w:r>
              <w:rPr>
                <w:rFonts w:hint="eastAsia" w:cs="Times New Roman"/>
                <w:color w:val="auto"/>
                <w:sz w:val="24"/>
                <w:szCs w:val="24"/>
                <w:lang w:val="en-US" w:eastAsia="zh-CN"/>
              </w:rPr>
              <w:t>每年拖洗约30次，面积约2000m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，故</w:t>
            </w:r>
            <w:r>
              <w:rPr>
                <w:rFonts w:hint="eastAsia" w:cs="Times New Roman"/>
                <w:color w:val="auto"/>
                <w:sz w:val="24"/>
                <w:szCs w:val="24"/>
                <w:lang w:eastAsia="zh-CN"/>
              </w:rPr>
              <w:t>拖洗废水</w:t>
            </w:r>
            <w:r>
              <w:rPr>
                <w:rFonts w:hint="default" w:ascii="Times New Roman" w:hAnsi="Times New Roman" w:cs="Times New Roman"/>
                <w:color w:val="auto"/>
                <w:sz w:val="24"/>
                <w:szCs w:val="24"/>
              </w:rPr>
              <w:t>产生量约产生300t/a，</w:t>
            </w:r>
            <w:r>
              <w:rPr>
                <w:rFonts w:hint="default" w:ascii="Times New Roman" w:hAnsi="Times New Roman" w:cs="Times New Roman"/>
                <w:bCs/>
                <w:color w:val="auto"/>
                <w:sz w:val="24"/>
                <w:szCs w:val="24"/>
              </w:rPr>
              <w:t>污染物浓度</w:t>
            </w:r>
            <w:r>
              <w:rPr>
                <w:rFonts w:hint="default" w:ascii="Times New Roman" w:hAnsi="Times New Roman" w:cs="Times New Roman"/>
                <w:color w:val="auto"/>
                <w:sz w:val="24"/>
                <w:szCs w:val="24"/>
              </w:rPr>
              <w:t>CODcr300mg/L、SS300mg/L、氨氮20mg/L、总氮30mg/L。</w:t>
            </w:r>
          </w:p>
          <w:p w14:paraId="1A8B7A03">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w:t>
            </w:r>
            <w:r>
              <w:rPr>
                <w:rFonts w:hint="eastAsia" w:cs="Times New Roman"/>
                <w:bCs/>
                <w:color w:val="auto"/>
                <w:sz w:val="24"/>
                <w:lang w:val="en-US" w:eastAsia="zh-CN"/>
              </w:rPr>
              <w:t>3</w:t>
            </w:r>
            <w:r>
              <w:rPr>
                <w:rFonts w:hint="default" w:ascii="Times New Roman" w:hAnsi="Times New Roman" w:cs="Times New Roman"/>
                <w:bCs/>
                <w:color w:val="auto"/>
                <w:sz w:val="24"/>
              </w:rPr>
              <w:t>）喷淋废水</w:t>
            </w:r>
          </w:p>
          <w:p w14:paraId="1AF44AFC">
            <w:pPr>
              <w:pStyle w:val="9"/>
              <w:spacing w:line="360" w:lineRule="auto"/>
              <w:ind w:firstLine="480" w:firstLineChars="200"/>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采用自来水，根据建设单位提供资料，废气处理装置补充用水量为</w:t>
            </w:r>
            <w:r>
              <w:rPr>
                <w:rFonts w:hint="eastAsia" w:cs="Times New Roman"/>
                <w:color w:val="auto"/>
                <w:sz w:val="24"/>
                <w:szCs w:val="24"/>
                <w:lang w:val="en-US" w:eastAsia="zh-CN"/>
              </w:rPr>
              <w:t>6000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w:t>
            </w:r>
            <w:r>
              <w:rPr>
                <w:rFonts w:hint="eastAsia" w:cs="Times New Roman"/>
                <w:color w:val="auto"/>
                <w:sz w:val="24"/>
                <w:szCs w:val="24"/>
                <w:lang w:val="en-US" w:eastAsia="zh-CN"/>
              </w:rPr>
              <w:t>a</w:t>
            </w:r>
            <w:r>
              <w:rPr>
                <w:rFonts w:hint="default" w:ascii="Times New Roman" w:hAnsi="Times New Roman" w:cs="Times New Roman"/>
                <w:color w:val="auto"/>
                <w:sz w:val="24"/>
                <w:szCs w:val="24"/>
              </w:rPr>
              <w:t>，损耗量约</w:t>
            </w:r>
            <w:r>
              <w:rPr>
                <w:rFonts w:hint="eastAsia" w:cs="Times New Roman"/>
                <w:color w:val="auto"/>
                <w:sz w:val="24"/>
                <w:szCs w:val="24"/>
                <w:lang w:val="en-US" w:eastAsia="zh-CN"/>
              </w:rPr>
              <w:t>600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w:t>
            </w:r>
            <w:r>
              <w:rPr>
                <w:rFonts w:hint="eastAsia" w:cs="Times New Roman"/>
                <w:color w:val="auto"/>
                <w:sz w:val="24"/>
                <w:szCs w:val="24"/>
                <w:lang w:val="en-US" w:eastAsia="zh-CN"/>
              </w:rPr>
              <w:t>a</w:t>
            </w:r>
            <w:r>
              <w:rPr>
                <w:rFonts w:hint="default" w:ascii="Times New Roman" w:hAnsi="Times New Roman" w:cs="Times New Roman"/>
                <w:color w:val="auto"/>
                <w:sz w:val="24"/>
                <w:szCs w:val="24"/>
              </w:rPr>
              <w:t>，则拟建项目</w:t>
            </w:r>
            <w:r>
              <w:rPr>
                <w:rFonts w:hint="default" w:ascii="Times New Roman" w:hAnsi="Times New Roman" w:cs="Times New Roman"/>
                <w:bCs/>
                <w:color w:val="auto"/>
                <w:sz w:val="24"/>
                <w:szCs w:val="24"/>
              </w:rPr>
              <w:t>喷淋废水量约</w:t>
            </w:r>
            <w:r>
              <w:rPr>
                <w:rFonts w:hint="eastAsia" w:cs="Times New Roman"/>
                <w:bCs/>
                <w:color w:val="auto"/>
                <w:sz w:val="24"/>
                <w:szCs w:val="24"/>
                <w:lang w:val="en-US" w:eastAsia="zh-CN"/>
              </w:rPr>
              <w:t>5400</w:t>
            </w:r>
            <w:r>
              <w:rPr>
                <w:rFonts w:hint="default" w:ascii="Times New Roman" w:hAnsi="Times New Roman" w:cs="Times New Roman"/>
                <w:bCs/>
                <w:color w:val="auto"/>
                <w:sz w:val="24"/>
                <w:szCs w:val="24"/>
              </w:rPr>
              <w:t>t/a，污染物浓度</w:t>
            </w:r>
            <w:r>
              <w:rPr>
                <w:rFonts w:hint="default" w:ascii="Times New Roman" w:hAnsi="Times New Roman" w:cs="Times New Roman"/>
                <w:color w:val="auto"/>
                <w:sz w:val="24"/>
              </w:rPr>
              <w:t>CODcr</w:t>
            </w:r>
            <w:r>
              <w:rPr>
                <w:rFonts w:hint="default" w:ascii="Times New Roman" w:hAnsi="Times New Roman" w:cs="Times New Roman"/>
                <w:bCs/>
                <w:color w:val="auto"/>
                <w:sz w:val="24"/>
                <w:szCs w:val="24"/>
              </w:rPr>
              <w:t>200mg/L、SS为</w:t>
            </w:r>
            <w:r>
              <w:rPr>
                <w:rFonts w:hint="eastAsia" w:cs="Times New Roman"/>
                <w:bCs/>
                <w:color w:val="auto"/>
                <w:sz w:val="24"/>
                <w:szCs w:val="24"/>
                <w:lang w:val="en-US" w:eastAsia="zh-CN"/>
              </w:rPr>
              <w:t>300</w:t>
            </w:r>
            <w:r>
              <w:rPr>
                <w:rFonts w:hint="default" w:ascii="Times New Roman" w:hAnsi="Times New Roman" w:cs="Times New Roman"/>
                <w:bCs/>
                <w:color w:val="auto"/>
                <w:sz w:val="24"/>
                <w:szCs w:val="24"/>
              </w:rPr>
              <w:t>mg/L、氟化物为</w:t>
            </w:r>
            <w:r>
              <w:rPr>
                <w:rFonts w:hint="eastAsia" w:cs="Times New Roman"/>
                <w:bCs/>
                <w:color w:val="auto"/>
                <w:sz w:val="24"/>
                <w:szCs w:val="24"/>
                <w:lang w:val="en-US" w:eastAsia="zh-CN"/>
              </w:rPr>
              <w:t>50</w:t>
            </w:r>
            <w:r>
              <w:rPr>
                <w:rFonts w:hint="default" w:ascii="Times New Roman" w:hAnsi="Times New Roman" w:cs="Times New Roman"/>
                <w:bCs/>
                <w:color w:val="auto"/>
                <w:sz w:val="24"/>
                <w:szCs w:val="24"/>
              </w:rPr>
              <w:t>mg/L、Cl</w:t>
            </w:r>
            <w:r>
              <w:rPr>
                <w:rFonts w:hint="default" w:ascii="Times New Roman" w:hAnsi="Times New Roman" w:cs="Times New Roman"/>
                <w:bCs/>
                <w:color w:val="auto"/>
                <w:sz w:val="24"/>
                <w:szCs w:val="24"/>
                <w:vertAlign w:val="superscript"/>
              </w:rPr>
              <w:t>-</w:t>
            </w:r>
            <w:r>
              <w:rPr>
                <w:rFonts w:hint="default" w:ascii="Times New Roman" w:hAnsi="Times New Roman" w:cs="Times New Roman"/>
                <w:bCs/>
                <w:color w:val="auto"/>
                <w:sz w:val="24"/>
                <w:szCs w:val="24"/>
              </w:rPr>
              <w:t>为</w:t>
            </w:r>
            <w:r>
              <w:rPr>
                <w:rFonts w:hint="eastAsia" w:cs="Times New Roman"/>
                <w:bCs/>
                <w:color w:val="auto"/>
                <w:sz w:val="24"/>
                <w:szCs w:val="24"/>
                <w:lang w:val="en-US" w:eastAsia="zh-CN"/>
              </w:rPr>
              <w:t>4</w:t>
            </w:r>
            <w:r>
              <w:rPr>
                <w:rFonts w:hint="default" w:ascii="Times New Roman" w:hAnsi="Times New Roman" w:cs="Times New Roman"/>
                <w:bCs/>
                <w:color w:val="auto"/>
                <w:sz w:val="24"/>
                <w:szCs w:val="24"/>
              </w:rPr>
              <w:t>000mg/L</w:t>
            </w:r>
            <w:r>
              <w:rPr>
                <w:rFonts w:hint="eastAsia" w:cs="Times New Roman"/>
                <w:color w:val="auto"/>
                <w:sz w:val="24"/>
                <w:lang w:eastAsia="zh-CN"/>
              </w:rPr>
              <w:t>、</w:t>
            </w:r>
            <w:r>
              <w:rPr>
                <w:rFonts w:hint="eastAsia" w:cs="Times New Roman"/>
                <w:color w:val="auto"/>
                <w:sz w:val="24"/>
                <w:lang w:val="en-US" w:eastAsia="zh-CN"/>
              </w:rPr>
              <w:t>全盐量6000</w:t>
            </w:r>
            <w:r>
              <w:rPr>
                <w:rFonts w:hint="default" w:ascii="Times New Roman" w:hAnsi="Times New Roman" w:cs="Times New Roman"/>
                <w:color w:val="auto"/>
                <w:sz w:val="24"/>
              </w:rPr>
              <w:t>mg/L</w:t>
            </w:r>
            <w:r>
              <w:rPr>
                <w:rFonts w:hint="default" w:ascii="Times New Roman" w:hAnsi="Times New Roman" w:cs="Times New Roman"/>
                <w:bCs/>
                <w:color w:val="auto"/>
                <w:sz w:val="24"/>
                <w:szCs w:val="24"/>
              </w:rPr>
              <w:t>。</w:t>
            </w:r>
          </w:p>
          <w:p w14:paraId="4E879F1F">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w:t>
            </w:r>
            <w:r>
              <w:rPr>
                <w:rFonts w:hint="eastAsia" w:cs="Times New Roman"/>
                <w:bCs/>
                <w:color w:val="auto"/>
                <w:sz w:val="24"/>
                <w:lang w:val="en-US" w:eastAsia="zh-CN"/>
              </w:rPr>
              <w:t>4</w:t>
            </w:r>
            <w:r>
              <w:rPr>
                <w:rFonts w:hint="default" w:ascii="Times New Roman" w:hAnsi="Times New Roman" w:cs="Times New Roman"/>
                <w:bCs/>
                <w:color w:val="auto"/>
                <w:sz w:val="24"/>
              </w:rPr>
              <w:t>）纯水制备浓水</w:t>
            </w:r>
          </w:p>
          <w:p w14:paraId="6F93F216">
            <w:pPr>
              <w:spacing w:line="360" w:lineRule="auto"/>
              <w:ind w:firstLine="48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本项目设反渗透装置、EDI装置制备纯水用于生产使用，出水率约</w:t>
            </w:r>
            <w:r>
              <w:rPr>
                <w:rFonts w:hint="eastAsia" w:cs="Times New Roman"/>
                <w:color w:val="auto"/>
                <w:sz w:val="24"/>
                <w:lang w:val="en-US" w:eastAsia="zh-CN"/>
              </w:rPr>
              <w:t>7</w:t>
            </w:r>
            <w:r>
              <w:rPr>
                <w:rFonts w:hint="default" w:ascii="Times New Roman" w:hAnsi="Times New Roman" w:cs="Times New Roman"/>
                <w:color w:val="auto"/>
                <w:sz w:val="24"/>
              </w:rPr>
              <w:t>0%，该系统有一定的浓水产生，根据纯水需要</w:t>
            </w:r>
            <w:r>
              <w:rPr>
                <w:rFonts w:hint="eastAsia" w:cs="Times New Roman"/>
                <w:color w:val="auto"/>
                <w:sz w:val="24"/>
                <w:lang w:val="en-US" w:eastAsia="zh-CN"/>
              </w:rPr>
              <w:t>14433.5</w:t>
            </w:r>
            <w:r>
              <w:rPr>
                <w:rFonts w:hint="default" w:ascii="Times New Roman" w:hAnsi="Times New Roman" w:cs="Times New Roman"/>
                <w:color w:val="auto"/>
                <w:sz w:val="24"/>
              </w:rPr>
              <w:t>t/a计算，废水量约</w:t>
            </w:r>
            <w:r>
              <w:rPr>
                <w:rFonts w:hint="eastAsia" w:cs="Times New Roman"/>
                <w:color w:val="auto"/>
                <w:sz w:val="24"/>
                <w:lang w:val="en-US" w:eastAsia="zh-CN"/>
              </w:rPr>
              <w:t>6200</w:t>
            </w:r>
            <w:r>
              <w:rPr>
                <w:rFonts w:hint="default" w:ascii="Times New Roman" w:hAnsi="Times New Roman" w:cs="Times New Roman"/>
                <w:color w:val="auto"/>
                <w:sz w:val="24"/>
              </w:rPr>
              <w:t>t/a，所含污染物主要为</w:t>
            </w:r>
            <w:r>
              <w:rPr>
                <w:rFonts w:hint="default" w:ascii="Times New Roman" w:hAnsi="Times New Roman" w:cs="Times New Roman"/>
                <w:color w:val="auto"/>
                <w:sz w:val="24"/>
                <w:lang w:val="en-US" w:eastAsia="zh-CN"/>
              </w:rPr>
              <w:t>少量</w:t>
            </w:r>
            <w:r>
              <w:rPr>
                <w:rFonts w:hint="default" w:ascii="Times New Roman" w:hAnsi="Times New Roman" w:cs="Times New Roman"/>
                <w:color w:val="auto"/>
                <w:sz w:val="24"/>
              </w:rPr>
              <w:t>盐分，CODcr浓度约50mg/L，全部用于喷淋</w:t>
            </w:r>
            <w:r>
              <w:rPr>
                <w:rFonts w:hint="eastAsia" w:cs="Times New Roman"/>
                <w:color w:val="auto"/>
                <w:sz w:val="24"/>
                <w:lang w:val="en-US" w:eastAsia="zh-CN"/>
              </w:rPr>
              <w:t>及拖洗</w:t>
            </w:r>
            <w:r>
              <w:rPr>
                <w:rFonts w:hint="default" w:ascii="Times New Roman" w:hAnsi="Times New Roman" w:cs="Times New Roman"/>
                <w:color w:val="auto"/>
                <w:sz w:val="24"/>
              </w:rPr>
              <w:t>，不外排。</w:t>
            </w:r>
            <w:r>
              <w:rPr>
                <w:rFonts w:hint="eastAsia" w:cs="Times New Roman"/>
                <w:color w:val="auto"/>
                <w:sz w:val="24"/>
                <w:lang w:val="en-US" w:eastAsia="zh-CN"/>
              </w:rPr>
              <w:t>本项目原水来自工业自来水，纯水制备方式有</w:t>
            </w:r>
            <w:r>
              <w:rPr>
                <w:rFonts w:hint="default" w:ascii="Times New Roman" w:hAnsi="Times New Roman" w:cs="Times New Roman"/>
                <w:color w:val="auto"/>
                <w:sz w:val="24"/>
              </w:rPr>
              <w:t>反渗透装置、EDI装置</w:t>
            </w:r>
            <w:r>
              <w:rPr>
                <w:rFonts w:hint="eastAsia" w:cs="Times New Roman"/>
                <w:color w:val="auto"/>
                <w:sz w:val="24"/>
                <w:lang w:eastAsia="zh-CN"/>
              </w:rPr>
              <w:t>，</w:t>
            </w:r>
            <w:r>
              <w:rPr>
                <w:rFonts w:hint="eastAsia" w:cs="Times New Roman"/>
                <w:color w:val="auto"/>
                <w:sz w:val="24"/>
                <w:lang w:val="en-US" w:eastAsia="zh-CN"/>
              </w:rPr>
              <w:t>不采用再生剂等，因此考虑浓水中Na</w:t>
            </w:r>
            <w:r>
              <w:rPr>
                <w:rFonts w:hint="eastAsia" w:cs="Times New Roman"/>
                <w:color w:val="auto"/>
                <w:sz w:val="24"/>
                <w:vertAlign w:val="superscript"/>
                <w:lang w:val="en-US" w:eastAsia="zh-CN"/>
              </w:rPr>
              <w:t>+</w:t>
            </w:r>
            <w:r>
              <w:rPr>
                <w:rFonts w:hint="eastAsia" w:cs="Times New Roman"/>
                <w:color w:val="auto"/>
                <w:sz w:val="24"/>
                <w:lang w:val="en-US" w:eastAsia="zh-CN"/>
              </w:rPr>
              <w:t>、Cl</w:t>
            </w:r>
            <w:r>
              <w:rPr>
                <w:rFonts w:hint="eastAsia" w:cs="Times New Roman"/>
                <w:color w:val="auto"/>
                <w:sz w:val="24"/>
                <w:vertAlign w:val="superscript"/>
                <w:lang w:val="en-US" w:eastAsia="zh-CN"/>
              </w:rPr>
              <w:t>-</w:t>
            </w:r>
            <w:r>
              <w:rPr>
                <w:rFonts w:hint="eastAsia" w:cs="Times New Roman"/>
                <w:color w:val="auto"/>
                <w:sz w:val="24"/>
                <w:lang w:val="en-US" w:eastAsia="zh-CN"/>
              </w:rPr>
              <w:t>、Ca</w:t>
            </w:r>
            <w:r>
              <w:rPr>
                <w:rFonts w:hint="eastAsia" w:cs="Times New Roman"/>
                <w:color w:val="auto"/>
                <w:sz w:val="24"/>
                <w:vertAlign w:val="superscript"/>
                <w:lang w:val="en-US" w:eastAsia="zh-CN"/>
              </w:rPr>
              <w:t>2+</w:t>
            </w:r>
            <w:r>
              <w:rPr>
                <w:rFonts w:hint="eastAsia" w:cs="Times New Roman"/>
                <w:color w:val="auto"/>
                <w:sz w:val="24"/>
                <w:lang w:val="en-US" w:eastAsia="zh-CN"/>
              </w:rPr>
              <w:t>、Mg</w:t>
            </w:r>
            <w:r>
              <w:rPr>
                <w:rFonts w:hint="eastAsia" w:cs="Times New Roman"/>
                <w:color w:val="auto"/>
                <w:sz w:val="24"/>
                <w:vertAlign w:val="superscript"/>
                <w:lang w:val="en-US" w:eastAsia="zh-CN"/>
              </w:rPr>
              <w:t>2+</w:t>
            </w:r>
            <w:r>
              <w:rPr>
                <w:rFonts w:hint="eastAsia" w:cs="Times New Roman"/>
                <w:color w:val="auto"/>
                <w:sz w:val="24"/>
                <w:lang w:val="en-US" w:eastAsia="zh-CN"/>
              </w:rPr>
              <w:t>、SO</w:t>
            </w:r>
            <w:r>
              <w:rPr>
                <w:rFonts w:hint="eastAsia" w:cs="Times New Roman"/>
                <w:color w:val="auto"/>
                <w:sz w:val="24"/>
                <w:vertAlign w:val="subscript"/>
                <w:lang w:val="en-US" w:eastAsia="zh-CN"/>
              </w:rPr>
              <w:t>4</w:t>
            </w:r>
            <w:r>
              <w:rPr>
                <w:rFonts w:hint="eastAsia" w:cs="Times New Roman"/>
                <w:color w:val="auto"/>
                <w:sz w:val="24"/>
                <w:vertAlign w:val="superscript"/>
                <w:lang w:val="en-US" w:eastAsia="zh-CN"/>
              </w:rPr>
              <w:t>2+</w:t>
            </w:r>
            <w:r>
              <w:rPr>
                <w:rFonts w:hint="eastAsia" w:cs="Times New Roman"/>
                <w:color w:val="auto"/>
                <w:sz w:val="24"/>
                <w:vertAlign w:val="baseline"/>
                <w:lang w:val="en-US" w:eastAsia="zh-CN"/>
              </w:rPr>
              <w:t>等</w:t>
            </w:r>
            <w:r>
              <w:rPr>
                <w:rFonts w:hint="eastAsia" w:cs="Times New Roman"/>
                <w:color w:val="auto"/>
                <w:sz w:val="24"/>
                <w:lang w:val="en-US" w:eastAsia="zh-CN"/>
              </w:rPr>
              <w:t>较原水增加不大，要求企业加强喷淋装置维护，定期检测回用水水质情况，定期检查喷淋装置工作情况及效率，在上述前提下浓水可用于废气喷淋用水。</w:t>
            </w:r>
          </w:p>
          <w:p w14:paraId="1FAC48D7">
            <w:pPr>
              <w:pStyle w:val="59"/>
              <w:spacing w:line="360" w:lineRule="auto"/>
              <w:rPr>
                <w:rFonts w:hint="eastAsia" w:ascii="Times New Roman" w:hAnsi="Times New Roman" w:eastAsia="宋体" w:cs="Times New Roman"/>
                <w:bCs/>
                <w:color w:val="auto"/>
                <w:lang w:val="en-US" w:eastAsia="zh-CN"/>
              </w:rPr>
            </w:pPr>
            <w:r>
              <w:rPr>
                <w:rFonts w:hint="default" w:ascii="Times New Roman" w:hAnsi="Times New Roman" w:eastAsia="宋体" w:cs="Times New Roman"/>
                <w:bCs/>
                <w:color w:val="auto"/>
              </w:rPr>
              <w:t>（</w:t>
            </w:r>
            <w:r>
              <w:rPr>
                <w:rFonts w:hint="eastAsia" w:eastAsia="宋体" w:cs="Times New Roman"/>
                <w:bCs/>
                <w:color w:val="auto"/>
                <w:lang w:val="en-US" w:eastAsia="zh-CN"/>
              </w:rPr>
              <w:t>5</w:t>
            </w:r>
            <w:r>
              <w:rPr>
                <w:rFonts w:hint="default" w:ascii="Times New Roman" w:hAnsi="Times New Roman" w:eastAsia="宋体" w:cs="Times New Roman"/>
                <w:bCs/>
                <w:color w:val="auto"/>
              </w:rPr>
              <w:t>）生活污水</w:t>
            </w:r>
            <w:r>
              <w:rPr>
                <w:rFonts w:hint="eastAsia" w:eastAsia="宋体" w:cs="Times New Roman"/>
                <w:bCs/>
                <w:color w:val="auto"/>
                <w:lang w:val="en-US" w:eastAsia="zh-CN"/>
              </w:rPr>
              <w:t xml:space="preserve"> </w:t>
            </w:r>
          </w:p>
          <w:p w14:paraId="64310D0E">
            <w:pPr>
              <w:pStyle w:val="59"/>
              <w:spacing w:line="360" w:lineRule="auto"/>
              <w:rPr>
                <w:rFonts w:hint="default" w:ascii="Times New Roman" w:hAnsi="Times New Roman" w:eastAsia="宋体" w:cs="Times New Roman"/>
                <w:bCs/>
                <w:color w:val="auto"/>
              </w:rPr>
            </w:pPr>
            <w:r>
              <w:rPr>
                <w:rFonts w:hint="default" w:ascii="Times New Roman" w:hAnsi="Times New Roman" w:eastAsia="宋体" w:cs="Times New Roman"/>
                <w:bCs/>
                <w:color w:val="auto"/>
              </w:rPr>
              <w:t>项目劳动定员3</w:t>
            </w:r>
            <w:r>
              <w:rPr>
                <w:rFonts w:hint="eastAsia" w:eastAsia="宋体" w:cs="Times New Roman"/>
                <w:bCs/>
                <w:color w:val="auto"/>
                <w:lang w:val="en-US" w:eastAsia="zh-CN"/>
              </w:rPr>
              <w:t>9</w:t>
            </w:r>
            <w:r>
              <w:rPr>
                <w:rFonts w:hint="default" w:ascii="Times New Roman" w:hAnsi="Times New Roman" w:eastAsia="宋体" w:cs="Times New Roman"/>
                <w:bCs/>
                <w:color w:val="auto"/>
              </w:rPr>
              <w:t>人，年工作天数300天，员工生活废水产生量按100L/人·d计，生活用水量3.</w:t>
            </w:r>
            <w:r>
              <w:rPr>
                <w:rFonts w:hint="eastAsia" w:eastAsia="宋体" w:cs="Times New Roman"/>
                <w:bCs/>
                <w:color w:val="auto"/>
                <w:lang w:val="en-US" w:eastAsia="zh-CN"/>
              </w:rPr>
              <w:t>9</w:t>
            </w:r>
            <w:r>
              <w:rPr>
                <w:rFonts w:hint="default" w:ascii="Times New Roman" w:hAnsi="Times New Roman" w:eastAsia="宋体" w:cs="Times New Roman"/>
                <w:bCs/>
                <w:color w:val="auto"/>
              </w:rPr>
              <w:t>t/d(1</w:t>
            </w:r>
            <w:r>
              <w:rPr>
                <w:rFonts w:hint="eastAsia" w:eastAsia="宋体" w:cs="Times New Roman"/>
                <w:bCs/>
                <w:color w:val="auto"/>
                <w:lang w:val="en-US" w:eastAsia="zh-CN"/>
              </w:rPr>
              <w:t>170</w:t>
            </w:r>
            <w:r>
              <w:rPr>
                <w:rFonts w:hint="default" w:ascii="Times New Roman" w:hAnsi="Times New Roman" w:eastAsia="宋体" w:cs="Times New Roman"/>
                <w:bCs/>
                <w:color w:val="auto"/>
              </w:rPr>
              <w:t>t/a)；排水量按用水量的85%计，则生活废水产生量</w:t>
            </w:r>
            <w:r>
              <w:rPr>
                <w:rFonts w:hint="eastAsia" w:eastAsia="宋体" w:cs="Times New Roman"/>
                <w:bCs/>
                <w:color w:val="auto"/>
                <w:lang w:val="en-US" w:eastAsia="zh-CN"/>
              </w:rPr>
              <w:t>约</w:t>
            </w:r>
            <w:r>
              <w:rPr>
                <w:rFonts w:hint="default" w:ascii="Times New Roman" w:hAnsi="Times New Roman" w:eastAsia="宋体" w:cs="Times New Roman"/>
                <w:bCs/>
                <w:color w:val="auto"/>
              </w:rPr>
              <w:t>为</w:t>
            </w:r>
            <w:r>
              <w:rPr>
                <w:rFonts w:hint="eastAsia" w:eastAsia="宋体" w:cs="Times New Roman"/>
                <w:bCs/>
                <w:color w:val="auto"/>
                <w:lang w:val="en-US" w:eastAsia="zh-CN"/>
              </w:rPr>
              <w:t>3.3</w:t>
            </w:r>
            <w:r>
              <w:rPr>
                <w:rFonts w:hint="default" w:ascii="Times New Roman" w:hAnsi="Times New Roman" w:eastAsia="宋体" w:cs="Times New Roman"/>
                <w:bCs/>
                <w:color w:val="auto"/>
              </w:rPr>
              <w:t>t/d(</w:t>
            </w:r>
            <w:r>
              <w:rPr>
                <w:rFonts w:hint="eastAsia" w:eastAsia="宋体" w:cs="Times New Roman"/>
                <w:bCs/>
                <w:color w:val="auto"/>
                <w:lang w:val="en-US" w:eastAsia="zh-CN"/>
              </w:rPr>
              <w:t>1000</w:t>
            </w:r>
            <w:r>
              <w:rPr>
                <w:rFonts w:hint="default" w:ascii="Times New Roman" w:hAnsi="Times New Roman" w:eastAsia="宋体" w:cs="Times New Roman"/>
                <w:bCs/>
                <w:color w:val="auto"/>
              </w:rPr>
              <w:t>t/a)，废水水质：CODcr350mg/L、氨氮35mg/L、总氮40mg/L。生活废水经化粪池处理后纳管外排。</w:t>
            </w:r>
          </w:p>
          <w:p w14:paraId="7D68B8FC">
            <w:pPr>
              <w:pStyle w:val="9"/>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w:t>
            </w:r>
            <w:r>
              <w:rPr>
                <w:rFonts w:hint="eastAsia" w:cs="Times New Roman"/>
                <w:color w:val="auto"/>
                <w:sz w:val="24"/>
                <w:lang w:val="en-US" w:eastAsia="zh-CN"/>
              </w:rPr>
              <w:t>6</w:t>
            </w:r>
            <w:r>
              <w:rPr>
                <w:rFonts w:hint="default" w:ascii="Times New Roman" w:hAnsi="Times New Roman" w:cs="Times New Roman"/>
                <w:color w:val="auto"/>
                <w:sz w:val="24"/>
              </w:rPr>
              <w:t>）</w:t>
            </w:r>
            <w:r>
              <w:rPr>
                <w:rFonts w:hint="eastAsia" w:cs="Times New Roman"/>
                <w:color w:val="auto"/>
                <w:sz w:val="24"/>
                <w:lang w:val="en-US" w:eastAsia="zh-CN"/>
              </w:rPr>
              <w:t>废水水质情况</w:t>
            </w:r>
          </w:p>
          <w:p w14:paraId="17D949AA">
            <w:pPr>
              <w:pStyle w:val="9"/>
              <w:spacing w:line="360" w:lineRule="auto"/>
              <w:ind w:firstLine="480" w:firstLineChars="200"/>
              <w:rPr>
                <w:rFonts w:hint="eastAsia" w:cs="Times New Roman"/>
                <w:b w:val="0"/>
                <w:bCs/>
                <w:color w:val="auto"/>
                <w:sz w:val="24"/>
                <w:szCs w:val="24"/>
                <w:lang w:val="en-US" w:eastAsia="zh-CN"/>
              </w:rPr>
            </w:pPr>
            <w:r>
              <w:rPr>
                <w:rFonts w:hint="eastAsia" w:cs="Times New Roman"/>
                <w:b w:val="0"/>
                <w:bCs/>
                <w:color w:val="auto"/>
                <w:sz w:val="24"/>
                <w:szCs w:val="24"/>
                <w:lang w:val="en-US" w:eastAsia="zh-CN"/>
              </w:rPr>
              <w:t>本项目水质主要依据物料平衡，同时参考同类报告进一步核实，本次项目与参考项目情况对比如下。</w:t>
            </w:r>
          </w:p>
          <w:p w14:paraId="689C8A66">
            <w:pPr>
              <w:tabs>
                <w:tab w:val="left" w:pos="6105"/>
              </w:tabs>
              <w:jc w:val="center"/>
              <w:outlineLvl w:val="3"/>
              <w:rPr>
                <w:rFonts w:hint="default" w:ascii="Times New Roman" w:hAnsi="Times New Roman" w:eastAsia="宋体" w:cs="Times New Roman"/>
                <w:b/>
                <w:color w:val="auto"/>
                <w:lang w:val="en-US" w:eastAsia="zh-CN"/>
              </w:rPr>
            </w:pPr>
            <w:r>
              <w:rPr>
                <w:rFonts w:hint="default" w:ascii="Times New Roman" w:hAnsi="Times New Roman" w:cs="Times New Roman"/>
                <w:b/>
                <w:color w:val="auto"/>
                <w:szCs w:val="21"/>
              </w:rPr>
              <w:t>表4.2.4-</w:t>
            </w:r>
            <w:r>
              <w:rPr>
                <w:rFonts w:hint="eastAsia" w:cs="Times New Roman"/>
                <w:b/>
                <w:color w:val="auto"/>
                <w:szCs w:val="21"/>
                <w:lang w:val="en-US" w:eastAsia="zh-CN"/>
              </w:rPr>
              <w:t xml:space="preserve">1  </w:t>
            </w:r>
            <w:r>
              <w:rPr>
                <w:rFonts w:hint="default" w:ascii="Times New Roman" w:hAnsi="Times New Roman" w:cs="Times New Roman"/>
                <w:b/>
                <w:color w:val="auto"/>
              </w:rPr>
              <w:t>本次项目</w:t>
            </w:r>
            <w:r>
              <w:rPr>
                <w:rFonts w:hint="eastAsia" w:cs="Times New Roman"/>
                <w:b/>
                <w:color w:val="auto"/>
                <w:lang w:val="en-US" w:eastAsia="zh-CN"/>
              </w:rPr>
              <w:t>与参考项目情况对比</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47"/>
              <w:gridCol w:w="2817"/>
              <w:gridCol w:w="2873"/>
              <w:gridCol w:w="1499"/>
            </w:tblGrid>
            <w:tr w14:paraId="3E708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470" w:type="pct"/>
                  <w:vAlign w:val="center"/>
                </w:tcPr>
                <w:p w14:paraId="6D6886A7">
                  <w:pPr>
                    <w:tabs>
                      <w:tab w:val="left" w:pos="6105"/>
                    </w:tabs>
                    <w:jc w:val="center"/>
                    <w:outlineLvl w:val="3"/>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项目</w:t>
                  </w:r>
                </w:p>
              </w:tc>
              <w:tc>
                <w:tcPr>
                  <w:tcW w:w="1774" w:type="pct"/>
                  <w:vAlign w:val="center"/>
                </w:tcPr>
                <w:p w14:paraId="1A012583">
                  <w:pPr>
                    <w:tabs>
                      <w:tab w:val="left" w:pos="6105"/>
                    </w:tabs>
                    <w:jc w:val="center"/>
                    <w:outlineLvl w:val="3"/>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本项目</w:t>
                  </w:r>
                </w:p>
              </w:tc>
              <w:tc>
                <w:tcPr>
                  <w:tcW w:w="1810" w:type="pct"/>
                  <w:vAlign w:val="center"/>
                </w:tcPr>
                <w:p w14:paraId="076BEDAE">
                  <w:pPr>
                    <w:tabs>
                      <w:tab w:val="left" w:pos="6105"/>
                    </w:tabs>
                    <w:jc w:val="center"/>
                    <w:outlineLvl w:val="3"/>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参考项目</w:t>
                  </w:r>
                </w:p>
              </w:tc>
              <w:tc>
                <w:tcPr>
                  <w:tcW w:w="944" w:type="pct"/>
                  <w:vAlign w:val="center"/>
                </w:tcPr>
                <w:p w14:paraId="05633C49">
                  <w:pPr>
                    <w:tabs>
                      <w:tab w:val="left" w:pos="6105"/>
                    </w:tabs>
                    <w:jc w:val="center"/>
                    <w:outlineLvl w:val="3"/>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类比可行性</w:t>
                  </w:r>
                </w:p>
              </w:tc>
            </w:tr>
            <w:tr w14:paraId="22384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70" w:type="pct"/>
                  <w:vAlign w:val="center"/>
                </w:tcPr>
                <w:p w14:paraId="1F4A3247">
                  <w:pPr>
                    <w:tabs>
                      <w:tab w:val="left" w:pos="6105"/>
                    </w:tabs>
                    <w:jc w:val="center"/>
                    <w:outlineLvl w:val="3"/>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原料</w:t>
                  </w:r>
                </w:p>
              </w:tc>
              <w:tc>
                <w:tcPr>
                  <w:tcW w:w="1774" w:type="pct"/>
                  <w:shd w:val="clear" w:color="auto" w:fill="auto"/>
                  <w:vAlign w:val="center"/>
                </w:tcPr>
                <w:p w14:paraId="6F392AC7">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主要涉及40%氢氟酸、99.98%以上石英砂、36%盐酸、氯化氢</w:t>
                  </w:r>
                </w:p>
              </w:tc>
              <w:tc>
                <w:tcPr>
                  <w:tcW w:w="1810" w:type="pct"/>
                  <w:shd w:val="clear" w:color="auto" w:fill="auto"/>
                  <w:vAlign w:val="center"/>
                </w:tcPr>
                <w:p w14:paraId="561D55DC">
                  <w:pPr>
                    <w:jc w:val="center"/>
                    <w:textAlignment w:val="center"/>
                    <w:rPr>
                      <w:rFonts w:hint="default" w:ascii="Times New Roman" w:hAnsi="Times New Roman" w:eastAsia="宋体" w:cs="Times New Roman"/>
                      <w:color w:val="auto"/>
                      <w:kern w:val="21"/>
                      <w:sz w:val="21"/>
                      <w:szCs w:val="21"/>
                      <w:lang w:val="en-US" w:eastAsia="zh-CN" w:bidi="ar-SA"/>
                    </w:rPr>
                  </w:pPr>
                  <w:r>
                    <w:rPr>
                      <w:rFonts w:hint="eastAsia" w:cs="Times New Roman"/>
                      <w:color w:val="auto"/>
                      <w:kern w:val="2"/>
                      <w:sz w:val="21"/>
                      <w:szCs w:val="21"/>
                      <w:lang w:val="en-US" w:eastAsia="zh-CN" w:bidi="ar-SA"/>
                    </w:rPr>
                    <w:t>主要涉及40%氢氟酸（执行配比）、99.98%以上石英砂、氯化氢、盐酸等，</w:t>
                  </w:r>
                  <w:r>
                    <w:rPr>
                      <w:rFonts w:hint="eastAsia" w:cs="Times New Roman"/>
                      <w:color w:val="auto"/>
                      <w:kern w:val="21"/>
                      <w:sz w:val="21"/>
                      <w:szCs w:val="21"/>
                      <w:lang w:val="en-US" w:eastAsia="zh-CN" w:bidi="ar-SA"/>
                    </w:rPr>
                    <w:t>与本项目基本一致</w:t>
                  </w:r>
                </w:p>
              </w:tc>
              <w:tc>
                <w:tcPr>
                  <w:tcW w:w="944" w:type="pct"/>
                  <w:vMerge w:val="restart"/>
                  <w:vAlign w:val="center"/>
                </w:tcPr>
                <w:p w14:paraId="7E7FF61F">
                  <w:pPr>
                    <w:jc w:val="center"/>
                    <w:textAlignment w:val="center"/>
                    <w:rPr>
                      <w:rFonts w:hint="default" w:cs="Times New Roman"/>
                      <w:color w:val="auto"/>
                      <w:kern w:val="21"/>
                      <w:sz w:val="21"/>
                      <w:szCs w:val="21"/>
                      <w:lang w:val="en-US" w:eastAsia="zh-CN" w:bidi="ar-SA"/>
                    </w:rPr>
                  </w:pPr>
                  <w:r>
                    <w:rPr>
                      <w:rFonts w:hint="eastAsia" w:cs="Times New Roman"/>
                      <w:color w:val="auto"/>
                      <w:kern w:val="21"/>
                      <w:sz w:val="21"/>
                      <w:szCs w:val="21"/>
                      <w:lang w:val="en-US" w:eastAsia="zh-CN" w:bidi="ar-SA"/>
                    </w:rPr>
                    <w:t>参考项目与本项目情况类似，本项目水质主要依据物料平衡，同时也参考同类型项目水质情况进一步核实，根据对照本项目水质基本处在同类项目典型范围内，故本项目废水水质内容分析可行</w:t>
                  </w:r>
                </w:p>
              </w:tc>
            </w:tr>
            <w:tr w14:paraId="68FCB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70" w:type="pct"/>
                  <w:vAlign w:val="center"/>
                </w:tcPr>
                <w:p w14:paraId="0A7D2BE9">
                  <w:pPr>
                    <w:tabs>
                      <w:tab w:val="left" w:pos="6105"/>
                    </w:tabs>
                    <w:jc w:val="center"/>
                    <w:outlineLvl w:val="3"/>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设备</w:t>
                  </w:r>
                </w:p>
              </w:tc>
              <w:tc>
                <w:tcPr>
                  <w:tcW w:w="1774" w:type="pct"/>
                  <w:shd w:val="clear" w:color="auto" w:fill="auto"/>
                  <w:vAlign w:val="center"/>
                </w:tcPr>
                <w:p w14:paraId="6D011B41">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制砂机、酸洗釜、纯化设备、水洗设备等</w:t>
                  </w:r>
                </w:p>
              </w:tc>
              <w:tc>
                <w:tcPr>
                  <w:tcW w:w="1810" w:type="pct"/>
                  <w:shd w:val="clear" w:color="auto" w:fill="auto"/>
                  <w:vAlign w:val="center"/>
                </w:tcPr>
                <w:p w14:paraId="4CBDF0F1">
                  <w:pPr>
                    <w:jc w:val="center"/>
                    <w:textAlignment w:val="center"/>
                    <w:rPr>
                      <w:rFonts w:hint="eastAsia" w:ascii="Times New Roman" w:hAnsi="Times New Roman" w:eastAsia="宋体" w:cs="Times New Roman"/>
                      <w:color w:val="auto"/>
                      <w:kern w:val="21"/>
                      <w:sz w:val="21"/>
                      <w:szCs w:val="21"/>
                      <w:lang w:val="en-US" w:eastAsia="zh-CN" w:bidi="ar-SA"/>
                    </w:rPr>
                  </w:pPr>
                  <w:r>
                    <w:rPr>
                      <w:rFonts w:hint="eastAsia" w:cs="Times New Roman"/>
                      <w:color w:val="auto"/>
                      <w:kern w:val="2"/>
                      <w:sz w:val="21"/>
                      <w:szCs w:val="21"/>
                      <w:lang w:val="en-US" w:eastAsia="zh-CN" w:bidi="ar-SA"/>
                    </w:rPr>
                    <w:t>制砂机、酸洗设备、纯化设备、水洗设备等，</w:t>
                  </w:r>
                  <w:r>
                    <w:rPr>
                      <w:rFonts w:hint="eastAsia" w:cs="Times New Roman"/>
                      <w:color w:val="auto"/>
                      <w:kern w:val="21"/>
                      <w:sz w:val="21"/>
                      <w:szCs w:val="21"/>
                      <w:lang w:val="en-US" w:eastAsia="zh-CN" w:bidi="ar-SA"/>
                    </w:rPr>
                    <w:t>与本项目基本一致</w:t>
                  </w:r>
                </w:p>
              </w:tc>
              <w:tc>
                <w:tcPr>
                  <w:tcW w:w="944" w:type="pct"/>
                  <w:vMerge w:val="continue"/>
                  <w:vAlign w:val="center"/>
                </w:tcPr>
                <w:p w14:paraId="76EC0B1A">
                  <w:pPr>
                    <w:adjustRightInd w:val="0"/>
                    <w:snapToGrid w:val="0"/>
                    <w:jc w:val="center"/>
                    <w:rPr>
                      <w:rFonts w:hint="default" w:ascii="Times New Roman" w:hAnsi="Times New Roman" w:cs="Times New Roman"/>
                      <w:color w:val="auto"/>
                      <w:kern w:val="21"/>
                      <w:szCs w:val="21"/>
                    </w:rPr>
                  </w:pPr>
                </w:p>
              </w:tc>
            </w:tr>
            <w:tr w14:paraId="30385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70" w:type="pct"/>
                  <w:vAlign w:val="center"/>
                </w:tcPr>
                <w:p w14:paraId="27E61722">
                  <w:pPr>
                    <w:tabs>
                      <w:tab w:val="left" w:pos="6105"/>
                    </w:tabs>
                    <w:jc w:val="center"/>
                    <w:outlineLvl w:val="3"/>
                    <w:rPr>
                      <w:rFonts w:hint="eastAsia" w:ascii="Times New Roman" w:hAnsi="Times New Roman" w:eastAsia="宋体" w:cs="Times New Roman"/>
                      <w:bCs/>
                      <w:color w:val="auto"/>
                      <w:szCs w:val="21"/>
                      <w:lang w:val="en-US" w:eastAsia="zh-CN"/>
                    </w:rPr>
                  </w:pPr>
                  <w:r>
                    <w:rPr>
                      <w:rFonts w:hint="eastAsia" w:cs="Times New Roman"/>
                      <w:bCs/>
                      <w:color w:val="auto"/>
                      <w:szCs w:val="21"/>
                      <w:lang w:val="en-US" w:eastAsia="zh-CN"/>
                    </w:rPr>
                    <w:t>工艺</w:t>
                  </w:r>
                </w:p>
              </w:tc>
              <w:tc>
                <w:tcPr>
                  <w:tcW w:w="1774" w:type="pct"/>
                  <w:shd w:val="clear" w:color="auto" w:fill="auto"/>
                  <w:vAlign w:val="center"/>
                </w:tcPr>
                <w:p w14:paraId="2827878A">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主要涉及破碎、制砂、浮洗、酸洗、纯化</w:t>
                  </w:r>
                </w:p>
              </w:tc>
              <w:tc>
                <w:tcPr>
                  <w:tcW w:w="1810" w:type="pct"/>
                  <w:shd w:val="clear" w:color="auto" w:fill="auto"/>
                  <w:vAlign w:val="center"/>
                </w:tcPr>
                <w:p w14:paraId="3943149E">
                  <w:pPr>
                    <w:jc w:val="center"/>
                    <w:textAlignment w:val="center"/>
                    <w:rPr>
                      <w:rFonts w:hint="default" w:ascii="Times New Roman" w:hAnsi="Times New Roman" w:eastAsia="宋体" w:cs="Times New Roman"/>
                      <w:color w:val="auto"/>
                      <w:kern w:val="21"/>
                      <w:sz w:val="21"/>
                      <w:szCs w:val="21"/>
                      <w:lang w:val="en-US" w:eastAsia="zh-CN" w:bidi="ar-SA"/>
                    </w:rPr>
                  </w:pPr>
                  <w:r>
                    <w:rPr>
                      <w:rFonts w:hint="eastAsia" w:cs="Times New Roman"/>
                      <w:color w:val="auto"/>
                      <w:kern w:val="21"/>
                      <w:sz w:val="21"/>
                      <w:szCs w:val="21"/>
                      <w:lang w:val="en-US" w:eastAsia="zh-CN" w:bidi="ar-SA"/>
                    </w:rPr>
                    <w:t>主要涉及破碎、制砂、浮选、酸洗、煅烧（纯化），与本项目基本一致</w:t>
                  </w:r>
                </w:p>
              </w:tc>
              <w:tc>
                <w:tcPr>
                  <w:tcW w:w="944" w:type="pct"/>
                  <w:vMerge w:val="continue"/>
                  <w:vAlign w:val="center"/>
                </w:tcPr>
                <w:p w14:paraId="2D32AA21">
                  <w:pPr>
                    <w:adjustRightInd w:val="0"/>
                    <w:snapToGrid w:val="0"/>
                    <w:jc w:val="center"/>
                    <w:rPr>
                      <w:rFonts w:hint="default" w:ascii="Times New Roman" w:hAnsi="Times New Roman" w:cs="Times New Roman"/>
                      <w:color w:val="auto"/>
                      <w:kern w:val="21"/>
                      <w:szCs w:val="21"/>
                    </w:rPr>
                  </w:pPr>
                </w:p>
              </w:tc>
            </w:tr>
            <w:tr w14:paraId="53782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470" w:type="pct"/>
                  <w:vAlign w:val="center"/>
                </w:tcPr>
                <w:p w14:paraId="6617F915">
                  <w:pPr>
                    <w:tabs>
                      <w:tab w:val="left" w:pos="6105"/>
                    </w:tabs>
                    <w:jc w:val="center"/>
                    <w:outlineLvl w:val="3"/>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水质情况</w:t>
                  </w:r>
                </w:p>
              </w:tc>
              <w:tc>
                <w:tcPr>
                  <w:tcW w:w="1774" w:type="pct"/>
                  <w:shd w:val="clear" w:color="auto" w:fill="auto"/>
                  <w:vAlign w:val="center"/>
                </w:tcPr>
                <w:p w14:paraId="71B58F88">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主要为浮洗、清洗废水、喷淋废水，COD约310mg/L、氟化物约109.7mg/L、SS473mg/L、全盐量2442mg/L</w:t>
                  </w:r>
                </w:p>
              </w:tc>
              <w:tc>
                <w:tcPr>
                  <w:tcW w:w="1810" w:type="pct"/>
                  <w:shd w:val="clear" w:color="auto" w:fill="auto"/>
                  <w:vAlign w:val="center"/>
                </w:tcPr>
                <w:p w14:paraId="1BBDA676">
                  <w:pPr>
                    <w:jc w:val="center"/>
                    <w:textAlignment w:val="center"/>
                    <w:rPr>
                      <w:rFonts w:hint="default" w:ascii="Times New Roman" w:hAnsi="Times New Roman" w:eastAsia="宋体" w:cs="Times New Roman"/>
                      <w:color w:val="auto"/>
                      <w:kern w:val="21"/>
                      <w:sz w:val="21"/>
                      <w:szCs w:val="21"/>
                      <w:lang w:val="en-US" w:eastAsia="zh-CN" w:bidi="ar-SA"/>
                    </w:rPr>
                  </w:pPr>
                  <w:r>
                    <w:rPr>
                      <w:rFonts w:hint="eastAsia" w:cs="Times New Roman"/>
                      <w:color w:val="auto"/>
                      <w:kern w:val="2"/>
                      <w:sz w:val="21"/>
                      <w:szCs w:val="21"/>
                      <w:lang w:val="en-US" w:eastAsia="zh-CN" w:bidi="ar-SA"/>
                    </w:rPr>
                    <w:t>主要为浮洗、清洗废水、喷淋废水，</w:t>
                  </w:r>
                  <w:r>
                    <w:rPr>
                      <w:rFonts w:hint="eastAsia" w:cs="Times New Roman"/>
                      <w:color w:val="auto"/>
                      <w:kern w:val="21"/>
                      <w:sz w:val="21"/>
                      <w:szCs w:val="21"/>
                      <w:lang w:val="en-US" w:eastAsia="zh-CN" w:bidi="ar-SA"/>
                    </w:rPr>
                    <w:t>COD40~208</w:t>
                  </w:r>
                  <w:r>
                    <w:rPr>
                      <w:rFonts w:hint="eastAsia" w:cs="Times New Roman"/>
                      <w:color w:val="auto"/>
                      <w:kern w:val="2"/>
                      <w:sz w:val="21"/>
                      <w:szCs w:val="21"/>
                      <w:lang w:val="en-US" w:eastAsia="zh-CN" w:bidi="ar-SA"/>
                    </w:rPr>
                    <w:t>mg/L</w:t>
                  </w:r>
                  <w:r>
                    <w:rPr>
                      <w:rFonts w:hint="eastAsia" w:cs="Times New Roman"/>
                      <w:color w:val="auto"/>
                      <w:kern w:val="21"/>
                      <w:sz w:val="21"/>
                      <w:szCs w:val="21"/>
                      <w:lang w:val="en-US" w:eastAsia="zh-CN" w:bidi="ar-SA"/>
                    </w:rPr>
                    <w:t>、氟化物1.05~317</w:t>
                  </w:r>
                  <w:r>
                    <w:rPr>
                      <w:rFonts w:hint="eastAsia" w:cs="Times New Roman"/>
                      <w:color w:val="auto"/>
                      <w:kern w:val="2"/>
                      <w:sz w:val="21"/>
                      <w:szCs w:val="21"/>
                      <w:lang w:val="en-US" w:eastAsia="zh-CN" w:bidi="ar-SA"/>
                    </w:rPr>
                    <w:t>mg/L</w:t>
                  </w:r>
                  <w:r>
                    <w:rPr>
                      <w:rFonts w:hint="eastAsia" w:cs="Times New Roman"/>
                      <w:color w:val="auto"/>
                      <w:kern w:val="21"/>
                      <w:sz w:val="21"/>
                      <w:szCs w:val="21"/>
                      <w:lang w:val="en-US" w:eastAsia="zh-CN" w:bidi="ar-SA"/>
                    </w:rPr>
                    <w:t>、全盐量500~2500</w:t>
                  </w:r>
                  <w:r>
                    <w:rPr>
                      <w:rFonts w:hint="eastAsia" w:cs="Times New Roman"/>
                      <w:color w:val="auto"/>
                      <w:kern w:val="2"/>
                      <w:sz w:val="21"/>
                      <w:szCs w:val="21"/>
                      <w:lang w:val="en-US" w:eastAsia="zh-CN" w:bidi="ar-SA"/>
                    </w:rPr>
                    <w:t>mg/L、</w:t>
                  </w:r>
                  <w:r>
                    <w:rPr>
                      <w:rFonts w:hint="eastAsia" w:cs="Times New Roman"/>
                      <w:color w:val="auto"/>
                      <w:kern w:val="21"/>
                      <w:sz w:val="21"/>
                      <w:szCs w:val="21"/>
                      <w:lang w:val="en-US" w:eastAsia="zh-CN" w:bidi="ar-SA"/>
                    </w:rPr>
                    <w:t>悬浮物20~577</w:t>
                  </w:r>
                  <w:r>
                    <w:rPr>
                      <w:rFonts w:hint="eastAsia" w:cs="Times New Roman"/>
                      <w:color w:val="auto"/>
                      <w:kern w:val="2"/>
                      <w:sz w:val="21"/>
                      <w:szCs w:val="21"/>
                      <w:lang w:val="en-US" w:eastAsia="zh-CN" w:bidi="ar-SA"/>
                    </w:rPr>
                    <w:t>mg/L</w:t>
                  </w:r>
                </w:p>
              </w:tc>
              <w:tc>
                <w:tcPr>
                  <w:tcW w:w="944" w:type="pct"/>
                  <w:vMerge w:val="continue"/>
                  <w:vAlign w:val="center"/>
                </w:tcPr>
                <w:p w14:paraId="0C78E46F">
                  <w:pPr>
                    <w:adjustRightInd w:val="0"/>
                    <w:snapToGrid w:val="0"/>
                    <w:jc w:val="center"/>
                    <w:rPr>
                      <w:rFonts w:hint="default" w:ascii="Times New Roman" w:hAnsi="Times New Roman" w:cs="Times New Roman"/>
                      <w:color w:val="auto"/>
                      <w:kern w:val="21"/>
                      <w:szCs w:val="21"/>
                    </w:rPr>
                  </w:pPr>
                </w:p>
              </w:tc>
            </w:tr>
            <w:tr w14:paraId="4EB78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000" w:type="pct"/>
                  <w:gridSpan w:val="4"/>
                  <w:vAlign w:val="center"/>
                </w:tcPr>
                <w:p w14:paraId="15061AB8">
                  <w:pPr>
                    <w:adjustRightInd w:val="0"/>
                    <w:snapToGrid w:val="0"/>
                    <w:jc w:val="left"/>
                    <w:rPr>
                      <w:rFonts w:hint="default" w:ascii="Times New Roman" w:hAnsi="Times New Roman" w:eastAsia="宋体" w:cs="Times New Roman"/>
                      <w:color w:val="auto"/>
                      <w:kern w:val="21"/>
                      <w:sz w:val="20"/>
                      <w:szCs w:val="20"/>
                      <w:lang w:val="en-US" w:eastAsia="zh-CN"/>
                    </w:rPr>
                  </w:pPr>
                  <w:r>
                    <w:rPr>
                      <w:rFonts w:hint="eastAsia" w:cs="Times New Roman"/>
                      <w:color w:val="auto"/>
                      <w:kern w:val="21"/>
                      <w:sz w:val="20"/>
                      <w:szCs w:val="20"/>
                      <w:lang w:val="en-US" w:eastAsia="zh-CN"/>
                    </w:rPr>
                    <w:t>本次主要参考报告为《江苏太平洋石英股份有限公司年产9000吨高纯石英砂生产线技术改造项目竣工环境保护验收监测报告》、《安徽光鑫新材料科技有限公司芯片级高纯石英砂（5万吨/年）、普通石英砂（10万吨/年）及石英坩埚项目环境影响报告表》等同类报告，进厂区污水厂的原水数据。</w:t>
                  </w:r>
                </w:p>
              </w:tc>
            </w:tr>
          </w:tbl>
          <w:p w14:paraId="2E67E3DF">
            <w:pPr>
              <w:pStyle w:val="9"/>
              <w:spacing w:line="360" w:lineRule="auto"/>
              <w:ind w:firstLine="480" w:firstLineChars="200"/>
              <w:rPr>
                <w:rFonts w:hint="default" w:ascii="Times New Roman" w:hAnsi="Times New Roman" w:eastAsia="宋体" w:cs="Times New Roman"/>
                <w:b w:val="0"/>
                <w:bCs/>
                <w:color w:val="auto"/>
                <w:sz w:val="24"/>
                <w:szCs w:val="24"/>
                <w:lang w:val="en-US" w:eastAsia="zh-CN"/>
              </w:rPr>
            </w:pPr>
            <w:r>
              <w:rPr>
                <w:rFonts w:hint="eastAsia" w:cs="Times New Roman"/>
                <w:b w:val="0"/>
                <w:bCs/>
                <w:color w:val="auto"/>
                <w:sz w:val="24"/>
                <w:szCs w:val="24"/>
                <w:lang w:val="en-US" w:eastAsia="zh-CN"/>
              </w:rPr>
              <w:t>本项目水质情况如下。</w:t>
            </w:r>
          </w:p>
          <w:p w14:paraId="6CEAD513">
            <w:pPr>
              <w:adjustRightInd w:val="0"/>
              <w:snapToGri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表4.2.4-</w:t>
            </w:r>
            <w:r>
              <w:rPr>
                <w:rFonts w:hint="eastAsia" w:cs="Times New Roman"/>
                <w:b/>
                <w:color w:val="auto"/>
                <w:szCs w:val="21"/>
                <w:lang w:val="en-US" w:eastAsia="zh-CN"/>
              </w:rPr>
              <w:t>2</w:t>
            </w:r>
            <w:r>
              <w:rPr>
                <w:rFonts w:hint="default" w:ascii="Times New Roman" w:hAnsi="Times New Roman" w:cs="Times New Roman"/>
                <w:b/>
                <w:color w:val="auto"/>
                <w:szCs w:val="21"/>
              </w:rPr>
              <w:t xml:space="preserve">  项目废水源强情况汇总一览表</w:t>
            </w:r>
          </w:p>
          <w:tbl>
            <w:tblPr>
              <w:tblStyle w:val="32"/>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1498"/>
              <w:gridCol w:w="685"/>
              <w:gridCol w:w="719"/>
              <w:gridCol w:w="719"/>
              <w:gridCol w:w="719"/>
              <w:gridCol w:w="719"/>
              <w:gridCol w:w="719"/>
              <w:gridCol w:w="719"/>
              <w:gridCol w:w="719"/>
              <w:gridCol w:w="722"/>
            </w:tblGrid>
            <w:tr w14:paraId="4811DB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vMerge w:val="restart"/>
                  <w:tcBorders>
                    <w:left w:val="single" w:color="auto" w:sz="4" w:space="0"/>
                  </w:tcBorders>
                  <w:vAlign w:val="center"/>
                </w:tcPr>
                <w:p w14:paraId="76816A82">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废水名称（编号）</w:t>
                  </w:r>
                </w:p>
              </w:tc>
              <w:tc>
                <w:tcPr>
                  <w:tcW w:w="431" w:type="pct"/>
                  <w:vMerge w:val="restart"/>
                  <w:tcBorders>
                    <w:right w:val="single" w:color="000000" w:sz="2" w:space="0"/>
                  </w:tcBorders>
                  <w:vAlign w:val="center"/>
                </w:tcPr>
                <w:p w14:paraId="5788AA96">
                  <w:pPr>
                    <w:jc w:val="center"/>
                    <w:rPr>
                      <w:rFonts w:hint="default" w:ascii="Times New Roman" w:hAnsi="Times New Roman" w:cs="Times New Roman"/>
                      <w:color w:val="auto"/>
                      <w:szCs w:val="21"/>
                    </w:rPr>
                  </w:pPr>
                  <w:r>
                    <w:rPr>
                      <w:rFonts w:hint="default" w:ascii="Times New Roman" w:hAnsi="Times New Roman" w:cs="Times New Roman"/>
                      <w:color w:val="auto"/>
                      <w:szCs w:val="21"/>
                    </w:rPr>
                    <w:t>废水量</w:t>
                  </w:r>
                </w:p>
                <w:p w14:paraId="64298553">
                  <w:pPr>
                    <w:jc w:val="center"/>
                    <w:rPr>
                      <w:rFonts w:hint="default" w:ascii="Times New Roman" w:hAnsi="Times New Roman" w:cs="Times New Roman"/>
                      <w:color w:val="auto"/>
                      <w:szCs w:val="21"/>
                    </w:rPr>
                  </w:pPr>
                  <w:r>
                    <w:rPr>
                      <w:rFonts w:hint="default" w:ascii="Times New Roman" w:hAnsi="Times New Roman" w:cs="Times New Roman"/>
                      <w:color w:val="auto"/>
                      <w:szCs w:val="21"/>
                    </w:rPr>
                    <w:t>(t/a)</w:t>
                  </w:r>
                </w:p>
              </w:tc>
              <w:tc>
                <w:tcPr>
                  <w:tcW w:w="3624" w:type="pct"/>
                  <w:gridSpan w:val="8"/>
                  <w:tcBorders>
                    <w:right w:val="single" w:color="auto" w:sz="4" w:space="0"/>
                  </w:tcBorders>
                  <w:vAlign w:val="center"/>
                </w:tcPr>
                <w:p w14:paraId="4C1378AC">
                  <w:pPr>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r>
            <w:tr w14:paraId="264331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vMerge w:val="continue"/>
                  <w:tcBorders>
                    <w:left w:val="single" w:color="auto" w:sz="4" w:space="0"/>
                  </w:tcBorders>
                  <w:vAlign w:val="center"/>
                </w:tcPr>
                <w:p w14:paraId="6AA0A245">
                  <w:pPr>
                    <w:jc w:val="center"/>
                    <w:rPr>
                      <w:rFonts w:hint="default" w:ascii="Times New Roman" w:hAnsi="Times New Roman" w:cs="Times New Roman"/>
                      <w:color w:val="auto"/>
                      <w:szCs w:val="21"/>
                    </w:rPr>
                  </w:pPr>
                </w:p>
              </w:tc>
              <w:tc>
                <w:tcPr>
                  <w:tcW w:w="431" w:type="pct"/>
                  <w:vMerge w:val="continue"/>
                  <w:tcBorders>
                    <w:right w:val="single" w:color="000000" w:sz="2" w:space="0"/>
                  </w:tcBorders>
                  <w:vAlign w:val="center"/>
                </w:tcPr>
                <w:p w14:paraId="4652111D">
                  <w:pPr>
                    <w:jc w:val="center"/>
                    <w:rPr>
                      <w:rFonts w:hint="default" w:ascii="Times New Roman" w:hAnsi="Times New Roman" w:cs="Times New Roman"/>
                      <w:color w:val="auto"/>
                      <w:szCs w:val="21"/>
                    </w:rPr>
                  </w:pPr>
                </w:p>
              </w:tc>
              <w:tc>
                <w:tcPr>
                  <w:tcW w:w="452" w:type="pct"/>
                  <w:tcBorders>
                    <w:right w:val="single" w:color="000000" w:sz="2" w:space="0"/>
                  </w:tcBorders>
                  <w:vAlign w:val="center"/>
                </w:tcPr>
                <w:p w14:paraId="20BF37F1">
                  <w:pPr>
                    <w:jc w:val="center"/>
                    <w:rPr>
                      <w:rFonts w:hint="default" w:ascii="Times New Roman" w:hAnsi="Times New Roman" w:cs="Times New Roman"/>
                      <w:color w:val="auto"/>
                      <w:szCs w:val="21"/>
                    </w:rPr>
                  </w:pPr>
                  <w:r>
                    <w:rPr>
                      <w:rFonts w:hint="default" w:ascii="Times New Roman" w:hAnsi="Times New Roman" w:cs="Times New Roman"/>
                      <w:color w:val="auto"/>
                      <w:szCs w:val="21"/>
                    </w:rPr>
                    <w:t>COD</w:t>
                  </w:r>
                  <w:r>
                    <w:rPr>
                      <w:rFonts w:hint="default" w:ascii="Times New Roman" w:hAnsi="Times New Roman" w:cs="Times New Roman"/>
                      <w:bCs/>
                      <w:color w:val="auto"/>
                      <w:sz w:val="24"/>
                      <w:vertAlign w:val="subscript"/>
                    </w:rPr>
                    <w:t>Cr</w:t>
                  </w:r>
                </w:p>
              </w:tc>
              <w:tc>
                <w:tcPr>
                  <w:tcW w:w="452" w:type="pct"/>
                  <w:tcBorders>
                    <w:right w:val="single" w:color="000000" w:sz="2" w:space="0"/>
                  </w:tcBorders>
                  <w:vAlign w:val="center"/>
                </w:tcPr>
                <w:p w14:paraId="745D223C">
                  <w:pPr>
                    <w:jc w:val="center"/>
                    <w:rPr>
                      <w:rFonts w:hint="default" w:ascii="Times New Roman" w:hAnsi="Times New Roman" w:cs="Times New Roman"/>
                      <w:color w:val="auto"/>
                      <w:szCs w:val="21"/>
                    </w:rPr>
                  </w:pPr>
                  <w:r>
                    <w:rPr>
                      <w:rFonts w:hint="default" w:ascii="Times New Roman" w:hAnsi="Times New Roman" w:cs="Times New Roman"/>
                      <w:color w:val="auto"/>
                      <w:szCs w:val="21"/>
                    </w:rPr>
                    <w:t>SS</w:t>
                  </w:r>
                </w:p>
              </w:tc>
              <w:tc>
                <w:tcPr>
                  <w:tcW w:w="452" w:type="pct"/>
                  <w:tcBorders>
                    <w:left w:val="single" w:color="000000" w:sz="2" w:space="0"/>
                    <w:right w:val="single" w:color="auto" w:sz="4" w:space="0"/>
                  </w:tcBorders>
                  <w:vAlign w:val="center"/>
                </w:tcPr>
                <w:p w14:paraId="477CB76E">
                  <w:pPr>
                    <w:jc w:val="center"/>
                    <w:rPr>
                      <w:rFonts w:hint="default" w:ascii="Times New Roman" w:hAnsi="Times New Roman" w:cs="Times New Roman"/>
                      <w:color w:val="auto"/>
                      <w:szCs w:val="21"/>
                    </w:rPr>
                  </w:pPr>
                  <w:r>
                    <w:rPr>
                      <w:rFonts w:hint="default" w:ascii="Times New Roman" w:hAnsi="Times New Roman" w:cs="Times New Roman"/>
                      <w:color w:val="auto"/>
                      <w:szCs w:val="21"/>
                    </w:rPr>
                    <w:t>氟化物</w:t>
                  </w:r>
                </w:p>
              </w:tc>
              <w:tc>
                <w:tcPr>
                  <w:tcW w:w="452" w:type="pct"/>
                  <w:tcBorders>
                    <w:left w:val="single" w:color="auto" w:sz="4" w:space="0"/>
                    <w:right w:val="single" w:color="auto" w:sz="4" w:space="0"/>
                  </w:tcBorders>
                  <w:vAlign w:val="center"/>
                </w:tcPr>
                <w:p w14:paraId="5C3C0488">
                  <w:pPr>
                    <w:jc w:val="center"/>
                    <w:rPr>
                      <w:rFonts w:hint="default" w:ascii="Times New Roman" w:hAnsi="Times New Roman" w:cs="Times New Roman"/>
                      <w:color w:val="auto"/>
                      <w:szCs w:val="21"/>
                    </w:rPr>
                  </w:pPr>
                  <w:r>
                    <w:rPr>
                      <w:rFonts w:hint="default" w:ascii="Times New Roman" w:hAnsi="Times New Roman" w:cs="Times New Roman"/>
                      <w:color w:val="auto"/>
                      <w:szCs w:val="21"/>
                    </w:rPr>
                    <w:t>Cl</w:t>
                  </w:r>
                  <w:r>
                    <w:rPr>
                      <w:rFonts w:hint="default" w:ascii="Times New Roman" w:hAnsi="Times New Roman" w:cs="Times New Roman"/>
                      <w:color w:val="auto"/>
                      <w:szCs w:val="21"/>
                      <w:vertAlign w:val="superscript"/>
                    </w:rPr>
                    <w:t>-</w:t>
                  </w:r>
                </w:p>
              </w:tc>
              <w:tc>
                <w:tcPr>
                  <w:tcW w:w="452" w:type="pct"/>
                  <w:tcBorders>
                    <w:left w:val="single" w:color="auto" w:sz="4" w:space="0"/>
                    <w:right w:val="single" w:color="auto" w:sz="4" w:space="0"/>
                  </w:tcBorders>
                  <w:vAlign w:val="center"/>
                </w:tcPr>
                <w:p w14:paraId="00E9D36C">
                  <w:pPr>
                    <w:jc w:val="center"/>
                    <w:rPr>
                      <w:rFonts w:hint="default" w:ascii="Times New Roman" w:hAnsi="Times New Roman" w:cs="Times New Roman"/>
                      <w:color w:val="auto"/>
                      <w:szCs w:val="21"/>
                    </w:rPr>
                  </w:pPr>
                  <w:r>
                    <w:rPr>
                      <w:rFonts w:hint="default" w:ascii="Times New Roman" w:hAnsi="Times New Roman" w:cs="Times New Roman"/>
                      <w:color w:val="auto"/>
                      <w:szCs w:val="21"/>
                    </w:rPr>
                    <w:t>氨氮</w:t>
                  </w:r>
                </w:p>
              </w:tc>
              <w:tc>
                <w:tcPr>
                  <w:tcW w:w="452" w:type="pct"/>
                  <w:tcBorders>
                    <w:left w:val="single" w:color="auto" w:sz="4" w:space="0"/>
                    <w:right w:val="single" w:color="auto" w:sz="4" w:space="0"/>
                  </w:tcBorders>
                  <w:vAlign w:val="center"/>
                </w:tcPr>
                <w:p w14:paraId="62B23B57">
                  <w:pPr>
                    <w:jc w:val="center"/>
                    <w:rPr>
                      <w:rFonts w:hint="default" w:ascii="Times New Roman" w:hAnsi="Times New Roman" w:cs="Times New Roman"/>
                      <w:color w:val="auto"/>
                      <w:szCs w:val="21"/>
                    </w:rPr>
                  </w:pPr>
                  <w:r>
                    <w:rPr>
                      <w:rFonts w:hint="default" w:ascii="Times New Roman" w:hAnsi="Times New Roman" w:cs="Times New Roman"/>
                      <w:color w:val="auto"/>
                      <w:szCs w:val="21"/>
                    </w:rPr>
                    <w:t>总氮</w:t>
                  </w:r>
                </w:p>
              </w:tc>
              <w:tc>
                <w:tcPr>
                  <w:tcW w:w="452" w:type="pct"/>
                  <w:tcBorders>
                    <w:left w:val="single" w:color="auto" w:sz="4" w:space="0"/>
                    <w:right w:val="single" w:color="auto" w:sz="4" w:space="0"/>
                  </w:tcBorders>
                  <w:vAlign w:val="center"/>
                </w:tcPr>
                <w:p w14:paraId="6888D11A">
                  <w:pPr>
                    <w:jc w:val="center"/>
                    <w:rPr>
                      <w:rFonts w:hint="default" w:ascii="Times New Roman" w:hAnsi="Times New Roman" w:cs="Times New Roman"/>
                      <w:color w:val="auto"/>
                      <w:szCs w:val="21"/>
                    </w:rPr>
                  </w:pPr>
                  <w:r>
                    <w:rPr>
                      <w:rFonts w:hint="default" w:ascii="Times New Roman" w:hAnsi="Times New Roman" w:cs="Times New Roman"/>
                      <w:color w:val="auto"/>
                      <w:szCs w:val="21"/>
                    </w:rPr>
                    <w:t>LAS</w:t>
                  </w:r>
                </w:p>
              </w:tc>
              <w:tc>
                <w:tcPr>
                  <w:tcW w:w="454" w:type="pct"/>
                  <w:tcBorders>
                    <w:left w:val="single" w:color="auto" w:sz="4" w:space="0"/>
                    <w:right w:val="single" w:color="auto" w:sz="4" w:space="0"/>
                  </w:tcBorders>
                  <w:vAlign w:val="center"/>
                </w:tcPr>
                <w:p w14:paraId="0C6C540B">
                  <w:pPr>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全盐量</w:t>
                  </w:r>
                </w:p>
              </w:tc>
            </w:tr>
            <w:tr w14:paraId="083D21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vMerge w:val="continue"/>
                  <w:tcBorders>
                    <w:left w:val="single" w:color="auto" w:sz="4" w:space="0"/>
                  </w:tcBorders>
                  <w:vAlign w:val="center"/>
                </w:tcPr>
                <w:p w14:paraId="69C053F2">
                  <w:pPr>
                    <w:jc w:val="center"/>
                    <w:rPr>
                      <w:rFonts w:hint="default" w:ascii="Times New Roman" w:hAnsi="Times New Roman" w:cs="Times New Roman"/>
                      <w:color w:val="auto"/>
                      <w:szCs w:val="21"/>
                    </w:rPr>
                  </w:pPr>
                </w:p>
              </w:tc>
              <w:tc>
                <w:tcPr>
                  <w:tcW w:w="431" w:type="pct"/>
                  <w:vMerge w:val="continue"/>
                  <w:tcBorders>
                    <w:right w:val="single" w:color="000000" w:sz="2" w:space="0"/>
                  </w:tcBorders>
                  <w:vAlign w:val="center"/>
                </w:tcPr>
                <w:p w14:paraId="72D2131A">
                  <w:pPr>
                    <w:jc w:val="center"/>
                    <w:rPr>
                      <w:rFonts w:hint="default" w:ascii="Times New Roman" w:hAnsi="Times New Roman" w:cs="Times New Roman"/>
                      <w:color w:val="auto"/>
                      <w:szCs w:val="21"/>
                    </w:rPr>
                  </w:pPr>
                </w:p>
              </w:tc>
              <w:tc>
                <w:tcPr>
                  <w:tcW w:w="452" w:type="pct"/>
                  <w:tcBorders>
                    <w:right w:val="single" w:color="000000" w:sz="2" w:space="0"/>
                  </w:tcBorders>
                  <w:vAlign w:val="center"/>
                </w:tcPr>
                <w:p w14:paraId="5C56A25F">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452" w:type="pct"/>
                  <w:tcBorders>
                    <w:right w:val="single" w:color="000000" w:sz="2" w:space="0"/>
                  </w:tcBorders>
                  <w:vAlign w:val="center"/>
                </w:tcPr>
                <w:p w14:paraId="40B15636">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452" w:type="pct"/>
                  <w:tcBorders>
                    <w:left w:val="single" w:color="000000" w:sz="2" w:space="0"/>
                    <w:right w:val="single" w:color="auto" w:sz="4" w:space="0"/>
                  </w:tcBorders>
                  <w:vAlign w:val="center"/>
                </w:tcPr>
                <w:p w14:paraId="4DB3321D">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452" w:type="pct"/>
                  <w:tcBorders>
                    <w:right w:val="single" w:color="auto" w:sz="4" w:space="0"/>
                  </w:tcBorders>
                  <w:vAlign w:val="center"/>
                </w:tcPr>
                <w:p w14:paraId="478A2759">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452" w:type="pct"/>
                  <w:tcBorders>
                    <w:right w:val="single" w:color="auto" w:sz="4" w:space="0"/>
                  </w:tcBorders>
                  <w:vAlign w:val="center"/>
                </w:tcPr>
                <w:p w14:paraId="40A43D4B">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452" w:type="pct"/>
                  <w:tcBorders>
                    <w:left w:val="single" w:color="auto" w:sz="4" w:space="0"/>
                    <w:right w:val="single" w:color="auto" w:sz="4" w:space="0"/>
                  </w:tcBorders>
                  <w:vAlign w:val="center"/>
                </w:tcPr>
                <w:p w14:paraId="5A62770A">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452" w:type="pct"/>
                  <w:tcBorders>
                    <w:left w:val="single" w:color="auto" w:sz="4" w:space="0"/>
                    <w:right w:val="single" w:color="auto" w:sz="4" w:space="0"/>
                  </w:tcBorders>
                  <w:vAlign w:val="center"/>
                </w:tcPr>
                <w:p w14:paraId="7E73D619">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454" w:type="pct"/>
                  <w:tcBorders>
                    <w:left w:val="single" w:color="auto" w:sz="4" w:space="0"/>
                    <w:right w:val="single" w:color="auto" w:sz="4" w:space="0"/>
                  </w:tcBorders>
                  <w:vAlign w:val="center"/>
                </w:tcPr>
                <w:p w14:paraId="0ABF17EA">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mg/L</w:t>
                  </w:r>
                </w:p>
              </w:tc>
            </w:tr>
            <w:tr w14:paraId="068526D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tcBorders>
                    <w:left w:val="single" w:color="auto" w:sz="4" w:space="0"/>
                  </w:tcBorders>
                  <w:vAlign w:val="center"/>
                </w:tcPr>
                <w:p w14:paraId="44CFC88D">
                  <w:pPr>
                    <w:jc w:val="center"/>
                    <w:rPr>
                      <w:rFonts w:hint="default" w:cs="Times New Roman"/>
                      <w:color w:val="auto"/>
                      <w:szCs w:val="21"/>
                      <w:lang w:eastAsia="zh-CN"/>
                    </w:rPr>
                  </w:pPr>
                  <w:r>
                    <w:rPr>
                      <w:rFonts w:hint="eastAsia" w:cs="Times New Roman"/>
                      <w:color w:val="auto"/>
                      <w:szCs w:val="21"/>
                      <w:lang w:val="en-US" w:eastAsia="zh-CN"/>
                    </w:rPr>
                    <w:t>浮选废水W1</w:t>
                  </w:r>
                </w:p>
              </w:tc>
              <w:tc>
                <w:tcPr>
                  <w:tcW w:w="431" w:type="pct"/>
                  <w:tcBorders>
                    <w:bottom w:val="single" w:color="auto" w:sz="4" w:space="0"/>
                    <w:right w:val="single" w:color="000000" w:sz="2" w:space="0"/>
                  </w:tcBorders>
                  <w:vAlign w:val="center"/>
                </w:tcPr>
                <w:p w14:paraId="1DD13D50">
                  <w:pPr>
                    <w:jc w:val="center"/>
                    <w:rPr>
                      <w:rFonts w:hint="default" w:cs="Times New Roman"/>
                      <w:color w:val="auto"/>
                      <w:szCs w:val="21"/>
                      <w:lang w:eastAsia="zh-CN"/>
                    </w:rPr>
                  </w:pPr>
                  <w:r>
                    <w:rPr>
                      <w:rFonts w:hint="default" w:cs="Times New Roman"/>
                      <w:color w:val="auto"/>
                      <w:szCs w:val="21"/>
                      <w:lang w:val="en-US" w:eastAsia="zh-CN"/>
                    </w:rPr>
                    <w:t>5000</w:t>
                  </w:r>
                </w:p>
              </w:tc>
              <w:tc>
                <w:tcPr>
                  <w:tcW w:w="452" w:type="pct"/>
                  <w:tcBorders>
                    <w:bottom w:val="single" w:color="auto" w:sz="4" w:space="0"/>
                    <w:right w:val="single" w:color="000000" w:sz="2" w:space="0"/>
                  </w:tcBorders>
                  <w:vAlign w:val="center"/>
                </w:tcPr>
                <w:p w14:paraId="282721F7">
                  <w:pPr>
                    <w:jc w:val="center"/>
                    <w:rPr>
                      <w:rFonts w:hint="default" w:cs="Times New Roman"/>
                      <w:color w:val="auto"/>
                      <w:szCs w:val="21"/>
                      <w:lang w:eastAsia="zh-CN"/>
                    </w:rPr>
                  </w:pPr>
                  <w:r>
                    <w:rPr>
                      <w:rFonts w:hint="default" w:cs="Times New Roman"/>
                      <w:color w:val="auto"/>
                      <w:szCs w:val="21"/>
                      <w:lang w:val="en-US" w:eastAsia="zh-CN"/>
                    </w:rPr>
                    <w:t>800</w:t>
                  </w:r>
                </w:p>
              </w:tc>
              <w:tc>
                <w:tcPr>
                  <w:tcW w:w="452" w:type="pct"/>
                  <w:tcBorders>
                    <w:bottom w:val="single" w:color="auto" w:sz="4" w:space="0"/>
                    <w:right w:val="single" w:color="000000" w:sz="2" w:space="0"/>
                  </w:tcBorders>
                  <w:vAlign w:val="center"/>
                </w:tcPr>
                <w:p w14:paraId="40CBF34C">
                  <w:pPr>
                    <w:jc w:val="center"/>
                    <w:rPr>
                      <w:rFonts w:hint="default" w:cs="Times New Roman"/>
                      <w:color w:val="auto"/>
                      <w:szCs w:val="21"/>
                      <w:lang w:eastAsia="zh-CN"/>
                    </w:rPr>
                  </w:pPr>
                  <w:r>
                    <w:rPr>
                      <w:rFonts w:hint="default" w:cs="Times New Roman"/>
                      <w:color w:val="auto"/>
                      <w:szCs w:val="21"/>
                      <w:lang w:val="en-US" w:eastAsia="zh-CN"/>
                    </w:rPr>
                    <w:t>800</w:t>
                  </w:r>
                </w:p>
              </w:tc>
              <w:tc>
                <w:tcPr>
                  <w:tcW w:w="452" w:type="pct"/>
                  <w:tcBorders>
                    <w:left w:val="single" w:color="000000" w:sz="2" w:space="0"/>
                    <w:bottom w:val="single" w:color="auto" w:sz="4" w:space="0"/>
                    <w:right w:val="single" w:color="auto" w:sz="4" w:space="0"/>
                  </w:tcBorders>
                  <w:vAlign w:val="center"/>
                </w:tcPr>
                <w:p w14:paraId="3A029CDD">
                  <w:pPr>
                    <w:tabs>
                      <w:tab w:val="left" w:pos="317"/>
                    </w:tabs>
                    <w:jc w:val="left"/>
                    <w:rPr>
                      <w:rFonts w:hint="default" w:cs="Times New Roman"/>
                      <w:color w:val="auto"/>
                      <w:szCs w:val="21"/>
                      <w:lang w:eastAsia="zh-CN"/>
                    </w:rPr>
                  </w:pPr>
                  <w:r>
                    <w:rPr>
                      <w:rFonts w:hint="eastAsia" w:cs="Times New Roman"/>
                      <w:color w:val="auto"/>
                      <w:szCs w:val="21"/>
                      <w:lang w:eastAsia="zh-CN"/>
                    </w:rPr>
                    <w:tab/>
                  </w:r>
                </w:p>
              </w:tc>
              <w:tc>
                <w:tcPr>
                  <w:tcW w:w="452" w:type="pct"/>
                  <w:tcBorders>
                    <w:bottom w:val="single" w:color="auto" w:sz="4" w:space="0"/>
                    <w:right w:val="single" w:color="auto" w:sz="4" w:space="0"/>
                  </w:tcBorders>
                  <w:vAlign w:val="center"/>
                </w:tcPr>
                <w:p w14:paraId="6AEA119C">
                  <w:pPr>
                    <w:jc w:val="center"/>
                    <w:rPr>
                      <w:rFonts w:hint="default" w:cs="Times New Roman"/>
                      <w:color w:val="auto"/>
                      <w:szCs w:val="21"/>
                      <w:lang w:eastAsia="zh-CN"/>
                    </w:rPr>
                  </w:pPr>
                  <w:r>
                    <w:rPr>
                      <w:rFonts w:hint="default" w:cs="Times New Roman"/>
                      <w:color w:val="auto"/>
                      <w:szCs w:val="21"/>
                      <w:lang w:val="en-US" w:eastAsia="zh-CN"/>
                    </w:rPr>
                    <w:t>50</w:t>
                  </w:r>
                </w:p>
              </w:tc>
              <w:tc>
                <w:tcPr>
                  <w:tcW w:w="452" w:type="pct"/>
                  <w:tcBorders>
                    <w:bottom w:val="single" w:color="auto" w:sz="4" w:space="0"/>
                    <w:right w:val="single" w:color="auto" w:sz="4" w:space="0"/>
                  </w:tcBorders>
                  <w:vAlign w:val="center"/>
                </w:tcPr>
                <w:p w14:paraId="4999C211">
                  <w:pPr>
                    <w:jc w:val="center"/>
                    <w:rPr>
                      <w:rFonts w:hint="default" w:cs="Times New Roman"/>
                      <w:color w:val="auto"/>
                      <w:szCs w:val="21"/>
                      <w:lang w:eastAsia="zh-CN"/>
                    </w:rPr>
                  </w:pPr>
                  <w:r>
                    <w:rPr>
                      <w:rFonts w:hint="default" w:cs="Times New Roman"/>
                      <w:color w:val="auto"/>
                      <w:szCs w:val="21"/>
                      <w:lang w:val="en-US" w:eastAsia="zh-CN"/>
                    </w:rPr>
                    <w:t>5</w:t>
                  </w:r>
                </w:p>
              </w:tc>
              <w:tc>
                <w:tcPr>
                  <w:tcW w:w="452" w:type="pct"/>
                  <w:tcBorders>
                    <w:left w:val="single" w:color="auto" w:sz="4" w:space="0"/>
                    <w:bottom w:val="single" w:color="auto" w:sz="4" w:space="0"/>
                    <w:right w:val="single" w:color="auto" w:sz="4" w:space="0"/>
                  </w:tcBorders>
                  <w:vAlign w:val="center"/>
                </w:tcPr>
                <w:p w14:paraId="0F95CE5A">
                  <w:pPr>
                    <w:jc w:val="center"/>
                    <w:rPr>
                      <w:rFonts w:hint="default" w:cs="Times New Roman"/>
                      <w:color w:val="auto"/>
                      <w:szCs w:val="21"/>
                      <w:lang w:eastAsia="zh-CN"/>
                    </w:rPr>
                  </w:pPr>
                  <w:r>
                    <w:rPr>
                      <w:rFonts w:hint="default" w:cs="Times New Roman"/>
                      <w:color w:val="auto"/>
                      <w:szCs w:val="21"/>
                      <w:lang w:val="en-US" w:eastAsia="zh-CN"/>
                    </w:rPr>
                    <w:t>40</w:t>
                  </w:r>
                </w:p>
              </w:tc>
              <w:tc>
                <w:tcPr>
                  <w:tcW w:w="452" w:type="pct"/>
                  <w:tcBorders>
                    <w:left w:val="single" w:color="auto" w:sz="4" w:space="0"/>
                    <w:bottom w:val="single" w:color="auto" w:sz="4" w:space="0"/>
                    <w:right w:val="single" w:color="auto" w:sz="4" w:space="0"/>
                  </w:tcBorders>
                  <w:vAlign w:val="center"/>
                </w:tcPr>
                <w:p w14:paraId="50E37B16">
                  <w:pPr>
                    <w:jc w:val="center"/>
                    <w:rPr>
                      <w:rFonts w:hint="default" w:cs="Times New Roman"/>
                      <w:color w:val="auto"/>
                      <w:szCs w:val="21"/>
                      <w:lang w:eastAsia="zh-CN"/>
                    </w:rPr>
                  </w:pPr>
                  <w:r>
                    <w:rPr>
                      <w:rFonts w:hint="default" w:cs="Times New Roman"/>
                      <w:color w:val="auto"/>
                      <w:szCs w:val="21"/>
                      <w:lang w:val="en-US" w:eastAsia="zh-CN"/>
                    </w:rPr>
                    <w:t>30</w:t>
                  </w:r>
                </w:p>
              </w:tc>
              <w:tc>
                <w:tcPr>
                  <w:tcW w:w="722" w:type="dxa"/>
                  <w:tcBorders>
                    <w:left w:val="single" w:color="auto" w:sz="4" w:space="0"/>
                    <w:bottom w:val="single" w:color="auto" w:sz="4" w:space="0"/>
                    <w:right w:val="single" w:color="auto" w:sz="4" w:space="0"/>
                  </w:tcBorders>
                  <w:vAlign w:val="center"/>
                </w:tcPr>
                <w:p w14:paraId="27B02278">
                  <w:pPr>
                    <w:jc w:val="center"/>
                    <w:rPr>
                      <w:rFonts w:hint="default" w:cs="Times New Roman"/>
                      <w:color w:val="auto"/>
                      <w:szCs w:val="21"/>
                      <w:lang w:val="en-US" w:eastAsia="zh-CN"/>
                    </w:rPr>
                  </w:pPr>
                  <w:r>
                    <w:rPr>
                      <w:rFonts w:hint="eastAsia" w:cs="Times New Roman"/>
                      <w:color w:val="auto"/>
                      <w:szCs w:val="21"/>
                      <w:lang w:val="en-US" w:eastAsia="zh-CN"/>
                    </w:rPr>
                    <w:t>100</w:t>
                  </w:r>
                </w:p>
              </w:tc>
            </w:tr>
            <w:tr w14:paraId="75216C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tcBorders>
                    <w:left w:val="single" w:color="auto" w:sz="4" w:space="0"/>
                  </w:tcBorders>
                  <w:vAlign w:val="center"/>
                </w:tcPr>
                <w:p w14:paraId="0DE07474">
                  <w:pPr>
                    <w:jc w:val="center"/>
                    <w:rPr>
                      <w:rFonts w:hint="default" w:cs="Times New Roman"/>
                      <w:color w:val="auto"/>
                      <w:szCs w:val="21"/>
                      <w:lang w:eastAsia="zh-CN"/>
                    </w:rPr>
                  </w:pPr>
                  <w:r>
                    <w:rPr>
                      <w:rFonts w:hint="eastAsia" w:cs="Times New Roman"/>
                      <w:color w:val="auto"/>
                      <w:szCs w:val="21"/>
                      <w:lang w:val="en-US" w:eastAsia="zh-CN"/>
                    </w:rPr>
                    <w:t>清洗废水</w:t>
                  </w:r>
                  <w:r>
                    <w:rPr>
                      <w:rFonts w:hint="default" w:cs="Times New Roman"/>
                      <w:color w:val="auto"/>
                      <w:szCs w:val="21"/>
                      <w:lang w:val="en-US" w:eastAsia="zh-CN"/>
                    </w:rPr>
                    <w:t>W2</w:t>
                  </w:r>
                </w:p>
              </w:tc>
              <w:tc>
                <w:tcPr>
                  <w:tcW w:w="431" w:type="pct"/>
                  <w:tcBorders>
                    <w:top w:val="single" w:color="auto" w:sz="4" w:space="0"/>
                    <w:bottom w:val="single" w:color="auto" w:sz="4" w:space="0"/>
                    <w:right w:val="single" w:color="000000" w:sz="2" w:space="0"/>
                  </w:tcBorders>
                  <w:vAlign w:val="center"/>
                </w:tcPr>
                <w:p w14:paraId="36A62AE3">
                  <w:pPr>
                    <w:jc w:val="center"/>
                    <w:rPr>
                      <w:rFonts w:hint="default" w:cs="Times New Roman"/>
                      <w:color w:val="auto"/>
                      <w:szCs w:val="21"/>
                      <w:lang w:eastAsia="zh-CN"/>
                    </w:rPr>
                  </w:pPr>
                  <w:r>
                    <w:rPr>
                      <w:rFonts w:hint="default" w:cs="Times New Roman"/>
                      <w:color w:val="auto"/>
                      <w:szCs w:val="21"/>
                      <w:lang w:val="en-US" w:eastAsia="zh-CN"/>
                    </w:rPr>
                    <w:t>4000</w:t>
                  </w:r>
                </w:p>
              </w:tc>
              <w:tc>
                <w:tcPr>
                  <w:tcW w:w="452" w:type="pct"/>
                  <w:tcBorders>
                    <w:top w:val="single" w:color="auto" w:sz="4" w:space="0"/>
                    <w:bottom w:val="single" w:color="auto" w:sz="4" w:space="0"/>
                    <w:right w:val="single" w:color="000000" w:sz="2" w:space="0"/>
                  </w:tcBorders>
                  <w:vAlign w:val="center"/>
                </w:tcPr>
                <w:p w14:paraId="4EEF247B">
                  <w:pPr>
                    <w:jc w:val="center"/>
                    <w:rPr>
                      <w:rFonts w:hint="default" w:cs="Times New Roman"/>
                      <w:color w:val="auto"/>
                      <w:szCs w:val="21"/>
                      <w:lang w:eastAsia="zh-CN"/>
                    </w:rPr>
                  </w:pPr>
                  <w:r>
                    <w:rPr>
                      <w:rFonts w:hint="default" w:cs="Times New Roman"/>
                      <w:color w:val="auto"/>
                      <w:szCs w:val="21"/>
                      <w:lang w:val="en-US" w:eastAsia="zh-CN"/>
                    </w:rPr>
                    <w:t>100</w:t>
                  </w:r>
                </w:p>
              </w:tc>
              <w:tc>
                <w:tcPr>
                  <w:tcW w:w="452" w:type="pct"/>
                  <w:tcBorders>
                    <w:top w:val="single" w:color="auto" w:sz="4" w:space="0"/>
                    <w:bottom w:val="single" w:color="auto" w:sz="4" w:space="0"/>
                    <w:right w:val="single" w:color="000000" w:sz="2" w:space="0"/>
                  </w:tcBorders>
                  <w:vAlign w:val="center"/>
                </w:tcPr>
                <w:p w14:paraId="43F421BC">
                  <w:pPr>
                    <w:jc w:val="center"/>
                    <w:rPr>
                      <w:rFonts w:hint="default" w:cs="Times New Roman"/>
                      <w:color w:val="auto"/>
                      <w:szCs w:val="21"/>
                      <w:lang w:eastAsia="zh-CN"/>
                    </w:rPr>
                  </w:pPr>
                  <w:r>
                    <w:rPr>
                      <w:rFonts w:hint="default" w:cs="Times New Roman"/>
                      <w:color w:val="auto"/>
                      <w:szCs w:val="21"/>
                      <w:lang w:val="en-US" w:eastAsia="zh-CN"/>
                    </w:rPr>
                    <w:t>400</w:t>
                  </w:r>
                </w:p>
              </w:tc>
              <w:tc>
                <w:tcPr>
                  <w:tcW w:w="452" w:type="pct"/>
                  <w:tcBorders>
                    <w:top w:val="single" w:color="auto" w:sz="4" w:space="0"/>
                    <w:left w:val="single" w:color="000000" w:sz="2" w:space="0"/>
                    <w:bottom w:val="single" w:color="auto" w:sz="4" w:space="0"/>
                    <w:right w:val="single" w:color="auto" w:sz="4" w:space="0"/>
                  </w:tcBorders>
                  <w:vAlign w:val="center"/>
                </w:tcPr>
                <w:p w14:paraId="1FE76264">
                  <w:pPr>
                    <w:jc w:val="center"/>
                    <w:rPr>
                      <w:rFonts w:hint="default" w:cs="Times New Roman"/>
                      <w:color w:val="auto"/>
                      <w:szCs w:val="21"/>
                      <w:lang w:eastAsia="zh-CN"/>
                    </w:rPr>
                  </w:pPr>
                </w:p>
              </w:tc>
              <w:tc>
                <w:tcPr>
                  <w:tcW w:w="452" w:type="pct"/>
                  <w:tcBorders>
                    <w:top w:val="single" w:color="auto" w:sz="4" w:space="0"/>
                    <w:bottom w:val="single" w:color="auto" w:sz="4" w:space="0"/>
                    <w:right w:val="single" w:color="auto" w:sz="4" w:space="0"/>
                  </w:tcBorders>
                  <w:vAlign w:val="center"/>
                </w:tcPr>
                <w:p w14:paraId="13B3566A">
                  <w:pPr>
                    <w:jc w:val="center"/>
                    <w:rPr>
                      <w:rFonts w:hint="default" w:cs="Times New Roman"/>
                      <w:color w:val="auto"/>
                      <w:szCs w:val="21"/>
                      <w:lang w:eastAsia="zh-CN"/>
                    </w:rPr>
                  </w:pPr>
                  <w:r>
                    <w:rPr>
                      <w:rFonts w:hint="default" w:cs="Times New Roman"/>
                      <w:color w:val="auto"/>
                      <w:szCs w:val="21"/>
                      <w:lang w:val="en-US" w:eastAsia="zh-CN"/>
                    </w:rPr>
                    <w:t>20</w:t>
                  </w:r>
                </w:p>
              </w:tc>
              <w:tc>
                <w:tcPr>
                  <w:tcW w:w="452" w:type="pct"/>
                  <w:tcBorders>
                    <w:top w:val="single" w:color="auto" w:sz="4" w:space="0"/>
                    <w:bottom w:val="single" w:color="auto" w:sz="4" w:space="0"/>
                    <w:right w:val="single" w:color="auto" w:sz="4" w:space="0"/>
                  </w:tcBorders>
                  <w:vAlign w:val="center"/>
                </w:tcPr>
                <w:p w14:paraId="7B0ED09E">
                  <w:pPr>
                    <w:jc w:val="center"/>
                    <w:rPr>
                      <w:rFonts w:hint="default" w:cs="Times New Roman"/>
                      <w:color w:val="auto"/>
                      <w:szCs w:val="21"/>
                      <w:lang w:eastAsia="zh-CN"/>
                    </w:rPr>
                  </w:pPr>
                  <w:r>
                    <w:rPr>
                      <w:rFonts w:hint="default" w:cs="Times New Roman"/>
                      <w:color w:val="auto"/>
                      <w:szCs w:val="21"/>
                      <w:lang w:val="en-US" w:eastAsia="zh-CN"/>
                    </w:rPr>
                    <w:t>2</w:t>
                  </w:r>
                </w:p>
              </w:tc>
              <w:tc>
                <w:tcPr>
                  <w:tcW w:w="452" w:type="pct"/>
                  <w:tcBorders>
                    <w:top w:val="single" w:color="auto" w:sz="4" w:space="0"/>
                    <w:left w:val="single" w:color="auto" w:sz="4" w:space="0"/>
                    <w:bottom w:val="single" w:color="auto" w:sz="4" w:space="0"/>
                    <w:right w:val="single" w:color="auto" w:sz="4" w:space="0"/>
                  </w:tcBorders>
                  <w:vAlign w:val="center"/>
                </w:tcPr>
                <w:p w14:paraId="3885A4C3">
                  <w:pPr>
                    <w:jc w:val="center"/>
                    <w:rPr>
                      <w:rFonts w:hint="default" w:cs="Times New Roman"/>
                      <w:color w:val="auto"/>
                      <w:szCs w:val="21"/>
                      <w:lang w:eastAsia="zh-CN"/>
                    </w:rPr>
                  </w:pPr>
                  <w:r>
                    <w:rPr>
                      <w:rFonts w:hint="default" w:cs="Times New Roman"/>
                      <w:color w:val="auto"/>
                      <w:szCs w:val="21"/>
                      <w:lang w:val="en-US" w:eastAsia="zh-CN"/>
                    </w:rPr>
                    <w:t>20</w:t>
                  </w:r>
                </w:p>
              </w:tc>
              <w:tc>
                <w:tcPr>
                  <w:tcW w:w="452" w:type="pct"/>
                  <w:tcBorders>
                    <w:top w:val="single" w:color="auto" w:sz="4" w:space="0"/>
                    <w:left w:val="single" w:color="auto" w:sz="4" w:space="0"/>
                    <w:bottom w:val="single" w:color="auto" w:sz="4" w:space="0"/>
                    <w:right w:val="single" w:color="auto" w:sz="4" w:space="0"/>
                  </w:tcBorders>
                  <w:vAlign w:val="center"/>
                </w:tcPr>
                <w:p w14:paraId="1E2DE6A9">
                  <w:pPr>
                    <w:jc w:val="center"/>
                    <w:rPr>
                      <w:rFonts w:hint="default" w:cs="Times New Roman"/>
                      <w:color w:val="auto"/>
                      <w:szCs w:val="21"/>
                      <w:lang w:eastAsia="zh-CN"/>
                    </w:rPr>
                  </w:pPr>
                  <w:r>
                    <w:rPr>
                      <w:rFonts w:hint="default" w:cs="Times New Roman"/>
                      <w:color w:val="auto"/>
                      <w:szCs w:val="21"/>
                      <w:lang w:val="en-US" w:eastAsia="zh-CN"/>
                    </w:rPr>
                    <w:t>15</w:t>
                  </w:r>
                </w:p>
              </w:tc>
              <w:tc>
                <w:tcPr>
                  <w:tcW w:w="722" w:type="dxa"/>
                  <w:tcBorders>
                    <w:top w:val="single" w:color="auto" w:sz="4" w:space="0"/>
                    <w:left w:val="single" w:color="auto" w:sz="4" w:space="0"/>
                    <w:bottom w:val="single" w:color="auto" w:sz="4" w:space="0"/>
                    <w:right w:val="single" w:color="auto" w:sz="4" w:space="0"/>
                  </w:tcBorders>
                  <w:vAlign w:val="center"/>
                </w:tcPr>
                <w:p w14:paraId="460D3191">
                  <w:pPr>
                    <w:jc w:val="center"/>
                    <w:rPr>
                      <w:rFonts w:hint="default" w:cs="Times New Roman"/>
                      <w:color w:val="auto"/>
                      <w:szCs w:val="21"/>
                      <w:lang w:val="en-US" w:eastAsia="zh-CN"/>
                    </w:rPr>
                  </w:pPr>
                  <w:r>
                    <w:rPr>
                      <w:rFonts w:hint="eastAsia" w:cs="Times New Roman"/>
                      <w:color w:val="auto"/>
                      <w:szCs w:val="21"/>
                      <w:lang w:val="en-US" w:eastAsia="zh-CN"/>
                    </w:rPr>
                    <w:t>40</w:t>
                  </w:r>
                </w:p>
              </w:tc>
            </w:tr>
            <w:tr w14:paraId="5BB638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tcBorders>
                    <w:left w:val="single" w:color="auto" w:sz="4" w:space="0"/>
                  </w:tcBorders>
                  <w:vAlign w:val="center"/>
                </w:tcPr>
                <w:p w14:paraId="461AB590">
                  <w:pPr>
                    <w:jc w:val="center"/>
                    <w:rPr>
                      <w:rFonts w:hint="default" w:cs="Times New Roman"/>
                      <w:color w:val="auto"/>
                      <w:szCs w:val="21"/>
                      <w:lang w:eastAsia="zh-CN"/>
                    </w:rPr>
                  </w:pPr>
                  <w:r>
                    <w:rPr>
                      <w:rFonts w:hint="eastAsia" w:cs="Times New Roman"/>
                      <w:color w:val="auto"/>
                      <w:szCs w:val="21"/>
                      <w:lang w:val="en-US" w:eastAsia="zh-CN"/>
                    </w:rPr>
                    <w:t>清洗废水</w:t>
                  </w:r>
                  <w:r>
                    <w:rPr>
                      <w:rFonts w:hint="default" w:cs="Times New Roman"/>
                      <w:color w:val="auto"/>
                      <w:szCs w:val="21"/>
                      <w:lang w:val="en-US" w:eastAsia="zh-CN"/>
                    </w:rPr>
                    <w:t>W3</w:t>
                  </w:r>
                </w:p>
              </w:tc>
              <w:tc>
                <w:tcPr>
                  <w:tcW w:w="431" w:type="pct"/>
                  <w:tcBorders>
                    <w:top w:val="single" w:color="auto" w:sz="4" w:space="0"/>
                    <w:bottom w:val="single" w:color="auto" w:sz="4" w:space="0"/>
                    <w:right w:val="single" w:color="000000" w:sz="2" w:space="0"/>
                  </w:tcBorders>
                  <w:vAlign w:val="center"/>
                </w:tcPr>
                <w:p w14:paraId="7EC10EB0">
                  <w:pPr>
                    <w:jc w:val="center"/>
                    <w:rPr>
                      <w:rFonts w:hint="default" w:cs="Times New Roman"/>
                      <w:color w:val="auto"/>
                      <w:szCs w:val="21"/>
                      <w:lang w:eastAsia="zh-CN"/>
                    </w:rPr>
                  </w:pPr>
                  <w:r>
                    <w:rPr>
                      <w:rFonts w:hint="default" w:cs="Times New Roman"/>
                      <w:color w:val="auto"/>
                      <w:szCs w:val="21"/>
                      <w:lang w:val="en-US" w:eastAsia="zh-CN"/>
                    </w:rPr>
                    <w:t>5000</w:t>
                  </w:r>
                </w:p>
              </w:tc>
              <w:tc>
                <w:tcPr>
                  <w:tcW w:w="452" w:type="pct"/>
                  <w:tcBorders>
                    <w:top w:val="single" w:color="auto" w:sz="4" w:space="0"/>
                    <w:bottom w:val="single" w:color="auto" w:sz="4" w:space="0"/>
                    <w:right w:val="single" w:color="000000" w:sz="2" w:space="0"/>
                  </w:tcBorders>
                  <w:vAlign w:val="center"/>
                </w:tcPr>
                <w:p w14:paraId="67DDA53D">
                  <w:pPr>
                    <w:jc w:val="center"/>
                    <w:rPr>
                      <w:rFonts w:hint="default" w:cs="Times New Roman"/>
                      <w:color w:val="auto"/>
                      <w:szCs w:val="21"/>
                      <w:lang w:eastAsia="zh-CN"/>
                    </w:rPr>
                  </w:pPr>
                  <w:r>
                    <w:rPr>
                      <w:rFonts w:hint="default" w:cs="Times New Roman"/>
                      <w:color w:val="auto"/>
                      <w:szCs w:val="21"/>
                      <w:lang w:val="en-US" w:eastAsia="zh-CN"/>
                    </w:rPr>
                    <w:t>100</w:t>
                  </w:r>
                </w:p>
              </w:tc>
              <w:tc>
                <w:tcPr>
                  <w:tcW w:w="452" w:type="pct"/>
                  <w:tcBorders>
                    <w:top w:val="single" w:color="auto" w:sz="4" w:space="0"/>
                    <w:bottom w:val="single" w:color="auto" w:sz="4" w:space="0"/>
                    <w:right w:val="single" w:color="000000" w:sz="2" w:space="0"/>
                  </w:tcBorders>
                  <w:vAlign w:val="center"/>
                </w:tcPr>
                <w:p w14:paraId="7F2F1297">
                  <w:pPr>
                    <w:jc w:val="center"/>
                    <w:rPr>
                      <w:rFonts w:hint="default" w:cs="Times New Roman"/>
                      <w:color w:val="auto"/>
                      <w:szCs w:val="21"/>
                      <w:lang w:eastAsia="zh-CN"/>
                    </w:rPr>
                  </w:pPr>
                  <w:r>
                    <w:rPr>
                      <w:rFonts w:hint="default" w:cs="Times New Roman"/>
                      <w:color w:val="auto"/>
                      <w:szCs w:val="21"/>
                      <w:lang w:val="en-US" w:eastAsia="zh-CN"/>
                    </w:rPr>
                    <w:t>500</w:t>
                  </w:r>
                </w:p>
              </w:tc>
              <w:tc>
                <w:tcPr>
                  <w:tcW w:w="452" w:type="pct"/>
                  <w:tcBorders>
                    <w:top w:val="single" w:color="auto" w:sz="4" w:space="0"/>
                    <w:left w:val="single" w:color="000000" w:sz="2" w:space="0"/>
                    <w:bottom w:val="single" w:color="auto" w:sz="4" w:space="0"/>
                    <w:right w:val="single" w:color="auto" w:sz="4" w:space="0"/>
                  </w:tcBorders>
                  <w:vAlign w:val="center"/>
                </w:tcPr>
                <w:p w14:paraId="48FD4A57">
                  <w:pPr>
                    <w:jc w:val="center"/>
                    <w:rPr>
                      <w:rFonts w:hint="default" w:cs="Times New Roman"/>
                      <w:color w:val="auto"/>
                      <w:szCs w:val="21"/>
                      <w:lang w:eastAsia="zh-CN"/>
                    </w:rPr>
                  </w:pPr>
                  <w:r>
                    <w:rPr>
                      <w:rFonts w:hint="eastAsia" w:cs="Times New Roman"/>
                      <w:color w:val="auto"/>
                      <w:szCs w:val="21"/>
                      <w:lang w:val="en-US" w:eastAsia="zh-CN"/>
                    </w:rPr>
                    <w:t>4</w:t>
                  </w:r>
                  <w:r>
                    <w:rPr>
                      <w:rFonts w:hint="default" w:cs="Times New Roman"/>
                      <w:color w:val="auto"/>
                      <w:szCs w:val="21"/>
                      <w:lang w:val="en-US" w:eastAsia="zh-CN"/>
                    </w:rPr>
                    <w:t>00</w:t>
                  </w:r>
                </w:p>
              </w:tc>
              <w:tc>
                <w:tcPr>
                  <w:tcW w:w="452" w:type="pct"/>
                  <w:tcBorders>
                    <w:top w:val="single" w:color="auto" w:sz="4" w:space="0"/>
                    <w:bottom w:val="single" w:color="auto" w:sz="4" w:space="0"/>
                    <w:right w:val="single" w:color="auto" w:sz="4" w:space="0"/>
                  </w:tcBorders>
                  <w:vAlign w:val="center"/>
                </w:tcPr>
                <w:p w14:paraId="408E891F">
                  <w:pPr>
                    <w:jc w:val="center"/>
                    <w:rPr>
                      <w:rFonts w:hint="default" w:cs="Times New Roman"/>
                      <w:color w:val="auto"/>
                      <w:szCs w:val="21"/>
                      <w:lang w:eastAsia="zh-CN"/>
                    </w:rPr>
                  </w:pPr>
                  <w:r>
                    <w:rPr>
                      <w:rFonts w:hint="default" w:cs="Times New Roman"/>
                      <w:color w:val="auto"/>
                      <w:szCs w:val="21"/>
                      <w:lang w:val="en-US" w:eastAsia="zh-CN"/>
                    </w:rPr>
                    <w:t>2000</w:t>
                  </w:r>
                </w:p>
              </w:tc>
              <w:tc>
                <w:tcPr>
                  <w:tcW w:w="452" w:type="pct"/>
                  <w:tcBorders>
                    <w:top w:val="single" w:color="auto" w:sz="4" w:space="0"/>
                    <w:bottom w:val="single" w:color="auto" w:sz="4" w:space="0"/>
                    <w:right w:val="single" w:color="auto" w:sz="4" w:space="0"/>
                  </w:tcBorders>
                  <w:vAlign w:val="center"/>
                </w:tcPr>
                <w:p w14:paraId="7017D707">
                  <w:pPr>
                    <w:jc w:val="center"/>
                    <w:rPr>
                      <w:rFonts w:hint="default" w:cs="Times New Roman"/>
                      <w:color w:val="auto"/>
                      <w:szCs w:val="21"/>
                      <w:lang w:eastAsia="zh-CN"/>
                    </w:rPr>
                  </w:pPr>
                  <w:r>
                    <w:rPr>
                      <w:rFonts w:hint="default" w:cs="Times New Roman"/>
                      <w:color w:val="auto"/>
                      <w:szCs w:val="21"/>
                      <w:lang w:val="en-US" w:eastAsia="zh-CN"/>
                    </w:rPr>
                    <w:t>5</w:t>
                  </w:r>
                </w:p>
              </w:tc>
              <w:tc>
                <w:tcPr>
                  <w:tcW w:w="452" w:type="pct"/>
                  <w:tcBorders>
                    <w:top w:val="single" w:color="auto" w:sz="4" w:space="0"/>
                    <w:left w:val="single" w:color="auto" w:sz="4" w:space="0"/>
                    <w:bottom w:val="single" w:color="auto" w:sz="4" w:space="0"/>
                    <w:right w:val="single" w:color="auto" w:sz="4" w:space="0"/>
                  </w:tcBorders>
                  <w:vAlign w:val="center"/>
                </w:tcPr>
                <w:p w14:paraId="306E9582">
                  <w:pPr>
                    <w:jc w:val="center"/>
                    <w:rPr>
                      <w:rFonts w:hint="default" w:cs="Times New Roman"/>
                      <w:color w:val="auto"/>
                      <w:szCs w:val="21"/>
                      <w:lang w:eastAsia="zh-CN"/>
                    </w:rPr>
                  </w:pPr>
                  <w:r>
                    <w:rPr>
                      <w:rFonts w:hint="default" w:cs="Times New Roman"/>
                      <w:color w:val="auto"/>
                      <w:szCs w:val="21"/>
                      <w:lang w:val="en-US" w:eastAsia="zh-CN"/>
                    </w:rPr>
                    <w:t>40</w:t>
                  </w:r>
                </w:p>
              </w:tc>
              <w:tc>
                <w:tcPr>
                  <w:tcW w:w="452" w:type="pct"/>
                  <w:tcBorders>
                    <w:top w:val="single" w:color="auto" w:sz="4" w:space="0"/>
                    <w:left w:val="single" w:color="auto" w:sz="4" w:space="0"/>
                    <w:bottom w:val="single" w:color="auto" w:sz="4" w:space="0"/>
                    <w:right w:val="single" w:color="auto" w:sz="4" w:space="0"/>
                  </w:tcBorders>
                  <w:vAlign w:val="center"/>
                </w:tcPr>
                <w:p w14:paraId="55CB9417">
                  <w:pPr>
                    <w:jc w:val="center"/>
                    <w:rPr>
                      <w:rFonts w:hint="default" w:cs="Times New Roman"/>
                      <w:color w:val="auto"/>
                      <w:szCs w:val="21"/>
                      <w:lang w:eastAsia="zh-CN"/>
                    </w:rPr>
                  </w:pPr>
                </w:p>
              </w:tc>
              <w:tc>
                <w:tcPr>
                  <w:tcW w:w="722" w:type="dxa"/>
                  <w:tcBorders>
                    <w:top w:val="single" w:color="auto" w:sz="4" w:space="0"/>
                    <w:left w:val="single" w:color="auto" w:sz="4" w:space="0"/>
                    <w:bottom w:val="single" w:color="auto" w:sz="4" w:space="0"/>
                    <w:right w:val="single" w:color="auto" w:sz="4" w:space="0"/>
                  </w:tcBorders>
                  <w:vAlign w:val="center"/>
                </w:tcPr>
                <w:p w14:paraId="0652A766">
                  <w:pPr>
                    <w:jc w:val="center"/>
                    <w:rPr>
                      <w:rFonts w:hint="default" w:cs="Times New Roman"/>
                      <w:color w:val="auto"/>
                      <w:szCs w:val="21"/>
                      <w:lang w:val="en-US" w:eastAsia="zh-CN"/>
                    </w:rPr>
                  </w:pPr>
                  <w:r>
                    <w:rPr>
                      <w:rFonts w:hint="eastAsia" w:cs="Times New Roman"/>
                      <w:color w:val="auto"/>
                      <w:szCs w:val="21"/>
                      <w:lang w:val="en-US" w:eastAsia="zh-CN"/>
                    </w:rPr>
                    <w:t>3500</w:t>
                  </w:r>
                </w:p>
              </w:tc>
            </w:tr>
            <w:tr w14:paraId="538AE3C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tcBorders>
                    <w:left w:val="single" w:color="auto" w:sz="4" w:space="0"/>
                  </w:tcBorders>
                  <w:vAlign w:val="center"/>
                </w:tcPr>
                <w:p w14:paraId="75360F59">
                  <w:pPr>
                    <w:jc w:val="center"/>
                    <w:rPr>
                      <w:rFonts w:hint="default" w:cs="Times New Roman"/>
                      <w:color w:val="auto"/>
                      <w:szCs w:val="21"/>
                      <w:lang w:eastAsia="zh-CN"/>
                    </w:rPr>
                  </w:pPr>
                  <w:r>
                    <w:rPr>
                      <w:rFonts w:hint="eastAsia" w:cs="Times New Roman"/>
                      <w:color w:val="auto"/>
                      <w:szCs w:val="21"/>
                      <w:lang w:val="en-US" w:eastAsia="zh-CN"/>
                    </w:rPr>
                    <w:t>拖洗废水</w:t>
                  </w:r>
                </w:p>
              </w:tc>
              <w:tc>
                <w:tcPr>
                  <w:tcW w:w="431" w:type="pct"/>
                  <w:tcBorders>
                    <w:top w:val="single" w:color="auto" w:sz="4" w:space="0"/>
                    <w:bottom w:val="single" w:color="auto" w:sz="4" w:space="0"/>
                    <w:right w:val="single" w:color="000000" w:sz="2" w:space="0"/>
                  </w:tcBorders>
                  <w:vAlign w:val="center"/>
                </w:tcPr>
                <w:p w14:paraId="13756830">
                  <w:pPr>
                    <w:jc w:val="center"/>
                    <w:rPr>
                      <w:rFonts w:hint="default" w:cs="Times New Roman"/>
                      <w:color w:val="auto"/>
                      <w:szCs w:val="21"/>
                      <w:lang w:eastAsia="zh-CN"/>
                    </w:rPr>
                  </w:pPr>
                  <w:r>
                    <w:rPr>
                      <w:rFonts w:hint="default" w:cs="Times New Roman"/>
                      <w:color w:val="auto"/>
                      <w:szCs w:val="21"/>
                      <w:lang w:val="en-US" w:eastAsia="zh-CN"/>
                    </w:rPr>
                    <w:t>300</w:t>
                  </w:r>
                </w:p>
              </w:tc>
              <w:tc>
                <w:tcPr>
                  <w:tcW w:w="452" w:type="pct"/>
                  <w:tcBorders>
                    <w:top w:val="single" w:color="auto" w:sz="4" w:space="0"/>
                    <w:bottom w:val="single" w:color="auto" w:sz="4" w:space="0"/>
                    <w:right w:val="single" w:color="000000" w:sz="2" w:space="0"/>
                  </w:tcBorders>
                  <w:vAlign w:val="center"/>
                </w:tcPr>
                <w:p w14:paraId="2B84387B">
                  <w:pPr>
                    <w:jc w:val="center"/>
                    <w:rPr>
                      <w:rFonts w:hint="default" w:cs="Times New Roman"/>
                      <w:color w:val="auto"/>
                      <w:szCs w:val="21"/>
                      <w:lang w:eastAsia="zh-CN"/>
                    </w:rPr>
                  </w:pPr>
                  <w:r>
                    <w:rPr>
                      <w:rFonts w:hint="default" w:cs="Times New Roman"/>
                      <w:color w:val="auto"/>
                      <w:szCs w:val="21"/>
                      <w:lang w:val="en-US" w:eastAsia="zh-CN"/>
                    </w:rPr>
                    <w:t>300</w:t>
                  </w:r>
                </w:p>
              </w:tc>
              <w:tc>
                <w:tcPr>
                  <w:tcW w:w="452" w:type="pct"/>
                  <w:tcBorders>
                    <w:top w:val="single" w:color="auto" w:sz="4" w:space="0"/>
                    <w:bottom w:val="single" w:color="auto" w:sz="4" w:space="0"/>
                    <w:right w:val="single" w:color="000000" w:sz="2" w:space="0"/>
                  </w:tcBorders>
                  <w:vAlign w:val="center"/>
                </w:tcPr>
                <w:p w14:paraId="5F7AECA2">
                  <w:pPr>
                    <w:jc w:val="center"/>
                    <w:rPr>
                      <w:rFonts w:hint="default" w:cs="Times New Roman"/>
                      <w:color w:val="auto"/>
                      <w:szCs w:val="21"/>
                      <w:lang w:eastAsia="zh-CN"/>
                    </w:rPr>
                  </w:pPr>
                  <w:r>
                    <w:rPr>
                      <w:rFonts w:hint="default" w:cs="Times New Roman"/>
                      <w:color w:val="auto"/>
                      <w:szCs w:val="21"/>
                      <w:lang w:val="en-US" w:eastAsia="zh-CN"/>
                    </w:rPr>
                    <w:t>300</w:t>
                  </w:r>
                </w:p>
              </w:tc>
              <w:tc>
                <w:tcPr>
                  <w:tcW w:w="452" w:type="pct"/>
                  <w:tcBorders>
                    <w:top w:val="single" w:color="auto" w:sz="4" w:space="0"/>
                    <w:left w:val="single" w:color="000000" w:sz="2" w:space="0"/>
                    <w:bottom w:val="single" w:color="auto" w:sz="4" w:space="0"/>
                    <w:right w:val="single" w:color="auto" w:sz="4" w:space="0"/>
                  </w:tcBorders>
                  <w:vAlign w:val="center"/>
                </w:tcPr>
                <w:p w14:paraId="2615E923">
                  <w:pPr>
                    <w:jc w:val="center"/>
                    <w:rPr>
                      <w:rFonts w:hint="default" w:cs="Times New Roman"/>
                      <w:color w:val="auto"/>
                      <w:szCs w:val="21"/>
                      <w:lang w:eastAsia="zh-CN"/>
                    </w:rPr>
                  </w:pPr>
                </w:p>
              </w:tc>
              <w:tc>
                <w:tcPr>
                  <w:tcW w:w="452" w:type="pct"/>
                  <w:tcBorders>
                    <w:top w:val="single" w:color="auto" w:sz="4" w:space="0"/>
                    <w:bottom w:val="single" w:color="auto" w:sz="4" w:space="0"/>
                    <w:right w:val="single" w:color="auto" w:sz="4" w:space="0"/>
                  </w:tcBorders>
                  <w:vAlign w:val="center"/>
                </w:tcPr>
                <w:p w14:paraId="4231FFA7">
                  <w:pPr>
                    <w:jc w:val="center"/>
                    <w:rPr>
                      <w:rFonts w:hint="default" w:cs="Times New Roman"/>
                      <w:color w:val="auto"/>
                      <w:szCs w:val="21"/>
                      <w:lang w:eastAsia="zh-CN"/>
                    </w:rPr>
                  </w:pPr>
                </w:p>
              </w:tc>
              <w:tc>
                <w:tcPr>
                  <w:tcW w:w="452" w:type="pct"/>
                  <w:tcBorders>
                    <w:top w:val="single" w:color="auto" w:sz="4" w:space="0"/>
                    <w:bottom w:val="single" w:color="auto" w:sz="4" w:space="0"/>
                    <w:right w:val="single" w:color="auto" w:sz="4" w:space="0"/>
                  </w:tcBorders>
                  <w:vAlign w:val="center"/>
                </w:tcPr>
                <w:p w14:paraId="5968F6FB">
                  <w:pPr>
                    <w:jc w:val="center"/>
                    <w:rPr>
                      <w:rFonts w:hint="default" w:cs="Times New Roman"/>
                      <w:color w:val="auto"/>
                      <w:szCs w:val="21"/>
                      <w:lang w:eastAsia="zh-CN"/>
                    </w:rPr>
                  </w:pPr>
                  <w:r>
                    <w:rPr>
                      <w:rFonts w:hint="default" w:cs="Times New Roman"/>
                      <w:color w:val="auto"/>
                      <w:szCs w:val="21"/>
                      <w:lang w:val="en-US" w:eastAsia="zh-CN"/>
                    </w:rPr>
                    <w:t>20</w:t>
                  </w:r>
                </w:p>
              </w:tc>
              <w:tc>
                <w:tcPr>
                  <w:tcW w:w="452" w:type="pct"/>
                  <w:tcBorders>
                    <w:top w:val="single" w:color="auto" w:sz="4" w:space="0"/>
                    <w:left w:val="single" w:color="auto" w:sz="4" w:space="0"/>
                    <w:bottom w:val="single" w:color="auto" w:sz="4" w:space="0"/>
                    <w:right w:val="single" w:color="auto" w:sz="4" w:space="0"/>
                  </w:tcBorders>
                  <w:vAlign w:val="center"/>
                </w:tcPr>
                <w:p w14:paraId="27FBEC30">
                  <w:pPr>
                    <w:jc w:val="center"/>
                    <w:rPr>
                      <w:rFonts w:hint="default" w:cs="Times New Roman"/>
                      <w:color w:val="auto"/>
                      <w:szCs w:val="21"/>
                      <w:lang w:eastAsia="zh-CN"/>
                    </w:rPr>
                  </w:pPr>
                  <w:r>
                    <w:rPr>
                      <w:rFonts w:hint="default" w:cs="Times New Roman"/>
                      <w:color w:val="auto"/>
                      <w:szCs w:val="21"/>
                      <w:lang w:val="en-US" w:eastAsia="zh-CN"/>
                    </w:rPr>
                    <w:t>30</w:t>
                  </w:r>
                </w:p>
              </w:tc>
              <w:tc>
                <w:tcPr>
                  <w:tcW w:w="452" w:type="pct"/>
                  <w:tcBorders>
                    <w:top w:val="single" w:color="auto" w:sz="4" w:space="0"/>
                    <w:left w:val="single" w:color="auto" w:sz="4" w:space="0"/>
                    <w:bottom w:val="single" w:color="auto" w:sz="4" w:space="0"/>
                    <w:right w:val="single" w:color="auto" w:sz="4" w:space="0"/>
                  </w:tcBorders>
                  <w:vAlign w:val="center"/>
                </w:tcPr>
                <w:p w14:paraId="2E9BC49F">
                  <w:pPr>
                    <w:jc w:val="center"/>
                    <w:rPr>
                      <w:rFonts w:hint="default" w:cs="Times New Roman"/>
                      <w:color w:val="auto"/>
                      <w:szCs w:val="21"/>
                      <w:lang w:eastAsia="zh-CN"/>
                    </w:rPr>
                  </w:pPr>
                </w:p>
              </w:tc>
              <w:tc>
                <w:tcPr>
                  <w:tcW w:w="722" w:type="dxa"/>
                  <w:tcBorders>
                    <w:top w:val="single" w:color="auto" w:sz="4" w:space="0"/>
                    <w:left w:val="single" w:color="auto" w:sz="4" w:space="0"/>
                    <w:bottom w:val="single" w:color="auto" w:sz="4" w:space="0"/>
                    <w:right w:val="single" w:color="auto" w:sz="4" w:space="0"/>
                  </w:tcBorders>
                  <w:vAlign w:val="center"/>
                </w:tcPr>
                <w:p w14:paraId="7F909502">
                  <w:pPr>
                    <w:jc w:val="center"/>
                    <w:rPr>
                      <w:rFonts w:hint="default" w:cs="Times New Roman"/>
                      <w:color w:val="auto"/>
                      <w:szCs w:val="21"/>
                      <w:lang w:val="en-US" w:eastAsia="zh-CN"/>
                    </w:rPr>
                  </w:pPr>
                </w:p>
              </w:tc>
            </w:tr>
            <w:tr w14:paraId="32CC36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tcBorders>
                    <w:left w:val="single" w:color="auto" w:sz="4" w:space="0"/>
                  </w:tcBorders>
                  <w:vAlign w:val="center"/>
                </w:tcPr>
                <w:p w14:paraId="3DA7DBD3">
                  <w:pPr>
                    <w:jc w:val="center"/>
                    <w:rPr>
                      <w:rFonts w:hint="eastAsia" w:cs="Times New Roman"/>
                      <w:color w:val="auto"/>
                      <w:szCs w:val="21"/>
                      <w:lang w:eastAsia="zh-CN"/>
                    </w:rPr>
                  </w:pPr>
                  <w:r>
                    <w:rPr>
                      <w:rFonts w:hint="eastAsia" w:cs="Times New Roman"/>
                      <w:color w:val="auto"/>
                      <w:szCs w:val="21"/>
                      <w:lang w:val="en-US" w:eastAsia="zh-CN"/>
                    </w:rPr>
                    <w:t>喷淋废水</w:t>
                  </w:r>
                </w:p>
              </w:tc>
              <w:tc>
                <w:tcPr>
                  <w:tcW w:w="431" w:type="pct"/>
                  <w:tcBorders>
                    <w:bottom w:val="single" w:color="auto" w:sz="4" w:space="0"/>
                    <w:right w:val="single" w:color="000000" w:sz="2" w:space="0"/>
                  </w:tcBorders>
                  <w:vAlign w:val="center"/>
                </w:tcPr>
                <w:p w14:paraId="2D9C6911">
                  <w:pPr>
                    <w:jc w:val="center"/>
                    <w:rPr>
                      <w:rFonts w:hint="default" w:cs="Times New Roman"/>
                      <w:color w:val="auto"/>
                      <w:szCs w:val="21"/>
                      <w:lang w:eastAsia="zh-CN"/>
                    </w:rPr>
                  </w:pPr>
                  <w:r>
                    <w:rPr>
                      <w:rFonts w:hint="default" w:cs="Times New Roman"/>
                      <w:color w:val="auto"/>
                      <w:szCs w:val="21"/>
                      <w:lang w:val="en-US" w:eastAsia="zh-CN"/>
                    </w:rPr>
                    <w:t>5400</w:t>
                  </w:r>
                </w:p>
              </w:tc>
              <w:tc>
                <w:tcPr>
                  <w:tcW w:w="452" w:type="pct"/>
                  <w:tcBorders>
                    <w:bottom w:val="single" w:color="auto" w:sz="4" w:space="0"/>
                    <w:right w:val="single" w:color="000000" w:sz="2" w:space="0"/>
                  </w:tcBorders>
                  <w:vAlign w:val="center"/>
                </w:tcPr>
                <w:p w14:paraId="44DAAA11">
                  <w:pPr>
                    <w:jc w:val="center"/>
                    <w:rPr>
                      <w:rFonts w:hint="default" w:cs="Times New Roman"/>
                      <w:color w:val="auto"/>
                      <w:szCs w:val="21"/>
                      <w:lang w:eastAsia="zh-CN"/>
                    </w:rPr>
                  </w:pPr>
                  <w:r>
                    <w:rPr>
                      <w:rFonts w:hint="default" w:cs="Times New Roman"/>
                      <w:color w:val="auto"/>
                      <w:szCs w:val="21"/>
                      <w:lang w:val="en-US" w:eastAsia="zh-CN"/>
                    </w:rPr>
                    <w:t>200</w:t>
                  </w:r>
                </w:p>
              </w:tc>
              <w:tc>
                <w:tcPr>
                  <w:tcW w:w="452" w:type="pct"/>
                  <w:tcBorders>
                    <w:bottom w:val="single" w:color="auto" w:sz="4" w:space="0"/>
                    <w:right w:val="single" w:color="000000" w:sz="2" w:space="0"/>
                  </w:tcBorders>
                  <w:vAlign w:val="center"/>
                </w:tcPr>
                <w:p w14:paraId="6F7708B1">
                  <w:pPr>
                    <w:jc w:val="center"/>
                    <w:rPr>
                      <w:rFonts w:hint="default" w:cs="Times New Roman"/>
                      <w:color w:val="auto"/>
                      <w:szCs w:val="21"/>
                      <w:lang w:eastAsia="zh-CN"/>
                    </w:rPr>
                  </w:pPr>
                  <w:r>
                    <w:rPr>
                      <w:rFonts w:hint="default" w:cs="Times New Roman"/>
                      <w:color w:val="auto"/>
                      <w:szCs w:val="21"/>
                      <w:lang w:val="en-US" w:eastAsia="zh-CN"/>
                    </w:rPr>
                    <w:t>300</w:t>
                  </w:r>
                </w:p>
              </w:tc>
              <w:tc>
                <w:tcPr>
                  <w:tcW w:w="452" w:type="pct"/>
                  <w:tcBorders>
                    <w:left w:val="single" w:color="000000" w:sz="2" w:space="0"/>
                    <w:bottom w:val="single" w:color="auto" w:sz="4" w:space="0"/>
                    <w:right w:val="single" w:color="auto" w:sz="4" w:space="0"/>
                  </w:tcBorders>
                  <w:vAlign w:val="center"/>
                </w:tcPr>
                <w:p w14:paraId="42DB5750">
                  <w:pPr>
                    <w:jc w:val="center"/>
                    <w:rPr>
                      <w:rFonts w:hint="default" w:cs="Times New Roman"/>
                      <w:color w:val="auto"/>
                      <w:szCs w:val="21"/>
                      <w:lang w:eastAsia="zh-CN"/>
                    </w:rPr>
                  </w:pPr>
                  <w:r>
                    <w:rPr>
                      <w:rFonts w:hint="default" w:cs="Times New Roman"/>
                      <w:color w:val="auto"/>
                      <w:szCs w:val="21"/>
                      <w:lang w:val="en-US" w:eastAsia="zh-CN"/>
                    </w:rPr>
                    <w:t>50</w:t>
                  </w:r>
                </w:p>
              </w:tc>
              <w:tc>
                <w:tcPr>
                  <w:tcW w:w="452" w:type="pct"/>
                  <w:tcBorders>
                    <w:bottom w:val="single" w:color="auto" w:sz="4" w:space="0"/>
                  </w:tcBorders>
                  <w:vAlign w:val="center"/>
                </w:tcPr>
                <w:p w14:paraId="7A4B1CCC">
                  <w:pPr>
                    <w:jc w:val="center"/>
                    <w:rPr>
                      <w:rFonts w:hint="default" w:cs="Times New Roman"/>
                      <w:color w:val="auto"/>
                      <w:szCs w:val="21"/>
                      <w:lang w:eastAsia="zh-CN"/>
                    </w:rPr>
                  </w:pPr>
                  <w:r>
                    <w:rPr>
                      <w:rFonts w:hint="default" w:cs="Times New Roman"/>
                      <w:color w:val="auto"/>
                      <w:szCs w:val="21"/>
                      <w:lang w:val="en-US" w:eastAsia="zh-CN"/>
                    </w:rPr>
                    <w:t>4000</w:t>
                  </w:r>
                </w:p>
              </w:tc>
              <w:tc>
                <w:tcPr>
                  <w:tcW w:w="452" w:type="pct"/>
                  <w:tcBorders>
                    <w:bottom w:val="single" w:color="auto" w:sz="4" w:space="0"/>
                    <w:right w:val="single" w:color="auto" w:sz="4" w:space="0"/>
                  </w:tcBorders>
                  <w:vAlign w:val="center"/>
                </w:tcPr>
                <w:p w14:paraId="3E80A13E">
                  <w:pPr>
                    <w:jc w:val="center"/>
                    <w:rPr>
                      <w:rFonts w:hint="default" w:cs="Times New Roman"/>
                      <w:color w:val="auto"/>
                      <w:szCs w:val="21"/>
                      <w:lang w:eastAsia="zh-CN"/>
                    </w:rPr>
                  </w:pPr>
                </w:p>
              </w:tc>
              <w:tc>
                <w:tcPr>
                  <w:tcW w:w="452" w:type="pct"/>
                  <w:tcBorders>
                    <w:left w:val="single" w:color="auto" w:sz="4" w:space="0"/>
                    <w:bottom w:val="single" w:color="auto" w:sz="4" w:space="0"/>
                    <w:right w:val="single" w:color="auto" w:sz="4" w:space="0"/>
                  </w:tcBorders>
                  <w:vAlign w:val="center"/>
                </w:tcPr>
                <w:p w14:paraId="3A5BC90D">
                  <w:pPr>
                    <w:jc w:val="center"/>
                    <w:rPr>
                      <w:rFonts w:hint="default" w:cs="Times New Roman"/>
                      <w:color w:val="auto"/>
                      <w:szCs w:val="21"/>
                      <w:lang w:eastAsia="zh-CN"/>
                    </w:rPr>
                  </w:pPr>
                </w:p>
              </w:tc>
              <w:tc>
                <w:tcPr>
                  <w:tcW w:w="452" w:type="pct"/>
                  <w:tcBorders>
                    <w:left w:val="single" w:color="auto" w:sz="4" w:space="0"/>
                    <w:bottom w:val="single" w:color="auto" w:sz="4" w:space="0"/>
                    <w:right w:val="single" w:color="auto" w:sz="4" w:space="0"/>
                  </w:tcBorders>
                  <w:vAlign w:val="center"/>
                </w:tcPr>
                <w:p w14:paraId="3ACB4650">
                  <w:pPr>
                    <w:jc w:val="center"/>
                    <w:rPr>
                      <w:rFonts w:hint="default" w:cs="Times New Roman"/>
                      <w:color w:val="auto"/>
                      <w:szCs w:val="21"/>
                      <w:lang w:eastAsia="zh-CN"/>
                    </w:rPr>
                  </w:pPr>
                </w:p>
              </w:tc>
              <w:tc>
                <w:tcPr>
                  <w:tcW w:w="722" w:type="dxa"/>
                  <w:tcBorders>
                    <w:left w:val="single" w:color="auto" w:sz="4" w:space="0"/>
                    <w:bottom w:val="single" w:color="auto" w:sz="4" w:space="0"/>
                  </w:tcBorders>
                  <w:vAlign w:val="center"/>
                </w:tcPr>
                <w:p w14:paraId="2916C382">
                  <w:pPr>
                    <w:jc w:val="center"/>
                    <w:rPr>
                      <w:rFonts w:hint="default" w:cs="Times New Roman"/>
                      <w:color w:val="auto"/>
                      <w:szCs w:val="21"/>
                      <w:lang w:val="en-US" w:eastAsia="zh-CN"/>
                    </w:rPr>
                  </w:pPr>
                  <w:r>
                    <w:rPr>
                      <w:rFonts w:hint="eastAsia" w:cs="Times New Roman"/>
                      <w:color w:val="auto"/>
                      <w:szCs w:val="21"/>
                      <w:lang w:val="en-US" w:eastAsia="zh-CN"/>
                    </w:rPr>
                    <w:t>6000</w:t>
                  </w:r>
                </w:p>
              </w:tc>
            </w:tr>
            <w:tr w14:paraId="403942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tcBorders>
                    <w:left w:val="single" w:color="auto" w:sz="4" w:space="0"/>
                  </w:tcBorders>
                  <w:vAlign w:val="center"/>
                </w:tcPr>
                <w:p w14:paraId="3CE3AFE5">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685" w:type="dxa"/>
                  <w:tcBorders>
                    <w:right w:val="single" w:color="000000" w:sz="2" w:space="0"/>
                  </w:tcBorders>
                  <w:vAlign w:val="center"/>
                </w:tcPr>
                <w:p w14:paraId="61F06694">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1000</w:t>
                  </w:r>
                </w:p>
              </w:tc>
              <w:tc>
                <w:tcPr>
                  <w:tcW w:w="719" w:type="dxa"/>
                  <w:tcBorders>
                    <w:right w:val="single" w:color="000000" w:sz="2" w:space="0"/>
                  </w:tcBorders>
                  <w:vAlign w:val="center"/>
                </w:tcPr>
                <w:p w14:paraId="02A1A66F">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350</w:t>
                  </w:r>
                </w:p>
              </w:tc>
              <w:tc>
                <w:tcPr>
                  <w:tcW w:w="719" w:type="dxa"/>
                  <w:tcBorders>
                    <w:right w:val="single" w:color="000000" w:sz="2" w:space="0"/>
                  </w:tcBorders>
                  <w:vAlign w:val="center"/>
                </w:tcPr>
                <w:p w14:paraId="7AAFB406">
                  <w:pPr>
                    <w:jc w:val="center"/>
                    <w:rPr>
                      <w:rFonts w:hint="default" w:ascii="Times New Roman" w:hAnsi="Times New Roman" w:cs="Times New Roman"/>
                      <w:color w:val="auto"/>
                      <w:szCs w:val="21"/>
                      <w:lang w:val="en-US" w:eastAsia="zh-CN"/>
                    </w:rPr>
                  </w:pPr>
                </w:p>
              </w:tc>
              <w:tc>
                <w:tcPr>
                  <w:tcW w:w="719" w:type="dxa"/>
                  <w:tcBorders>
                    <w:left w:val="single" w:color="000000" w:sz="2" w:space="0"/>
                    <w:right w:val="single" w:color="auto" w:sz="4" w:space="0"/>
                  </w:tcBorders>
                  <w:vAlign w:val="center"/>
                </w:tcPr>
                <w:p w14:paraId="20D41A8D">
                  <w:pPr>
                    <w:jc w:val="center"/>
                    <w:rPr>
                      <w:rFonts w:hint="default" w:ascii="Times New Roman" w:hAnsi="Times New Roman" w:cs="Times New Roman"/>
                      <w:color w:val="auto"/>
                      <w:szCs w:val="21"/>
                      <w:lang w:val="en-US" w:eastAsia="zh-CN"/>
                    </w:rPr>
                  </w:pPr>
                </w:p>
              </w:tc>
              <w:tc>
                <w:tcPr>
                  <w:tcW w:w="719" w:type="dxa"/>
                  <w:vAlign w:val="center"/>
                </w:tcPr>
                <w:p w14:paraId="0589FA97">
                  <w:pPr>
                    <w:jc w:val="center"/>
                    <w:rPr>
                      <w:rFonts w:hint="default" w:ascii="Times New Roman" w:hAnsi="Times New Roman" w:cs="Times New Roman"/>
                      <w:color w:val="auto"/>
                      <w:szCs w:val="21"/>
                      <w:lang w:val="en-US" w:eastAsia="zh-CN"/>
                    </w:rPr>
                  </w:pPr>
                </w:p>
              </w:tc>
              <w:tc>
                <w:tcPr>
                  <w:tcW w:w="719" w:type="dxa"/>
                  <w:tcBorders>
                    <w:right w:val="single" w:color="auto" w:sz="4" w:space="0"/>
                  </w:tcBorders>
                  <w:vAlign w:val="center"/>
                </w:tcPr>
                <w:p w14:paraId="00591A71">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35</w:t>
                  </w:r>
                </w:p>
              </w:tc>
              <w:tc>
                <w:tcPr>
                  <w:tcW w:w="719" w:type="dxa"/>
                  <w:tcBorders>
                    <w:left w:val="single" w:color="auto" w:sz="4" w:space="0"/>
                    <w:right w:val="single" w:color="auto" w:sz="4" w:space="0"/>
                  </w:tcBorders>
                  <w:vAlign w:val="center"/>
                </w:tcPr>
                <w:p w14:paraId="66AF7F04">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40</w:t>
                  </w:r>
                </w:p>
              </w:tc>
              <w:tc>
                <w:tcPr>
                  <w:tcW w:w="452" w:type="pct"/>
                  <w:tcBorders>
                    <w:left w:val="single" w:color="auto" w:sz="4" w:space="0"/>
                    <w:right w:val="single" w:color="auto" w:sz="4" w:space="0"/>
                  </w:tcBorders>
                  <w:vAlign w:val="center"/>
                </w:tcPr>
                <w:p w14:paraId="6685B55C">
                  <w:pPr>
                    <w:jc w:val="center"/>
                    <w:rPr>
                      <w:rFonts w:hint="default" w:ascii="Times New Roman" w:hAnsi="Times New Roman" w:cs="Times New Roman"/>
                      <w:color w:val="auto"/>
                      <w:szCs w:val="21"/>
                    </w:rPr>
                  </w:pPr>
                </w:p>
              </w:tc>
              <w:tc>
                <w:tcPr>
                  <w:tcW w:w="454" w:type="pct"/>
                  <w:tcBorders>
                    <w:left w:val="single" w:color="auto" w:sz="4" w:space="0"/>
                  </w:tcBorders>
                  <w:vAlign w:val="center"/>
                </w:tcPr>
                <w:p w14:paraId="5E489809">
                  <w:pPr>
                    <w:jc w:val="center"/>
                    <w:rPr>
                      <w:rFonts w:hint="default" w:ascii="Times New Roman" w:hAnsi="Times New Roman" w:cs="Times New Roman"/>
                      <w:color w:val="auto"/>
                      <w:szCs w:val="21"/>
                    </w:rPr>
                  </w:pPr>
                </w:p>
              </w:tc>
            </w:tr>
            <w:tr w14:paraId="5393CE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7" w:hRule="atLeast"/>
                <w:jc w:val="center"/>
              </w:trPr>
              <w:tc>
                <w:tcPr>
                  <w:tcW w:w="943" w:type="pct"/>
                  <w:tcBorders>
                    <w:left w:val="single" w:color="auto" w:sz="4" w:space="0"/>
                  </w:tcBorders>
                  <w:vAlign w:val="center"/>
                </w:tcPr>
                <w:p w14:paraId="26F1003A">
                  <w:pPr>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外排废水小计</w:t>
                  </w:r>
                </w:p>
              </w:tc>
              <w:tc>
                <w:tcPr>
                  <w:tcW w:w="431" w:type="pct"/>
                  <w:tcBorders>
                    <w:right w:val="single" w:color="000000" w:sz="2" w:space="0"/>
                  </w:tcBorders>
                  <w:vAlign w:val="center"/>
                </w:tcPr>
                <w:p w14:paraId="77774198">
                  <w:pPr>
                    <w:jc w:val="center"/>
                    <w:rPr>
                      <w:rFonts w:hint="default" w:ascii="Times New Roman" w:hAnsi="Times New Roman" w:eastAsia="宋体" w:cs="Times New Roman"/>
                      <w:b/>
                      <w:bCs/>
                      <w:color w:val="auto"/>
                      <w:szCs w:val="21"/>
                      <w:lang w:val="en-US" w:eastAsia="zh-CN"/>
                    </w:rPr>
                  </w:pPr>
                  <w:r>
                    <w:rPr>
                      <w:rFonts w:hint="eastAsia" w:cs="Times New Roman"/>
                      <w:b/>
                      <w:bCs/>
                      <w:color w:val="auto"/>
                      <w:kern w:val="21"/>
                      <w:lang w:val="en-US" w:eastAsia="zh-CN"/>
                    </w:rPr>
                    <w:t>20700</w:t>
                  </w:r>
                </w:p>
              </w:tc>
              <w:tc>
                <w:tcPr>
                  <w:tcW w:w="719" w:type="dxa"/>
                  <w:tcBorders>
                    <w:right w:val="single" w:color="000000" w:sz="2" w:space="0"/>
                  </w:tcBorders>
                  <w:vAlign w:val="center"/>
                </w:tcPr>
                <w:p w14:paraId="6D924769">
                  <w:pPr>
                    <w:jc w:val="center"/>
                    <w:rPr>
                      <w:rFonts w:hint="default"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310.14 </w:t>
                  </w:r>
                </w:p>
              </w:tc>
              <w:tc>
                <w:tcPr>
                  <w:tcW w:w="719" w:type="dxa"/>
                  <w:tcBorders>
                    <w:right w:val="single" w:color="000000" w:sz="2" w:space="0"/>
                  </w:tcBorders>
                  <w:vAlign w:val="center"/>
                </w:tcPr>
                <w:p w14:paraId="5BEC62CD">
                  <w:pPr>
                    <w:jc w:val="center"/>
                    <w:rPr>
                      <w:rFonts w:hint="default"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473.91 </w:t>
                  </w:r>
                </w:p>
              </w:tc>
              <w:tc>
                <w:tcPr>
                  <w:tcW w:w="719" w:type="dxa"/>
                  <w:tcBorders>
                    <w:left w:val="single" w:color="000000" w:sz="2" w:space="0"/>
                    <w:right w:val="single" w:color="auto" w:sz="4" w:space="0"/>
                  </w:tcBorders>
                  <w:vAlign w:val="center"/>
                </w:tcPr>
                <w:p w14:paraId="399CBC3C">
                  <w:pPr>
                    <w:jc w:val="center"/>
                    <w:rPr>
                      <w:rFonts w:hint="default" w:ascii="Times New Roman" w:hAnsi="Times New Roman" w:cs="Times New Roman"/>
                      <w:b/>
                      <w:bCs/>
                      <w:color w:val="auto"/>
                      <w:szCs w:val="21"/>
                      <w:lang w:val="en-US"/>
                    </w:rPr>
                  </w:pPr>
                  <w:r>
                    <w:rPr>
                      <w:rFonts w:hint="eastAsia" w:cs="Times New Roman"/>
                      <w:b/>
                      <w:bCs/>
                      <w:color w:val="auto"/>
                      <w:szCs w:val="21"/>
                      <w:lang w:val="en-US" w:eastAsia="zh-CN"/>
                    </w:rPr>
                    <w:t>109.7</w:t>
                  </w:r>
                </w:p>
              </w:tc>
              <w:tc>
                <w:tcPr>
                  <w:tcW w:w="719" w:type="dxa"/>
                  <w:vAlign w:val="center"/>
                </w:tcPr>
                <w:p w14:paraId="2BF508CF">
                  <w:pPr>
                    <w:jc w:val="center"/>
                    <w:rPr>
                      <w:rFonts w:hint="default"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1542.51 </w:t>
                  </w:r>
                </w:p>
              </w:tc>
              <w:tc>
                <w:tcPr>
                  <w:tcW w:w="719" w:type="dxa"/>
                  <w:tcBorders>
                    <w:right w:val="single" w:color="auto" w:sz="4" w:space="0"/>
                  </w:tcBorders>
                  <w:vAlign w:val="center"/>
                </w:tcPr>
                <w:p w14:paraId="03DE64F8">
                  <w:pPr>
                    <w:jc w:val="center"/>
                    <w:rPr>
                      <w:rFonts w:hint="default"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4.78 </w:t>
                  </w:r>
                </w:p>
              </w:tc>
              <w:tc>
                <w:tcPr>
                  <w:tcW w:w="719" w:type="dxa"/>
                  <w:tcBorders>
                    <w:left w:val="single" w:color="auto" w:sz="4" w:space="0"/>
                    <w:right w:val="single" w:color="auto" w:sz="4" w:space="0"/>
                  </w:tcBorders>
                  <w:vAlign w:val="center"/>
                </w:tcPr>
                <w:p w14:paraId="17DDFCF4">
                  <w:pPr>
                    <w:jc w:val="center"/>
                    <w:rPr>
                      <w:rFonts w:hint="default"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25.56 </w:t>
                  </w:r>
                </w:p>
              </w:tc>
              <w:tc>
                <w:tcPr>
                  <w:tcW w:w="719" w:type="dxa"/>
                  <w:tcBorders>
                    <w:left w:val="single" w:color="auto" w:sz="4" w:space="0"/>
                    <w:right w:val="single" w:color="auto" w:sz="4" w:space="0"/>
                  </w:tcBorders>
                  <w:vAlign w:val="center"/>
                </w:tcPr>
                <w:p w14:paraId="227FBB66">
                  <w:pPr>
                    <w:jc w:val="center"/>
                    <w:rPr>
                      <w:rFonts w:hint="default" w:ascii="Times New Roman" w:hAnsi="Times New Roman" w:cs="Times New Roman"/>
                      <w:b/>
                      <w:bCs/>
                      <w:color w:val="auto"/>
                      <w:szCs w:val="21"/>
                    </w:rPr>
                  </w:pPr>
                  <w:r>
                    <w:rPr>
                      <w:rFonts w:hint="eastAsia" w:ascii="Times New Roman" w:hAnsi="Times New Roman" w:cs="Times New Roman"/>
                      <w:b/>
                      <w:bCs/>
                      <w:color w:val="auto"/>
                      <w:szCs w:val="21"/>
                      <w:lang w:val="en-US" w:eastAsia="zh-CN"/>
                    </w:rPr>
                    <w:t xml:space="preserve">10.14 </w:t>
                  </w:r>
                </w:p>
              </w:tc>
              <w:tc>
                <w:tcPr>
                  <w:tcW w:w="722" w:type="dxa"/>
                  <w:tcBorders>
                    <w:left w:val="single" w:color="auto" w:sz="4" w:space="0"/>
                  </w:tcBorders>
                  <w:vAlign w:val="center"/>
                </w:tcPr>
                <w:p w14:paraId="49939412">
                  <w:pPr>
                    <w:jc w:val="center"/>
                    <w:rPr>
                      <w:rFonts w:hint="default" w:cs="Times New Roman"/>
                      <w:b/>
                      <w:bCs/>
                      <w:color w:val="auto"/>
                      <w:szCs w:val="21"/>
                      <w:lang w:val="en-US" w:eastAsia="zh-CN"/>
                    </w:rPr>
                  </w:pPr>
                  <w:r>
                    <w:rPr>
                      <w:rFonts w:hint="eastAsia" w:cs="Times New Roman"/>
                      <w:b/>
                      <w:bCs/>
                      <w:color w:val="auto"/>
                      <w:szCs w:val="21"/>
                      <w:lang w:val="en-US" w:eastAsia="zh-CN"/>
                    </w:rPr>
                    <w:t xml:space="preserve">2442.51 </w:t>
                  </w:r>
                </w:p>
              </w:tc>
            </w:tr>
          </w:tbl>
          <w:p w14:paraId="657B09EC">
            <w:pPr>
              <w:pStyle w:val="9"/>
              <w:spacing w:line="360" w:lineRule="auto"/>
              <w:ind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2、废水处理情况</w:t>
            </w:r>
          </w:p>
          <w:p w14:paraId="1B0530A0">
            <w:pPr>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（1）项目废水产排情况汇总具体见下表。</w:t>
            </w:r>
          </w:p>
          <w:p w14:paraId="6741C6A3">
            <w:pPr>
              <w:adjustRightInd w:val="0"/>
              <w:snapToGrid w:val="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表4.2.4-</w:t>
            </w:r>
            <w:r>
              <w:rPr>
                <w:rFonts w:hint="eastAsia" w:cs="Times New Roman"/>
                <w:b/>
                <w:color w:val="auto"/>
                <w:szCs w:val="21"/>
                <w:lang w:val="en-US" w:eastAsia="zh-CN"/>
              </w:rPr>
              <w:t>3</w:t>
            </w:r>
            <w:r>
              <w:rPr>
                <w:rFonts w:hint="default" w:ascii="Times New Roman" w:hAnsi="Times New Roman" w:cs="Times New Roman"/>
                <w:b/>
                <w:color w:val="auto"/>
                <w:szCs w:val="21"/>
              </w:rPr>
              <w:t xml:space="preserve">  项目废水产排情况汇总一览表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35"/>
              <w:gridCol w:w="982"/>
              <w:gridCol w:w="870"/>
              <w:gridCol w:w="653"/>
              <w:gridCol w:w="887"/>
              <w:gridCol w:w="955"/>
              <w:gridCol w:w="923"/>
              <w:gridCol w:w="827"/>
              <w:gridCol w:w="804"/>
            </w:tblGrid>
            <w:tr w14:paraId="44C9C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restart"/>
                  <w:tcBorders>
                    <w:top w:val="single" w:color="auto" w:sz="4" w:space="0"/>
                    <w:left w:val="single" w:color="auto" w:sz="4" w:space="0"/>
                    <w:bottom w:val="single" w:color="auto" w:sz="4" w:space="0"/>
                    <w:right w:val="single" w:color="auto" w:sz="4" w:space="0"/>
                  </w:tcBorders>
                  <w:vAlign w:val="center"/>
                </w:tcPr>
                <w:p w14:paraId="7E57ABD6">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废水名称</w:t>
                  </w:r>
                </w:p>
              </w:tc>
              <w:tc>
                <w:tcPr>
                  <w:tcW w:w="982" w:type="dxa"/>
                  <w:vMerge w:val="restart"/>
                  <w:tcBorders>
                    <w:top w:val="single" w:color="auto" w:sz="4" w:space="0"/>
                    <w:left w:val="single" w:color="auto" w:sz="4" w:space="0"/>
                    <w:bottom w:val="single" w:color="auto" w:sz="4" w:space="0"/>
                    <w:right w:val="single" w:color="auto" w:sz="4" w:space="0"/>
                  </w:tcBorders>
                  <w:vAlign w:val="center"/>
                </w:tcPr>
                <w:p w14:paraId="7262F8AC">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污染物</w:t>
                  </w:r>
                </w:p>
              </w:tc>
              <w:tc>
                <w:tcPr>
                  <w:tcW w:w="2410" w:type="dxa"/>
                  <w:gridSpan w:val="3"/>
                  <w:vMerge w:val="restart"/>
                  <w:tcBorders>
                    <w:top w:val="single" w:color="auto" w:sz="4" w:space="0"/>
                    <w:left w:val="single" w:color="auto" w:sz="4" w:space="0"/>
                    <w:bottom w:val="single" w:color="auto" w:sz="4" w:space="0"/>
                    <w:right w:val="single" w:color="auto" w:sz="4" w:space="0"/>
                  </w:tcBorders>
                  <w:vAlign w:val="center"/>
                </w:tcPr>
                <w:p w14:paraId="4B86831C">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产生量</w:t>
                  </w:r>
                </w:p>
              </w:tc>
              <w:tc>
                <w:tcPr>
                  <w:tcW w:w="3509" w:type="dxa"/>
                  <w:gridSpan w:val="4"/>
                  <w:tcBorders>
                    <w:top w:val="single" w:color="auto" w:sz="4" w:space="0"/>
                    <w:left w:val="single" w:color="auto" w:sz="4" w:space="0"/>
                    <w:bottom w:val="single" w:color="auto" w:sz="4" w:space="0"/>
                    <w:right w:val="single" w:color="auto" w:sz="4" w:space="0"/>
                  </w:tcBorders>
                  <w:vAlign w:val="center"/>
                </w:tcPr>
                <w:p w14:paraId="63D044EA">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排放量</w:t>
                  </w:r>
                </w:p>
              </w:tc>
            </w:tr>
            <w:tr w14:paraId="0B67B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4262AE6E">
                  <w:pPr>
                    <w:adjustRightInd w:val="0"/>
                    <w:snapToGrid w:val="0"/>
                    <w:jc w:val="center"/>
                    <w:rPr>
                      <w:rFonts w:hint="default" w:ascii="Times New Roman" w:hAnsi="Times New Roman" w:cs="Times New Roman"/>
                      <w:b/>
                      <w:bCs/>
                      <w:color w:val="auto"/>
                    </w:rPr>
                  </w:pPr>
                </w:p>
              </w:tc>
              <w:tc>
                <w:tcPr>
                  <w:tcW w:w="982" w:type="dxa"/>
                  <w:vMerge w:val="continue"/>
                  <w:tcBorders>
                    <w:top w:val="single" w:color="auto" w:sz="4" w:space="0"/>
                    <w:left w:val="single" w:color="auto" w:sz="4" w:space="0"/>
                    <w:bottom w:val="single" w:color="auto" w:sz="4" w:space="0"/>
                    <w:right w:val="single" w:color="auto" w:sz="4" w:space="0"/>
                  </w:tcBorders>
                  <w:vAlign w:val="center"/>
                </w:tcPr>
                <w:p w14:paraId="5769514E">
                  <w:pPr>
                    <w:adjustRightInd w:val="0"/>
                    <w:snapToGrid w:val="0"/>
                    <w:jc w:val="center"/>
                    <w:rPr>
                      <w:rFonts w:hint="default" w:ascii="Times New Roman" w:hAnsi="Times New Roman" w:cs="Times New Roman"/>
                      <w:b/>
                      <w:bCs/>
                      <w:color w:val="auto"/>
                    </w:rPr>
                  </w:pPr>
                </w:p>
              </w:tc>
              <w:tc>
                <w:tcPr>
                  <w:tcW w:w="2410" w:type="dxa"/>
                  <w:gridSpan w:val="3"/>
                  <w:vMerge w:val="continue"/>
                  <w:tcBorders>
                    <w:top w:val="single" w:color="auto" w:sz="4" w:space="0"/>
                    <w:left w:val="single" w:color="auto" w:sz="4" w:space="0"/>
                    <w:bottom w:val="single" w:color="auto" w:sz="4" w:space="0"/>
                    <w:right w:val="single" w:color="auto" w:sz="4" w:space="0"/>
                  </w:tcBorders>
                  <w:vAlign w:val="center"/>
                </w:tcPr>
                <w:p w14:paraId="6B70F6B6">
                  <w:pPr>
                    <w:adjustRightInd w:val="0"/>
                    <w:snapToGrid w:val="0"/>
                    <w:jc w:val="center"/>
                    <w:rPr>
                      <w:rFonts w:hint="default" w:ascii="Times New Roman" w:hAnsi="Times New Roman" w:cs="Times New Roman"/>
                      <w:b/>
                      <w:bCs/>
                      <w:color w:val="auto"/>
                    </w:rPr>
                  </w:pPr>
                </w:p>
              </w:tc>
              <w:tc>
                <w:tcPr>
                  <w:tcW w:w="1878" w:type="dxa"/>
                  <w:gridSpan w:val="2"/>
                  <w:tcBorders>
                    <w:top w:val="single" w:color="auto" w:sz="4" w:space="0"/>
                    <w:left w:val="single" w:color="auto" w:sz="4" w:space="0"/>
                    <w:bottom w:val="single" w:color="auto" w:sz="4" w:space="0"/>
                    <w:right w:val="single" w:color="auto" w:sz="4" w:space="0"/>
                  </w:tcBorders>
                  <w:vAlign w:val="center"/>
                </w:tcPr>
                <w:p w14:paraId="21332AFF">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纳管*</w:t>
                  </w:r>
                </w:p>
              </w:tc>
              <w:tc>
                <w:tcPr>
                  <w:tcW w:w="1631" w:type="dxa"/>
                  <w:gridSpan w:val="2"/>
                  <w:tcBorders>
                    <w:top w:val="single" w:color="auto" w:sz="4" w:space="0"/>
                    <w:left w:val="single" w:color="auto" w:sz="4" w:space="0"/>
                    <w:bottom w:val="single" w:color="auto" w:sz="4" w:space="0"/>
                    <w:right w:val="single" w:color="auto" w:sz="4" w:space="0"/>
                  </w:tcBorders>
                  <w:vAlign w:val="center"/>
                </w:tcPr>
                <w:p w14:paraId="7770A8BC">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环境</w:t>
                  </w:r>
                </w:p>
              </w:tc>
            </w:tr>
            <w:tr w14:paraId="1A055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4112A20B">
                  <w:pPr>
                    <w:rPr>
                      <w:rFonts w:hint="default" w:ascii="Times New Roman" w:hAnsi="Times New Roman" w:cs="Times New Roman"/>
                      <w:color w:val="auto"/>
                    </w:rPr>
                  </w:pPr>
                </w:p>
              </w:tc>
              <w:tc>
                <w:tcPr>
                  <w:tcW w:w="982" w:type="dxa"/>
                  <w:vMerge w:val="continue"/>
                  <w:tcBorders>
                    <w:top w:val="single" w:color="auto" w:sz="4" w:space="0"/>
                    <w:left w:val="single" w:color="auto" w:sz="4" w:space="0"/>
                    <w:bottom w:val="single" w:color="auto" w:sz="4" w:space="0"/>
                    <w:right w:val="single" w:color="auto" w:sz="4" w:space="0"/>
                  </w:tcBorders>
                  <w:vAlign w:val="center"/>
                </w:tcPr>
                <w:p w14:paraId="52AFC9B4">
                  <w:pPr>
                    <w:rPr>
                      <w:rFonts w:hint="default" w:ascii="Times New Roman" w:hAnsi="Times New Roman" w:cs="Times New Roman"/>
                      <w:color w:val="auto"/>
                    </w:rPr>
                  </w:pPr>
                </w:p>
              </w:tc>
              <w:tc>
                <w:tcPr>
                  <w:tcW w:w="870" w:type="dxa"/>
                  <w:tcBorders>
                    <w:top w:val="single" w:color="auto" w:sz="4" w:space="0"/>
                    <w:left w:val="single" w:color="auto" w:sz="4" w:space="0"/>
                    <w:bottom w:val="single" w:color="auto" w:sz="4" w:space="0"/>
                    <w:right w:val="single" w:color="auto" w:sz="4" w:space="0"/>
                  </w:tcBorders>
                  <w:vAlign w:val="center"/>
                </w:tcPr>
                <w:p w14:paraId="7E5322F2">
                  <w:pPr>
                    <w:adjustRightInd w:val="0"/>
                    <w:snapToGrid w:val="0"/>
                    <w:jc w:val="center"/>
                    <w:rPr>
                      <w:rFonts w:hint="default" w:ascii="Times New Roman" w:hAnsi="Times New Roman" w:cs="Times New Roman"/>
                      <w:b/>
                      <w:bCs/>
                      <w:color w:val="auto"/>
                      <w:kern w:val="21"/>
                    </w:rPr>
                  </w:pPr>
                  <w:r>
                    <w:rPr>
                      <w:rFonts w:hint="default" w:ascii="Times New Roman" w:hAnsi="Times New Roman" w:cs="Times New Roman"/>
                      <w:b/>
                      <w:bCs/>
                      <w:color w:val="auto"/>
                      <w:kern w:val="21"/>
                    </w:rPr>
                    <w:t>t/a</w:t>
                  </w:r>
                </w:p>
              </w:tc>
              <w:tc>
                <w:tcPr>
                  <w:tcW w:w="653" w:type="dxa"/>
                  <w:tcBorders>
                    <w:top w:val="single" w:color="auto" w:sz="4" w:space="0"/>
                    <w:left w:val="single" w:color="auto" w:sz="4" w:space="0"/>
                    <w:bottom w:val="single" w:color="auto" w:sz="4" w:space="0"/>
                    <w:right w:val="single" w:color="auto" w:sz="4" w:space="0"/>
                  </w:tcBorders>
                  <w:vAlign w:val="center"/>
                </w:tcPr>
                <w:p w14:paraId="6B585CFF">
                  <w:pPr>
                    <w:adjustRightInd w:val="0"/>
                    <w:snapToGrid w:val="0"/>
                    <w:jc w:val="center"/>
                    <w:rPr>
                      <w:rFonts w:hint="default" w:ascii="Times New Roman" w:hAnsi="Times New Roman" w:cs="Times New Roman"/>
                      <w:b/>
                      <w:bCs/>
                      <w:color w:val="auto"/>
                      <w:kern w:val="21"/>
                    </w:rPr>
                  </w:pPr>
                  <w:r>
                    <w:rPr>
                      <w:rFonts w:hint="default" w:ascii="Times New Roman" w:hAnsi="Times New Roman" w:cs="Times New Roman"/>
                      <w:b/>
                      <w:bCs/>
                      <w:color w:val="auto"/>
                      <w:kern w:val="21"/>
                    </w:rPr>
                    <w:t>t/d</w:t>
                  </w:r>
                </w:p>
              </w:tc>
              <w:tc>
                <w:tcPr>
                  <w:tcW w:w="887" w:type="dxa"/>
                  <w:tcBorders>
                    <w:top w:val="single" w:color="auto" w:sz="4" w:space="0"/>
                    <w:left w:val="single" w:color="auto" w:sz="4" w:space="0"/>
                    <w:bottom w:val="single" w:color="auto" w:sz="4" w:space="0"/>
                    <w:right w:val="single" w:color="auto" w:sz="4" w:space="0"/>
                  </w:tcBorders>
                  <w:vAlign w:val="center"/>
                </w:tcPr>
                <w:p w14:paraId="6DDB1295">
                  <w:pPr>
                    <w:adjustRightInd w:val="0"/>
                    <w:snapToGrid w:val="0"/>
                    <w:jc w:val="center"/>
                    <w:rPr>
                      <w:rFonts w:hint="default" w:ascii="Times New Roman" w:hAnsi="Times New Roman" w:cs="Times New Roman"/>
                      <w:b/>
                      <w:bCs/>
                      <w:color w:val="auto"/>
                      <w:kern w:val="21"/>
                    </w:rPr>
                  </w:pPr>
                  <w:r>
                    <w:rPr>
                      <w:rFonts w:hint="default" w:ascii="Times New Roman" w:hAnsi="Times New Roman" w:cs="Times New Roman"/>
                      <w:b/>
                      <w:bCs/>
                      <w:color w:val="auto"/>
                      <w:kern w:val="21"/>
                    </w:rPr>
                    <w:t>mg/L</w:t>
                  </w:r>
                </w:p>
              </w:tc>
              <w:tc>
                <w:tcPr>
                  <w:tcW w:w="955" w:type="dxa"/>
                  <w:tcBorders>
                    <w:top w:val="single" w:color="auto" w:sz="4" w:space="0"/>
                    <w:left w:val="single" w:color="auto" w:sz="4" w:space="0"/>
                    <w:bottom w:val="single" w:color="auto" w:sz="4" w:space="0"/>
                    <w:right w:val="single" w:color="auto" w:sz="4" w:space="0"/>
                  </w:tcBorders>
                  <w:vAlign w:val="center"/>
                </w:tcPr>
                <w:p w14:paraId="62BB8D05">
                  <w:pPr>
                    <w:adjustRightInd w:val="0"/>
                    <w:snapToGrid w:val="0"/>
                    <w:jc w:val="center"/>
                    <w:rPr>
                      <w:rFonts w:hint="default" w:ascii="Times New Roman" w:hAnsi="Times New Roman" w:cs="Times New Roman"/>
                      <w:b/>
                      <w:bCs/>
                      <w:color w:val="auto"/>
                      <w:kern w:val="21"/>
                    </w:rPr>
                  </w:pPr>
                  <w:r>
                    <w:rPr>
                      <w:rFonts w:hint="default" w:ascii="Times New Roman" w:hAnsi="Times New Roman" w:cs="Times New Roman"/>
                      <w:b/>
                      <w:bCs/>
                      <w:color w:val="auto"/>
                      <w:kern w:val="21"/>
                    </w:rPr>
                    <w:t>mg/L</w:t>
                  </w:r>
                </w:p>
              </w:tc>
              <w:tc>
                <w:tcPr>
                  <w:tcW w:w="923" w:type="dxa"/>
                  <w:tcBorders>
                    <w:top w:val="single" w:color="auto" w:sz="4" w:space="0"/>
                    <w:left w:val="single" w:color="auto" w:sz="4" w:space="0"/>
                    <w:bottom w:val="single" w:color="auto" w:sz="4" w:space="0"/>
                    <w:right w:val="single" w:color="auto" w:sz="4" w:space="0"/>
                  </w:tcBorders>
                  <w:vAlign w:val="center"/>
                </w:tcPr>
                <w:p w14:paraId="3FEEAF91">
                  <w:pPr>
                    <w:adjustRightInd w:val="0"/>
                    <w:snapToGrid w:val="0"/>
                    <w:jc w:val="center"/>
                    <w:rPr>
                      <w:rFonts w:hint="default" w:ascii="Times New Roman" w:hAnsi="Times New Roman" w:cs="Times New Roman"/>
                      <w:b/>
                      <w:bCs/>
                      <w:color w:val="auto"/>
                      <w:kern w:val="21"/>
                    </w:rPr>
                  </w:pPr>
                  <w:r>
                    <w:rPr>
                      <w:rFonts w:hint="default" w:ascii="Times New Roman" w:hAnsi="Times New Roman" w:cs="Times New Roman"/>
                      <w:b/>
                      <w:bCs/>
                      <w:color w:val="auto"/>
                      <w:kern w:val="21"/>
                    </w:rPr>
                    <w:t>t/a</w:t>
                  </w:r>
                </w:p>
              </w:tc>
              <w:tc>
                <w:tcPr>
                  <w:tcW w:w="827" w:type="dxa"/>
                  <w:tcBorders>
                    <w:top w:val="single" w:color="auto" w:sz="4" w:space="0"/>
                    <w:left w:val="single" w:color="auto" w:sz="4" w:space="0"/>
                    <w:bottom w:val="single" w:color="auto" w:sz="4" w:space="0"/>
                    <w:right w:val="single" w:color="auto" w:sz="4" w:space="0"/>
                  </w:tcBorders>
                  <w:vAlign w:val="center"/>
                </w:tcPr>
                <w:p w14:paraId="68D38E1E">
                  <w:pPr>
                    <w:adjustRightInd w:val="0"/>
                    <w:snapToGrid w:val="0"/>
                    <w:jc w:val="center"/>
                    <w:rPr>
                      <w:rFonts w:hint="default" w:ascii="Times New Roman" w:hAnsi="Times New Roman" w:cs="Times New Roman"/>
                      <w:b/>
                      <w:bCs/>
                      <w:color w:val="auto"/>
                      <w:kern w:val="21"/>
                    </w:rPr>
                  </w:pPr>
                  <w:r>
                    <w:rPr>
                      <w:rFonts w:hint="default" w:ascii="Times New Roman" w:hAnsi="Times New Roman" w:cs="Times New Roman"/>
                      <w:b/>
                      <w:bCs/>
                      <w:color w:val="auto"/>
                      <w:kern w:val="21"/>
                    </w:rPr>
                    <w:t>mg/L</w:t>
                  </w:r>
                </w:p>
              </w:tc>
              <w:tc>
                <w:tcPr>
                  <w:tcW w:w="804" w:type="dxa"/>
                  <w:tcBorders>
                    <w:top w:val="single" w:color="auto" w:sz="4" w:space="0"/>
                    <w:left w:val="single" w:color="auto" w:sz="4" w:space="0"/>
                    <w:bottom w:val="single" w:color="auto" w:sz="4" w:space="0"/>
                    <w:right w:val="single" w:color="auto" w:sz="4" w:space="0"/>
                  </w:tcBorders>
                  <w:vAlign w:val="center"/>
                </w:tcPr>
                <w:p w14:paraId="314A4A9D">
                  <w:pPr>
                    <w:adjustRightInd w:val="0"/>
                    <w:snapToGrid w:val="0"/>
                    <w:jc w:val="center"/>
                    <w:rPr>
                      <w:rFonts w:hint="default" w:ascii="Times New Roman" w:hAnsi="Times New Roman" w:cs="Times New Roman"/>
                      <w:b/>
                      <w:bCs/>
                      <w:color w:val="auto"/>
                      <w:kern w:val="21"/>
                    </w:rPr>
                  </w:pPr>
                  <w:r>
                    <w:rPr>
                      <w:rFonts w:hint="default" w:ascii="Times New Roman" w:hAnsi="Times New Roman" w:cs="Times New Roman"/>
                      <w:b/>
                      <w:bCs/>
                      <w:color w:val="auto"/>
                      <w:kern w:val="21"/>
                    </w:rPr>
                    <w:t>t/a</w:t>
                  </w:r>
                </w:p>
              </w:tc>
            </w:tr>
            <w:tr w14:paraId="37DEF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restart"/>
                  <w:tcBorders>
                    <w:top w:val="single" w:color="auto" w:sz="4" w:space="0"/>
                    <w:left w:val="single" w:color="auto" w:sz="4" w:space="0"/>
                    <w:bottom w:val="single" w:color="auto" w:sz="4" w:space="0"/>
                    <w:right w:val="single" w:color="auto" w:sz="4" w:space="0"/>
                  </w:tcBorders>
                  <w:vAlign w:val="center"/>
                </w:tcPr>
                <w:p w14:paraId="2C33DEC8">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综合废水</w:t>
                  </w:r>
                </w:p>
              </w:tc>
              <w:tc>
                <w:tcPr>
                  <w:tcW w:w="982" w:type="dxa"/>
                  <w:tcBorders>
                    <w:top w:val="single" w:color="auto" w:sz="4" w:space="0"/>
                    <w:left w:val="single" w:color="auto" w:sz="4" w:space="0"/>
                    <w:bottom w:val="single" w:color="auto" w:sz="4" w:space="0"/>
                    <w:right w:val="single" w:color="auto" w:sz="4" w:space="0"/>
                  </w:tcBorders>
                  <w:vAlign w:val="center"/>
                </w:tcPr>
                <w:p w14:paraId="5F9EFD73">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水量</w:t>
                  </w:r>
                </w:p>
              </w:tc>
              <w:tc>
                <w:tcPr>
                  <w:tcW w:w="870" w:type="dxa"/>
                  <w:tcBorders>
                    <w:top w:val="single" w:color="auto" w:sz="4" w:space="0"/>
                    <w:left w:val="single" w:color="auto" w:sz="4" w:space="0"/>
                    <w:bottom w:val="single" w:color="auto" w:sz="4" w:space="0"/>
                    <w:right w:val="single" w:color="auto" w:sz="4" w:space="0"/>
                  </w:tcBorders>
                  <w:vAlign w:val="center"/>
                </w:tcPr>
                <w:p w14:paraId="7E0696DF">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20700</w:t>
                  </w:r>
                </w:p>
              </w:tc>
              <w:tc>
                <w:tcPr>
                  <w:tcW w:w="653" w:type="dxa"/>
                  <w:tcBorders>
                    <w:top w:val="single" w:color="auto" w:sz="4" w:space="0"/>
                    <w:left w:val="single" w:color="auto" w:sz="4" w:space="0"/>
                    <w:bottom w:val="single" w:color="auto" w:sz="4" w:space="0"/>
                    <w:right w:val="single" w:color="auto" w:sz="4" w:space="0"/>
                  </w:tcBorders>
                  <w:vAlign w:val="center"/>
                </w:tcPr>
                <w:p w14:paraId="796862FC">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69</w:t>
                  </w:r>
                </w:p>
              </w:tc>
              <w:tc>
                <w:tcPr>
                  <w:tcW w:w="887" w:type="dxa"/>
                  <w:tcBorders>
                    <w:top w:val="single" w:color="auto" w:sz="4" w:space="0"/>
                    <w:left w:val="single" w:color="auto" w:sz="4" w:space="0"/>
                    <w:bottom w:val="single" w:color="auto" w:sz="4" w:space="0"/>
                    <w:right w:val="single" w:color="auto" w:sz="4" w:space="0"/>
                  </w:tcBorders>
                  <w:vAlign w:val="center"/>
                </w:tcPr>
                <w:p w14:paraId="6AAD4589">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w:t>
                  </w:r>
                </w:p>
              </w:tc>
              <w:tc>
                <w:tcPr>
                  <w:tcW w:w="955" w:type="dxa"/>
                  <w:tcBorders>
                    <w:top w:val="single" w:color="auto" w:sz="4" w:space="0"/>
                    <w:left w:val="single" w:color="auto" w:sz="4" w:space="0"/>
                    <w:bottom w:val="single" w:color="auto" w:sz="4" w:space="0"/>
                    <w:right w:val="single" w:color="auto" w:sz="4" w:space="0"/>
                  </w:tcBorders>
                  <w:vAlign w:val="center"/>
                </w:tcPr>
                <w:p w14:paraId="78575BCA">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w:t>
                  </w:r>
                </w:p>
              </w:tc>
              <w:tc>
                <w:tcPr>
                  <w:tcW w:w="923" w:type="dxa"/>
                  <w:tcBorders>
                    <w:top w:val="single" w:color="auto" w:sz="4" w:space="0"/>
                    <w:left w:val="single" w:color="auto" w:sz="4" w:space="0"/>
                    <w:bottom w:val="single" w:color="auto" w:sz="4" w:space="0"/>
                    <w:right w:val="single" w:color="auto" w:sz="4" w:space="0"/>
                  </w:tcBorders>
                  <w:vAlign w:val="center"/>
                </w:tcPr>
                <w:p w14:paraId="7D10F701">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20700</w:t>
                  </w:r>
                </w:p>
              </w:tc>
              <w:tc>
                <w:tcPr>
                  <w:tcW w:w="827" w:type="dxa"/>
                  <w:tcBorders>
                    <w:top w:val="single" w:color="auto" w:sz="4" w:space="0"/>
                    <w:left w:val="single" w:color="auto" w:sz="4" w:space="0"/>
                    <w:bottom w:val="single" w:color="auto" w:sz="4" w:space="0"/>
                    <w:right w:val="single" w:color="auto" w:sz="4" w:space="0"/>
                  </w:tcBorders>
                  <w:vAlign w:val="center"/>
                </w:tcPr>
                <w:p w14:paraId="7F790E7D">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w:t>
                  </w:r>
                </w:p>
              </w:tc>
              <w:tc>
                <w:tcPr>
                  <w:tcW w:w="804" w:type="dxa"/>
                  <w:tcBorders>
                    <w:top w:val="single" w:color="auto" w:sz="4" w:space="0"/>
                    <w:left w:val="single" w:color="auto" w:sz="4" w:space="0"/>
                    <w:bottom w:val="single" w:color="auto" w:sz="4" w:space="0"/>
                    <w:right w:val="single" w:color="auto" w:sz="4" w:space="0"/>
                  </w:tcBorders>
                  <w:vAlign w:val="center"/>
                </w:tcPr>
                <w:p w14:paraId="61154B5E">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20700</w:t>
                  </w:r>
                </w:p>
              </w:tc>
            </w:tr>
            <w:tr w14:paraId="1263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0D4FBF29">
                  <w:pPr>
                    <w:rPr>
                      <w:rFonts w:hint="default" w:ascii="Times New Roman" w:hAnsi="Times New Roman" w:cs="Times New Roman"/>
                      <w:color w:val="auto"/>
                    </w:rPr>
                  </w:pPr>
                </w:p>
              </w:tc>
              <w:tc>
                <w:tcPr>
                  <w:tcW w:w="982" w:type="dxa"/>
                  <w:tcBorders>
                    <w:top w:val="single" w:color="auto" w:sz="4" w:space="0"/>
                    <w:left w:val="single" w:color="auto" w:sz="4" w:space="0"/>
                    <w:bottom w:val="single" w:color="auto" w:sz="4" w:space="0"/>
                    <w:right w:val="single" w:color="auto" w:sz="4" w:space="0"/>
                  </w:tcBorders>
                  <w:vAlign w:val="center"/>
                </w:tcPr>
                <w:p w14:paraId="77A2B4A2">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COD</w:t>
                  </w:r>
                  <w:r>
                    <w:rPr>
                      <w:rFonts w:hint="default" w:ascii="Times New Roman" w:hAnsi="Times New Roman" w:cs="Times New Roman"/>
                      <w:color w:val="auto"/>
                      <w:kern w:val="21"/>
                      <w:vertAlign w:val="subscript"/>
                    </w:rPr>
                    <w:t>Cr</w:t>
                  </w:r>
                </w:p>
              </w:tc>
              <w:tc>
                <w:tcPr>
                  <w:tcW w:w="870" w:type="dxa"/>
                  <w:tcBorders>
                    <w:top w:val="single" w:color="auto" w:sz="4" w:space="0"/>
                    <w:left w:val="single" w:color="auto" w:sz="4" w:space="0"/>
                    <w:bottom w:val="single" w:color="auto" w:sz="4" w:space="0"/>
                    <w:right w:val="single" w:color="auto" w:sz="4" w:space="0"/>
                  </w:tcBorders>
                  <w:vAlign w:val="center"/>
                </w:tcPr>
                <w:p w14:paraId="1D541895">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6.420 </w:t>
                  </w:r>
                </w:p>
              </w:tc>
              <w:tc>
                <w:tcPr>
                  <w:tcW w:w="653" w:type="dxa"/>
                  <w:tcBorders>
                    <w:top w:val="single" w:color="auto" w:sz="4" w:space="0"/>
                    <w:left w:val="single" w:color="auto" w:sz="4" w:space="0"/>
                    <w:bottom w:val="single" w:color="auto" w:sz="4" w:space="0"/>
                    <w:right w:val="single" w:color="auto" w:sz="4" w:space="0"/>
                  </w:tcBorders>
                  <w:vAlign w:val="center"/>
                </w:tcPr>
                <w:p w14:paraId="3DC4860E">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w:t>
                  </w:r>
                </w:p>
              </w:tc>
              <w:tc>
                <w:tcPr>
                  <w:tcW w:w="887" w:type="dxa"/>
                  <w:tcBorders>
                    <w:top w:val="single" w:color="auto" w:sz="4" w:space="0"/>
                    <w:left w:val="single" w:color="auto" w:sz="4" w:space="0"/>
                    <w:bottom w:val="single" w:color="auto" w:sz="4" w:space="0"/>
                    <w:right w:val="single" w:color="auto" w:sz="4" w:space="0"/>
                  </w:tcBorders>
                  <w:vAlign w:val="center"/>
                </w:tcPr>
                <w:p w14:paraId="4B2FA7AF">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310.1 </w:t>
                  </w:r>
                </w:p>
              </w:tc>
              <w:tc>
                <w:tcPr>
                  <w:tcW w:w="955" w:type="dxa"/>
                  <w:tcBorders>
                    <w:top w:val="single" w:color="auto" w:sz="4" w:space="0"/>
                    <w:left w:val="single" w:color="auto" w:sz="4" w:space="0"/>
                    <w:bottom w:val="single" w:color="auto" w:sz="4" w:space="0"/>
                    <w:right w:val="single" w:color="auto" w:sz="4" w:space="0"/>
                  </w:tcBorders>
                  <w:vAlign w:val="center"/>
                </w:tcPr>
                <w:p w14:paraId="2D9DFF02">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360</w:t>
                  </w:r>
                </w:p>
              </w:tc>
              <w:tc>
                <w:tcPr>
                  <w:tcW w:w="923" w:type="dxa"/>
                  <w:tcBorders>
                    <w:top w:val="single" w:color="auto" w:sz="4" w:space="0"/>
                    <w:left w:val="single" w:color="auto" w:sz="4" w:space="0"/>
                    <w:bottom w:val="single" w:color="auto" w:sz="4" w:space="0"/>
                    <w:right w:val="single" w:color="auto" w:sz="4" w:space="0"/>
                  </w:tcBorders>
                  <w:vAlign w:val="center"/>
                </w:tcPr>
                <w:p w14:paraId="7FB8C950">
                  <w:pPr>
                    <w:adjustRightInd w:val="0"/>
                    <w:snapToGrid w:val="0"/>
                    <w:jc w:val="center"/>
                    <w:rPr>
                      <w:rFonts w:hint="default" w:ascii="Times New Roman" w:hAnsi="Times New Roman" w:cs="Times New Roman"/>
                      <w:color w:val="auto"/>
                      <w:kern w:val="21"/>
                    </w:rPr>
                  </w:pPr>
                  <w:r>
                    <w:rPr>
                      <w:rFonts w:hint="eastAsia" w:cs="Times New Roman"/>
                      <w:color w:val="auto"/>
                      <w:kern w:val="21"/>
                      <w:lang w:val="en-US" w:eastAsia="zh-CN"/>
                    </w:rPr>
                    <w:t>6.42</w:t>
                  </w:r>
                  <w:r>
                    <w:rPr>
                      <w:rFonts w:hint="default" w:ascii="Times New Roman" w:hAnsi="Times New Roman" w:cs="Times New Roman"/>
                      <w:color w:val="auto"/>
                      <w:kern w:val="21"/>
                      <w:lang w:val="en-US" w:eastAsia="zh-CN"/>
                    </w:rPr>
                    <w:t xml:space="preserve"> </w:t>
                  </w:r>
                </w:p>
              </w:tc>
              <w:tc>
                <w:tcPr>
                  <w:tcW w:w="827" w:type="dxa"/>
                  <w:tcBorders>
                    <w:top w:val="single" w:color="auto" w:sz="4" w:space="0"/>
                    <w:left w:val="single" w:color="auto" w:sz="4" w:space="0"/>
                    <w:bottom w:val="single" w:color="auto" w:sz="4" w:space="0"/>
                    <w:right w:val="single" w:color="auto" w:sz="4" w:space="0"/>
                  </w:tcBorders>
                  <w:vAlign w:val="center"/>
                </w:tcPr>
                <w:p w14:paraId="0B655BFD">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50</w:t>
                  </w:r>
                </w:p>
              </w:tc>
              <w:tc>
                <w:tcPr>
                  <w:tcW w:w="804" w:type="dxa"/>
                  <w:tcBorders>
                    <w:top w:val="single" w:color="auto" w:sz="4" w:space="0"/>
                    <w:left w:val="single" w:color="auto" w:sz="4" w:space="0"/>
                    <w:bottom w:val="single" w:color="auto" w:sz="4" w:space="0"/>
                    <w:right w:val="single" w:color="auto" w:sz="4" w:space="0"/>
                  </w:tcBorders>
                  <w:vAlign w:val="center"/>
                </w:tcPr>
                <w:p w14:paraId="44304D21">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 xml:space="preserve">1.035 </w:t>
                  </w:r>
                </w:p>
              </w:tc>
            </w:tr>
            <w:tr w14:paraId="7E7B2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10576E30">
                  <w:pPr>
                    <w:rPr>
                      <w:rFonts w:hint="default" w:ascii="Times New Roman" w:hAnsi="Times New Roman" w:cs="Times New Roman"/>
                      <w:color w:val="auto"/>
                    </w:rPr>
                  </w:pPr>
                </w:p>
              </w:tc>
              <w:tc>
                <w:tcPr>
                  <w:tcW w:w="982" w:type="dxa"/>
                  <w:tcBorders>
                    <w:top w:val="single" w:color="auto" w:sz="4" w:space="0"/>
                    <w:left w:val="single" w:color="auto" w:sz="4" w:space="0"/>
                    <w:bottom w:val="single" w:color="auto" w:sz="4" w:space="0"/>
                    <w:right w:val="single" w:color="auto" w:sz="4" w:space="0"/>
                  </w:tcBorders>
                  <w:vAlign w:val="center"/>
                </w:tcPr>
                <w:p w14:paraId="74395F4F">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SS</w:t>
                  </w:r>
                </w:p>
              </w:tc>
              <w:tc>
                <w:tcPr>
                  <w:tcW w:w="870" w:type="dxa"/>
                  <w:tcBorders>
                    <w:top w:val="single" w:color="auto" w:sz="4" w:space="0"/>
                    <w:left w:val="single" w:color="auto" w:sz="4" w:space="0"/>
                    <w:bottom w:val="single" w:color="auto" w:sz="4" w:space="0"/>
                    <w:right w:val="single" w:color="auto" w:sz="4" w:space="0"/>
                  </w:tcBorders>
                  <w:vAlign w:val="center"/>
                </w:tcPr>
                <w:p w14:paraId="240649A8">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9.810 </w:t>
                  </w:r>
                </w:p>
              </w:tc>
              <w:tc>
                <w:tcPr>
                  <w:tcW w:w="653" w:type="dxa"/>
                  <w:tcBorders>
                    <w:top w:val="single" w:color="auto" w:sz="4" w:space="0"/>
                    <w:left w:val="single" w:color="auto" w:sz="4" w:space="0"/>
                    <w:bottom w:val="single" w:color="auto" w:sz="4" w:space="0"/>
                    <w:right w:val="single" w:color="auto" w:sz="4" w:space="0"/>
                  </w:tcBorders>
                  <w:vAlign w:val="center"/>
                </w:tcPr>
                <w:p w14:paraId="17DD63AF">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w:t>
                  </w:r>
                </w:p>
              </w:tc>
              <w:tc>
                <w:tcPr>
                  <w:tcW w:w="887" w:type="dxa"/>
                  <w:tcBorders>
                    <w:top w:val="single" w:color="auto" w:sz="4" w:space="0"/>
                    <w:left w:val="single" w:color="auto" w:sz="4" w:space="0"/>
                    <w:bottom w:val="single" w:color="auto" w:sz="4" w:space="0"/>
                    <w:right w:val="single" w:color="auto" w:sz="4" w:space="0"/>
                  </w:tcBorders>
                  <w:vAlign w:val="center"/>
                </w:tcPr>
                <w:p w14:paraId="2533B24B">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473.9 </w:t>
                  </w:r>
                </w:p>
              </w:tc>
              <w:tc>
                <w:tcPr>
                  <w:tcW w:w="955" w:type="dxa"/>
                  <w:tcBorders>
                    <w:top w:val="single" w:color="auto" w:sz="4" w:space="0"/>
                    <w:left w:val="single" w:color="auto" w:sz="4" w:space="0"/>
                    <w:bottom w:val="single" w:color="auto" w:sz="4" w:space="0"/>
                    <w:right w:val="single" w:color="auto" w:sz="4" w:space="0"/>
                  </w:tcBorders>
                  <w:vAlign w:val="center"/>
                </w:tcPr>
                <w:p w14:paraId="42227585">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200</w:t>
                  </w:r>
                </w:p>
              </w:tc>
              <w:tc>
                <w:tcPr>
                  <w:tcW w:w="923" w:type="dxa"/>
                  <w:tcBorders>
                    <w:top w:val="single" w:color="auto" w:sz="4" w:space="0"/>
                    <w:left w:val="single" w:color="auto" w:sz="4" w:space="0"/>
                    <w:bottom w:val="single" w:color="auto" w:sz="4" w:space="0"/>
                    <w:right w:val="single" w:color="auto" w:sz="4" w:space="0"/>
                  </w:tcBorders>
                  <w:vAlign w:val="center"/>
                </w:tcPr>
                <w:p w14:paraId="4E83410E">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 xml:space="preserve">4.140 </w:t>
                  </w:r>
                </w:p>
              </w:tc>
              <w:tc>
                <w:tcPr>
                  <w:tcW w:w="827" w:type="dxa"/>
                  <w:tcBorders>
                    <w:top w:val="single" w:color="auto" w:sz="4" w:space="0"/>
                    <w:left w:val="single" w:color="auto" w:sz="4" w:space="0"/>
                    <w:bottom w:val="single" w:color="auto" w:sz="4" w:space="0"/>
                    <w:right w:val="single" w:color="auto" w:sz="4" w:space="0"/>
                  </w:tcBorders>
                  <w:vAlign w:val="center"/>
                </w:tcPr>
                <w:p w14:paraId="41D4010D">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10</w:t>
                  </w:r>
                </w:p>
              </w:tc>
              <w:tc>
                <w:tcPr>
                  <w:tcW w:w="804" w:type="dxa"/>
                  <w:tcBorders>
                    <w:top w:val="single" w:color="auto" w:sz="4" w:space="0"/>
                    <w:left w:val="single" w:color="auto" w:sz="4" w:space="0"/>
                    <w:bottom w:val="single" w:color="auto" w:sz="4" w:space="0"/>
                    <w:right w:val="single" w:color="auto" w:sz="4" w:space="0"/>
                  </w:tcBorders>
                  <w:vAlign w:val="center"/>
                </w:tcPr>
                <w:p w14:paraId="38B5E22E">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 xml:space="preserve">0.207 </w:t>
                  </w:r>
                </w:p>
              </w:tc>
            </w:tr>
            <w:tr w14:paraId="0CF85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5ED33D7E">
                  <w:pPr>
                    <w:rPr>
                      <w:rFonts w:hint="default" w:ascii="Times New Roman" w:hAnsi="Times New Roman" w:cs="Times New Roman"/>
                      <w:color w:val="auto"/>
                    </w:rPr>
                  </w:pPr>
                </w:p>
              </w:tc>
              <w:tc>
                <w:tcPr>
                  <w:tcW w:w="982" w:type="dxa"/>
                  <w:tcBorders>
                    <w:top w:val="single" w:color="auto" w:sz="4" w:space="0"/>
                    <w:left w:val="single" w:color="auto" w:sz="4" w:space="0"/>
                    <w:bottom w:val="single" w:color="auto" w:sz="4" w:space="0"/>
                    <w:right w:val="single" w:color="auto" w:sz="4" w:space="0"/>
                  </w:tcBorders>
                  <w:vAlign w:val="center"/>
                </w:tcPr>
                <w:p w14:paraId="102B7F42">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氟化物</w:t>
                  </w:r>
                </w:p>
              </w:tc>
              <w:tc>
                <w:tcPr>
                  <w:tcW w:w="870" w:type="dxa"/>
                  <w:tcBorders>
                    <w:top w:val="single" w:color="auto" w:sz="4" w:space="0"/>
                    <w:left w:val="single" w:color="auto" w:sz="4" w:space="0"/>
                    <w:bottom w:val="single" w:color="auto" w:sz="4" w:space="0"/>
                    <w:right w:val="single" w:color="auto" w:sz="4" w:space="0"/>
                  </w:tcBorders>
                  <w:vAlign w:val="center"/>
                </w:tcPr>
                <w:p w14:paraId="45BD5F22">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2.270 </w:t>
                  </w:r>
                </w:p>
              </w:tc>
              <w:tc>
                <w:tcPr>
                  <w:tcW w:w="653" w:type="dxa"/>
                  <w:tcBorders>
                    <w:top w:val="single" w:color="auto" w:sz="4" w:space="0"/>
                    <w:left w:val="single" w:color="auto" w:sz="4" w:space="0"/>
                    <w:bottom w:val="single" w:color="auto" w:sz="4" w:space="0"/>
                    <w:right w:val="single" w:color="auto" w:sz="4" w:space="0"/>
                  </w:tcBorders>
                  <w:vAlign w:val="center"/>
                </w:tcPr>
                <w:p w14:paraId="42127E9F">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w:t>
                  </w:r>
                </w:p>
              </w:tc>
              <w:tc>
                <w:tcPr>
                  <w:tcW w:w="887" w:type="dxa"/>
                  <w:tcBorders>
                    <w:top w:val="single" w:color="auto" w:sz="4" w:space="0"/>
                    <w:left w:val="single" w:color="auto" w:sz="4" w:space="0"/>
                    <w:bottom w:val="single" w:color="auto" w:sz="4" w:space="0"/>
                    <w:right w:val="single" w:color="auto" w:sz="4" w:space="0"/>
                  </w:tcBorders>
                  <w:vAlign w:val="center"/>
                </w:tcPr>
                <w:p w14:paraId="4D69C189">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109.7 </w:t>
                  </w:r>
                </w:p>
              </w:tc>
              <w:tc>
                <w:tcPr>
                  <w:tcW w:w="955" w:type="dxa"/>
                  <w:tcBorders>
                    <w:top w:val="single" w:color="auto" w:sz="4" w:space="0"/>
                    <w:left w:val="single" w:color="auto" w:sz="4" w:space="0"/>
                    <w:bottom w:val="single" w:color="auto" w:sz="4" w:space="0"/>
                    <w:right w:val="single" w:color="auto" w:sz="4" w:space="0"/>
                  </w:tcBorders>
                  <w:vAlign w:val="center"/>
                </w:tcPr>
                <w:p w14:paraId="0A4B592C">
                  <w:pPr>
                    <w:adjustRightInd w:val="0"/>
                    <w:snapToGrid w:val="0"/>
                    <w:jc w:val="center"/>
                    <w:rPr>
                      <w:rFonts w:hint="default" w:ascii="Times New Roman" w:hAnsi="Times New Roman" w:eastAsia="宋体" w:cs="Times New Roman"/>
                      <w:color w:val="auto"/>
                      <w:kern w:val="21"/>
                      <w:lang w:val="en-US" w:eastAsia="zh-CN"/>
                    </w:rPr>
                  </w:pPr>
                  <w:r>
                    <w:rPr>
                      <w:rFonts w:hint="eastAsia" w:cs="Times New Roman"/>
                      <w:color w:val="auto"/>
                      <w:kern w:val="21"/>
                      <w:lang w:val="en-US" w:eastAsia="zh-CN"/>
                    </w:rPr>
                    <w:t>10</w:t>
                  </w:r>
                </w:p>
              </w:tc>
              <w:tc>
                <w:tcPr>
                  <w:tcW w:w="923" w:type="dxa"/>
                  <w:tcBorders>
                    <w:top w:val="single" w:color="auto" w:sz="4" w:space="0"/>
                    <w:left w:val="single" w:color="auto" w:sz="4" w:space="0"/>
                    <w:bottom w:val="single" w:color="auto" w:sz="4" w:space="0"/>
                    <w:right w:val="single" w:color="auto" w:sz="4" w:space="0"/>
                  </w:tcBorders>
                  <w:vAlign w:val="center"/>
                </w:tcPr>
                <w:p w14:paraId="25BE7FFD">
                  <w:pPr>
                    <w:adjustRightInd w:val="0"/>
                    <w:snapToGrid w:val="0"/>
                    <w:jc w:val="center"/>
                    <w:rPr>
                      <w:rFonts w:hint="default" w:ascii="Times New Roman" w:hAnsi="Times New Roman" w:eastAsia="宋体" w:cs="Times New Roman"/>
                      <w:color w:val="auto"/>
                      <w:kern w:val="21"/>
                      <w:lang w:val="en-US" w:eastAsia="zh-CN"/>
                    </w:rPr>
                  </w:pPr>
                  <w:r>
                    <w:rPr>
                      <w:rFonts w:hint="eastAsia" w:cs="Times New Roman"/>
                      <w:color w:val="auto"/>
                      <w:kern w:val="21"/>
                      <w:lang w:val="en-US" w:eastAsia="zh-CN"/>
                    </w:rPr>
                    <w:t>0.207</w:t>
                  </w:r>
                </w:p>
              </w:tc>
              <w:tc>
                <w:tcPr>
                  <w:tcW w:w="827" w:type="dxa"/>
                  <w:tcBorders>
                    <w:top w:val="single" w:color="auto" w:sz="4" w:space="0"/>
                    <w:left w:val="single" w:color="auto" w:sz="4" w:space="0"/>
                    <w:bottom w:val="single" w:color="auto" w:sz="4" w:space="0"/>
                    <w:right w:val="single" w:color="auto" w:sz="4" w:space="0"/>
                  </w:tcBorders>
                  <w:vAlign w:val="center"/>
                </w:tcPr>
                <w:p w14:paraId="6D6A7080">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w:t>
                  </w:r>
                </w:p>
              </w:tc>
              <w:tc>
                <w:tcPr>
                  <w:tcW w:w="804" w:type="dxa"/>
                  <w:tcBorders>
                    <w:top w:val="single" w:color="auto" w:sz="4" w:space="0"/>
                    <w:left w:val="single" w:color="auto" w:sz="4" w:space="0"/>
                    <w:bottom w:val="single" w:color="auto" w:sz="4" w:space="0"/>
                    <w:right w:val="single" w:color="auto" w:sz="4" w:space="0"/>
                  </w:tcBorders>
                  <w:vAlign w:val="center"/>
                </w:tcPr>
                <w:p w14:paraId="6CA5C95D">
                  <w:pPr>
                    <w:adjustRightInd w:val="0"/>
                    <w:snapToGrid w:val="0"/>
                    <w:jc w:val="center"/>
                    <w:rPr>
                      <w:rFonts w:hint="default" w:ascii="Times New Roman" w:hAnsi="Times New Roman" w:cs="Times New Roman"/>
                      <w:color w:val="auto"/>
                      <w:kern w:val="21"/>
                    </w:rPr>
                  </w:pPr>
                  <w:r>
                    <w:rPr>
                      <w:rFonts w:hint="eastAsia" w:ascii="Times New Roman" w:hAnsi="Times New Roman" w:cs="Times New Roman"/>
                      <w:color w:val="auto"/>
                      <w:kern w:val="21"/>
                      <w:lang w:val="en-US" w:eastAsia="zh-CN"/>
                    </w:rPr>
                    <w:t>-</w:t>
                  </w:r>
                </w:p>
              </w:tc>
            </w:tr>
            <w:tr w14:paraId="5EA21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4BCA679F">
                  <w:pPr>
                    <w:rPr>
                      <w:rFonts w:hint="default" w:ascii="Times New Roman" w:hAnsi="Times New Roman" w:cs="Times New Roman"/>
                      <w:color w:val="auto"/>
                    </w:rPr>
                  </w:pPr>
                </w:p>
              </w:tc>
              <w:tc>
                <w:tcPr>
                  <w:tcW w:w="982" w:type="dxa"/>
                  <w:tcBorders>
                    <w:top w:val="single" w:color="auto" w:sz="4" w:space="0"/>
                    <w:left w:val="single" w:color="auto" w:sz="4" w:space="0"/>
                    <w:bottom w:val="single" w:color="auto" w:sz="4" w:space="0"/>
                    <w:right w:val="single" w:color="auto" w:sz="4" w:space="0"/>
                  </w:tcBorders>
                  <w:vAlign w:val="center"/>
                </w:tcPr>
                <w:p w14:paraId="19CA7698">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氨氮</w:t>
                  </w:r>
                </w:p>
              </w:tc>
              <w:tc>
                <w:tcPr>
                  <w:tcW w:w="870" w:type="dxa"/>
                  <w:tcBorders>
                    <w:top w:val="single" w:color="auto" w:sz="4" w:space="0"/>
                    <w:left w:val="single" w:color="auto" w:sz="4" w:space="0"/>
                    <w:bottom w:val="single" w:color="auto" w:sz="4" w:space="0"/>
                    <w:right w:val="single" w:color="auto" w:sz="4" w:space="0"/>
                  </w:tcBorders>
                  <w:vAlign w:val="center"/>
                </w:tcPr>
                <w:p w14:paraId="3ADB7919">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0.099 </w:t>
                  </w:r>
                </w:p>
              </w:tc>
              <w:tc>
                <w:tcPr>
                  <w:tcW w:w="653" w:type="dxa"/>
                  <w:tcBorders>
                    <w:top w:val="single" w:color="auto" w:sz="4" w:space="0"/>
                    <w:left w:val="single" w:color="auto" w:sz="4" w:space="0"/>
                    <w:bottom w:val="single" w:color="auto" w:sz="4" w:space="0"/>
                    <w:right w:val="single" w:color="auto" w:sz="4" w:space="0"/>
                  </w:tcBorders>
                  <w:vAlign w:val="center"/>
                </w:tcPr>
                <w:p w14:paraId="5542DE06">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w:t>
                  </w:r>
                </w:p>
              </w:tc>
              <w:tc>
                <w:tcPr>
                  <w:tcW w:w="887" w:type="dxa"/>
                  <w:tcBorders>
                    <w:top w:val="single" w:color="auto" w:sz="4" w:space="0"/>
                    <w:left w:val="single" w:color="auto" w:sz="4" w:space="0"/>
                    <w:bottom w:val="single" w:color="auto" w:sz="4" w:space="0"/>
                    <w:right w:val="single" w:color="auto" w:sz="4" w:space="0"/>
                  </w:tcBorders>
                  <w:vAlign w:val="center"/>
                </w:tcPr>
                <w:p w14:paraId="4E9F8532">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4.8 </w:t>
                  </w:r>
                </w:p>
              </w:tc>
              <w:tc>
                <w:tcPr>
                  <w:tcW w:w="955" w:type="dxa"/>
                  <w:tcBorders>
                    <w:top w:val="single" w:color="auto" w:sz="4" w:space="0"/>
                    <w:left w:val="single" w:color="auto" w:sz="4" w:space="0"/>
                    <w:bottom w:val="single" w:color="auto" w:sz="4" w:space="0"/>
                    <w:right w:val="single" w:color="auto" w:sz="4" w:space="0"/>
                  </w:tcBorders>
                  <w:vAlign w:val="center"/>
                </w:tcPr>
                <w:p w14:paraId="3E90910D">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35</w:t>
                  </w:r>
                </w:p>
              </w:tc>
              <w:tc>
                <w:tcPr>
                  <w:tcW w:w="923" w:type="dxa"/>
                  <w:tcBorders>
                    <w:top w:val="single" w:color="auto" w:sz="4" w:space="0"/>
                    <w:left w:val="single" w:color="auto" w:sz="4" w:space="0"/>
                    <w:bottom w:val="single" w:color="auto" w:sz="4" w:space="0"/>
                    <w:right w:val="single" w:color="auto" w:sz="4" w:space="0"/>
                  </w:tcBorders>
                  <w:vAlign w:val="center"/>
                </w:tcPr>
                <w:p w14:paraId="268BADFE">
                  <w:pPr>
                    <w:adjustRightInd w:val="0"/>
                    <w:snapToGrid w:val="0"/>
                    <w:jc w:val="center"/>
                    <w:rPr>
                      <w:rFonts w:hint="default" w:ascii="Times New Roman" w:hAnsi="Times New Roman" w:cs="Times New Roman"/>
                      <w:color w:val="auto"/>
                      <w:kern w:val="21"/>
                      <w:lang w:val="en-US"/>
                    </w:rPr>
                  </w:pPr>
                  <w:r>
                    <w:rPr>
                      <w:rFonts w:hint="eastAsia" w:cs="Times New Roman"/>
                      <w:color w:val="auto"/>
                      <w:kern w:val="21"/>
                      <w:lang w:val="en-US" w:eastAsia="zh-CN"/>
                    </w:rPr>
                    <w:t>0.099</w:t>
                  </w:r>
                </w:p>
              </w:tc>
              <w:tc>
                <w:tcPr>
                  <w:tcW w:w="827" w:type="dxa"/>
                  <w:tcBorders>
                    <w:top w:val="single" w:color="auto" w:sz="4" w:space="0"/>
                    <w:left w:val="single" w:color="auto" w:sz="4" w:space="0"/>
                    <w:bottom w:val="single" w:color="auto" w:sz="4" w:space="0"/>
                    <w:right w:val="single" w:color="auto" w:sz="4" w:space="0"/>
                  </w:tcBorders>
                  <w:vAlign w:val="center"/>
                </w:tcPr>
                <w:p w14:paraId="48B77CDD">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5</w:t>
                  </w:r>
                </w:p>
              </w:tc>
              <w:tc>
                <w:tcPr>
                  <w:tcW w:w="804" w:type="dxa"/>
                  <w:tcBorders>
                    <w:top w:val="single" w:color="auto" w:sz="4" w:space="0"/>
                    <w:left w:val="single" w:color="auto" w:sz="4" w:space="0"/>
                    <w:bottom w:val="single" w:color="auto" w:sz="4" w:space="0"/>
                    <w:right w:val="single" w:color="auto" w:sz="4" w:space="0"/>
                  </w:tcBorders>
                  <w:vAlign w:val="center"/>
                </w:tcPr>
                <w:p w14:paraId="73A799C1">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 xml:space="preserve">0.104 </w:t>
                  </w:r>
                </w:p>
              </w:tc>
            </w:tr>
            <w:tr w14:paraId="2E86C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673C42E4">
                  <w:pPr>
                    <w:rPr>
                      <w:rFonts w:hint="default" w:ascii="Times New Roman" w:hAnsi="Times New Roman" w:cs="Times New Roman"/>
                      <w:color w:val="auto"/>
                    </w:rPr>
                  </w:pPr>
                </w:p>
              </w:tc>
              <w:tc>
                <w:tcPr>
                  <w:tcW w:w="982" w:type="dxa"/>
                  <w:tcBorders>
                    <w:top w:val="single" w:color="auto" w:sz="4" w:space="0"/>
                    <w:left w:val="single" w:color="auto" w:sz="4" w:space="0"/>
                    <w:bottom w:val="single" w:color="auto" w:sz="4" w:space="0"/>
                    <w:right w:val="single" w:color="auto" w:sz="4" w:space="0"/>
                  </w:tcBorders>
                  <w:vAlign w:val="center"/>
                </w:tcPr>
                <w:p w14:paraId="28109334">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总氮</w:t>
                  </w:r>
                </w:p>
              </w:tc>
              <w:tc>
                <w:tcPr>
                  <w:tcW w:w="870" w:type="dxa"/>
                  <w:tcBorders>
                    <w:top w:val="single" w:color="auto" w:sz="4" w:space="0"/>
                    <w:left w:val="single" w:color="auto" w:sz="4" w:space="0"/>
                    <w:bottom w:val="single" w:color="auto" w:sz="4" w:space="0"/>
                    <w:right w:val="single" w:color="auto" w:sz="4" w:space="0"/>
                  </w:tcBorders>
                  <w:vAlign w:val="center"/>
                </w:tcPr>
                <w:p w14:paraId="1680DCFB">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0.529 </w:t>
                  </w:r>
                </w:p>
              </w:tc>
              <w:tc>
                <w:tcPr>
                  <w:tcW w:w="653" w:type="dxa"/>
                  <w:tcBorders>
                    <w:top w:val="single" w:color="auto" w:sz="4" w:space="0"/>
                    <w:left w:val="single" w:color="auto" w:sz="4" w:space="0"/>
                    <w:bottom w:val="single" w:color="auto" w:sz="4" w:space="0"/>
                    <w:right w:val="single" w:color="auto" w:sz="4" w:space="0"/>
                  </w:tcBorders>
                  <w:vAlign w:val="center"/>
                </w:tcPr>
                <w:p w14:paraId="1019382F">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w:t>
                  </w:r>
                </w:p>
              </w:tc>
              <w:tc>
                <w:tcPr>
                  <w:tcW w:w="887" w:type="dxa"/>
                  <w:tcBorders>
                    <w:top w:val="single" w:color="auto" w:sz="4" w:space="0"/>
                    <w:left w:val="single" w:color="auto" w:sz="4" w:space="0"/>
                    <w:bottom w:val="single" w:color="auto" w:sz="4" w:space="0"/>
                    <w:right w:val="single" w:color="auto" w:sz="4" w:space="0"/>
                  </w:tcBorders>
                  <w:vAlign w:val="center"/>
                </w:tcPr>
                <w:p w14:paraId="76E4DE3E">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25.6 </w:t>
                  </w:r>
                </w:p>
              </w:tc>
              <w:tc>
                <w:tcPr>
                  <w:tcW w:w="955" w:type="dxa"/>
                  <w:tcBorders>
                    <w:top w:val="single" w:color="auto" w:sz="4" w:space="0"/>
                    <w:left w:val="single" w:color="auto" w:sz="4" w:space="0"/>
                    <w:bottom w:val="single" w:color="auto" w:sz="4" w:space="0"/>
                    <w:right w:val="single" w:color="auto" w:sz="4" w:space="0"/>
                  </w:tcBorders>
                  <w:vAlign w:val="center"/>
                </w:tcPr>
                <w:p w14:paraId="5F9EFDC4">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50</w:t>
                  </w:r>
                </w:p>
              </w:tc>
              <w:tc>
                <w:tcPr>
                  <w:tcW w:w="923" w:type="dxa"/>
                  <w:tcBorders>
                    <w:top w:val="single" w:color="auto" w:sz="4" w:space="0"/>
                    <w:left w:val="single" w:color="auto" w:sz="4" w:space="0"/>
                    <w:bottom w:val="single" w:color="auto" w:sz="4" w:space="0"/>
                    <w:right w:val="single" w:color="auto" w:sz="4" w:space="0"/>
                  </w:tcBorders>
                  <w:vAlign w:val="center"/>
                </w:tcPr>
                <w:p w14:paraId="4D34B23F">
                  <w:pPr>
                    <w:adjustRightInd w:val="0"/>
                    <w:snapToGrid w:val="0"/>
                    <w:jc w:val="center"/>
                    <w:rPr>
                      <w:rFonts w:hint="default" w:ascii="Times New Roman" w:hAnsi="Times New Roman" w:cs="Times New Roman"/>
                      <w:color w:val="auto"/>
                      <w:kern w:val="21"/>
                      <w:lang w:val="en-US"/>
                    </w:rPr>
                  </w:pPr>
                  <w:r>
                    <w:rPr>
                      <w:rFonts w:hint="eastAsia" w:cs="Times New Roman"/>
                      <w:color w:val="auto"/>
                      <w:kern w:val="21"/>
                      <w:lang w:val="en-US" w:eastAsia="zh-CN"/>
                    </w:rPr>
                    <w:t>0.529</w:t>
                  </w:r>
                </w:p>
              </w:tc>
              <w:tc>
                <w:tcPr>
                  <w:tcW w:w="827" w:type="dxa"/>
                  <w:tcBorders>
                    <w:top w:val="single" w:color="auto" w:sz="4" w:space="0"/>
                    <w:left w:val="single" w:color="auto" w:sz="4" w:space="0"/>
                    <w:bottom w:val="single" w:color="auto" w:sz="4" w:space="0"/>
                    <w:right w:val="single" w:color="auto" w:sz="4" w:space="0"/>
                  </w:tcBorders>
                  <w:vAlign w:val="center"/>
                </w:tcPr>
                <w:p w14:paraId="7F6C328E">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15</w:t>
                  </w:r>
                </w:p>
              </w:tc>
              <w:tc>
                <w:tcPr>
                  <w:tcW w:w="804" w:type="dxa"/>
                  <w:tcBorders>
                    <w:top w:val="single" w:color="auto" w:sz="4" w:space="0"/>
                    <w:left w:val="single" w:color="auto" w:sz="4" w:space="0"/>
                    <w:bottom w:val="single" w:color="auto" w:sz="4" w:space="0"/>
                    <w:right w:val="single" w:color="auto" w:sz="4" w:space="0"/>
                  </w:tcBorders>
                  <w:vAlign w:val="center"/>
                </w:tcPr>
                <w:p w14:paraId="470A0D79">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 xml:space="preserve">0.311 </w:t>
                  </w:r>
                </w:p>
              </w:tc>
            </w:tr>
            <w:tr w14:paraId="3F569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1035" w:type="dxa"/>
                  <w:vMerge w:val="continue"/>
                  <w:tcBorders>
                    <w:top w:val="single" w:color="auto" w:sz="4" w:space="0"/>
                    <w:left w:val="single" w:color="auto" w:sz="4" w:space="0"/>
                    <w:bottom w:val="single" w:color="auto" w:sz="4" w:space="0"/>
                    <w:right w:val="single" w:color="auto" w:sz="4" w:space="0"/>
                  </w:tcBorders>
                  <w:vAlign w:val="center"/>
                </w:tcPr>
                <w:p w14:paraId="798D6348">
                  <w:pPr>
                    <w:rPr>
                      <w:rFonts w:hint="default" w:ascii="Times New Roman" w:hAnsi="Times New Roman" w:cs="Times New Roman"/>
                      <w:color w:val="auto"/>
                    </w:rPr>
                  </w:pPr>
                </w:p>
              </w:tc>
              <w:tc>
                <w:tcPr>
                  <w:tcW w:w="982" w:type="dxa"/>
                  <w:tcBorders>
                    <w:top w:val="single" w:color="auto" w:sz="4" w:space="0"/>
                    <w:left w:val="single" w:color="auto" w:sz="4" w:space="0"/>
                    <w:bottom w:val="single" w:color="auto" w:sz="4" w:space="0"/>
                    <w:right w:val="single" w:color="auto" w:sz="4" w:space="0"/>
                  </w:tcBorders>
                  <w:vAlign w:val="center"/>
                </w:tcPr>
                <w:p w14:paraId="707D5F75">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rPr>
                    <w:t>LAS</w:t>
                  </w:r>
                </w:p>
              </w:tc>
              <w:tc>
                <w:tcPr>
                  <w:tcW w:w="870" w:type="dxa"/>
                  <w:tcBorders>
                    <w:top w:val="single" w:color="auto" w:sz="4" w:space="0"/>
                    <w:left w:val="single" w:color="auto" w:sz="4" w:space="0"/>
                    <w:bottom w:val="single" w:color="auto" w:sz="4" w:space="0"/>
                    <w:right w:val="single" w:color="auto" w:sz="4" w:space="0"/>
                  </w:tcBorders>
                  <w:vAlign w:val="center"/>
                </w:tcPr>
                <w:p w14:paraId="60C0F29B">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0.210 </w:t>
                  </w:r>
                </w:p>
              </w:tc>
              <w:tc>
                <w:tcPr>
                  <w:tcW w:w="653" w:type="dxa"/>
                  <w:tcBorders>
                    <w:top w:val="single" w:color="auto" w:sz="4" w:space="0"/>
                    <w:left w:val="single" w:color="auto" w:sz="4" w:space="0"/>
                    <w:bottom w:val="single" w:color="auto" w:sz="4" w:space="0"/>
                    <w:right w:val="single" w:color="auto" w:sz="4" w:space="0"/>
                  </w:tcBorders>
                  <w:vAlign w:val="center"/>
                </w:tcPr>
                <w:p w14:paraId="7033CEFD">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w:t>
                  </w:r>
                </w:p>
              </w:tc>
              <w:tc>
                <w:tcPr>
                  <w:tcW w:w="887" w:type="dxa"/>
                  <w:tcBorders>
                    <w:top w:val="single" w:color="auto" w:sz="4" w:space="0"/>
                    <w:left w:val="single" w:color="auto" w:sz="4" w:space="0"/>
                    <w:bottom w:val="single" w:color="auto" w:sz="4" w:space="0"/>
                    <w:right w:val="single" w:color="auto" w:sz="4" w:space="0"/>
                  </w:tcBorders>
                  <w:vAlign w:val="center"/>
                </w:tcPr>
                <w:p w14:paraId="4CC628EC">
                  <w:pPr>
                    <w:adjustRightInd w:val="0"/>
                    <w:snapToGrid w:val="0"/>
                    <w:jc w:val="center"/>
                    <w:rPr>
                      <w:rFonts w:hint="default" w:ascii="Times New Roman" w:hAnsi="Times New Roman" w:eastAsia="宋体" w:cs="Times New Roman"/>
                      <w:color w:val="auto"/>
                      <w:kern w:val="21"/>
                      <w:lang w:val="en-US" w:eastAsia="zh-CN"/>
                    </w:rPr>
                  </w:pPr>
                  <w:r>
                    <w:rPr>
                      <w:rFonts w:hint="default" w:ascii="Times New Roman" w:hAnsi="Times New Roman" w:eastAsia="宋体" w:cs="Times New Roman"/>
                      <w:color w:val="auto"/>
                      <w:kern w:val="21"/>
                      <w:lang w:val="en-US" w:eastAsia="zh-CN"/>
                    </w:rPr>
                    <w:t xml:space="preserve">10.1 </w:t>
                  </w:r>
                </w:p>
              </w:tc>
              <w:tc>
                <w:tcPr>
                  <w:tcW w:w="955" w:type="dxa"/>
                  <w:tcBorders>
                    <w:top w:val="single" w:color="auto" w:sz="4" w:space="0"/>
                    <w:left w:val="single" w:color="auto" w:sz="4" w:space="0"/>
                    <w:bottom w:val="single" w:color="auto" w:sz="4" w:space="0"/>
                    <w:right w:val="single" w:color="auto" w:sz="4" w:space="0"/>
                  </w:tcBorders>
                  <w:vAlign w:val="center"/>
                </w:tcPr>
                <w:p w14:paraId="5FD1D522">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20</w:t>
                  </w:r>
                </w:p>
              </w:tc>
              <w:tc>
                <w:tcPr>
                  <w:tcW w:w="923" w:type="dxa"/>
                  <w:tcBorders>
                    <w:top w:val="single" w:color="auto" w:sz="4" w:space="0"/>
                    <w:left w:val="single" w:color="auto" w:sz="4" w:space="0"/>
                    <w:bottom w:val="single" w:color="auto" w:sz="4" w:space="0"/>
                    <w:right w:val="single" w:color="auto" w:sz="4" w:space="0"/>
                  </w:tcBorders>
                  <w:vAlign w:val="center"/>
                </w:tcPr>
                <w:p w14:paraId="592B47D3">
                  <w:pPr>
                    <w:adjustRightInd w:val="0"/>
                    <w:snapToGrid w:val="0"/>
                    <w:jc w:val="center"/>
                    <w:rPr>
                      <w:rFonts w:hint="default" w:ascii="Times New Roman" w:hAnsi="Times New Roman" w:cs="Times New Roman"/>
                      <w:color w:val="auto"/>
                      <w:kern w:val="21"/>
                      <w:lang w:val="en-US"/>
                    </w:rPr>
                  </w:pPr>
                  <w:r>
                    <w:rPr>
                      <w:rFonts w:hint="eastAsia" w:cs="Times New Roman"/>
                      <w:color w:val="auto"/>
                      <w:kern w:val="21"/>
                      <w:lang w:val="en-US" w:eastAsia="zh-CN"/>
                    </w:rPr>
                    <w:t>0.21</w:t>
                  </w:r>
                </w:p>
              </w:tc>
              <w:tc>
                <w:tcPr>
                  <w:tcW w:w="827" w:type="dxa"/>
                  <w:tcBorders>
                    <w:top w:val="single" w:color="auto" w:sz="4" w:space="0"/>
                    <w:left w:val="single" w:color="auto" w:sz="4" w:space="0"/>
                    <w:bottom w:val="single" w:color="auto" w:sz="4" w:space="0"/>
                    <w:right w:val="single" w:color="auto" w:sz="4" w:space="0"/>
                  </w:tcBorders>
                  <w:vAlign w:val="center"/>
                </w:tcPr>
                <w:p w14:paraId="0FD7FF60">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0.5</w:t>
                  </w:r>
                </w:p>
              </w:tc>
              <w:tc>
                <w:tcPr>
                  <w:tcW w:w="804" w:type="dxa"/>
                  <w:tcBorders>
                    <w:top w:val="single" w:color="auto" w:sz="4" w:space="0"/>
                    <w:left w:val="single" w:color="auto" w:sz="4" w:space="0"/>
                    <w:bottom w:val="single" w:color="auto" w:sz="4" w:space="0"/>
                    <w:right w:val="single" w:color="auto" w:sz="4" w:space="0"/>
                  </w:tcBorders>
                  <w:vAlign w:val="center"/>
                </w:tcPr>
                <w:p w14:paraId="645889F6">
                  <w:pPr>
                    <w:adjustRightInd w:val="0"/>
                    <w:snapToGrid w:val="0"/>
                    <w:jc w:val="center"/>
                    <w:rPr>
                      <w:rFonts w:hint="default" w:ascii="Times New Roman" w:hAnsi="Times New Roman" w:cs="Times New Roman"/>
                      <w:color w:val="auto"/>
                      <w:kern w:val="21"/>
                    </w:rPr>
                  </w:pPr>
                  <w:r>
                    <w:rPr>
                      <w:rFonts w:hint="default" w:ascii="Times New Roman" w:hAnsi="Times New Roman" w:cs="Times New Roman"/>
                      <w:color w:val="auto"/>
                      <w:kern w:val="21"/>
                      <w:lang w:val="en-US" w:eastAsia="zh-CN"/>
                    </w:rPr>
                    <w:t xml:space="preserve">0.0002 </w:t>
                  </w:r>
                </w:p>
              </w:tc>
            </w:tr>
            <w:tr w14:paraId="1DBC6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936" w:type="dxa"/>
                  <w:gridSpan w:val="9"/>
                  <w:tcBorders>
                    <w:top w:val="nil"/>
                    <w:left w:val="single" w:color="auto" w:sz="4" w:space="0"/>
                    <w:bottom w:val="single" w:color="auto" w:sz="4" w:space="0"/>
                    <w:right w:val="single" w:color="auto" w:sz="4" w:space="0"/>
                  </w:tcBorders>
                  <w:vAlign w:val="center"/>
                </w:tcPr>
                <w:p w14:paraId="04C07CA9">
                  <w:pPr>
                    <w:autoSpaceDE w:val="0"/>
                    <w:autoSpaceDN w:val="0"/>
                    <w:adjustRightInd w:val="0"/>
                    <w:rPr>
                      <w:rFonts w:hint="eastAsia" w:ascii="Times New Roman" w:hAnsi="Times New Roman" w:eastAsia="宋体" w:cs="Times New Roman"/>
                      <w:color w:val="auto"/>
                      <w:kern w:val="21"/>
                      <w:lang w:eastAsia="zh-CN"/>
                    </w:rPr>
                  </w:pPr>
                  <w:r>
                    <w:rPr>
                      <w:rFonts w:hint="default" w:ascii="Times New Roman" w:hAnsi="Times New Roman" w:cs="Times New Roman"/>
                      <w:color w:val="auto"/>
                      <w:kern w:val="21"/>
                    </w:rPr>
                    <w:t>注：低于纳管标准的污染物排放量以产生量计</w:t>
                  </w:r>
                  <w:r>
                    <w:rPr>
                      <w:rFonts w:hint="eastAsia" w:cs="Times New Roman"/>
                      <w:color w:val="auto"/>
                      <w:kern w:val="21"/>
                      <w:lang w:eastAsia="zh-CN"/>
                    </w:rPr>
                    <w:t>，</w:t>
                  </w:r>
                  <w:r>
                    <w:rPr>
                      <w:rFonts w:hint="eastAsia" w:cs="Times New Roman"/>
                      <w:color w:val="auto"/>
                      <w:szCs w:val="21"/>
                      <w:lang w:val="en-US" w:eastAsia="zh-CN"/>
                    </w:rPr>
                    <w:t>氟化物纳管企业内部控制要求10mg/L，排放量0.207t/a</w:t>
                  </w:r>
                  <w:r>
                    <w:rPr>
                      <w:rFonts w:hint="default" w:ascii="Times New Roman" w:hAnsi="Times New Roman" w:cs="Times New Roman"/>
                      <w:color w:val="auto"/>
                      <w:szCs w:val="21"/>
                    </w:rPr>
                    <w:t>。</w:t>
                  </w:r>
                </w:p>
              </w:tc>
            </w:tr>
          </w:tbl>
          <w:p w14:paraId="5E96FD8A">
            <w:pPr>
              <w:adjustRightInd w:val="0"/>
              <w:snapToGrid w:val="0"/>
              <w:spacing w:line="360" w:lineRule="auto"/>
              <w:ind w:left="420" w:leftChars="200"/>
              <w:rPr>
                <w:rFonts w:hint="default" w:ascii="Times New Roman" w:hAnsi="Times New Roman" w:cs="Times New Roman"/>
                <w:bCs/>
                <w:color w:val="auto"/>
                <w:sz w:val="24"/>
              </w:rPr>
            </w:pPr>
            <w:r>
              <w:rPr>
                <w:rFonts w:hint="default" w:ascii="Times New Roman" w:hAnsi="Times New Roman" w:cs="Times New Roman"/>
                <w:bCs/>
                <w:color w:val="auto"/>
                <w:sz w:val="24"/>
              </w:rPr>
              <w:t>（2）污水处理系统处理可行性</w:t>
            </w:r>
          </w:p>
          <w:p w14:paraId="19ABCA94">
            <w:pPr>
              <w:tabs>
                <w:tab w:val="left" w:pos="6105"/>
              </w:tabs>
              <w:jc w:val="center"/>
              <w:outlineLvl w:val="3"/>
              <w:rPr>
                <w:rFonts w:hint="default" w:ascii="Times New Roman" w:hAnsi="Times New Roman" w:cs="Times New Roman"/>
                <w:b/>
                <w:color w:val="auto"/>
              </w:rPr>
            </w:pPr>
            <w:r>
              <w:rPr>
                <w:rFonts w:hint="default" w:ascii="Times New Roman" w:hAnsi="Times New Roman" w:cs="Times New Roman"/>
                <w:b/>
                <w:color w:val="auto"/>
                <w:szCs w:val="21"/>
              </w:rPr>
              <w:t>表4.2.4-</w:t>
            </w:r>
            <w:r>
              <w:rPr>
                <w:rFonts w:hint="eastAsia" w:cs="Times New Roman"/>
                <w:b/>
                <w:color w:val="auto"/>
                <w:szCs w:val="21"/>
                <w:lang w:val="en-US" w:eastAsia="zh-CN"/>
              </w:rPr>
              <w:t>4</w:t>
            </w:r>
            <w:r>
              <w:rPr>
                <w:rFonts w:hint="default" w:ascii="Times New Roman" w:hAnsi="Times New Roman" w:cs="Times New Roman"/>
                <w:b/>
                <w:color w:val="auto"/>
              </w:rPr>
              <w:t xml:space="preserve"> 本次项目</w:t>
            </w:r>
            <w:r>
              <w:rPr>
                <w:rFonts w:hint="eastAsia" w:cs="Times New Roman"/>
                <w:b/>
                <w:color w:val="auto"/>
                <w:lang w:val="en-US" w:eastAsia="zh-CN"/>
              </w:rPr>
              <w:t>废水</w:t>
            </w:r>
            <w:r>
              <w:rPr>
                <w:rFonts w:hint="default" w:ascii="Times New Roman" w:hAnsi="Times New Roman" w:cs="Times New Roman"/>
                <w:b/>
                <w:color w:val="auto"/>
              </w:rPr>
              <w:t>处理措施情况</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86"/>
              <w:gridCol w:w="1370"/>
              <w:gridCol w:w="4153"/>
              <w:gridCol w:w="1927"/>
            </w:tblGrid>
            <w:tr w14:paraId="52B2E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306" w:type="pct"/>
                  <w:vAlign w:val="center"/>
                </w:tcPr>
                <w:p w14:paraId="41D91F1B">
                  <w:pPr>
                    <w:tabs>
                      <w:tab w:val="left" w:pos="6105"/>
                    </w:tabs>
                    <w:jc w:val="center"/>
                    <w:outlineLvl w:val="3"/>
                    <w:rPr>
                      <w:rFonts w:hint="default" w:ascii="Times New Roman" w:hAnsi="Times New Roman" w:cs="Times New Roman"/>
                      <w:bCs/>
                      <w:color w:val="auto"/>
                      <w:szCs w:val="21"/>
                    </w:rPr>
                  </w:pPr>
                  <w:r>
                    <w:rPr>
                      <w:rFonts w:hint="default" w:ascii="Times New Roman" w:hAnsi="Times New Roman" w:cs="Times New Roman"/>
                      <w:bCs/>
                      <w:color w:val="auto"/>
                      <w:szCs w:val="21"/>
                    </w:rPr>
                    <w:t>工序</w:t>
                  </w:r>
                </w:p>
              </w:tc>
              <w:tc>
                <w:tcPr>
                  <w:tcW w:w="863" w:type="pct"/>
                  <w:vAlign w:val="center"/>
                </w:tcPr>
                <w:p w14:paraId="20EE1AF5">
                  <w:pPr>
                    <w:tabs>
                      <w:tab w:val="left" w:pos="6105"/>
                    </w:tabs>
                    <w:jc w:val="center"/>
                    <w:outlineLvl w:val="3"/>
                    <w:rPr>
                      <w:rFonts w:hint="default" w:ascii="Times New Roman" w:hAnsi="Times New Roman" w:cs="Times New Roman"/>
                      <w:bCs/>
                      <w:color w:val="auto"/>
                      <w:szCs w:val="21"/>
                    </w:rPr>
                  </w:pPr>
                  <w:r>
                    <w:rPr>
                      <w:rFonts w:hint="default" w:ascii="Times New Roman" w:hAnsi="Times New Roman" w:cs="Times New Roman"/>
                      <w:bCs/>
                      <w:color w:val="auto"/>
                      <w:szCs w:val="21"/>
                    </w:rPr>
                    <w:t>废水名称</w:t>
                  </w:r>
                </w:p>
              </w:tc>
              <w:tc>
                <w:tcPr>
                  <w:tcW w:w="2616" w:type="pct"/>
                  <w:vAlign w:val="center"/>
                </w:tcPr>
                <w:p w14:paraId="52E91C1C">
                  <w:pPr>
                    <w:tabs>
                      <w:tab w:val="left" w:pos="6105"/>
                    </w:tabs>
                    <w:jc w:val="center"/>
                    <w:outlineLvl w:val="3"/>
                    <w:rPr>
                      <w:rFonts w:hint="default" w:ascii="Times New Roman" w:hAnsi="Times New Roman" w:cs="Times New Roman"/>
                      <w:bCs/>
                      <w:color w:val="auto"/>
                      <w:szCs w:val="21"/>
                    </w:rPr>
                  </w:pPr>
                  <w:r>
                    <w:rPr>
                      <w:rFonts w:hint="default" w:ascii="Times New Roman" w:hAnsi="Times New Roman" w:cs="Times New Roman"/>
                      <w:bCs/>
                      <w:color w:val="auto"/>
                      <w:szCs w:val="21"/>
                    </w:rPr>
                    <w:t>污染因子</w:t>
                  </w:r>
                </w:p>
              </w:tc>
              <w:tc>
                <w:tcPr>
                  <w:tcW w:w="1214" w:type="pct"/>
                  <w:vAlign w:val="center"/>
                </w:tcPr>
                <w:p w14:paraId="5347D321">
                  <w:pPr>
                    <w:tabs>
                      <w:tab w:val="left" w:pos="6105"/>
                    </w:tabs>
                    <w:jc w:val="center"/>
                    <w:outlineLvl w:val="3"/>
                    <w:rPr>
                      <w:rFonts w:hint="default" w:ascii="Times New Roman" w:hAnsi="Times New Roman" w:cs="Times New Roman"/>
                      <w:bCs/>
                      <w:color w:val="auto"/>
                      <w:szCs w:val="21"/>
                    </w:rPr>
                  </w:pPr>
                  <w:r>
                    <w:rPr>
                      <w:rFonts w:hint="default" w:ascii="Times New Roman" w:hAnsi="Times New Roman" w:cs="Times New Roman"/>
                      <w:bCs/>
                      <w:color w:val="auto"/>
                      <w:szCs w:val="21"/>
                    </w:rPr>
                    <w:t>治理措施情况</w:t>
                  </w:r>
                </w:p>
              </w:tc>
            </w:tr>
            <w:tr w14:paraId="6A0B3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06" w:type="pct"/>
                  <w:vMerge w:val="restart"/>
                  <w:vAlign w:val="center"/>
                </w:tcPr>
                <w:p w14:paraId="3AADBB9C">
                  <w:pPr>
                    <w:tabs>
                      <w:tab w:val="left" w:pos="6105"/>
                    </w:tabs>
                    <w:jc w:val="center"/>
                    <w:outlineLvl w:val="3"/>
                    <w:rPr>
                      <w:rFonts w:hint="default" w:ascii="Times New Roman" w:hAnsi="Times New Roman" w:cs="Times New Roman"/>
                      <w:bCs/>
                      <w:color w:val="auto"/>
                      <w:szCs w:val="21"/>
                    </w:rPr>
                  </w:pPr>
                  <w:r>
                    <w:rPr>
                      <w:rFonts w:hint="default" w:ascii="Times New Roman" w:hAnsi="Times New Roman" w:cs="Times New Roman"/>
                      <w:bCs/>
                      <w:color w:val="auto"/>
                      <w:szCs w:val="21"/>
                    </w:rPr>
                    <w:t>生产线</w:t>
                  </w:r>
                </w:p>
              </w:tc>
              <w:tc>
                <w:tcPr>
                  <w:tcW w:w="863" w:type="pct"/>
                  <w:shd w:val="clear" w:color="auto" w:fill="auto"/>
                  <w:vAlign w:val="center"/>
                </w:tcPr>
                <w:p w14:paraId="0AA51D15">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浮选废水W1</w:t>
                  </w:r>
                </w:p>
              </w:tc>
              <w:tc>
                <w:tcPr>
                  <w:tcW w:w="2616" w:type="pct"/>
                  <w:shd w:val="clear" w:color="auto" w:fill="auto"/>
                  <w:vAlign w:val="center"/>
                </w:tcPr>
                <w:p w14:paraId="2E27149F">
                  <w:pPr>
                    <w:jc w:val="center"/>
                    <w:textAlignment w:val="center"/>
                    <w:rPr>
                      <w:rFonts w:hint="eastAsia"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、SS、氨氮、总氮、LAS</w:t>
                  </w:r>
                  <w:r>
                    <w:rPr>
                      <w:rFonts w:hint="eastAsia" w:cs="Times New Roman"/>
                      <w:color w:val="auto"/>
                      <w:szCs w:val="21"/>
                      <w:lang w:eastAsia="zh-CN"/>
                    </w:rPr>
                    <w:t>、</w:t>
                  </w:r>
                  <w:r>
                    <w:rPr>
                      <w:rFonts w:hint="eastAsia" w:cs="Times New Roman"/>
                      <w:color w:val="auto"/>
                      <w:szCs w:val="21"/>
                      <w:lang w:val="en-US" w:eastAsia="zh-CN"/>
                    </w:rPr>
                    <w:t>全盐量等</w:t>
                  </w:r>
                </w:p>
              </w:tc>
              <w:tc>
                <w:tcPr>
                  <w:tcW w:w="1214" w:type="pct"/>
                  <w:vMerge w:val="restart"/>
                  <w:vAlign w:val="center"/>
                </w:tcPr>
                <w:p w14:paraId="5FF9034A">
                  <w:pPr>
                    <w:adjustRightInd w:val="0"/>
                    <w:snapToGrid w:val="0"/>
                    <w:jc w:val="center"/>
                    <w:rPr>
                      <w:rFonts w:hint="default" w:ascii="Times New Roman" w:hAnsi="Times New Roman" w:cs="Times New Roman"/>
                      <w:color w:val="auto"/>
                      <w:kern w:val="21"/>
                      <w:szCs w:val="21"/>
                    </w:rPr>
                  </w:pPr>
                  <w:r>
                    <w:rPr>
                      <w:rFonts w:hint="default" w:ascii="Times New Roman" w:hAnsi="Times New Roman" w:cs="Times New Roman"/>
                      <w:color w:val="auto"/>
                      <w:szCs w:val="21"/>
                    </w:rPr>
                    <w:t>经调节、中和沉淀、过滤处理后外排</w:t>
                  </w:r>
                </w:p>
              </w:tc>
            </w:tr>
            <w:tr w14:paraId="08448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06" w:type="pct"/>
                  <w:vMerge w:val="continue"/>
                  <w:vAlign w:val="center"/>
                </w:tcPr>
                <w:p w14:paraId="4500AD5A">
                  <w:pPr>
                    <w:tabs>
                      <w:tab w:val="left" w:pos="6105"/>
                    </w:tabs>
                    <w:jc w:val="center"/>
                    <w:outlineLvl w:val="3"/>
                    <w:rPr>
                      <w:rFonts w:hint="default" w:ascii="Times New Roman" w:hAnsi="Times New Roman" w:cs="Times New Roman"/>
                      <w:bCs/>
                      <w:color w:val="auto"/>
                      <w:szCs w:val="21"/>
                    </w:rPr>
                  </w:pPr>
                </w:p>
              </w:tc>
              <w:tc>
                <w:tcPr>
                  <w:tcW w:w="863" w:type="pct"/>
                  <w:shd w:val="clear" w:color="auto" w:fill="auto"/>
                  <w:vAlign w:val="center"/>
                </w:tcPr>
                <w:p w14:paraId="621707B6">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清洗废水</w:t>
                  </w:r>
                  <w:r>
                    <w:rPr>
                      <w:rFonts w:hint="default" w:cs="Times New Roman"/>
                      <w:color w:val="auto"/>
                      <w:szCs w:val="21"/>
                      <w:lang w:val="en-US" w:eastAsia="zh-CN"/>
                    </w:rPr>
                    <w:t>W2</w:t>
                  </w:r>
                </w:p>
              </w:tc>
              <w:tc>
                <w:tcPr>
                  <w:tcW w:w="2616" w:type="pct"/>
                  <w:shd w:val="clear" w:color="auto" w:fill="auto"/>
                  <w:vAlign w:val="center"/>
                </w:tcPr>
                <w:p w14:paraId="5A31CC50">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、SS、氨氮、总氮、LAS</w:t>
                  </w:r>
                  <w:r>
                    <w:rPr>
                      <w:rFonts w:hint="eastAsia" w:cs="Times New Roman"/>
                      <w:color w:val="auto"/>
                      <w:szCs w:val="21"/>
                      <w:lang w:eastAsia="zh-CN"/>
                    </w:rPr>
                    <w:t>、</w:t>
                  </w:r>
                  <w:r>
                    <w:rPr>
                      <w:rFonts w:hint="eastAsia" w:cs="Times New Roman"/>
                      <w:color w:val="auto"/>
                      <w:szCs w:val="21"/>
                      <w:lang w:val="en-US" w:eastAsia="zh-CN"/>
                    </w:rPr>
                    <w:t>全盐量等</w:t>
                  </w:r>
                </w:p>
              </w:tc>
              <w:tc>
                <w:tcPr>
                  <w:tcW w:w="1214" w:type="pct"/>
                  <w:vMerge w:val="continue"/>
                  <w:vAlign w:val="center"/>
                </w:tcPr>
                <w:p w14:paraId="76B78342">
                  <w:pPr>
                    <w:adjustRightInd w:val="0"/>
                    <w:snapToGrid w:val="0"/>
                    <w:jc w:val="center"/>
                    <w:rPr>
                      <w:rFonts w:hint="default" w:ascii="Times New Roman" w:hAnsi="Times New Roman" w:cs="Times New Roman"/>
                      <w:color w:val="auto"/>
                      <w:kern w:val="21"/>
                      <w:szCs w:val="21"/>
                    </w:rPr>
                  </w:pPr>
                </w:p>
              </w:tc>
            </w:tr>
            <w:tr w14:paraId="3BE24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306" w:type="pct"/>
                  <w:vMerge w:val="continue"/>
                  <w:vAlign w:val="center"/>
                </w:tcPr>
                <w:p w14:paraId="67567DDB">
                  <w:pPr>
                    <w:tabs>
                      <w:tab w:val="left" w:pos="6105"/>
                    </w:tabs>
                    <w:jc w:val="center"/>
                    <w:outlineLvl w:val="3"/>
                    <w:rPr>
                      <w:rFonts w:hint="default" w:ascii="Times New Roman" w:hAnsi="Times New Roman" w:cs="Times New Roman"/>
                      <w:bCs/>
                      <w:color w:val="auto"/>
                      <w:szCs w:val="21"/>
                    </w:rPr>
                  </w:pPr>
                </w:p>
              </w:tc>
              <w:tc>
                <w:tcPr>
                  <w:tcW w:w="863" w:type="pct"/>
                  <w:shd w:val="clear" w:color="auto" w:fill="auto"/>
                  <w:vAlign w:val="center"/>
                </w:tcPr>
                <w:p w14:paraId="40B66778">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清洗废水</w:t>
                  </w:r>
                  <w:r>
                    <w:rPr>
                      <w:rFonts w:hint="default" w:cs="Times New Roman"/>
                      <w:color w:val="auto"/>
                      <w:szCs w:val="21"/>
                      <w:lang w:val="en-US" w:eastAsia="zh-CN"/>
                    </w:rPr>
                    <w:t>W3</w:t>
                  </w:r>
                </w:p>
              </w:tc>
              <w:tc>
                <w:tcPr>
                  <w:tcW w:w="2616" w:type="pct"/>
                  <w:shd w:val="clear" w:color="auto" w:fill="auto"/>
                  <w:vAlign w:val="center"/>
                </w:tcPr>
                <w:p w14:paraId="0B0721B1">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、SS、氟化物、氨氮、总氮、</w:t>
                  </w:r>
                  <w:r>
                    <w:rPr>
                      <w:rFonts w:hint="eastAsia" w:cs="Times New Roman"/>
                      <w:color w:val="auto"/>
                      <w:szCs w:val="21"/>
                      <w:lang w:val="en-US" w:eastAsia="zh-CN"/>
                    </w:rPr>
                    <w:t>全盐量等</w:t>
                  </w:r>
                </w:p>
              </w:tc>
              <w:tc>
                <w:tcPr>
                  <w:tcW w:w="1214" w:type="pct"/>
                  <w:vMerge w:val="continue"/>
                  <w:vAlign w:val="center"/>
                </w:tcPr>
                <w:p w14:paraId="6023577B">
                  <w:pPr>
                    <w:adjustRightInd w:val="0"/>
                    <w:snapToGrid w:val="0"/>
                    <w:jc w:val="center"/>
                    <w:rPr>
                      <w:rFonts w:hint="default" w:ascii="Times New Roman" w:hAnsi="Times New Roman" w:cs="Times New Roman"/>
                      <w:color w:val="auto"/>
                      <w:kern w:val="21"/>
                      <w:szCs w:val="21"/>
                    </w:rPr>
                  </w:pPr>
                </w:p>
              </w:tc>
            </w:tr>
            <w:tr w14:paraId="4D029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06" w:type="pct"/>
                  <w:vMerge w:val="restart"/>
                  <w:vAlign w:val="center"/>
                </w:tcPr>
                <w:p w14:paraId="100F096C">
                  <w:pPr>
                    <w:tabs>
                      <w:tab w:val="left" w:pos="6105"/>
                    </w:tabs>
                    <w:jc w:val="center"/>
                    <w:outlineLvl w:val="3"/>
                    <w:rPr>
                      <w:rFonts w:hint="default" w:ascii="Times New Roman" w:hAnsi="Times New Roman" w:cs="Times New Roman"/>
                      <w:bCs/>
                      <w:color w:val="auto"/>
                      <w:szCs w:val="21"/>
                    </w:rPr>
                  </w:pPr>
                  <w:r>
                    <w:rPr>
                      <w:rFonts w:hint="default" w:ascii="Times New Roman" w:hAnsi="Times New Roman" w:cs="Times New Roman"/>
                      <w:bCs/>
                      <w:color w:val="auto"/>
                      <w:szCs w:val="21"/>
                    </w:rPr>
                    <w:t>公用工程</w:t>
                  </w:r>
                </w:p>
              </w:tc>
              <w:tc>
                <w:tcPr>
                  <w:tcW w:w="863" w:type="pct"/>
                  <w:shd w:val="clear" w:color="auto" w:fill="auto"/>
                  <w:vAlign w:val="center"/>
                </w:tcPr>
                <w:p w14:paraId="6FE0C6F7">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eastAsia="zh-CN"/>
                    </w:rPr>
                    <w:t>拖洗废水</w:t>
                  </w:r>
                </w:p>
              </w:tc>
              <w:tc>
                <w:tcPr>
                  <w:tcW w:w="2616" w:type="pct"/>
                  <w:shd w:val="clear" w:color="auto" w:fill="auto"/>
                  <w:vAlign w:val="center"/>
                </w:tcPr>
                <w:p w14:paraId="1447C803">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、SS、氨氮、总氮</w:t>
                  </w:r>
                  <w:r>
                    <w:rPr>
                      <w:rFonts w:hint="eastAsia" w:cs="Times New Roman"/>
                      <w:color w:val="auto"/>
                      <w:szCs w:val="21"/>
                      <w:lang w:val="en-US" w:eastAsia="zh-CN"/>
                    </w:rPr>
                    <w:t>等</w:t>
                  </w:r>
                </w:p>
              </w:tc>
              <w:tc>
                <w:tcPr>
                  <w:tcW w:w="1214" w:type="pct"/>
                  <w:vMerge w:val="continue"/>
                  <w:vAlign w:val="center"/>
                </w:tcPr>
                <w:p w14:paraId="10A69CE3">
                  <w:pPr>
                    <w:adjustRightInd w:val="0"/>
                    <w:snapToGrid w:val="0"/>
                    <w:jc w:val="center"/>
                    <w:rPr>
                      <w:rFonts w:hint="default" w:ascii="Times New Roman" w:hAnsi="Times New Roman" w:cs="Times New Roman"/>
                      <w:color w:val="auto"/>
                      <w:szCs w:val="21"/>
                    </w:rPr>
                  </w:pPr>
                </w:p>
              </w:tc>
            </w:tr>
            <w:tr w14:paraId="433D7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06" w:type="pct"/>
                  <w:vMerge w:val="continue"/>
                  <w:vAlign w:val="center"/>
                </w:tcPr>
                <w:p w14:paraId="32079759">
                  <w:pPr>
                    <w:tabs>
                      <w:tab w:val="left" w:pos="6105"/>
                    </w:tabs>
                    <w:jc w:val="center"/>
                    <w:outlineLvl w:val="3"/>
                    <w:rPr>
                      <w:rFonts w:hint="default" w:ascii="Times New Roman" w:hAnsi="Times New Roman" w:cs="Times New Roman"/>
                      <w:bCs/>
                      <w:color w:val="auto"/>
                      <w:szCs w:val="21"/>
                    </w:rPr>
                  </w:pPr>
                </w:p>
              </w:tc>
              <w:tc>
                <w:tcPr>
                  <w:tcW w:w="863" w:type="pct"/>
                  <w:vAlign w:val="center"/>
                </w:tcPr>
                <w:p w14:paraId="4E9489A8">
                  <w:pPr>
                    <w:jc w:val="center"/>
                    <w:rPr>
                      <w:rFonts w:hint="default" w:ascii="Times New Roman" w:hAnsi="Times New Roman" w:cs="Times New Roman"/>
                      <w:color w:val="auto"/>
                      <w:szCs w:val="21"/>
                    </w:rPr>
                  </w:pPr>
                  <w:r>
                    <w:rPr>
                      <w:rFonts w:hint="default" w:ascii="Times New Roman" w:hAnsi="Times New Roman" w:cs="Times New Roman"/>
                      <w:color w:val="auto"/>
                      <w:szCs w:val="21"/>
                    </w:rPr>
                    <w:t>喷淋废水</w:t>
                  </w:r>
                </w:p>
              </w:tc>
              <w:tc>
                <w:tcPr>
                  <w:tcW w:w="2616" w:type="pct"/>
                  <w:shd w:val="clear" w:color="auto" w:fill="auto"/>
                  <w:vAlign w:val="center"/>
                </w:tcPr>
                <w:p w14:paraId="0C15C8D4">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、SS、氟化物、氨氮、总氮</w:t>
                  </w:r>
                  <w:r>
                    <w:rPr>
                      <w:rFonts w:hint="eastAsia" w:cs="Times New Roman"/>
                      <w:color w:val="auto"/>
                      <w:szCs w:val="21"/>
                      <w:lang w:eastAsia="zh-CN"/>
                    </w:rPr>
                    <w:t>、</w:t>
                  </w:r>
                  <w:r>
                    <w:rPr>
                      <w:rFonts w:hint="eastAsia" w:cs="Times New Roman"/>
                      <w:color w:val="auto"/>
                      <w:szCs w:val="21"/>
                      <w:lang w:val="en-US" w:eastAsia="zh-CN"/>
                    </w:rPr>
                    <w:t>全盐量等</w:t>
                  </w:r>
                </w:p>
              </w:tc>
              <w:tc>
                <w:tcPr>
                  <w:tcW w:w="1214" w:type="pct"/>
                  <w:vMerge w:val="continue"/>
                  <w:vAlign w:val="center"/>
                </w:tcPr>
                <w:p w14:paraId="4866150A">
                  <w:pPr>
                    <w:adjustRightInd w:val="0"/>
                    <w:snapToGrid w:val="0"/>
                    <w:jc w:val="center"/>
                    <w:rPr>
                      <w:rFonts w:hint="default" w:ascii="Times New Roman" w:hAnsi="Times New Roman" w:cs="Times New Roman"/>
                      <w:color w:val="auto"/>
                      <w:szCs w:val="21"/>
                    </w:rPr>
                  </w:pPr>
                </w:p>
              </w:tc>
            </w:tr>
            <w:tr w14:paraId="798D8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06" w:type="pct"/>
                  <w:vMerge w:val="continue"/>
                  <w:vAlign w:val="center"/>
                </w:tcPr>
                <w:p w14:paraId="48D89B75">
                  <w:pPr>
                    <w:tabs>
                      <w:tab w:val="left" w:pos="6105"/>
                    </w:tabs>
                    <w:jc w:val="center"/>
                    <w:outlineLvl w:val="3"/>
                    <w:rPr>
                      <w:rFonts w:hint="default" w:ascii="Times New Roman" w:hAnsi="Times New Roman" w:cs="Times New Roman"/>
                      <w:bCs/>
                      <w:color w:val="auto"/>
                      <w:szCs w:val="21"/>
                    </w:rPr>
                  </w:pPr>
                </w:p>
              </w:tc>
              <w:tc>
                <w:tcPr>
                  <w:tcW w:w="863" w:type="pct"/>
                  <w:vAlign w:val="center"/>
                </w:tcPr>
                <w:p w14:paraId="3E11AF81">
                  <w:pPr>
                    <w:jc w:val="center"/>
                    <w:rPr>
                      <w:rFonts w:hint="default" w:ascii="Times New Roman" w:hAnsi="Times New Roman" w:cs="Times New Roman"/>
                      <w:color w:val="auto"/>
                      <w:szCs w:val="21"/>
                    </w:rPr>
                  </w:pPr>
                  <w:r>
                    <w:rPr>
                      <w:rFonts w:hint="default" w:ascii="Times New Roman" w:hAnsi="Times New Roman" w:cs="Times New Roman"/>
                      <w:color w:val="auto"/>
                      <w:szCs w:val="21"/>
                    </w:rPr>
                    <w:t>纯水制备浓水</w:t>
                  </w:r>
                </w:p>
              </w:tc>
              <w:tc>
                <w:tcPr>
                  <w:tcW w:w="2616" w:type="pct"/>
                  <w:shd w:val="clear" w:color="auto" w:fill="auto"/>
                  <w:vAlign w:val="center"/>
                </w:tcPr>
                <w:p w14:paraId="6BD42E40">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p>
              </w:tc>
              <w:tc>
                <w:tcPr>
                  <w:tcW w:w="1214" w:type="pct"/>
                  <w:vAlign w:val="center"/>
                </w:tcPr>
                <w:p w14:paraId="3EBFC9D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全部</w:t>
                  </w:r>
                  <w:r>
                    <w:rPr>
                      <w:rFonts w:hint="eastAsia" w:cs="Times New Roman"/>
                      <w:color w:val="auto"/>
                      <w:szCs w:val="21"/>
                      <w:lang w:val="en-US" w:eastAsia="zh-CN"/>
                    </w:rPr>
                    <w:t>回用</w:t>
                  </w:r>
                  <w:r>
                    <w:rPr>
                      <w:rFonts w:hint="default" w:ascii="Times New Roman" w:hAnsi="Times New Roman" w:cs="Times New Roman"/>
                      <w:color w:val="auto"/>
                      <w:szCs w:val="21"/>
                    </w:rPr>
                    <w:t>，不外排</w:t>
                  </w:r>
                </w:p>
              </w:tc>
            </w:tr>
            <w:tr w14:paraId="02ACB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306" w:type="pct"/>
                  <w:vMerge w:val="continue"/>
                  <w:vAlign w:val="center"/>
                </w:tcPr>
                <w:p w14:paraId="7601B339">
                  <w:pPr>
                    <w:tabs>
                      <w:tab w:val="left" w:pos="6105"/>
                    </w:tabs>
                    <w:jc w:val="center"/>
                    <w:outlineLvl w:val="3"/>
                    <w:rPr>
                      <w:rFonts w:hint="default" w:ascii="Times New Roman" w:hAnsi="Times New Roman" w:cs="Times New Roman"/>
                      <w:bCs/>
                      <w:color w:val="auto"/>
                      <w:szCs w:val="21"/>
                    </w:rPr>
                  </w:pPr>
                </w:p>
              </w:tc>
              <w:tc>
                <w:tcPr>
                  <w:tcW w:w="863" w:type="pct"/>
                  <w:vAlign w:val="center"/>
                </w:tcPr>
                <w:p w14:paraId="1BD28D16">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2616" w:type="pct"/>
                  <w:shd w:val="clear" w:color="auto" w:fill="auto"/>
                  <w:vAlign w:val="center"/>
                </w:tcPr>
                <w:p w14:paraId="0B807217">
                  <w:pPr>
                    <w:jc w:val="center"/>
                    <w:textAlignment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、氨氮、总氮</w:t>
                  </w:r>
                </w:p>
              </w:tc>
              <w:tc>
                <w:tcPr>
                  <w:tcW w:w="1214" w:type="pct"/>
                  <w:vAlign w:val="center"/>
                </w:tcPr>
                <w:p w14:paraId="7E0BE22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化粪池预处理后外排</w:t>
                  </w:r>
                </w:p>
              </w:tc>
            </w:tr>
          </w:tbl>
          <w:p w14:paraId="0A14EB52">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企业拟新建一个污水处理站，日处理量</w:t>
            </w:r>
            <w:r>
              <w:rPr>
                <w:rFonts w:hint="eastAsia" w:cs="Times New Roman"/>
                <w:color w:val="auto"/>
                <w:sz w:val="24"/>
                <w:lang w:val="en-US" w:eastAsia="zh-CN"/>
              </w:rPr>
              <w:t>15</w:t>
            </w:r>
            <w:r>
              <w:rPr>
                <w:rFonts w:hint="default" w:ascii="Times New Roman" w:hAnsi="Times New Roman" w:cs="Times New Roman"/>
                <w:color w:val="auto"/>
                <w:sz w:val="24"/>
              </w:rPr>
              <w:t>t/</w:t>
            </w:r>
            <w:r>
              <w:rPr>
                <w:rFonts w:hint="eastAsia" w:cs="Times New Roman"/>
                <w:color w:val="auto"/>
                <w:sz w:val="24"/>
                <w:lang w:val="en-US" w:eastAsia="zh-CN"/>
              </w:rPr>
              <w:t>h</w:t>
            </w:r>
            <w:r>
              <w:rPr>
                <w:rFonts w:hint="default" w:ascii="Times New Roman" w:hAnsi="Times New Roman" w:cs="Times New Roman"/>
                <w:color w:val="auto"/>
                <w:sz w:val="24"/>
              </w:rPr>
              <w:t>，废水处理工艺流程如下图所示：</w:t>
            </w:r>
          </w:p>
          <w:p w14:paraId="3F052A41">
            <w:pPr>
              <w:pStyle w:val="2"/>
              <w:rPr>
                <w:rFonts w:hint="default" w:ascii="Times New Roman" w:hAnsi="Times New Roman" w:cs="Times New Roman"/>
                <w:color w:val="auto"/>
                <w:sz w:val="24"/>
              </w:rPr>
            </w:pPr>
          </w:p>
          <w:p w14:paraId="46F199B4">
            <w:pPr>
              <w:rPr>
                <w:rFonts w:hint="default" w:ascii="Times New Roman" w:hAnsi="Times New Roman" w:cs="Times New Roman"/>
                <w:color w:val="auto"/>
                <w:sz w:val="24"/>
              </w:rPr>
            </w:pPr>
          </w:p>
          <w:p w14:paraId="7A4AEE9A">
            <w:pPr>
              <w:pStyle w:val="2"/>
              <w:rPr>
                <w:rFonts w:hint="default" w:ascii="Times New Roman" w:hAnsi="Times New Roman" w:cs="Times New Roman"/>
                <w:color w:val="auto"/>
                <w:sz w:val="24"/>
              </w:rPr>
            </w:pPr>
          </w:p>
          <w:p w14:paraId="1A25E8EB">
            <w:pPr>
              <w:rPr>
                <w:rFonts w:hint="default" w:ascii="Times New Roman" w:hAnsi="Times New Roman" w:cs="Times New Roman"/>
                <w:color w:val="auto"/>
                <w:sz w:val="24"/>
              </w:rPr>
            </w:pPr>
          </w:p>
          <w:p w14:paraId="5DE57351">
            <w:pPr>
              <w:pStyle w:val="2"/>
              <w:rPr>
                <w:rFonts w:hint="default" w:ascii="Times New Roman" w:hAnsi="Times New Roman" w:cs="Times New Roman"/>
                <w:color w:val="auto"/>
                <w:sz w:val="24"/>
              </w:rPr>
            </w:pPr>
          </w:p>
          <w:p w14:paraId="603741C4">
            <w:pPr>
              <w:rPr>
                <w:rFonts w:hint="default" w:ascii="Times New Roman" w:hAnsi="Times New Roman" w:cs="Times New Roman"/>
                <w:color w:val="auto"/>
                <w:sz w:val="24"/>
              </w:rPr>
            </w:pPr>
          </w:p>
          <w:p w14:paraId="3B163A01">
            <w:pPr>
              <w:pStyle w:val="2"/>
              <w:rPr>
                <w:rFonts w:hint="default" w:ascii="Times New Roman" w:hAnsi="Times New Roman" w:cs="Times New Roman"/>
                <w:color w:val="auto"/>
                <w:sz w:val="24"/>
              </w:rPr>
            </w:pPr>
          </w:p>
          <w:p w14:paraId="3F34175D">
            <w:pPr>
              <w:rPr>
                <w:rFonts w:hint="default" w:ascii="Times New Roman" w:hAnsi="Times New Roman" w:cs="Times New Roman"/>
                <w:color w:val="auto"/>
                <w:sz w:val="24"/>
              </w:rPr>
            </w:pPr>
          </w:p>
          <w:p w14:paraId="3C84B86A">
            <w:pPr>
              <w:pStyle w:val="2"/>
              <w:rPr>
                <w:rFonts w:hint="default"/>
                <w:color w:val="auto"/>
              </w:rPr>
            </w:pPr>
          </w:p>
          <w:p w14:paraId="03A4D003">
            <w:pPr>
              <w:pStyle w:val="98"/>
              <w:spacing w:before="0" w:line="36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object>
                <v:shape id="_x0000_i1030" o:spt="75" type="#_x0000_t75" style="height:309.15pt;width:330.1pt;" o:ole="t" filled="f" o:preferrelative="t" stroked="f" coordsize="21600,21600">
                  <v:path/>
                  <v:fill on="f" focussize="0,0"/>
                  <v:stroke on="f"/>
                  <v:imagedata r:id="rId21" o:title=""/>
                  <o:lock v:ext="edit" aspectratio="t"/>
                  <w10:wrap type="none"/>
                  <w10:anchorlock/>
                </v:shape>
                <o:OLEObject Type="Embed" ProgID="Visio.Drawing.11" ShapeID="_x0000_i1030" DrawAspect="Content" ObjectID="_1468075730" r:id="rId20">
                  <o:LockedField>false</o:LockedField>
                </o:OLEObject>
              </w:object>
            </w:r>
          </w:p>
          <w:p w14:paraId="79E0A555">
            <w:pPr>
              <w:pStyle w:val="98"/>
              <w:spacing w:before="0" w:line="360" w:lineRule="auto"/>
              <w:ind w:firstLine="0" w:firstLineChars="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图4.2.4-1  废水处理工艺流程图</w:t>
            </w:r>
          </w:p>
          <w:p w14:paraId="0BA17F6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工艺流程说明：</w:t>
            </w:r>
          </w:p>
          <w:p w14:paraId="4B3A889C">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生产过程产生的生产废水与公用工程废水经收集后，进入调节池经调节水质水量后，由泵提升至中和沉淀池，加入碱调节pH至9~10左右后，加入氯化钙、PAM产生絮凝反应</w:t>
            </w:r>
            <w:r>
              <w:rPr>
                <w:rFonts w:hint="eastAsia" w:cs="Times New Roman"/>
                <w:color w:val="auto"/>
                <w:sz w:val="24"/>
                <w:lang w:eastAsia="zh-CN"/>
              </w:rPr>
              <w:t>，</w:t>
            </w:r>
            <w:r>
              <w:rPr>
                <w:rFonts w:hint="eastAsia" w:cs="Times New Roman"/>
                <w:color w:val="auto"/>
                <w:sz w:val="24"/>
                <w:lang w:val="en-US" w:eastAsia="zh-CN"/>
              </w:rPr>
              <w:t>并针对含氟废水加入</w:t>
            </w:r>
            <w:r>
              <w:rPr>
                <w:rFonts w:hint="default" w:ascii="Times New Roman" w:hAnsi="Times New Roman" w:cs="Times New Roman"/>
                <w:color w:val="auto"/>
                <w:sz w:val="24"/>
              </w:rPr>
              <w:t>PAC</w:t>
            </w:r>
            <w:r>
              <w:rPr>
                <w:rFonts w:hint="eastAsia" w:cs="Times New Roman"/>
                <w:color w:val="auto"/>
                <w:sz w:val="24"/>
                <w:lang w:eastAsia="zh-CN"/>
              </w:rPr>
              <w:t>、</w:t>
            </w:r>
            <w:r>
              <w:rPr>
                <w:rFonts w:hint="eastAsia" w:cs="Times New Roman"/>
                <w:color w:val="auto"/>
                <w:sz w:val="24"/>
                <w:lang w:val="en-US" w:eastAsia="zh-CN"/>
              </w:rPr>
              <w:t>硫酸铝</w:t>
            </w:r>
            <w:r>
              <w:rPr>
                <w:rFonts w:hint="default" w:ascii="Times New Roman" w:hAnsi="Times New Roman" w:cs="Times New Roman"/>
                <w:color w:val="auto"/>
                <w:sz w:val="24"/>
              </w:rPr>
              <w:t>除氟，通过投加硫酸铝、聚合氯化铝(PAC)等，利用铝盐与离子的络合以及金属盐水解中间产物和最后生成的胶体矾花对氟离子的配体交换、物理吸附、卷扫作用去除水中的</w:t>
            </w:r>
            <w:r>
              <w:rPr>
                <w:rFonts w:hint="eastAsia" w:cs="Times New Roman"/>
                <w:color w:val="auto"/>
                <w:sz w:val="24"/>
                <w:lang w:val="en-US" w:eastAsia="zh-CN"/>
              </w:rPr>
              <w:t>氟</w:t>
            </w:r>
            <w:r>
              <w:rPr>
                <w:rFonts w:hint="default" w:ascii="Times New Roman" w:hAnsi="Times New Roman" w:cs="Times New Roman"/>
                <w:color w:val="auto"/>
                <w:sz w:val="24"/>
              </w:rPr>
              <w:t>离子。静置后，滤液通过管道进入过滤装置，过滤采用纤维过滤+活性铝过滤，利用纤维材料（如聚丙烯、聚酯等）的高比表面积和孔隙结构，通过机械截留、吸附和深层过滤作用去除废水中的悬浮物、胶体和其他颗粒物，利用活性铝（如活性氧化铝）的表面羟基和孔隙结构能够吸附氟离子</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氯离子等</w:t>
            </w:r>
            <w:r>
              <w:rPr>
                <w:rFonts w:hint="default" w:ascii="Times New Roman" w:hAnsi="Times New Roman" w:cs="Times New Roman"/>
                <w:color w:val="auto"/>
                <w:sz w:val="24"/>
              </w:rPr>
              <w:t>，并且通过离子交换将离子固定在表面，</w:t>
            </w:r>
            <w:r>
              <w:rPr>
                <w:rFonts w:hint="default" w:ascii="Times New Roman" w:hAnsi="Times New Roman" w:cs="Times New Roman"/>
                <w:color w:val="auto"/>
                <w:sz w:val="24"/>
                <w:lang w:val="en-US" w:eastAsia="zh-CN"/>
              </w:rPr>
              <w:t>定期更换过滤材料作为固废</w:t>
            </w:r>
            <w:r>
              <w:rPr>
                <w:rFonts w:hint="default" w:ascii="Times New Roman" w:hAnsi="Times New Roman" w:cs="Times New Roman"/>
                <w:color w:val="auto"/>
                <w:sz w:val="24"/>
              </w:rPr>
              <w:t>。</w:t>
            </w:r>
          </w:p>
          <w:p w14:paraId="2BCDE48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(3)水质处置可行性</w:t>
            </w:r>
          </w:p>
          <w:p w14:paraId="11077206">
            <w:pPr>
              <w:spacing w:line="360" w:lineRule="auto"/>
              <w:ind w:firstLine="480" w:firstLineChars="200"/>
              <w:rPr>
                <w:rFonts w:hint="default" w:ascii="Times New Roman" w:hAnsi="Times New Roman" w:cs="Times New Roman"/>
                <w:color w:val="auto"/>
                <w:sz w:val="24"/>
                <w:highlight w:val="none"/>
              </w:rPr>
            </w:pPr>
            <w:bookmarkStart w:id="19" w:name="_Hlk86330498"/>
            <w:bookmarkStart w:id="20" w:name="_Hlk84669760"/>
            <w:r>
              <w:rPr>
                <w:rFonts w:hint="default" w:ascii="Times New Roman" w:hAnsi="Times New Roman" w:cs="Times New Roman"/>
                <w:color w:val="auto"/>
                <w:sz w:val="24"/>
                <w:highlight w:val="none"/>
              </w:rPr>
              <w:t>A、废水处理设计目标</w:t>
            </w:r>
          </w:p>
          <w:p w14:paraId="40241A7D">
            <w:pPr>
              <w:tabs>
                <w:tab w:val="left" w:pos="6105"/>
              </w:tabs>
              <w:jc w:val="center"/>
              <w:outlineLvl w:val="3"/>
              <w:rPr>
                <w:rFonts w:hint="default" w:ascii="Times New Roman" w:hAnsi="Times New Roman" w:cs="Times New Roman"/>
                <w:b/>
                <w:color w:val="auto"/>
              </w:rPr>
            </w:pPr>
            <w:r>
              <w:rPr>
                <w:rFonts w:hint="default" w:ascii="Times New Roman" w:hAnsi="Times New Roman" w:cs="Times New Roman"/>
                <w:b/>
                <w:color w:val="auto"/>
                <w:szCs w:val="21"/>
              </w:rPr>
              <w:t>表4.2.4-</w:t>
            </w:r>
            <w:r>
              <w:rPr>
                <w:rFonts w:hint="eastAsia" w:cs="Times New Roman"/>
                <w:b/>
                <w:color w:val="auto"/>
                <w:szCs w:val="21"/>
                <w:lang w:val="en-US" w:eastAsia="zh-CN"/>
              </w:rPr>
              <w:t xml:space="preserve">5 </w:t>
            </w:r>
            <w:r>
              <w:rPr>
                <w:rFonts w:hint="default" w:ascii="Times New Roman" w:hAnsi="Times New Roman" w:cs="Times New Roman"/>
                <w:b/>
                <w:color w:val="auto"/>
              </w:rPr>
              <w:t xml:space="preserve"> 废水处理设计目标</w:t>
            </w:r>
          </w:p>
          <w:tbl>
            <w:tblPr>
              <w:tblStyle w:val="3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69"/>
              <w:gridCol w:w="2058"/>
              <w:gridCol w:w="1570"/>
              <w:gridCol w:w="2039"/>
            </w:tblGrid>
            <w:tr w14:paraId="3CC90C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29" w:type="pct"/>
                  <w:vAlign w:val="center"/>
                </w:tcPr>
                <w:p w14:paraId="3F1DC40B">
                  <w:pPr>
                    <w:adjustRightInd w:val="0"/>
                    <w:snapToGrid w:val="0"/>
                    <w:jc w:val="center"/>
                    <w:rPr>
                      <w:rFonts w:hint="default" w:ascii="Times New Roman" w:hAnsi="Times New Roman" w:cs="Times New Roman"/>
                      <w:b/>
                      <w:bCs/>
                      <w:color w:val="auto"/>
                      <w:kern w:val="21"/>
                      <w:sz w:val="18"/>
                      <w:szCs w:val="18"/>
                      <w:lang w:eastAsia="en-US"/>
                    </w:rPr>
                  </w:pPr>
                  <w:r>
                    <w:rPr>
                      <w:rFonts w:hint="default" w:ascii="Times New Roman" w:hAnsi="Times New Roman" w:cs="Times New Roman"/>
                      <w:b/>
                      <w:bCs/>
                      <w:color w:val="auto"/>
                      <w:kern w:val="21"/>
                      <w:sz w:val="18"/>
                      <w:szCs w:val="18"/>
                      <w:lang w:eastAsia="en-US"/>
                    </w:rPr>
                    <w:t>水质指标</w:t>
                  </w:r>
                </w:p>
              </w:tc>
              <w:tc>
                <w:tcPr>
                  <w:tcW w:w="1296" w:type="pct"/>
                  <w:vAlign w:val="center"/>
                </w:tcPr>
                <w:p w14:paraId="7669E152">
                  <w:pPr>
                    <w:adjustRightInd w:val="0"/>
                    <w:snapToGrid w:val="0"/>
                    <w:jc w:val="center"/>
                    <w:rPr>
                      <w:rFonts w:hint="default" w:ascii="Times New Roman" w:hAnsi="Times New Roman" w:cs="Times New Roman"/>
                      <w:b/>
                      <w:bCs/>
                      <w:color w:val="auto"/>
                      <w:kern w:val="21"/>
                      <w:sz w:val="18"/>
                      <w:szCs w:val="18"/>
                    </w:rPr>
                  </w:pPr>
                  <w:r>
                    <w:rPr>
                      <w:rFonts w:hint="default" w:ascii="Times New Roman" w:hAnsi="Times New Roman" w:cs="Times New Roman"/>
                      <w:b/>
                      <w:bCs/>
                      <w:color w:val="auto"/>
                      <w:kern w:val="21"/>
                      <w:sz w:val="18"/>
                      <w:szCs w:val="18"/>
                    </w:rPr>
                    <w:t>最大处理水量（m</w:t>
                  </w:r>
                  <w:r>
                    <w:rPr>
                      <w:rFonts w:hint="default" w:ascii="Times New Roman" w:hAnsi="Times New Roman" w:cs="Times New Roman"/>
                      <w:b/>
                      <w:bCs/>
                      <w:color w:val="auto"/>
                      <w:kern w:val="21"/>
                      <w:sz w:val="18"/>
                      <w:szCs w:val="18"/>
                      <w:vertAlign w:val="superscript"/>
                    </w:rPr>
                    <w:t>3</w:t>
                  </w:r>
                  <w:r>
                    <w:rPr>
                      <w:rFonts w:hint="default" w:ascii="Times New Roman" w:hAnsi="Times New Roman" w:cs="Times New Roman"/>
                      <w:b/>
                      <w:bCs/>
                      <w:color w:val="auto"/>
                      <w:kern w:val="21"/>
                      <w:sz w:val="18"/>
                      <w:szCs w:val="18"/>
                    </w:rPr>
                    <w:t>/d）</w:t>
                  </w:r>
                </w:p>
              </w:tc>
              <w:tc>
                <w:tcPr>
                  <w:tcW w:w="989" w:type="pct"/>
                  <w:vAlign w:val="center"/>
                </w:tcPr>
                <w:p w14:paraId="625331D0">
                  <w:pPr>
                    <w:adjustRightInd w:val="0"/>
                    <w:snapToGrid w:val="0"/>
                    <w:jc w:val="center"/>
                    <w:rPr>
                      <w:rFonts w:hint="default" w:ascii="Times New Roman" w:hAnsi="Times New Roman" w:cs="Times New Roman"/>
                      <w:b/>
                      <w:bCs/>
                      <w:color w:val="auto"/>
                      <w:kern w:val="21"/>
                      <w:sz w:val="18"/>
                      <w:szCs w:val="18"/>
                    </w:rPr>
                  </w:pPr>
                  <w:r>
                    <w:rPr>
                      <w:rFonts w:hint="default" w:ascii="Times New Roman" w:hAnsi="Times New Roman" w:cs="Times New Roman"/>
                      <w:b/>
                      <w:bCs/>
                      <w:color w:val="auto"/>
                      <w:kern w:val="21"/>
                      <w:sz w:val="18"/>
                      <w:szCs w:val="18"/>
                    </w:rPr>
                    <w:t>SS（mg/L）</w:t>
                  </w:r>
                </w:p>
              </w:tc>
              <w:tc>
                <w:tcPr>
                  <w:tcW w:w="1284" w:type="pct"/>
                  <w:tcBorders>
                    <w:right w:val="single" w:color="auto" w:sz="4" w:space="0"/>
                  </w:tcBorders>
                  <w:vAlign w:val="center"/>
                </w:tcPr>
                <w:p w14:paraId="48DD0248">
                  <w:pPr>
                    <w:adjustRightInd w:val="0"/>
                    <w:snapToGrid w:val="0"/>
                    <w:jc w:val="center"/>
                    <w:rPr>
                      <w:rFonts w:hint="default" w:ascii="Times New Roman" w:hAnsi="Times New Roman" w:cs="Times New Roman"/>
                      <w:b/>
                      <w:bCs/>
                      <w:color w:val="auto"/>
                      <w:kern w:val="21"/>
                      <w:sz w:val="18"/>
                      <w:szCs w:val="18"/>
                    </w:rPr>
                  </w:pPr>
                  <w:r>
                    <w:rPr>
                      <w:rFonts w:hint="default" w:ascii="Times New Roman" w:hAnsi="Times New Roman" w:cs="Times New Roman"/>
                      <w:b/>
                      <w:bCs/>
                      <w:color w:val="auto"/>
                      <w:kern w:val="21"/>
                      <w:sz w:val="18"/>
                      <w:szCs w:val="18"/>
                    </w:rPr>
                    <w:t>氟化物（mg/L）</w:t>
                  </w:r>
                </w:p>
              </w:tc>
            </w:tr>
            <w:tr w14:paraId="7EA9CD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 w:hRule="atLeast"/>
                <w:jc w:val="center"/>
              </w:trPr>
              <w:tc>
                <w:tcPr>
                  <w:tcW w:w="1429" w:type="pct"/>
                  <w:vAlign w:val="center"/>
                </w:tcPr>
                <w:p w14:paraId="6A199089">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设计进水水质</w:t>
                  </w:r>
                </w:p>
              </w:tc>
              <w:tc>
                <w:tcPr>
                  <w:tcW w:w="1296" w:type="pct"/>
                  <w:vAlign w:val="center"/>
                </w:tcPr>
                <w:p w14:paraId="07B5D491">
                  <w:pPr>
                    <w:adjustRightInd w:val="0"/>
                    <w:snapToGrid w:val="0"/>
                    <w:jc w:val="center"/>
                    <w:rPr>
                      <w:rFonts w:hint="default" w:ascii="Times New Roman" w:hAnsi="Times New Roman" w:eastAsia="宋体" w:cs="Times New Roman"/>
                      <w:color w:val="auto"/>
                      <w:kern w:val="21"/>
                      <w:sz w:val="18"/>
                      <w:szCs w:val="18"/>
                      <w:lang w:val="en-US" w:eastAsia="zh-CN"/>
                    </w:rPr>
                  </w:pPr>
                  <w:r>
                    <w:rPr>
                      <w:rFonts w:hint="default" w:ascii="Times New Roman" w:hAnsi="Times New Roman" w:cs="Times New Roman"/>
                      <w:color w:val="auto"/>
                      <w:kern w:val="21"/>
                      <w:sz w:val="18"/>
                      <w:szCs w:val="18"/>
                    </w:rPr>
                    <w:t>≤</w:t>
                  </w:r>
                  <w:r>
                    <w:rPr>
                      <w:rFonts w:hint="eastAsia" w:cs="Times New Roman"/>
                      <w:color w:val="auto"/>
                      <w:kern w:val="21"/>
                      <w:sz w:val="18"/>
                      <w:szCs w:val="18"/>
                      <w:lang w:val="en-US" w:eastAsia="zh-CN"/>
                    </w:rPr>
                    <w:t>120</w:t>
                  </w:r>
                </w:p>
              </w:tc>
              <w:tc>
                <w:tcPr>
                  <w:tcW w:w="1570" w:type="dxa"/>
                  <w:vAlign w:val="center"/>
                </w:tcPr>
                <w:p w14:paraId="71314115">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lang w:val="en-US" w:eastAsia="zh-CN"/>
                    </w:rPr>
                    <w:t>≤1000</w:t>
                  </w:r>
                </w:p>
              </w:tc>
              <w:tc>
                <w:tcPr>
                  <w:tcW w:w="2039" w:type="dxa"/>
                  <w:tcBorders>
                    <w:right w:val="single" w:color="auto" w:sz="4" w:space="0"/>
                  </w:tcBorders>
                  <w:vAlign w:val="center"/>
                </w:tcPr>
                <w:p w14:paraId="797C88D4">
                  <w:pPr>
                    <w:adjustRightInd w:val="0"/>
                    <w:snapToGrid w:val="0"/>
                    <w:jc w:val="center"/>
                    <w:rPr>
                      <w:rFonts w:hint="default" w:ascii="Times New Roman" w:hAnsi="Times New Roman" w:cs="Times New Roman"/>
                      <w:color w:val="auto"/>
                      <w:kern w:val="21"/>
                      <w:sz w:val="18"/>
                      <w:szCs w:val="18"/>
                      <w:lang w:val="en-US"/>
                    </w:rPr>
                  </w:pPr>
                  <w:r>
                    <w:rPr>
                      <w:rFonts w:hint="default" w:ascii="Times New Roman" w:hAnsi="Times New Roman" w:cs="Times New Roman"/>
                      <w:color w:val="auto"/>
                      <w:kern w:val="21"/>
                      <w:sz w:val="18"/>
                      <w:szCs w:val="18"/>
                      <w:lang w:val="en-US" w:eastAsia="zh-CN"/>
                    </w:rPr>
                    <w:t>≤</w:t>
                  </w:r>
                  <w:r>
                    <w:rPr>
                      <w:rFonts w:hint="eastAsia" w:cs="Times New Roman"/>
                      <w:color w:val="auto"/>
                      <w:kern w:val="21"/>
                      <w:sz w:val="18"/>
                      <w:szCs w:val="18"/>
                      <w:lang w:val="en-US" w:eastAsia="zh-CN"/>
                    </w:rPr>
                    <w:t>150</w:t>
                  </w:r>
                </w:p>
              </w:tc>
            </w:tr>
            <w:tr w14:paraId="48DED8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 w:hRule="atLeast"/>
                <w:jc w:val="center"/>
              </w:trPr>
              <w:tc>
                <w:tcPr>
                  <w:tcW w:w="1429" w:type="pct"/>
                  <w:vAlign w:val="center"/>
                </w:tcPr>
                <w:p w14:paraId="440C4E31">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设计出水</w:t>
                  </w:r>
                </w:p>
              </w:tc>
              <w:tc>
                <w:tcPr>
                  <w:tcW w:w="1296" w:type="pct"/>
                  <w:vAlign w:val="center"/>
                </w:tcPr>
                <w:p w14:paraId="1CFD354C">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w:t>
                  </w:r>
                  <w:r>
                    <w:rPr>
                      <w:rFonts w:hint="eastAsia" w:cs="Times New Roman"/>
                      <w:color w:val="auto"/>
                      <w:kern w:val="21"/>
                      <w:sz w:val="18"/>
                      <w:szCs w:val="18"/>
                      <w:lang w:val="en-US" w:eastAsia="zh-CN"/>
                    </w:rPr>
                    <w:t>120</w:t>
                  </w:r>
                </w:p>
              </w:tc>
              <w:tc>
                <w:tcPr>
                  <w:tcW w:w="1570" w:type="dxa"/>
                  <w:vAlign w:val="center"/>
                </w:tcPr>
                <w:p w14:paraId="57D540F2">
                  <w:pPr>
                    <w:adjustRightInd w:val="0"/>
                    <w:snapToGrid w:val="0"/>
                    <w:jc w:val="center"/>
                    <w:rPr>
                      <w:rFonts w:hint="default" w:ascii="Times New Roman" w:hAnsi="Times New Roman" w:cs="Times New Roman"/>
                      <w:color w:val="auto"/>
                      <w:kern w:val="21"/>
                      <w:sz w:val="18"/>
                      <w:szCs w:val="18"/>
                    </w:rPr>
                  </w:pPr>
                  <w:r>
                    <w:rPr>
                      <w:rFonts w:hint="eastAsia" w:ascii="Times New Roman" w:hAnsi="Times New Roman" w:cs="Times New Roman"/>
                      <w:color w:val="auto"/>
                      <w:kern w:val="21"/>
                      <w:sz w:val="18"/>
                      <w:szCs w:val="18"/>
                      <w:lang w:val="en-US" w:eastAsia="zh-CN"/>
                    </w:rPr>
                    <w:t>＜</w:t>
                  </w:r>
                  <w:r>
                    <w:rPr>
                      <w:rFonts w:hint="default" w:ascii="Times New Roman" w:hAnsi="Times New Roman" w:cs="Times New Roman"/>
                      <w:color w:val="auto"/>
                      <w:kern w:val="21"/>
                      <w:sz w:val="18"/>
                      <w:szCs w:val="18"/>
                      <w:lang w:val="en-US" w:eastAsia="zh-CN"/>
                    </w:rPr>
                    <w:t>200</w:t>
                  </w:r>
                </w:p>
              </w:tc>
              <w:tc>
                <w:tcPr>
                  <w:tcW w:w="2039" w:type="dxa"/>
                  <w:tcBorders>
                    <w:right w:val="single" w:color="auto" w:sz="4" w:space="0"/>
                  </w:tcBorders>
                  <w:vAlign w:val="center"/>
                </w:tcPr>
                <w:p w14:paraId="2779EA60">
                  <w:pPr>
                    <w:adjustRightInd w:val="0"/>
                    <w:snapToGrid w:val="0"/>
                    <w:jc w:val="center"/>
                    <w:rPr>
                      <w:rFonts w:hint="default" w:ascii="Times New Roman" w:hAnsi="Times New Roman" w:cs="Times New Roman"/>
                      <w:color w:val="auto"/>
                      <w:kern w:val="21"/>
                      <w:sz w:val="18"/>
                      <w:szCs w:val="18"/>
                      <w:lang w:val="en-US"/>
                    </w:rPr>
                  </w:pPr>
                  <w:r>
                    <w:rPr>
                      <w:rFonts w:hint="eastAsia" w:ascii="Times New Roman" w:hAnsi="Times New Roman" w:cs="Times New Roman"/>
                      <w:color w:val="auto"/>
                      <w:kern w:val="21"/>
                      <w:sz w:val="18"/>
                      <w:szCs w:val="18"/>
                      <w:lang w:val="en-US" w:eastAsia="zh-CN"/>
                    </w:rPr>
                    <w:t>＜</w:t>
                  </w:r>
                  <w:r>
                    <w:rPr>
                      <w:rFonts w:hint="eastAsia" w:cs="Times New Roman"/>
                      <w:color w:val="auto"/>
                      <w:kern w:val="21"/>
                      <w:sz w:val="18"/>
                      <w:szCs w:val="18"/>
                      <w:lang w:val="en-US" w:eastAsia="zh-CN"/>
                    </w:rPr>
                    <w:t>10</w:t>
                  </w:r>
                </w:p>
              </w:tc>
            </w:tr>
            <w:tr w14:paraId="56C705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 w:hRule="atLeast"/>
                <w:jc w:val="center"/>
              </w:trPr>
              <w:tc>
                <w:tcPr>
                  <w:tcW w:w="1429" w:type="pct"/>
                  <w:vAlign w:val="center"/>
                </w:tcPr>
                <w:p w14:paraId="274DFB2F">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设计综合效率%</w:t>
                  </w:r>
                </w:p>
              </w:tc>
              <w:tc>
                <w:tcPr>
                  <w:tcW w:w="1296" w:type="pct"/>
                  <w:vAlign w:val="center"/>
                </w:tcPr>
                <w:p w14:paraId="58EF3474">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w:t>
                  </w:r>
                </w:p>
              </w:tc>
              <w:tc>
                <w:tcPr>
                  <w:tcW w:w="1570" w:type="dxa"/>
                  <w:vAlign w:val="center"/>
                </w:tcPr>
                <w:p w14:paraId="57DEB2DD">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lang w:val="en-US" w:eastAsia="zh-CN"/>
                    </w:rPr>
                    <w:t>80%</w:t>
                  </w:r>
                </w:p>
              </w:tc>
              <w:tc>
                <w:tcPr>
                  <w:tcW w:w="2039" w:type="dxa"/>
                  <w:tcBorders>
                    <w:right w:val="single" w:color="auto" w:sz="4" w:space="0"/>
                  </w:tcBorders>
                  <w:vAlign w:val="center"/>
                </w:tcPr>
                <w:p w14:paraId="29A87AD3">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lang w:val="en-US" w:eastAsia="zh-CN"/>
                    </w:rPr>
                    <w:t>9</w:t>
                  </w:r>
                  <w:r>
                    <w:rPr>
                      <w:rFonts w:hint="eastAsia" w:cs="Times New Roman"/>
                      <w:color w:val="auto"/>
                      <w:kern w:val="21"/>
                      <w:sz w:val="18"/>
                      <w:szCs w:val="18"/>
                      <w:lang w:val="en-US" w:eastAsia="zh-CN"/>
                    </w:rPr>
                    <w:t>3</w:t>
                  </w:r>
                  <w:r>
                    <w:rPr>
                      <w:rFonts w:hint="default" w:ascii="Times New Roman" w:hAnsi="Times New Roman" w:cs="Times New Roman"/>
                      <w:color w:val="auto"/>
                      <w:kern w:val="21"/>
                      <w:sz w:val="18"/>
                      <w:szCs w:val="18"/>
                      <w:lang w:val="en-US" w:eastAsia="zh-CN"/>
                    </w:rPr>
                    <w:t>%</w:t>
                  </w:r>
                </w:p>
              </w:tc>
            </w:tr>
            <w:tr w14:paraId="336F1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 w:hRule="atLeast"/>
                <w:jc w:val="center"/>
              </w:trPr>
              <w:tc>
                <w:tcPr>
                  <w:tcW w:w="1429" w:type="pct"/>
                  <w:vAlign w:val="center"/>
                </w:tcPr>
                <w:p w14:paraId="67203789">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本项目进水水质</w:t>
                  </w:r>
                </w:p>
              </w:tc>
              <w:tc>
                <w:tcPr>
                  <w:tcW w:w="1296" w:type="pct"/>
                  <w:vAlign w:val="center"/>
                </w:tcPr>
                <w:p w14:paraId="68007E15">
                  <w:pPr>
                    <w:adjustRightInd w:val="0"/>
                    <w:snapToGrid w:val="0"/>
                    <w:jc w:val="center"/>
                    <w:rPr>
                      <w:rFonts w:hint="default" w:ascii="Times New Roman" w:hAnsi="Times New Roman" w:eastAsia="宋体" w:cs="Times New Roman"/>
                      <w:color w:val="auto"/>
                      <w:kern w:val="21"/>
                      <w:sz w:val="18"/>
                      <w:szCs w:val="18"/>
                      <w:lang w:val="en-US" w:eastAsia="zh-CN"/>
                    </w:rPr>
                  </w:pPr>
                  <w:r>
                    <w:rPr>
                      <w:rFonts w:hint="eastAsia" w:cs="Times New Roman"/>
                      <w:color w:val="auto"/>
                      <w:kern w:val="21"/>
                      <w:sz w:val="18"/>
                      <w:szCs w:val="18"/>
                      <w:lang w:val="en-US" w:eastAsia="zh-CN"/>
                    </w:rPr>
                    <w:t>69</w:t>
                  </w:r>
                </w:p>
              </w:tc>
              <w:tc>
                <w:tcPr>
                  <w:tcW w:w="1570" w:type="dxa"/>
                  <w:vAlign w:val="center"/>
                </w:tcPr>
                <w:p w14:paraId="2D3668AA">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lang w:val="en-US" w:eastAsia="zh-CN"/>
                    </w:rPr>
                    <w:t xml:space="preserve">473.9 </w:t>
                  </w:r>
                </w:p>
              </w:tc>
              <w:tc>
                <w:tcPr>
                  <w:tcW w:w="2039" w:type="dxa"/>
                  <w:tcBorders>
                    <w:right w:val="single" w:color="auto" w:sz="4" w:space="0"/>
                  </w:tcBorders>
                  <w:vAlign w:val="center"/>
                </w:tcPr>
                <w:p w14:paraId="010471E6">
                  <w:pPr>
                    <w:adjustRightInd w:val="0"/>
                    <w:snapToGrid w:val="0"/>
                    <w:jc w:val="center"/>
                    <w:rPr>
                      <w:rFonts w:hint="default" w:ascii="Times New Roman" w:hAnsi="Times New Roman" w:cs="Times New Roman"/>
                      <w:color w:val="auto"/>
                      <w:kern w:val="21"/>
                      <w:sz w:val="18"/>
                      <w:szCs w:val="18"/>
                      <w:lang w:val="en-US"/>
                    </w:rPr>
                  </w:pPr>
                  <w:r>
                    <w:rPr>
                      <w:rFonts w:hint="eastAsia" w:cs="Times New Roman"/>
                      <w:color w:val="auto"/>
                      <w:kern w:val="21"/>
                      <w:sz w:val="18"/>
                      <w:szCs w:val="18"/>
                      <w:lang w:val="en-US" w:eastAsia="zh-CN"/>
                    </w:rPr>
                    <w:t>109.7</w:t>
                  </w:r>
                </w:p>
              </w:tc>
            </w:tr>
            <w:tr w14:paraId="526FDA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29" w:type="pct"/>
                  <w:vAlign w:val="center"/>
                </w:tcPr>
                <w:p w14:paraId="46D5A8D8">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本项目出水水质</w:t>
                  </w:r>
                </w:p>
              </w:tc>
              <w:tc>
                <w:tcPr>
                  <w:tcW w:w="1296" w:type="pct"/>
                  <w:vAlign w:val="center"/>
                </w:tcPr>
                <w:p w14:paraId="58B4D204">
                  <w:pPr>
                    <w:adjustRightInd w:val="0"/>
                    <w:snapToGrid w:val="0"/>
                    <w:jc w:val="center"/>
                    <w:rPr>
                      <w:rFonts w:hint="default" w:ascii="Times New Roman" w:hAnsi="Times New Roman" w:eastAsia="宋体" w:cs="Times New Roman"/>
                      <w:color w:val="auto"/>
                      <w:kern w:val="21"/>
                      <w:sz w:val="18"/>
                      <w:szCs w:val="18"/>
                      <w:lang w:val="en-US" w:eastAsia="zh-CN"/>
                    </w:rPr>
                  </w:pPr>
                  <w:r>
                    <w:rPr>
                      <w:rFonts w:hint="eastAsia" w:cs="Times New Roman"/>
                      <w:color w:val="auto"/>
                      <w:kern w:val="21"/>
                      <w:sz w:val="18"/>
                      <w:szCs w:val="18"/>
                      <w:lang w:val="en-US" w:eastAsia="zh-CN"/>
                    </w:rPr>
                    <w:t>69</w:t>
                  </w:r>
                </w:p>
              </w:tc>
              <w:tc>
                <w:tcPr>
                  <w:tcW w:w="1570" w:type="dxa"/>
                  <w:vAlign w:val="center"/>
                </w:tcPr>
                <w:p w14:paraId="635A1846">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lang w:val="en-US" w:eastAsia="zh-CN"/>
                    </w:rPr>
                    <w:t xml:space="preserve">200.0 </w:t>
                  </w:r>
                </w:p>
              </w:tc>
              <w:tc>
                <w:tcPr>
                  <w:tcW w:w="2039" w:type="dxa"/>
                  <w:tcBorders>
                    <w:right w:val="single" w:color="auto" w:sz="4" w:space="0"/>
                  </w:tcBorders>
                  <w:vAlign w:val="center"/>
                </w:tcPr>
                <w:p w14:paraId="621A237C">
                  <w:pPr>
                    <w:adjustRightInd w:val="0"/>
                    <w:snapToGrid w:val="0"/>
                    <w:jc w:val="center"/>
                    <w:rPr>
                      <w:rFonts w:hint="default" w:ascii="Times New Roman" w:hAnsi="Times New Roman" w:cs="Times New Roman"/>
                      <w:color w:val="auto"/>
                      <w:kern w:val="21"/>
                      <w:sz w:val="18"/>
                      <w:szCs w:val="18"/>
                      <w:lang w:val="en-US"/>
                    </w:rPr>
                  </w:pPr>
                  <w:r>
                    <w:rPr>
                      <w:rFonts w:hint="eastAsia" w:cs="Times New Roman"/>
                      <w:color w:val="auto"/>
                      <w:kern w:val="21"/>
                      <w:sz w:val="18"/>
                      <w:szCs w:val="18"/>
                      <w:lang w:val="en-US" w:eastAsia="zh-CN"/>
                    </w:rPr>
                    <w:t>10</w:t>
                  </w:r>
                </w:p>
              </w:tc>
            </w:tr>
            <w:tr w14:paraId="130A43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29" w:type="pct"/>
                  <w:vAlign w:val="center"/>
                </w:tcPr>
                <w:p w14:paraId="1D29E376">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纳管标准</w:t>
                  </w:r>
                </w:p>
              </w:tc>
              <w:tc>
                <w:tcPr>
                  <w:tcW w:w="1296" w:type="pct"/>
                  <w:vAlign w:val="center"/>
                </w:tcPr>
                <w:p w14:paraId="243081E3">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rPr>
                    <w:t>-</w:t>
                  </w:r>
                </w:p>
              </w:tc>
              <w:tc>
                <w:tcPr>
                  <w:tcW w:w="1570" w:type="dxa"/>
                  <w:vAlign w:val="center"/>
                </w:tcPr>
                <w:p w14:paraId="7B68EF72">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lang w:val="en-US" w:eastAsia="zh-CN"/>
                    </w:rPr>
                    <w:t>200</w:t>
                  </w:r>
                </w:p>
              </w:tc>
              <w:tc>
                <w:tcPr>
                  <w:tcW w:w="2039" w:type="dxa"/>
                  <w:tcBorders>
                    <w:right w:val="single" w:color="auto" w:sz="4" w:space="0"/>
                  </w:tcBorders>
                  <w:vAlign w:val="center"/>
                </w:tcPr>
                <w:p w14:paraId="3F754795">
                  <w:pPr>
                    <w:adjustRightInd w:val="0"/>
                    <w:snapToGrid w:val="0"/>
                    <w:jc w:val="center"/>
                    <w:rPr>
                      <w:rFonts w:hint="default" w:ascii="Times New Roman" w:hAnsi="Times New Roman" w:cs="Times New Roman"/>
                      <w:color w:val="auto"/>
                      <w:kern w:val="21"/>
                      <w:sz w:val="18"/>
                      <w:szCs w:val="18"/>
                    </w:rPr>
                  </w:pPr>
                  <w:r>
                    <w:rPr>
                      <w:rFonts w:hint="default" w:ascii="Times New Roman" w:hAnsi="Times New Roman" w:cs="Times New Roman"/>
                      <w:color w:val="auto"/>
                      <w:kern w:val="21"/>
                      <w:sz w:val="18"/>
                      <w:szCs w:val="18"/>
                      <w:lang w:val="en-US" w:eastAsia="zh-CN"/>
                    </w:rPr>
                    <w:t>20</w:t>
                  </w:r>
                </w:p>
              </w:tc>
            </w:tr>
          </w:tbl>
          <w:p w14:paraId="62BA12EB">
            <w:pPr>
              <w:spacing w:line="360" w:lineRule="auto"/>
              <w:ind w:firstLine="360" w:firstLineChars="20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注：本表不考虑COD</w:t>
            </w:r>
            <w:r>
              <w:rPr>
                <w:rFonts w:hint="default" w:ascii="Times New Roman" w:hAnsi="Times New Roman" w:cs="Times New Roman"/>
                <w:color w:val="auto"/>
                <w:sz w:val="18"/>
                <w:szCs w:val="18"/>
                <w:vertAlign w:val="subscript"/>
              </w:rPr>
              <w:t>Cr</w:t>
            </w:r>
            <w:r>
              <w:rPr>
                <w:rFonts w:hint="default" w:ascii="Times New Roman" w:hAnsi="Times New Roman" w:cs="Times New Roman"/>
                <w:color w:val="auto"/>
                <w:sz w:val="18"/>
                <w:szCs w:val="18"/>
              </w:rPr>
              <w:t>、氨氮、总氮、LAS等混合后达标的污染因子。</w:t>
            </w:r>
          </w:p>
          <w:p w14:paraId="3D2F5B27">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B、</w:t>
            </w:r>
            <w:r>
              <w:rPr>
                <w:rFonts w:hint="eastAsia" w:cs="Times New Roman"/>
                <w:color w:val="auto"/>
                <w:sz w:val="24"/>
                <w:lang w:val="en-US" w:eastAsia="zh-CN"/>
              </w:rPr>
              <w:t>特征因子</w:t>
            </w:r>
            <w:r>
              <w:rPr>
                <w:rFonts w:hint="default" w:ascii="Times New Roman" w:hAnsi="Times New Roman" w:cs="Times New Roman"/>
                <w:color w:val="auto"/>
                <w:sz w:val="24"/>
              </w:rPr>
              <w:t>达标可行性分析</w:t>
            </w:r>
          </w:p>
          <w:p w14:paraId="3064FE8F">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项目废水混合后COD</w:t>
            </w:r>
            <w:r>
              <w:rPr>
                <w:rFonts w:hint="default" w:ascii="Times New Roman" w:hAnsi="Times New Roman" w:cs="Times New Roman"/>
                <w:color w:val="auto"/>
                <w:sz w:val="24"/>
                <w:vertAlign w:val="subscript"/>
              </w:rPr>
              <w:t>Cr</w:t>
            </w:r>
            <w:r>
              <w:rPr>
                <w:rFonts w:hint="default" w:ascii="Times New Roman" w:hAnsi="Times New Roman" w:cs="Times New Roman"/>
                <w:color w:val="auto"/>
                <w:sz w:val="24"/>
              </w:rPr>
              <w:t>、氨氮、总氮、LAS</w:t>
            </w:r>
            <w:r>
              <w:rPr>
                <w:rFonts w:hint="eastAsia" w:cs="Times New Roman"/>
                <w:color w:val="auto"/>
                <w:sz w:val="24"/>
                <w:lang w:val="en-US" w:eastAsia="zh-CN"/>
              </w:rPr>
              <w:t>等</w:t>
            </w:r>
            <w:r>
              <w:rPr>
                <w:rFonts w:hint="default" w:ascii="Times New Roman" w:hAnsi="Times New Roman" w:cs="Times New Roman"/>
                <w:color w:val="auto"/>
                <w:sz w:val="24"/>
              </w:rPr>
              <w:t>能够达到纳管标准</w:t>
            </w:r>
            <w:r>
              <w:rPr>
                <w:rFonts w:hint="eastAsia" w:cs="Times New Roman"/>
                <w:color w:val="auto"/>
                <w:sz w:val="24"/>
                <w:lang w:eastAsia="zh-CN"/>
              </w:rPr>
              <w:t>，</w:t>
            </w:r>
            <w:r>
              <w:rPr>
                <w:rFonts w:hint="eastAsia" w:cs="Times New Roman"/>
                <w:color w:val="auto"/>
                <w:sz w:val="24"/>
                <w:lang w:val="en-US" w:eastAsia="zh-CN"/>
              </w:rPr>
              <w:t>混合后未达标因子主要为SS、氟化物，结合项目特点特征因子与上述分析，本次主要分析SS、氟化物、全盐量</w:t>
            </w:r>
            <w:r>
              <w:rPr>
                <w:rFonts w:hint="default" w:ascii="Times New Roman" w:hAnsi="Times New Roman" w:cs="Times New Roman"/>
                <w:color w:val="auto"/>
                <w:sz w:val="24"/>
              </w:rPr>
              <w:t>达标可行性分析</w:t>
            </w:r>
            <w:r>
              <w:rPr>
                <w:rFonts w:hint="eastAsia" w:cs="Times New Roman"/>
                <w:color w:val="auto"/>
                <w:sz w:val="24"/>
                <w:lang w:eastAsia="zh-CN"/>
              </w:rPr>
              <w:t>。</w:t>
            </w:r>
          </w:p>
          <w:p w14:paraId="12012FAD">
            <w:pPr>
              <w:spacing w:line="360" w:lineRule="auto"/>
              <w:ind w:firstLine="480" w:firstLineChars="200"/>
              <w:rPr>
                <w:rFonts w:hint="eastAsia" w:cs="Times New Roman"/>
                <w:color w:val="auto"/>
                <w:sz w:val="24"/>
                <w:lang w:val="en-US" w:eastAsia="zh-CN"/>
              </w:rPr>
            </w:pPr>
            <w:r>
              <w:rPr>
                <w:rFonts w:hint="default" w:ascii="Times New Roman" w:hAnsi="Times New Roman" w:cs="Times New Roman"/>
                <w:color w:val="auto"/>
                <w:sz w:val="24"/>
              </w:rPr>
              <w:t>①</w:t>
            </w:r>
            <w:r>
              <w:rPr>
                <w:rFonts w:hint="eastAsia" w:cs="Times New Roman"/>
                <w:color w:val="auto"/>
                <w:sz w:val="24"/>
                <w:lang w:val="en-US" w:eastAsia="zh-CN"/>
              </w:rPr>
              <w:t>SS</w:t>
            </w:r>
          </w:p>
          <w:p w14:paraId="059FBF46">
            <w:pPr>
              <w:spacing w:line="360" w:lineRule="auto"/>
              <w:ind w:firstLine="480" w:firstLineChars="200"/>
              <w:rPr>
                <w:rFonts w:hint="eastAsia" w:cs="Times New Roman"/>
                <w:color w:val="auto"/>
                <w:sz w:val="24"/>
                <w:lang w:eastAsia="zh-CN"/>
              </w:rPr>
            </w:pPr>
            <w:r>
              <w:rPr>
                <w:rFonts w:hint="default" w:ascii="Times New Roman" w:hAnsi="Times New Roman" w:cs="Times New Roman"/>
                <w:color w:val="auto"/>
                <w:sz w:val="24"/>
              </w:rPr>
              <w:t>SS</w:t>
            </w:r>
            <w:r>
              <w:rPr>
                <w:rFonts w:hint="eastAsia" w:cs="Times New Roman"/>
                <w:color w:val="auto"/>
                <w:sz w:val="24"/>
                <w:lang w:val="en-US" w:eastAsia="zh-CN"/>
              </w:rPr>
              <w:t>经中和沉淀后能够</w:t>
            </w:r>
            <w:r>
              <w:rPr>
                <w:rFonts w:hint="default" w:ascii="Times New Roman" w:hAnsi="Times New Roman" w:cs="Times New Roman"/>
                <w:color w:val="auto"/>
                <w:sz w:val="24"/>
              </w:rPr>
              <w:t>去除大部分SS，</w:t>
            </w:r>
            <w:r>
              <w:rPr>
                <w:rFonts w:hint="eastAsia" w:cs="Times New Roman"/>
                <w:color w:val="auto"/>
                <w:sz w:val="24"/>
                <w:lang w:val="en-US" w:eastAsia="zh-CN"/>
              </w:rPr>
              <w:t>且</w:t>
            </w:r>
            <w:r>
              <w:rPr>
                <w:rFonts w:hint="default" w:ascii="Times New Roman" w:hAnsi="Times New Roman" w:cs="Times New Roman"/>
                <w:color w:val="auto"/>
                <w:sz w:val="24"/>
              </w:rPr>
              <w:t>后续过滤</w:t>
            </w:r>
            <w:r>
              <w:rPr>
                <w:rFonts w:hint="eastAsia" w:cs="Times New Roman"/>
                <w:color w:val="auto"/>
                <w:sz w:val="24"/>
                <w:lang w:val="en-US" w:eastAsia="zh-CN"/>
              </w:rPr>
              <w:t>措施也</w:t>
            </w:r>
            <w:r>
              <w:rPr>
                <w:rFonts w:hint="default" w:ascii="Times New Roman" w:hAnsi="Times New Roman" w:cs="Times New Roman"/>
                <w:color w:val="auto"/>
                <w:sz w:val="24"/>
              </w:rPr>
              <w:t>可确保</w:t>
            </w:r>
            <w:r>
              <w:rPr>
                <w:rFonts w:hint="eastAsia" w:cs="Times New Roman"/>
                <w:color w:val="auto"/>
                <w:sz w:val="24"/>
                <w:lang w:val="en-US" w:eastAsia="zh-CN"/>
              </w:rPr>
              <w:t>SS</w:t>
            </w:r>
            <w:r>
              <w:rPr>
                <w:rFonts w:hint="default" w:ascii="Times New Roman" w:hAnsi="Times New Roman" w:cs="Times New Roman"/>
                <w:color w:val="auto"/>
                <w:sz w:val="24"/>
              </w:rPr>
              <w:t>达标</w:t>
            </w:r>
            <w:r>
              <w:rPr>
                <w:rFonts w:hint="eastAsia" w:cs="Times New Roman"/>
                <w:color w:val="auto"/>
                <w:sz w:val="24"/>
                <w:lang w:val="en-US" w:eastAsia="zh-CN"/>
              </w:rPr>
              <w:t>纳管</w:t>
            </w:r>
            <w:r>
              <w:rPr>
                <w:rFonts w:hint="eastAsia" w:cs="Times New Roman"/>
                <w:color w:val="auto"/>
                <w:sz w:val="24"/>
                <w:lang w:eastAsia="zh-CN"/>
              </w:rPr>
              <w:t>。</w:t>
            </w:r>
          </w:p>
          <w:p w14:paraId="757B1630">
            <w:pPr>
              <w:spacing w:line="360" w:lineRule="auto"/>
              <w:ind w:firstLine="480" w:firstLineChars="200"/>
              <w:rPr>
                <w:rFonts w:hint="default" w:cs="Times New Roman"/>
                <w:color w:val="auto"/>
                <w:sz w:val="24"/>
                <w:lang w:val="en-US" w:eastAsia="zh-CN"/>
              </w:rPr>
            </w:pPr>
            <w:r>
              <w:rPr>
                <w:rFonts w:hint="default" w:ascii="Times New Roman" w:hAnsi="Times New Roman" w:cs="Times New Roman"/>
                <w:color w:val="auto"/>
                <w:sz w:val="24"/>
              </w:rPr>
              <w:t>②</w:t>
            </w:r>
            <w:r>
              <w:rPr>
                <w:rFonts w:hint="eastAsia" w:cs="Times New Roman"/>
                <w:color w:val="auto"/>
                <w:sz w:val="24"/>
                <w:lang w:val="en-US" w:eastAsia="zh-CN"/>
              </w:rPr>
              <w:t>氟化物</w:t>
            </w:r>
          </w:p>
          <w:p w14:paraId="1B8FAF57">
            <w:pPr>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污水站为确保氟化物达标排放，第一道采用石灰除氟法，对于治理高氟废水效果较好，通常浓度可以做到15~20mg/L，之后</w:t>
            </w:r>
            <w:r>
              <w:rPr>
                <w:rFonts w:hint="default" w:ascii="Times New Roman" w:hAnsi="Times New Roman" w:cs="Times New Roman"/>
                <w:color w:val="auto"/>
                <w:sz w:val="24"/>
              </w:rPr>
              <w:t>利用铝盐与离子的络合以及金属盐水解中间产物和最后生成的胶体矾花对氟离子的配体交换、物理吸附、卷扫作用去除水中的</w:t>
            </w:r>
            <w:r>
              <w:rPr>
                <w:rFonts w:hint="eastAsia" w:cs="Times New Roman"/>
                <w:color w:val="auto"/>
                <w:sz w:val="24"/>
                <w:lang w:val="en-US" w:eastAsia="zh-CN"/>
              </w:rPr>
              <w:t>氟</w:t>
            </w:r>
            <w:r>
              <w:rPr>
                <w:rFonts w:hint="default" w:ascii="Times New Roman" w:hAnsi="Times New Roman" w:cs="Times New Roman"/>
                <w:color w:val="auto"/>
                <w:sz w:val="24"/>
              </w:rPr>
              <w:t>离子</w:t>
            </w:r>
            <w:r>
              <w:rPr>
                <w:rFonts w:hint="eastAsia" w:cs="Times New Roman"/>
                <w:color w:val="auto"/>
                <w:sz w:val="24"/>
                <w:lang w:eastAsia="zh-CN"/>
              </w:rPr>
              <w:t>，</w:t>
            </w:r>
            <w:r>
              <w:rPr>
                <w:rFonts w:hint="eastAsia" w:cs="Times New Roman"/>
                <w:color w:val="auto"/>
                <w:sz w:val="24"/>
                <w:lang w:val="en-US" w:eastAsia="zh-CN"/>
              </w:rPr>
              <w:t>该操作后氟化物浓度可降至10mg/L以内，最后为确保氟化物深度去除，采用</w:t>
            </w:r>
            <w:r>
              <w:rPr>
                <w:rFonts w:hint="default" w:ascii="Times New Roman" w:hAnsi="Times New Roman" w:cs="Times New Roman"/>
                <w:color w:val="auto"/>
                <w:sz w:val="24"/>
              </w:rPr>
              <w:t>纤维过滤+活性铝过滤</w:t>
            </w:r>
            <w:r>
              <w:rPr>
                <w:rFonts w:hint="eastAsia" w:cs="Times New Roman"/>
                <w:color w:val="auto"/>
                <w:sz w:val="24"/>
                <w:lang w:eastAsia="zh-CN"/>
              </w:rPr>
              <w:t>，</w:t>
            </w:r>
            <w:r>
              <w:rPr>
                <w:rFonts w:hint="default" w:ascii="Times New Roman" w:hAnsi="Times New Roman" w:cs="Times New Roman"/>
                <w:color w:val="auto"/>
                <w:sz w:val="24"/>
              </w:rPr>
              <w:t>利用活性铝（如活性氧化铝）的表面羟基和孔隙结构吸附氟离子</w:t>
            </w:r>
            <w:r>
              <w:rPr>
                <w:rFonts w:hint="eastAsia" w:cs="Times New Roman"/>
                <w:color w:val="auto"/>
                <w:sz w:val="24"/>
                <w:lang w:eastAsia="zh-CN"/>
              </w:rPr>
              <w:t>，</w:t>
            </w:r>
            <w:r>
              <w:rPr>
                <w:rFonts w:hint="eastAsia" w:cs="Times New Roman"/>
                <w:color w:val="auto"/>
                <w:sz w:val="24"/>
                <w:lang w:val="en-US" w:eastAsia="zh-CN"/>
              </w:rPr>
              <w:t>以上措施处理后氟化物可达标排放。</w:t>
            </w:r>
          </w:p>
          <w:p w14:paraId="6FBFCFBD">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调查期间，大涧沟水体氟化物质量浓度最高值为0.82 mg/L。基于淮河流域环境承载力要求，本项目企业内部废水纳管标准参照安徽省《半导体行业水污染物排放标准》（DB34/4294-2022）的直接排放限值（氟化物≤10 mg/L）执行，预计氟化物年纳管总量为0.207吨。调查显示，目前区域无含氟工业废水排入淮南经济技术开发区污水处理厂（设计处理能力3万吨/日）。根据淮南经开化工园区总体发展规划环评，该污水处理厂现阶段实际日处理量约1.98万吨，剩余处理能力1.02万吨/日。本项目废水进入后，经污水处理厂处理后的氟化物出水浓度预计维持在较低水平，对受纳水体的影响可控。</w:t>
            </w:r>
          </w:p>
          <w:p w14:paraId="0A4AE78C">
            <w:pPr>
              <w:spacing w:before="12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表4.2.4-</w:t>
            </w:r>
            <w:r>
              <w:rPr>
                <w:rFonts w:hint="eastAsia" w:cs="Times New Roman"/>
                <w:b/>
                <w:color w:val="auto"/>
                <w:szCs w:val="21"/>
                <w:lang w:val="en-US" w:eastAsia="zh-CN"/>
              </w:rPr>
              <w:t>6</w:t>
            </w:r>
            <w:r>
              <w:rPr>
                <w:rFonts w:hint="default" w:ascii="Times New Roman" w:hAnsi="Times New Roman" w:cs="Times New Roman"/>
                <w:b/>
                <w:color w:val="auto"/>
                <w:szCs w:val="21"/>
              </w:rPr>
              <w:t xml:space="preserve">  </w:t>
            </w:r>
            <w:r>
              <w:rPr>
                <w:rFonts w:hint="eastAsia" w:cs="Times New Roman"/>
                <w:b/>
                <w:color w:val="auto"/>
                <w:szCs w:val="21"/>
                <w:lang w:val="en-US" w:eastAsia="zh-CN"/>
              </w:rPr>
              <w:t>淮南</w:t>
            </w:r>
            <w:r>
              <w:rPr>
                <w:rFonts w:hint="default" w:ascii="Times New Roman" w:hAnsi="Times New Roman" w:cs="Times New Roman"/>
                <w:b/>
                <w:color w:val="auto"/>
                <w:szCs w:val="21"/>
                <w:lang w:val="en-US" w:eastAsia="zh-CN"/>
              </w:rPr>
              <w:t>经济技术开发区污水处理厂氟化物出水情况</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6"/>
              <w:gridCol w:w="1451"/>
              <w:gridCol w:w="1990"/>
              <w:gridCol w:w="1441"/>
              <w:gridCol w:w="2078"/>
            </w:tblGrid>
            <w:tr w14:paraId="4AE01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614" w:type="pct"/>
                  <w:vMerge w:val="restart"/>
                  <w:tcMar>
                    <w:top w:w="15" w:type="dxa"/>
                    <w:left w:w="15" w:type="dxa"/>
                    <w:right w:w="15" w:type="dxa"/>
                  </w:tcMar>
                  <w:vAlign w:val="center"/>
                </w:tcPr>
                <w:p w14:paraId="2B5E08E5">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阶段</w:t>
                  </w:r>
                </w:p>
              </w:tc>
              <w:tc>
                <w:tcPr>
                  <w:tcW w:w="2167" w:type="pct"/>
                  <w:gridSpan w:val="2"/>
                  <w:tcMar>
                    <w:top w:w="15" w:type="dxa"/>
                    <w:left w:w="15" w:type="dxa"/>
                    <w:right w:w="15" w:type="dxa"/>
                  </w:tcMar>
                  <w:vAlign w:val="center"/>
                </w:tcPr>
                <w:p w14:paraId="0514C924">
                  <w:pPr>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本项目实施</w:t>
                  </w:r>
                  <w:r>
                    <w:rPr>
                      <w:rFonts w:hint="eastAsia" w:cs="Times New Roman"/>
                      <w:color w:val="auto"/>
                      <w:sz w:val="18"/>
                      <w:szCs w:val="18"/>
                      <w:lang w:val="en-US" w:eastAsia="zh-CN"/>
                    </w:rPr>
                    <w:t>前</w:t>
                  </w:r>
                  <w:r>
                    <w:rPr>
                      <w:rFonts w:hint="eastAsia" w:ascii="Times New Roman" w:hAnsi="Times New Roman" w:cs="Times New Roman"/>
                      <w:color w:val="auto"/>
                      <w:sz w:val="18"/>
                      <w:szCs w:val="18"/>
                      <w:lang w:val="en-US" w:eastAsia="zh-CN"/>
                    </w:rPr>
                    <w:t>污水处理厂</w:t>
                  </w:r>
                </w:p>
              </w:tc>
              <w:tc>
                <w:tcPr>
                  <w:tcW w:w="2217" w:type="pct"/>
                  <w:gridSpan w:val="2"/>
                  <w:tcMar>
                    <w:top w:w="15" w:type="dxa"/>
                    <w:left w:w="15" w:type="dxa"/>
                    <w:right w:w="15" w:type="dxa"/>
                  </w:tcMar>
                  <w:vAlign w:val="center"/>
                </w:tcPr>
                <w:p w14:paraId="25B566C3">
                  <w:pPr>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本项目实施后污水处理厂</w:t>
                  </w:r>
                </w:p>
              </w:tc>
            </w:tr>
            <w:tr w14:paraId="2515A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14" w:type="pct"/>
                  <w:vMerge w:val="continue"/>
                  <w:tcMar>
                    <w:top w:w="15" w:type="dxa"/>
                    <w:left w:w="15" w:type="dxa"/>
                    <w:right w:w="15" w:type="dxa"/>
                  </w:tcMar>
                  <w:vAlign w:val="center"/>
                </w:tcPr>
                <w:p w14:paraId="6B057FDB">
                  <w:pPr>
                    <w:jc w:val="center"/>
                    <w:textAlignment w:val="center"/>
                    <w:rPr>
                      <w:rFonts w:hint="eastAsia" w:ascii="Times New Roman" w:hAnsi="Times New Roman" w:cs="Times New Roman"/>
                      <w:color w:val="auto"/>
                      <w:sz w:val="18"/>
                      <w:szCs w:val="18"/>
                      <w:lang w:val="en-US" w:eastAsia="zh-CN"/>
                    </w:rPr>
                  </w:pPr>
                </w:p>
              </w:tc>
              <w:tc>
                <w:tcPr>
                  <w:tcW w:w="914" w:type="pct"/>
                  <w:tcMar>
                    <w:top w:w="15" w:type="dxa"/>
                    <w:left w:w="15" w:type="dxa"/>
                    <w:right w:w="15" w:type="dxa"/>
                  </w:tcMar>
                  <w:vAlign w:val="center"/>
                </w:tcPr>
                <w:p w14:paraId="3F3829E4">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处理量 万t/d</w:t>
                  </w:r>
                </w:p>
              </w:tc>
              <w:tc>
                <w:tcPr>
                  <w:tcW w:w="1253" w:type="pct"/>
                  <w:tcMar>
                    <w:top w:w="15" w:type="dxa"/>
                    <w:left w:w="15" w:type="dxa"/>
                    <w:right w:w="15" w:type="dxa"/>
                  </w:tcMar>
                  <w:vAlign w:val="center"/>
                </w:tcPr>
                <w:p w14:paraId="4A8E8A82">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出水氟化物浓度 mg/L</w:t>
                  </w:r>
                </w:p>
              </w:tc>
              <w:tc>
                <w:tcPr>
                  <w:tcW w:w="907" w:type="pct"/>
                  <w:shd w:val="clear" w:color="auto" w:fill="auto"/>
                  <w:tcMar>
                    <w:top w:w="15" w:type="dxa"/>
                    <w:left w:w="15" w:type="dxa"/>
                    <w:right w:w="15" w:type="dxa"/>
                  </w:tcMar>
                  <w:vAlign w:val="center"/>
                </w:tcPr>
                <w:p w14:paraId="0A00056B">
                  <w:pPr>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处理量 万t/d</w:t>
                  </w:r>
                </w:p>
              </w:tc>
              <w:tc>
                <w:tcPr>
                  <w:tcW w:w="1309" w:type="pct"/>
                  <w:shd w:val="clear" w:color="auto" w:fill="auto"/>
                  <w:tcMar>
                    <w:top w:w="15" w:type="dxa"/>
                    <w:left w:w="15" w:type="dxa"/>
                    <w:right w:w="15" w:type="dxa"/>
                  </w:tcMar>
                  <w:vAlign w:val="center"/>
                </w:tcPr>
                <w:p w14:paraId="5DA9666E">
                  <w:pPr>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sz w:val="18"/>
                      <w:szCs w:val="18"/>
                      <w:lang w:val="en-US" w:eastAsia="zh-CN"/>
                    </w:rPr>
                    <w:t>出水氟化物浓度 mg/L</w:t>
                  </w:r>
                </w:p>
              </w:tc>
            </w:tr>
            <w:tr w14:paraId="6A479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14" w:type="pct"/>
                  <w:tcMar>
                    <w:top w:w="15" w:type="dxa"/>
                    <w:left w:w="15" w:type="dxa"/>
                    <w:right w:w="15" w:type="dxa"/>
                  </w:tcMar>
                  <w:vAlign w:val="center"/>
                </w:tcPr>
                <w:p w14:paraId="1595198A">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现阶段</w:t>
                  </w:r>
                </w:p>
              </w:tc>
              <w:tc>
                <w:tcPr>
                  <w:tcW w:w="914" w:type="pct"/>
                  <w:tcMar>
                    <w:top w:w="15" w:type="dxa"/>
                    <w:left w:w="15" w:type="dxa"/>
                    <w:right w:w="15" w:type="dxa"/>
                  </w:tcMar>
                  <w:vAlign w:val="center"/>
                </w:tcPr>
                <w:p w14:paraId="37500C6A">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1.98</w:t>
                  </w:r>
                </w:p>
              </w:tc>
              <w:tc>
                <w:tcPr>
                  <w:tcW w:w="1253" w:type="pct"/>
                  <w:tcMar>
                    <w:top w:w="15" w:type="dxa"/>
                    <w:left w:w="15" w:type="dxa"/>
                    <w:right w:w="15" w:type="dxa"/>
                  </w:tcMar>
                  <w:vAlign w:val="center"/>
                </w:tcPr>
                <w:p w14:paraId="7CE9DF8C">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以0计</w:t>
                  </w:r>
                </w:p>
              </w:tc>
              <w:tc>
                <w:tcPr>
                  <w:tcW w:w="907" w:type="pct"/>
                  <w:tcMar>
                    <w:top w:w="15" w:type="dxa"/>
                    <w:left w:w="15" w:type="dxa"/>
                    <w:right w:w="15" w:type="dxa"/>
                  </w:tcMar>
                  <w:vAlign w:val="center"/>
                </w:tcPr>
                <w:p w14:paraId="34BCC486">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1.9869</w:t>
                  </w:r>
                </w:p>
              </w:tc>
              <w:tc>
                <w:tcPr>
                  <w:tcW w:w="1309" w:type="pct"/>
                  <w:tcMar>
                    <w:top w:w="15" w:type="dxa"/>
                    <w:left w:w="15" w:type="dxa"/>
                    <w:right w:w="15" w:type="dxa"/>
                  </w:tcMar>
                  <w:vAlign w:val="center"/>
                </w:tcPr>
                <w:p w14:paraId="11015DCB">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0.035</w:t>
                  </w:r>
                </w:p>
              </w:tc>
            </w:tr>
            <w:tr w14:paraId="5C2E3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614" w:type="pct"/>
                  <w:tcMar>
                    <w:top w:w="15" w:type="dxa"/>
                    <w:left w:w="15" w:type="dxa"/>
                    <w:right w:w="15" w:type="dxa"/>
                  </w:tcMar>
                  <w:vAlign w:val="center"/>
                </w:tcPr>
                <w:p w14:paraId="399BC9B4">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远期</w:t>
                  </w:r>
                </w:p>
              </w:tc>
              <w:tc>
                <w:tcPr>
                  <w:tcW w:w="914" w:type="pct"/>
                  <w:tcMar>
                    <w:top w:w="15" w:type="dxa"/>
                    <w:left w:w="15" w:type="dxa"/>
                    <w:right w:w="15" w:type="dxa"/>
                  </w:tcMar>
                  <w:vAlign w:val="center"/>
                </w:tcPr>
                <w:p w14:paraId="2AF841E5">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w:t>
                  </w:r>
                </w:p>
              </w:tc>
              <w:tc>
                <w:tcPr>
                  <w:tcW w:w="1253" w:type="pct"/>
                  <w:tcMar>
                    <w:top w:w="15" w:type="dxa"/>
                    <w:left w:w="15" w:type="dxa"/>
                    <w:right w:w="15" w:type="dxa"/>
                  </w:tcMar>
                  <w:vAlign w:val="center"/>
                </w:tcPr>
                <w:p w14:paraId="2F36C8C4">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以0计</w:t>
                  </w:r>
                </w:p>
              </w:tc>
              <w:tc>
                <w:tcPr>
                  <w:tcW w:w="907" w:type="pct"/>
                  <w:tcMar>
                    <w:top w:w="15" w:type="dxa"/>
                    <w:left w:w="15" w:type="dxa"/>
                    <w:right w:w="15" w:type="dxa"/>
                  </w:tcMar>
                  <w:vAlign w:val="center"/>
                </w:tcPr>
                <w:p w14:paraId="35A39DDC">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3</w:t>
                  </w:r>
                </w:p>
              </w:tc>
              <w:tc>
                <w:tcPr>
                  <w:tcW w:w="1309" w:type="pct"/>
                  <w:tcMar>
                    <w:top w:w="15" w:type="dxa"/>
                    <w:left w:w="15" w:type="dxa"/>
                    <w:right w:w="15" w:type="dxa"/>
                  </w:tcMar>
                  <w:vAlign w:val="center"/>
                </w:tcPr>
                <w:p w14:paraId="5DAC54D9">
                  <w:pPr>
                    <w:jc w:val="center"/>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0.023</w:t>
                  </w:r>
                </w:p>
              </w:tc>
            </w:tr>
            <w:tr w14:paraId="0EAC8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5"/>
                  <w:tcMar>
                    <w:top w:w="15" w:type="dxa"/>
                    <w:left w:w="15" w:type="dxa"/>
                    <w:right w:w="15" w:type="dxa"/>
                  </w:tcMar>
                  <w:vAlign w:val="center"/>
                </w:tcPr>
                <w:p w14:paraId="05D030ED">
                  <w:pPr>
                    <w:jc w:val="both"/>
                    <w:textAlignment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本表考虑最不利情况，污水处理站自身处理工艺对氟化物无处理效果计</w:t>
                  </w:r>
                </w:p>
              </w:tc>
            </w:tr>
          </w:tbl>
          <w:p w14:paraId="76A7286E">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实施后，淮南经济技术开发区污水处理厂的氟化物出水浓度极低，且排放区域不涉及水源保护区、自然保护区等敏感水域。废水经大涧沟排入淮河，在水体自净能力（如稀释、扩散、沉淀、生物降解等）的作用下，对大涧沟及淮河水质的影响可忽略不计。为确保环境安全，企业须加强内部出水口水质监测，确保污水处理设施稳定运行，持续达标排放。</w:t>
            </w:r>
          </w:p>
          <w:p w14:paraId="3DA2665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w:t>
            </w:r>
            <w:r>
              <w:rPr>
                <w:rFonts w:hint="eastAsia" w:cs="Times New Roman"/>
                <w:color w:val="auto"/>
                <w:sz w:val="24"/>
                <w:lang w:val="en-US" w:eastAsia="zh-CN"/>
              </w:rPr>
              <w:t>全盐量</w:t>
            </w:r>
          </w:p>
          <w:p w14:paraId="18F42D08">
            <w:pPr>
              <w:spacing w:line="360" w:lineRule="auto"/>
              <w:ind w:firstLine="480" w:firstLineChars="200"/>
              <w:rPr>
                <w:rFonts w:hint="default" w:eastAsia="宋体" w:cs="Times New Roman"/>
                <w:color w:val="auto"/>
                <w:sz w:val="24"/>
                <w:lang w:val="en-US" w:eastAsia="zh-CN"/>
              </w:rPr>
            </w:pPr>
            <w:r>
              <w:rPr>
                <w:rFonts w:hint="eastAsia" w:cs="Times New Roman"/>
                <w:color w:val="auto"/>
                <w:sz w:val="24"/>
                <w:lang w:val="en-US" w:eastAsia="zh-CN"/>
              </w:rPr>
              <w:t>本次项目废水混合后全盐量小于1%，结合参考安徽省《南四湖流域水污染物综合排放标准》（DB34/4542-2023）中“工业废水集中处理厂出水全盐量排放限值为2500mg/L”内容，本项目废水处理达标后全盐量＜2442.51mg/L，基本不会对</w:t>
            </w:r>
            <w:r>
              <w:rPr>
                <w:rFonts w:hint="default" w:ascii="Times New Roman" w:hAnsi="Times New Roman" w:cs="Times New Roman"/>
                <w:color w:val="auto"/>
                <w:sz w:val="24"/>
              </w:rPr>
              <w:t>淮南经济技术开发区工业污水处理厂</w:t>
            </w:r>
            <w:r>
              <w:rPr>
                <w:rFonts w:hint="eastAsia" w:cs="Times New Roman"/>
                <w:color w:val="auto"/>
                <w:sz w:val="24"/>
                <w:lang w:val="en-US" w:eastAsia="zh-CN"/>
              </w:rPr>
              <w:t>生化系统造成影响</w:t>
            </w:r>
            <w:r>
              <w:rPr>
                <w:rFonts w:hint="eastAsia" w:cs="Times New Roman"/>
                <w:color w:val="auto"/>
                <w:sz w:val="24"/>
                <w:lang w:eastAsia="zh-CN"/>
              </w:rPr>
              <w:t>，</w:t>
            </w:r>
            <w:r>
              <w:rPr>
                <w:rFonts w:hint="eastAsia" w:cs="Times New Roman"/>
                <w:color w:val="auto"/>
                <w:sz w:val="24"/>
                <w:lang w:val="en-US" w:eastAsia="zh-CN"/>
              </w:rPr>
              <w:t>由于</w:t>
            </w:r>
            <w:r>
              <w:rPr>
                <w:rFonts w:hint="default" w:ascii="Times New Roman" w:hAnsi="Times New Roman" w:cs="Times New Roman"/>
                <w:color w:val="auto"/>
                <w:sz w:val="24"/>
              </w:rPr>
              <w:t>淮南经济技术开发区工业污水处理厂</w:t>
            </w:r>
            <w:r>
              <w:rPr>
                <w:rFonts w:hint="eastAsia" w:cs="Times New Roman"/>
                <w:color w:val="auto"/>
                <w:sz w:val="24"/>
                <w:lang w:val="en-US" w:eastAsia="zh-CN"/>
              </w:rPr>
              <w:t>未对全盐量提出纳管限值要求，为确保后续</w:t>
            </w:r>
            <w:r>
              <w:rPr>
                <w:rFonts w:hint="default" w:ascii="Times New Roman" w:hAnsi="Times New Roman" w:cs="Times New Roman"/>
                <w:color w:val="auto"/>
                <w:sz w:val="24"/>
              </w:rPr>
              <w:t>淮南经济技术开发区工业污水处理厂</w:t>
            </w:r>
            <w:r>
              <w:rPr>
                <w:rFonts w:hint="eastAsia" w:cs="Times New Roman"/>
                <w:color w:val="auto"/>
                <w:sz w:val="24"/>
                <w:lang w:val="en-US" w:eastAsia="zh-CN"/>
              </w:rPr>
              <w:t>更好处置本项目废水，本次要求本项目废水全盐量纳管排放浓度＜2500mg/L，故本项目全盐量纳管为51.75t/a。</w:t>
            </w:r>
          </w:p>
          <w:p w14:paraId="772CC7CA">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上述工艺属于《排污许可证申请与核发技术规范 石墨及其他非金属矿物制品制造》（HJ 1119-2020）废水污染防治可行技术中可行技术物化法，且后续纤维过滤+活性铝过滤可确保废水达标排放。</w:t>
            </w:r>
          </w:p>
          <w:bookmarkEnd w:id="19"/>
          <w:bookmarkEnd w:id="20"/>
          <w:p w14:paraId="48391C7E">
            <w:pPr>
              <w:adjustRightInd w:val="0"/>
              <w:snapToGrid w:val="0"/>
              <w:spacing w:line="360" w:lineRule="auto"/>
              <w:ind w:left="420" w:leftChars="200"/>
              <w:rPr>
                <w:rFonts w:hint="default" w:ascii="Times New Roman" w:hAnsi="Times New Roman" w:cs="Times New Roman"/>
                <w:b/>
                <w:color w:val="auto"/>
                <w:sz w:val="24"/>
              </w:rPr>
            </w:pPr>
            <w:r>
              <w:rPr>
                <w:rFonts w:hint="default" w:ascii="Times New Roman" w:hAnsi="Times New Roman" w:cs="Times New Roman"/>
                <w:b/>
                <w:color w:val="auto"/>
                <w:sz w:val="24"/>
              </w:rPr>
              <w:t>3、排放口基本情况</w:t>
            </w:r>
          </w:p>
          <w:p w14:paraId="662DA4B6">
            <w:pPr>
              <w:pStyle w:val="10"/>
              <w:spacing w:before="0" w:after="0" w:line="360" w:lineRule="auto"/>
              <w:ind w:firstLine="480" w:firstLineChars="200"/>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具体排放口参数及排放标准具体如下：</w:t>
            </w:r>
          </w:p>
          <w:p w14:paraId="7AD0E13D">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color w:val="auto"/>
                <w:szCs w:val="21"/>
              </w:rPr>
              <w:t>表4.2.4-</w:t>
            </w:r>
            <w:r>
              <w:rPr>
                <w:rFonts w:hint="eastAsia" w:cs="Times New Roman"/>
                <w:b/>
                <w:color w:val="auto"/>
                <w:szCs w:val="21"/>
                <w:lang w:val="en-US" w:eastAsia="zh-CN"/>
              </w:rPr>
              <w:t>7</w:t>
            </w:r>
            <w:r>
              <w:rPr>
                <w:rFonts w:hint="default" w:ascii="Times New Roman" w:hAnsi="Times New Roman" w:cs="Times New Roman"/>
                <w:b/>
                <w:bCs/>
                <w:color w:val="auto"/>
              </w:rPr>
              <w:t xml:space="preserve">  废水污染源源强核算结果及相关参数一览表</w:t>
            </w:r>
          </w:p>
          <w:tbl>
            <w:tblPr>
              <w:tblStyle w:val="32"/>
              <w:tblW w:w="79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5"/>
              <w:gridCol w:w="345"/>
              <w:gridCol w:w="398"/>
              <w:gridCol w:w="662"/>
              <w:gridCol w:w="441"/>
              <w:gridCol w:w="511"/>
              <w:gridCol w:w="584"/>
              <w:gridCol w:w="700"/>
              <w:gridCol w:w="655"/>
              <w:gridCol w:w="661"/>
              <w:gridCol w:w="434"/>
              <w:gridCol w:w="516"/>
              <w:gridCol w:w="484"/>
              <w:gridCol w:w="623"/>
              <w:gridCol w:w="468"/>
            </w:tblGrid>
            <w:tr w14:paraId="4B4F0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65" w:type="dxa"/>
                  <w:vMerge w:val="restart"/>
                  <w:vAlign w:val="center"/>
                </w:tcPr>
                <w:p w14:paraId="7F70EB2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工序/生产线</w:t>
                  </w:r>
                </w:p>
              </w:tc>
              <w:tc>
                <w:tcPr>
                  <w:tcW w:w="345" w:type="dxa"/>
                  <w:vMerge w:val="restart"/>
                  <w:vAlign w:val="center"/>
                </w:tcPr>
                <w:p w14:paraId="5A984605">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装置</w:t>
                  </w:r>
                </w:p>
              </w:tc>
              <w:tc>
                <w:tcPr>
                  <w:tcW w:w="398" w:type="dxa"/>
                  <w:vMerge w:val="restart"/>
                  <w:vAlign w:val="center"/>
                </w:tcPr>
                <w:p w14:paraId="747FE53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w:t>
                  </w:r>
                </w:p>
              </w:tc>
              <w:tc>
                <w:tcPr>
                  <w:tcW w:w="662" w:type="dxa"/>
                  <w:vMerge w:val="restart"/>
                  <w:vAlign w:val="center"/>
                </w:tcPr>
                <w:p w14:paraId="3306E4F0">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2236" w:type="dxa"/>
                  <w:gridSpan w:val="4"/>
                  <w:vAlign w:val="center"/>
                </w:tcPr>
                <w:p w14:paraId="6E45BBA9">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污染物产生</w:t>
                  </w:r>
                </w:p>
              </w:tc>
              <w:tc>
                <w:tcPr>
                  <w:tcW w:w="1316" w:type="dxa"/>
                  <w:gridSpan w:val="2"/>
                  <w:vAlign w:val="center"/>
                </w:tcPr>
                <w:p w14:paraId="3316860B">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治理措施</w:t>
                  </w:r>
                </w:p>
              </w:tc>
              <w:tc>
                <w:tcPr>
                  <w:tcW w:w="2057" w:type="dxa"/>
                  <w:gridSpan w:val="4"/>
                  <w:vAlign w:val="center"/>
                </w:tcPr>
                <w:p w14:paraId="37327F0D">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污染物排放</w:t>
                  </w:r>
                </w:p>
              </w:tc>
              <w:tc>
                <w:tcPr>
                  <w:tcW w:w="468" w:type="dxa"/>
                  <w:vMerge w:val="restart"/>
                  <w:vAlign w:val="center"/>
                </w:tcPr>
                <w:p w14:paraId="4FED7985">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排放时间（d/a）</w:t>
                  </w:r>
                </w:p>
              </w:tc>
            </w:tr>
            <w:tr w14:paraId="4FB6E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65" w:type="dxa"/>
                  <w:vMerge w:val="continue"/>
                  <w:vAlign w:val="center"/>
                </w:tcPr>
                <w:p w14:paraId="4D0AD095">
                  <w:pPr>
                    <w:jc w:val="center"/>
                    <w:textAlignment w:val="center"/>
                    <w:rPr>
                      <w:rFonts w:hint="default" w:ascii="Times New Roman" w:hAnsi="Times New Roman" w:cs="Times New Roman"/>
                      <w:color w:val="auto"/>
                      <w:sz w:val="18"/>
                      <w:szCs w:val="18"/>
                    </w:rPr>
                  </w:pPr>
                </w:p>
              </w:tc>
              <w:tc>
                <w:tcPr>
                  <w:tcW w:w="345" w:type="dxa"/>
                  <w:vMerge w:val="continue"/>
                  <w:vAlign w:val="center"/>
                </w:tcPr>
                <w:p w14:paraId="67C41422">
                  <w:pPr>
                    <w:jc w:val="center"/>
                    <w:textAlignment w:val="center"/>
                    <w:rPr>
                      <w:rFonts w:hint="default" w:ascii="Times New Roman" w:hAnsi="Times New Roman" w:cs="Times New Roman"/>
                      <w:color w:val="auto"/>
                      <w:sz w:val="18"/>
                      <w:szCs w:val="18"/>
                    </w:rPr>
                  </w:pPr>
                </w:p>
              </w:tc>
              <w:tc>
                <w:tcPr>
                  <w:tcW w:w="398" w:type="dxa"/>
                  <w:vMerge w:val="continue"/>
                  <w:vAlign w:val="center"/>
                </w:tcPr>
                <w:p w14:paraId="28B7AA45">
                  <w:pPr>
                    <w:jc w:val="center"/>
                    <w:textAlignment w:val="center"/>
                    <w:rPr>
                      <w:rFonts w:hint="default" w:ascii="Times New Roman" w:hAnsi="Times New Roman" w:cs="Times New Roman"/>
                      <w:color w:val="auto"/>
                      <w:sz w:val="18"/>
                      <w:szCs w:val="18"/>
                    </w:rPr>
                  </w:pPr>
                </w:p>
              </w:tc>
              <w:tc>
                <w:tcPr>
                  <w:tcW w:w="662" w:type="dxa"/>
                  <w:vMerge w:val="continue"/>
                  <w:vAlign w:val="center"/>
                </w:tcPr>
                <w:p w14:paraId="2D00C3ED">
                  <w:pPr>
                    <w:jc w:val="center"/>
                    <w:textAlignment w:val="center"/>
                    <w:rPr>
                      <w:rFonts w:hint="default" w:ascii="Times New Roman" w:hAnsi="Times New Roman" w:cs="Times New Roman"/>
                      <w:color w:val="auto"/>
                      <w:sz w:val="18"/>
                      <w:szCs w:val="18"/>
                    </w:rPr>
                  </w:pPr>
                </w:p>
              </w:tc>
              <w:tc>
                <w:tcPr>
                  <w:tcW w:w="441" w:type="dxa"/>
                  <w:vAlign w:val="center"/>
                </w:tcPr>
                <w:p w14:paraId="2AF8A9E0">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核算方法</w:t>
                  </w:r>
                </w:p>
              </w:tc>
              <w:tc>
                <w:tcPr>
                  <w:tcW w:w="511" w:type="dxa"/>
                  <w:vAlign w:val="center"/>
                </w:tcPr>
                <w:p w14:paraId="7F10D8F5">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产生废水量/(m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/a)</w:t>
                  </w:r>
                </w:p>
              </w:tc>
              <w:tc>
                <w:tcPr>
                  <w:tcW w:w="584" w:type="dxa"/>
                  <w:vAlign w:val="center"/>
                </w:tcPr>
                <w:p w14:paraId="50BA6238">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产生浓度/mg/L</w:t>
                  </w:r>
                </w:p>
              </w:tc>
              <w:tc>
                <w:tcPr>
                  <w:tcW w:w="700" w:type="dxa"/>
                  <w:vAlign w:val="center"/>
                </w:tcPr>
                <w:p w14:paraId="7E2316AD">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产生量/（t/a）</w:t>
                  </w:r>
                </w:p>
              </w:tc>
              <w:tc>
                <w:tcPr>
                  <w:tcW w:w="655" w:type="dxa"/>
                  <w:vAlign w:val="center"/>
                </w:tcPr>
                <w:p w14:paraId="00A8F02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工艺</w:t>
                  </w:r>
                </w:p>
              </w:tc>
              <w:tc>
                <w:tcPr>
                  <w:tcW w:w="661" w:type="dxa"/>
                  <w:vAlign w:val="center"/>
                </w:tcPr>
                <w:p w14:paraId="4D21001B">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效率/%</w:t>
                  </w:r>
                </w:p>
              </w:tc>
              <w:tc>
                <w:tcPr>
                  <w:tcW w:w="434" w:type="dxa"/>
                  <w:vAlign w:val="center"/>
                </w:tcPr>
                <w:p w14:paraId="3CA4C1CA">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核算方法</w:t>
                  </w:r>
                </w:p>
              </w:tc>
              <w:tc>
                <w:tcPr>
                  <w:tcW w:w="516" w:type="dxa"/>
                  <w:vAlign w:val="center"/>
                </w:tcPr>
                <w:p w14:paraId="7B26ABD8">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排放废水量/(m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/a)</w:t>
                  </w:r>
                </w:p>
              </w:tc>
              <w:tc>
                <w:tcPr>
                  <w:tcW w:w="484" w:type="dxa"/>
                  <w:vAlign w:val="center"/>
                </w:tcPr>
                <w:p w14:paraId="3AD57499">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排放浓度/（mg/L）</w:t>
                  </w:r>
                </w:p>
              </w:tc>
              <w:tc>
                <w:tcPr>
                  <w:tcW w:w="623" w:type="dxa"/>
                  <w:vAlign w:val="center"/>
                </w:tcPr>
                <w:p w14:paraId="38D0D57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排放量/（t/a）</w:t>
                  </w:r>
                </w:p>
              </w:tc>
              <w:tc>
                <w:tcPr>
                  <w:tcW w:w="468" w:type="dxa"/>
                  <w:vMerge w:val="continue"/>
                  <w:vAlign w:val="center"/>
                </w:tcPr>
                <w:p w14:paraId="3B72289A">
                  <w:pPr>
                    <w:jc w:val="center"/>
                    <w:textAlignment w:val="center"/>
                    <w:rPr>
                      <w:rFonts w:hint="default" w:ascii="Times New Roman" w:hAnsi="Times New Roman" w:cs="Times New Roman"/>
                      <w:color w:val="auto"/>
                      <w:sz w:val="18"/>
                      <w:szCs w:val="18"/>
                    </w:rPr>
                  </w:pPr>
                </w:p>
              </w:tc>
            </w:tr>
            <w:tr w14:paraId="1A1FA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65" w:type="dxa"/>
                  <w:vMerge w:val="restart"/>
                  <w:vAlign w:val="center"/>
                </w:tcPr>
                <w:p w14:paraId="1AF4BB76">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生产线</w:t>
                  </w:r>
                </w:p>
              </w:tc>
              <w:tc>
                <w:tcPr>
                  <w:tcW w:w="345" w:type="dxa"/>
                  <w:vMerge w:val="restart"/>
                  <w:vAlign w:val="center"/>
                </w:tcPr>
                <w:p w14:paraId="1DE7F99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生产线</w:t>
                  </w:r>
                </w:p>
              </w:tc>
              <w:tc>
                <w:tcPr>
                  <w:tcW w:w="398" w:type="dxa"/>
                  <w:vMerge w:val="restart"/>
                  <w:vAlign w:val="center"/>
                </w:tcPr>
                <w:p w14:paraId="327BB2CB">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综合废水</w:t>
                  </w:r>
                </w:p>
              </w:tc>
              <w:tc>
                <w:tcPr>
                  <w:tcW w:w="662" w:type="dxa"/>
                  <w:vAlign w:val="center"/>
                </w:tcPr>
                <w:p w14:paraId="29ADBA53">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vertAlign w:val="subscript"/>
                    </w:rPr>
                    <w:t>Cr</w:t>
                  </w:r>
                </w:p>
              </w:tc>
              <w:tc>
                <w:tcPr>
                  <w:tcW w:w="441" w:type="dxa"/>
                  <w:vMerge w:val="restart"/>
                  <w:vAlign w:val="center"/>
                </w:tcPr>
                <w:p w14:paraId="2925FC89">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排污系数法、类比法</w:t>
                  </w:r>
                </w:p>
              </w:tc>
              <w:tc>
                <w:tcPr>
                  <w:tcW w:w="511" w:type="dxa"/>
                  <w:vMerge w:val="restart"/>
                  <w:vAlign w:val="center"/>
                </w:tcPr>
                <w:p w14:paraId="3972F78D">
                  <w:pPr>
                    <w:jc w:val="center"/>
                    <w:textAlignment w:val="center"/>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20700</w:t>
                  </w:r>
                </w:p>
              </w:tc>
              <w:tc>
                <w:tcPr>
                  <w:tcW w:w="584" w:type="dxa"/>
                  <w:vAlign w:val="center"/>
                </w:tcPr>
                <w:p w14:paraId="1E503B28">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310.1 </w:t>
                  </w:r>
                </w:p>
              </w:tc>
              <w:tc>
                <w:tcPr>
                  <w:tcW w:w="700" w:type="dxa"/>
                  <w:vAlign w:val="center"/>
                </w:tcPr>
                <w:p w14:paraId="50825FA8">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6.420 </w:t>
                  </w:r>
                </w:p>
              </w:tc>
              <w:tc>
                <w:tcPr>
                  <w:tcW w:w="655" w:type="dxa"/>
                  <w:vMerge w:val="restart"/>
                  <w:vAlign w:val="center"/>
                </w:tcPr>
                <w:p w14:paraId="67C8F2E4">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调节、中和沉淀、过滤</w:t>
                  </w:r>
                </w:p>
              </w:tc>
              <w:tc>
                <w:tcPr>
                  <w:tcW w:w="661" w:type="dxa"/>
                  <w:vAlign w:val="center"/>
                </w:tcPr>
                <w:p w14:paraId="745F1435">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34" w:type="dxa"/>
                  <w:vMerge w:val="restart"/>
                  <w:vAlign w:val="center"/>
                </w:tcPr>
                <w:p w14:paraId="4BDF3A20">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排污系数法、类比法</w:t>
                  </w:r>
                </w:p>
              </w:tc>
              <w:tc>
                <w:tcPr>
                  <w:tcW w:w="516" w:type="dxa"/>
                  <w:vMerge w:val="restart"/>
                  <w:vAlign w:val="center"/>
                </w:tcPr>
                <w:p w14:paraId="7100E812">
                  <w:pPr>
                    <w:jc w:val="center"/>
                    <w:textAlignment w:val="center"/>
                    <w:rPr>
                      <w:rFonts w:hint="default" w:ascii="Times New Roman" w:hAnsi="Times New Roman" w:cs="Times New Roman"/>
                      <w:color w:val="auto"/>
                      <w:sz w:val="18"/>
                      <w:szCs w:val="18"/>
                    </w:rPr>
                  </w:pPr>
                  <w:r>
                    <w:rPr>
                      <w:rFonts w:hint="eastAsia" w:cs="Times New Roman"/>
                      <w:color w:val="auto"/>
                      <w:sz w:val="18"/>
                      <w:szCs w:val="18"/>
                      <w:lang w:eastAsia="zh-CN"/>
                    </w:rPr>
                    <w:t>20700</w:t>
                  </w:r>
                </w:p>
              </w:tc>
              <w:tc>
                <w:tcPr>
                  <w:tcW w:w="484" w:type="dxa"/>
                  <w:vAlign w:val="center"/>
                </w:tcPr>
                <w:p w14:paraId="5DD475B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360</w:t>
                  </w:r>
                </w:p>
              </w:tc>
              <w:tc>
                <w:tcPr>
                  <w:tcW w:w="623" w:type="dxa"/>
                  <w:vAlign w:val="center"/>
                </w:tcPr>
                <w:p w14:paraId="5CCEA214">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7.452 </w:t>
                  </w:r>
                </w:p>
              </w:tc>
              <w:tc>
                <w:tcPr>
                  <w:tcW w:w="468" w:type="dxa"/>
                  <w:vMerge w:val="restart"/>
                  <w:vAlign w:val="center"/>
                </w:tcPr>
                <w:p w14:paraId="353A671A">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300</w:t>
                  </w:r>
                </w:p>
              </w:tc>
            </w:tr>
            <w:tr w14:paraId="3846E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65" w:type="dxa"/>
                  <w:vMerge w:val="continue"/>
                  <w:vAlign w:val="center"/>
                </w:tcPr>
                <w:p w14:paraId="2866CD1E">
                  <w:pPr>
                    <w:jc w:val="center"/>
                    <w:textAlignment w:val="center"/>
                    <w:rPr>
                      <w:rFonts w:hint="default" w:ascii="Times New Roman" w:hAnsi="Times New Roman" w:cs="Times New Roman"/>
                      <w:color w:val="auto"/>
                      <w:sz w:val="18"/>
                      <w:szCs w:val="18"/>
                    </w:rPr>
                  </w:pPr>
                </w:p>
              </w:tc>
              <w:tc>
                <w:tcPr>
                  <w:tcW w:w="345" w:type="dxa"/>
                  <w:vMerge w:val="continue"/>
                  <w:vAlign w:val="center"/>
                </w:tcPr>
                <w:p w14:paraId="29C8FD66">
                  <w:pPr>
                    <w:jc w:val="center"/>
                    <w:textAlignment w:val="center"/>
                    <w:rPr>
                      <w:rFonts w:hint="default" w:ascii="Times New Roman" w:hAnsi="Times New Roman" w:cs="Times New Roman"/>
                      <w:color w:val="auto"/>
                      <w:sz w:val="18"/>
                      <w:szCs w:val="18"/>
                    </w:rPr>
                  </w:pPr>
                </w:p>
              </w:tc>
              <w:tc>
                <w:tcPr>
                  <w:tcW w:w="398" w:type="dxa"/>
                  <w:vMerge w:val="continue"/>
                  <w:vAlign w:val="center"/>
                </w:tcPr>
                <w:p w14:paraId="34C43D7A">
                  <w:pPr>
                    <w:jc w:val="center"/>
                    <w:textAlignment w:val="center"/>
                    <w:rPr>
                      <w:rFonts w:hint="default" w:ascii="Times New Roman" w:hAnsi="Times New Roman" w:cs="Times New Roman"/>
                      <w:color w:val="auto"/>
                      <w:sz w:val="18"/>
                      <w:szCs w:val="18"/>
                    </w:rPr>
                  </w:pPr>
                </w:p>
              </w:tc>
              <w:tc>
                <w:tcPr>
                  <w:tcW w:w="662" w:type="dxa"/>
                  <w:vAlign w:val="center"/>
                </w:tcPr>
                <w:p w14:paraId="3005C1AE">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SS</w:t>
                  </w:r>
                </w:p>
              </w:tc>
              <w:tc>
                <w:tcPr>
                  <w:tcW w:w="441" w:type="dxa"/>
                  <w:vMerge w:val="continue"/>
                  <w:vAlign w:val="center"/>
                </w:tcPr>
                <w:p w14:paraId="2F888EFB">
                  <w:pPr>
                    <w:jc w:val="center"/>
                    <w:textAlignment w:val="center"/>
                    <w:rPr>
                      <w:rFonts w:hint="default" w:ascii="Times New Roman" w:hAnsi="Times New Roman" w:cs="Times New Roman"/>
                      <w:color w:val="auto"/>
                      <w:sz w:val="18"/>
                      <w:szCs w:val="18"/>
                    </w:rPr>
                  </w:pPr>
                </w:p>
              </w:tc>
              <w:tc>
                <w:tcPr>
                  <w:tcW w:w="511" w:type="dxa"/>
                  <w:vMerge w:val="continue"/>
                  <w:vAlign w:val="center"/>
                </w:tcPr>
                <w:p w14:paraId="0CC94523">
                  <w:pPr>
                    <w:jc w:val="center"/>
                    <w:textAlignment w:val="center"/>
                    <w:rPr>
                      <w:rFonts w:hint="default" w:ascii="Times New Roman" w:hAnsi="Times New Roman" w:cs="Times New Roman"/>
                      <w:color w:val="auto"/>
                      <w:sz w:val="18"/>
                      <w:szCs w:val="18"/>
                    </w:rPr>
                  </w:pPr>
                </w:p>
              </w:tc>
              <w:tc>
                <w:tcPr>
                  <w:tcW w:w="584" w:type="dxa"/>
                  <w:vAlign w:val="center"/>
                </w:tcPr>
                <w:p w14:paraId="61933B6D">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473.9 </w:t>
                  </w:r>
                </w:p>
              </w:tc>
              <w:tc>
                <w:tcPr>
                  <w:tcW w:w="700" w:type="dxa"/>
                  <w:vAlign w:val="center"/>
                </w:tcPr>
                <w:p w14:paraId="3A4B1037">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9.810 </w:t>
                  </w:r>
                </w:p>
              </w:tc>
              <w:tc>
                <w:tcPr>
                  <w:tcW w:w="655" w:type="dxa"/>
                  <w:vMerge w:val="continue"/>
                  <w:vAlign w:val="center"/>
                </w:tcPr>
                <w:p w14:paraId="0954C3E5">
                  <w:pPr>
                    <w:jc w:val="center"/>
                    <w:textAlignment w:val="center"/>
                    <w:rPr>
                      <w:rFonts w:hint="default" w:ascii="Times New Roman" w:hAnsi="Times New Roman" w:cs="Times New Roman"/>
                      <w:color w:val="auto"/>
                      <w:sz w:val="18"/>
                      <w:szCs w:val="18"/>
                    </w:rPr>
                  </w:pPr>
                </w:p>
              </w:tc>
              <w:tc>
                <w:tcPr>
                  <w:tcW w:w="661" w:type="dxa"/>
                  <w:vAlign w:val="center"/>
                </w:tcPr>
                <w:p w14:paraId="17477CA9">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57.8%</w:t>
                  </w:r>
                </w:p>
              </w:tc>
              <w:tc>
                <w:tcPr>
                  <w:tcW w:w="434" w:type="dxa"/>
                  <w:vMerge w:val="continue"/>
                  <w:vAlign w:val="center"/>
                </w:tcPr>
                <w:p w14:paraId="68920E86">
                  <w:pPr>
                    <w:jc w:val="center"/>
                    <w:textAlignment w:val="center"/>
                    <w:rPr>
                      <w:rFonts w:hint="default" w:ascii="Times New Roman" w:hAnsi="Times New Roman" w:cs="Times New Roman"/>
                      <w:color w:val="auto"/>
                      <w:sz w:val="18"/>
                      <w:szCs w:val="18"/>
                    </w:rPr>
                  </w:pPr>
                </w:p>
              </w:tc>
              <w:tc>
                <w:tcPr>
                  <w:tcW w:w="516" w:type="dxa"/>
                  <w:vMerge w:val="continue"/>
                  <w:vAlign w:val="center"/>
                </w:tcPr>
                <w:p w14:paraId="4E95C598">
                  <w:pPr>
                    <w:jc w:val="center"/>
                    <w:textAlignment w:val="center"/>
                    <w:rPr>
                      <w:rFonts w:hint="default" w:ascii="Times New Roman" w:hAnsi="Times New Roman" w:cs="Times New Roman"/>
                      <w:color w:val="auto"/>
                      <w:sz w:val="18"/>
                      <w:szCs w:val="18"/>
                    </w:rPr>
                  </w:pPr>
                </w:p>
              </w:tc>
              <w:tc>
                <w:tcPr>
                  <w:tcW w:w="484" w:type="dxa"/>
                  <w:vAlign w:val="center"/>
                </w:tcPr>
                <w:p w14:paraId="40875470">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200</w:t>
                  </w:r>
                </w:p>
              </w:tc>
              <w:tc>
                <w:tcPr>
                  <w:tcW w:w="623" w:type="dxa"/>
                  <w:vAlign w:val="center"/>
                </w:tcPr>
                <w:p w14:paraId="5CD0C87C">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4.140 </w:t>
                  </w:r>
                </w:p>
              </w:tc>
              <w:tc>
                <w:tcPr>
                  <w:tcW w:w="468" w:type="dxa"/>
                  <w:vMerge w:val="continue"/>
                  <w:vAlign w:val="center"/>
                </w:tcPr>
                <w:p w14:paraId="178C31D5">
                  <w:pPr>
                    <w:jc w:val="center"/>
                    <w:textAlignment w:val="center"/>
                    <w:rPr>
                      <w:rFonts w:hint="default" w:ascii="Times New Roman" w:hAnsi="Times New Roman" w:cs="Times New Roman"/>
                      <w:color w:val="auto"/>
                      <w:sz w:val="18"/>
                      <w:szCs w:val="18"/>
                    </w:rPr>
                  </w:pPr>
                </w:p>
              </w:tc>
            </w:tr>
            <w:tr w14:paraId="099CE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65" w:type="dxa"/>
                  <w:vMerge w:val="continue"/>
                  <w:vAlign w:val="center"/>
                </w:tcPr>
                <w:p w14:paraId="48C39486">
                  <w:pPr>
                    <w:jc w:val="center"/>
                    <w:textAlignment w:val="center"/>
                    <w:rPr>
                      <w:rFonts w:hint="default" w:ascii="Times New Roman" w:hAnsi="Times New Roman" w:cs="Times New Roman"/>
                      <w:color w:val="auto"/>
                      <w:sz w:val="18"/>
                      <w:szCs w:val="18"/>
                    </w:rPr>
                  </w:pPr>
                </w:p>
              </w:tc>
              <w:tc>
                <w:tcPr>
                  <w:tcW w:w="345" w:type="dxa"/>
                  <w:vMerge w:val="continue"/>
                  <w:vAlign w:val="center"/>
                </w:tcPr>
                <w:p w14:paraId="02C56BF2">
                  <w:pPr>
                    <w:jc w:val="center"/>
                    <w:textAlignment w:val="center"/>
                    <w:rPr>
                      <w:rFonts w:hint="default" w:ascii="Times New Roman" w:hAnsi="Times New Roman" w:cs="Times New Roman"/>
                      <w:color w:val="auto"/>
                      <w:sz w:val="18"/>
                      <w:szCs w:val="18"/>
                    </w:rPr>
                  </w:pPr>
                </w:p>
              </w:tc>
              <w:tc>
                <w:tcPr>
                  <w:tcW w:w="398" w:type="dxa"/>
                  <w:vMerge w:val="continue"/>
                  <w:vAlign w:val="center"/>
                </w:tcPr>
                <w:p w14:paraId="64257CEE">
                  <w:pPr>
                    <w:jc w:val="center"/>
                    <w:textAlignment w:val="center"/>
                    <w:rPr>
                      <w:rFonts w:hint="default" w:ascii="Times New Roman" w:hAnsi="Times New Roman" w:cs="Times New Roman"/>
                      <w:color w:val="auto"/>
                      <w:sz w:val="18"/>
                      <w:szCs w:val="18"/>
                    </w:rPr>
                  </w:pPr>
                </w:p>
              </w:tc>
              <w:tc>
                <w:tcPr>
                  <w:tcW w:w="662" w:type="dxa"/>
                  <w:vAlign w:val="center"/>
                </w:tcPr>
                <w:p w14:paraId="3CCFD1DD">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氟化物</w:t>
                  </w:r>
                </w:p>
              </w:tc>
              <w:tc>
                <w:tcPr>
                  <w:tcW w:w="441" w:type="dxa"/>
                  <w:vMerge w:val="continue"/>
                  <w:vAlign w:val="center"/>
                </w:tcPr>
                <w:p w14:paraId="4AA44B9F">
                  <w:pPr>
                    <w:jc w:val="center"/>
                    <w:textAlignment w:val="center"/>
                    <w:rPr>
                      <w:rFonts w:hint="default" w:ascii="Times New Roman" w:hAnsi="Times New Roman" w:cs="Times New Roman"/>
                      <w:color w:val="auto"/>
                      <w:sz w:val="18"/>
                      <w:szCs w:val="18"/>
                    </w:rPr>
                  </w:pPr>
                </w:p>
              </w:tc>
              <w:tc>
                <w:tcPr>
                  <w:tcW w:w="511" w:type="dxa"/>
                  <w:vMerge w:val="continue"/>
                  <w:vAlign w:val="center"/>
                </w:tcPr>
                <w:p w14:paraId="5C4F39F9">
                  <w:pPr>
                    <w:jc w:val="center"/>
                    <w:textAlignment w:val="center"/>
                    <w:rPr>
                      <w:rFonts w:hint="default" w:ascii="Times New Roman" w:hAnsi="Times New Roman" w:cs="Times New Roman"/>
                      <w:color w:val="auto"/>
                      <w:sz w:val="18"/>
                      <w:szCs w:val="18"/>
                    </w:rPr>
                  </w:pPr>
                </w:p>
              </w:tc>
              <w:tc>
                <w:tcPr>
                  <w:tcW w:w="584" w:type="dxa"/>
                  <w:vAlign w:val="center"/>
                </w:tcPr>
                <w:p w14:paraId="2BA01C31">
                  <w:pPr>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109.7 </w:t>
                  </w:r>
                </w:p>
              </w:tc>
              <w:tc>
                <w:tcPr>
                  <w:tcW w:w="700" w:type="dxa"/>
                  <w:vAlign w:val="center"/>
                </w:tcPr>
                <w:p w14:paraId="5E334592">
                  <w:pPr>
                    <w:jc w:val="center"/>
                    <w:textAlignment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 xml:space="preserve">2.270 </w:t>
                  </w:r>
                </w:p>
              </w:tc>
              <w:tc>
                <w:tcPr>
                  <w:tcW w:w="655" w:type="dxa"/>
                  <w:vMerge w:val="continue"/>
                  <w:vAlign w:val="center"/>
                </w:tcPr>
                <w:p w14:paraId="5C997CD1">
                  <w:pPr>
                    <w:jc w:val="center"/>
                    <w:textAlignment w:val="center"/>
                    <w:rPr>
                      <w:rFonts w:hint="default" w:ascii="Times New Roman" w:hAnsi="Times New Roman" w:cs="Times New Roman"/>
                      <w:color w:val="auto"/>
                      <w:sz w:val="18"/>
                      <w:szCs w:val="18"/>
                    </w:rPr>
                  </w:pPr>
                </w:p>
              </w:tc>
              <w:tc>
                <w:tcPr>
                  <w:tcW w:w="661" w:type="dxa"/>
                  <w:vAlign w:val="center"/>
                </w:tcPr>
                <w:p w14:paraId="68FBA933">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90.9%</w:t>
                  </w:r>
                </w:p>
              </w:tc>
              <w:tc>
                <w:tcPr>
                  <w:tcW w:w="434" w:type="dxa"/>
                  <w:vMerge w:val="continue"/>
                  <w:vAlign w:val="center"/>
                </w:tcPr>
                <w:p w14:paraId="7234EB1D">
                  <w:pPr>
                    <w:jc w:val="center"/>
                    <w:textAlignment w:val="center"/>
                    <w:rPr>
                      <w:rFonts w:hint="default" w:ascii="Times New Roman" w:hAnsi="Times New Roman" w:cs="Times New Roman"/>
                      <w:color w:val="auto"/>
                      <w:sz w:val="18"/>
                      <w:szCs w:val="18"/>
                    </w:rPr>
                  </w:pPr>
                </w:p>
              </w:tc>
              <w:tc>
                <w:tcPr>
                  <w:tcW w:w="516" w:type="dxa"/>
                  <w:vMerge w:val="continue"/>
                  <w:vAlign w:val="center"/>
                </w:tcPr>
                <w:p w14:paraId="0F979EB8">
                  <w:pPr>
                    <w:jc w:val="center"/>
                    <w:textAlignment w:val="center"/>
                    <w:rPr>
                      <w:rFonts w:hint="default" w:ascii="Times New Roman" w:hAnsi="Times New Roman" w:cs="Times New Roman"/>
                      <w:color w:val="auto"/>
                      <w:sz w:val="18"/>
                      <w:szCs w:val="18"/>
                    </w:rPr>
                  </w:pPr>
                </w:p>
              </w:tc>
              <w:tc>
                <w:tcPr>
                  <w:tcW w:w="484" w:type="dxa"/>
                  <w:vAlign w:val="center"/>
                </w:tcPr>
                <w:p w14:paraId="012E6153">
                  <w:pPr>
                    <w:jc w:val="center"/>
                    <w:textAlignment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10</w:t>
                  </w:r>
                </w:p>
              </w:tc>
              <w:tc>
                <w:tcPr>
                  <w:tcW w:w="623" w:type="dxa"/>
                  <w:vAlign w:val="center"/>
                </w:tcPr>
                <w:p w14:paraId="1C01F0D9">
                  <w:pPr>
                    <w:jc w:val="center"/>
                    <w:textAlignment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0.207</w:t>
                  </w:r>
                </w:p>
              </w:tc>
              <w:tc>
                <w:tcPr>
                  <w:tcW w:w="468" w:type="dxa"/>
                  <w:vMerge w:val="continue"/>
                  <w:vAlign w:val="center"/>
                </w:tcPr>
                <w:p w14:paraId="0F5F23AC">
                  <w:pPr>
                    <w:jc w:val="center"/>
                    <w:textAlignment w:val="center"/>
                    <w:rPr>
                      <w:rFonts w:hint="default" w:ascii="Times New Roman" w:hAnsi="Times New Roman" w:cs="Times New Roman"/>
                      <w:color w:val="auto"/>
                      <w:sz w:val="18"/>
                      <w:szCs w:val="18"/>
                    </w:rPr>
                  </w:pPr>
                </w:p>
              </w:tc>
            </w:tr>
            <w:tr w14:paraId="26C14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65" w:type="dxa"/>
                  <w:vMerge w:val="continue"/>
                  <w:vAlign w:val="center"/>
                </w:tcPr>
                <w:p w14:paraId="7E9DC75F">
                  <w:pPr>
                    <w:jc w:val="center"/>
                    <w:textAlignment w:val="center"/>
                    <w:rPr>
                      <w:rFonts w:hint="default" w:ascii="Times New Roman" w:hAnsi="Times New Roman" w:cs="Times New Roman"/>
                      <w:color w:val="auto"/>
                      <w:sz w:val="18"/>
                      <w:szCs w:val="18"/>
                    </w:rPr>
                  </w:pPr>
                </w:p>
              </w:tc>
              <w:tc>
                <w:tcPr>
                  <w:tcW w:w="345" w:type="dxa"/>
                  <w:vMerge w:val="continue"/>
                  <w:vAlign w:val="center"/>
                </w:tcPr>
                <w:p w14:paraId="04EF434F">
                  <w:pPr>
                    <w:jc w:val="center"/>
                    <w:textAlignment w:val="center"/>
                    <w:rPr>
                      <w:rFonts w:hint="default" w:ascii="Times New Roman" w:hAnsi="Times New Roman" w:cs="Times New Roman"/>
                      <w:color w:val="auto"/>
                      <w:sz w:val="18"/>
                      <w:szCs w:val="18"/>
                    </w:rPr>
                  </w:pPr>
                </w:p>
              </w:tc>
              <w:tc>
                <w:tcPr>
                  <w:tcW w:w="398" w:type="dxa"/>
                  <w:vMerge w:val="continue"/>
                  <w:vAlign w:val="center"/>
                </w:tcPr>
                <w:p w14:paraId="624D6396">
                  <w:pPr>
                    <w:jc w:val="center"/>
                    <w:textAlignment w:val="center"/>
                    <w:rPr>
                      <w:rFonts w:hint="default" w:ascii="Times New Roman" w:hAnsi="Times New Roman" w:cs="Times New Roman"/>
                      <w:color w:val="auto"/>
                      <w:sz w:val="18"/>
                      <w:szCs w:val="18"/>
                    </w:rPr>
                  </w:pPr>
                </w:p>
              </w:tc>
              <w:tc>
                <w:tcPr>
                  <w:tcW w:w="662" w:type="dxa"/>
                  <w:vAlign w:val="center"/>
                </w:tcPr>
                <w:p w14:paraId="41B2F81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氨氮</w:t>
                  </w:r>
                </w:p>
              </w:tc>
              <w:tc>
                <w:tcPr>
                  <w:tcW w:w="441" w:type="dxa"/>
                  <w:vMerge w:val="continue"/>
                  <w:vAlign w:val="center"/>
                </w:tcPr>
                <w:p w14:paraId="03B171DB">
                  <w:pPr>
                    <w:jc w:val="center"/>
                    <w:textAlignment w:val="center"/>
                    <w:rPr>
                      <w:rFonts w:hint="default" w:ascii="Times New Roman" w:hAnsi="Times New Roman" w:cs="Times New Roman"/>
                      <w:color w:val="auto"/>
                      <w:sz w:val="18"/>
                      <w:szCs w:val="18"/>
                    </w:rPr>
                  </w:pPr>
                </w:p>
              </w:tc>
              <w:tc>
                <w:tcPr>
                  <w:tcW w:w="511" w:type="dxa"/>
                  <w:vMerge w:val="continue"/>
                  <w:vAlign w:val="center"/>
                </w:tcPr>
                <w:p w14:paraId="6F52C203">
                  <w:pPr>
                    <w:jc w:val="center"/>
                    <w:textAlignment w:val="center"/>
                    <w:rPr>
                      <w:rFonts w:hint="default" w:ascii="Times New Roman" w:hAnsi="Times New Roman" w:cs="Times New Roman"/>
                      <w:color w:val="auto"/>
                      <w:sz w:val="18"/>
                      <w:szCs w:val="18"/>
                    </w:rPr>
                  </w:pPr>
                </w:p>
              </w:tc>
              <w:tc>
                <w:tcPr>
                  <w:tcW w:w="584" w:type="dxa"/>
                  <w:vAlign w:val="center"/>
                </w:tcPr>
                <w:p w14:paraId="645F1929">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4.8 </w:t>
                  </w:r>
                </w:p>
              </w:tc>
              <w:tc>
                <w:tcPr>
                  <w:tcW w:w="700" w:type="dxa"/>
                  <w:vAlign w:val="center"/>
                </w:tcPr>
                <w:p w14:paraId="585AF5BA">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0.099 </w:t>
                  </w:r>
                </w:p>
              </w:tc>
              <w:tc>
                <w:tcPr>
                  <w:tcW w:w="655" w:type="dxa"/>
                  <w:vMerge w:val="continue"/>
                  <w:vAlign w:val="center"/>
                </w:tcPr>
                <w:p w14:paraId="31560986">
                  <w:pPr>
                    <w:jc w:val="center"/>
                    <w:textAlignment w:val="center"/>
                    <w:rPr>
                      <w:rFonts w:hint="default" w:ascii="Times New Roman" w:hAnsi="Times New Roman" w:cs="Times New Roman"/>
                      <w:color w:val="auto"/>
                      <w:sz w:val="18"/>
                      <w:szCs w:val="18"/>
                    </w:rPr>
                  </w:pPr>
                </w:p>
              </w:tc>
              <w:tc>
                <w:tcPr>
                  <w:tcW w:w="661" w:type="dxa"/>
                  <w:vAlign w:val="center"/>
                </w:tcPr>
                <w:p w14:paraId="3E594C0D">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34" w:type="dxa"/>
                  <w:vMerge w:val="continue"/>
                  <w:vAlign w:val="center"/>
                </w:tcPr>
                <w:p w14:paraId="5BB22383">
                  <w:pPr>
                    <w:jc w:val="center"/>
                    <w:textAlignment w:val="center"/>
                    <w:rPr>
                      <w:rFonts w:hint="default" w:ascii="Times New Roman" w:hAnsi="Times New Roman" w:cs="Times New Roman"/>
                      <w:color w:val="auto"/>
                      <w:sz w:val="18"/>
                      <w:szCs w:val="18"/>
                    </w:rPr>
                  </w:pPr>
                </w:p>
              </w:tc>
              <w:tc>
                <w:tcPr>
                  <w:tcW w:w="516" w:type="dxa"/>
                  <w:vMerge w:val="continue"/>
                  <w:vAlign w:val="center"/>
                </w:tcPr>
                <w:p w14:paraId="691914FC">
                  <w:pPr>
                    <w:jc w:val="center"/>
                    <w:textAlignment w:val="center"/>
                    <w:rPr>
                      <w:rFonts w:hint="default" w:ascii="Times New Roman" w:hAnsi="Times New Roman" w:cs="Times New Roman"/>
                      <w:color w:val="auto"/>
                      <w:sz w:val="18"/>
                      <w:szCs w:val="18"/>
                    </w:rPr>
                  </w:pPr>
                </w:p>
              </w:tc>
              <w:tc>
                <w:tcPr>
                  <w:tcW w:w="484" w:type="dxa"/>
                  <w:vAlign w:val="center"/>
                </w:tcPr>
                <w:p w14:paraId="77C61BB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35</w:t>
                  </w:r>
                </w:p>
              </w:tc>
              <w:tc>
                <w:tcPr>
                  <w:tcW w:w="623" w:type="dxa"/>
                  <w:vAlign w:val="center"/>
                </w:tcPr>
                <w:p w14:paraId="621D810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0.725 </w:t>
                  </w:r>
                </w:p>
              </w:tc>
              <w:tc>
                <w:tcPr>
                  <w:tcW w:w="468" w:type="dxa"/>
                  <w:vMerge w:val="continue"/>
                  <w:vAlign w:val="center"/>
                </w:tcPr>
                <w:p w14:paraId="60E483F9">
                  <w:pPr>
                    <w:jc w:val="center"/>
                    <w:textAlignment w:val="center"/>
                    <w:rPr>
                      <w:rFonts w:hint="default" w:ascii="Times New Roman" w:hAnsi="Times New Roman" w:cs="Times New Roman"/>
                      <w:color w:val="auto"/>
                      <w:sz w:val="18"/>
                      <w:szCs w:val="18"/>
                    </w:rPr>
                  </w:pPr>
                </w:p>
              </w:tc>
            </w:tr>
            <w:tr w14:paraId="65F42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65" w:type="dxa"/>
                  <w:vMerge w:val="continue"/>
                  <w:vAlign w:val="center"/>
                </w:tcPr>
                <w:p w14:paraId="7A31ACBC">
                  <w:pPr>
                    <w:jc w:val="center"/>
                    <w:textAlignment w:val="center"/>
                    <w:rPr>
                      <w:rFonts w:hint="default" w:ascii="Times New Roman" w:hAnsi="Times New Roman" w:cs="Times New Roman"/>
                      <w:color w:val="auto"/>
                      <w:sz w:val="18"/>
                      <w:szCs w:val="18"/>
                    </w:rPr>
                  </w:pPr>
                </w:p>
              </w:tc>
              <w:tc>
                <w:tcPr>
                  <w:tcW w:w="345" w:type="dxa"/>
                  <w:vMerge w:val="continue"/>
                  <w:vAlign w:val="center"/>
                </w:tcPr>
                <w:p w14:paraId="0668C349">
                  <w:pPr>
                    <w:jc w:val="center"/>
                    <w:textAlignment w:val="center"/>
                    <w:rPr>
                      <w:rFonts w:hint="default" w:ascii="Times New Roman" w:hAnsi="Times New Roman" w:cs="Times New Roman"/>
                      <w:color w:val="auto"/>
                      <w:sz w:val="18"/>
                      <w:szCs w:val="18"/>
                    </w:rPr>
                  </w:pPr>
                </w:p>
              </w:tc>
              <w:tc>
                <w:tcPr>
                  <w:tcW w:w="398" w:type="dxa"/>
                  <w:vMerge w:val="continue"/>
                  <w:vAlign w:val="center"/>
                </w:tcPr>
                <w:p w14:paraId="77C85FD7">
                  <w:pPr>
                    <w:jc w:val="center"/>
                    <w:textAlignment w:val="center"/>
                    <w:rPr>
                      <w:rFonts w:hint="default" w:ascii="Times New Roman" w:hAnsi="Times New Roman" w:cs="Times New Roman"/>
                      <w:color w:val="auto"/>
                      <w:sz w:val="18"/>
                      <w:szCs w:val="18"/>
                    </w:rPr>
                  </w:pPr>
                </w:p>
              </w:tc>
              <w:tc>
                <w:tcPr>
                  <w:tcW w:w="662" w:type="dxa"/>
                  <w:vAlign w:val="center"/>
                </w:tcPr>
                <w:p w14:paraId="4C1D9733">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总氮</w:t>
                  </w:r>
                </w:p>
              </w:tc>
              <w:tc>
                <w:tcPr>
                  <w:tcW w:w="441" w:type="dxa"/>
                  <w:vMerge w:val="continue"/>
                  <w:vAlign w:val="center"/>
                </w:tcPr>
                <w:p w14:paraId="4B2AE87A">
                  <w:pPr>
                    <w:jc w:val="center"/>
                    <w:textAlignment w:val="center"/>
                    <w:rPr>
                      <w:rFonts w:hint="default" w:ascii="Times New Roman" w:hAnsi="Times New Roman" w:cs="Times New Roman"/>
                      <w:color w:val="auto"/>
                      <w:sz w:val="18"/>
                      <w:szCs w:val="18"/>
                    </w:rPr>
                  </w:pPr>
                </w:p>
              </w:tc>
              <w:tc>
                <w:tcPr>
                  <w:tcW w:w="511" w:type="dxa"/>
                  <w:vMerge w:val="continue"/>
                  <w:vAlign w:val="center"/>
                </w:tcPr>
                <w:p w14:paraId="33CE4FC8">
                  <w:pPr>
                    <w:jc w:val="center"/>
                    <w:textAlignment w:val="center"/>
                    <w:rPr>
                      <w:rFonts w:hint="default" w:ascii="Times New Roman" w:hAnsi="Times New Roman" w:cs="Times New Roman"/>
                      <w:color w:val="auto"/>
                      <w:sz w:val="18"/>
                      <w:szCs w:val="18"/>
                    </w:rPr>
                  </w:pPr>
                </w:p>
              </w:tc>
              <w:tc>
                <w:tcPr>
                  <w:tcW w:w="584" w:type="dxa"/>
                  <w:vAlign w:val="center"/>
                </w:tcPr>
                <w:p w14:paraId="19BC535E">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25.6 </w:t>
                  </w:r>
                </w:p>
              </w:tc>
              <w:tc>
                <w:tcPr>
                  <w:tcW w:w="700" w:type="dxa"/>
                  <w:vAlign w:val="center"/>
                </w:tcPr>
                <w:p w14:paraId="185580D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0.529 </w:t>
                  </w:r>
                </w:p>
              </w:tc>
              <w:tc>
                <w:tcPr>
                  <w:tcW w:w="655" w:type="dxa"/>
                  <w:vMerge w:val="continue"/>
                  <w:vAlign w:val="center"/>
                </w:tcPr>
                <w:p w14:paraId="6671364F">
                  <w:pPr>
                    <w:jc w:val="center"/>
                    <w:textAlignment w:val="center"/>
                    <w:rPr>
                      <w:rFonts w:hint="default" w:ascii="Times New Roman" w:hAnsi="Times New Roman" w:cs="Times New Roman"/>
                      <w:color w:val="auto"/>
                      <w:sz w:val="18"/>
                      <w:szCs w:val="18"/>
                    </w:rPr>
                  </w:pPr>
                </w:p>
              </w:tc>
              <w:tc>
                <w:tcPr>
                  <w:tcW w:w="661" w:type="dxa"/>
                  <w:vAlign w:val="center"/>
                </w:tcPr>
                <w:p w14:paraId="4C1183D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34" w:type="dxa"/>
                  <w:vMerge w:val="continue"/>
                  <w:vAlign w:val="center"/>
                </w:tcPr>
                <w:p w14:paraId="3FAB7200">
                  <w:pPr>
                    <w:jc w:val="center"/>
                    <w:textAlignment w:val="center"/>
                    <w:rPr>
                      <w:rFonts w:hint="default" w:ascii="Times New Roman" w:hAnsi="Times New Roman" w:cs="Times New Roman"/>
                      <w:color w:val="auto"/>
                      <w:sz w:val="18"/>
                      <w:szCs w:val="18"/>
                    </w:rPr>
                  </w:pPr>
                </w:p>
              </w:tc>
              <w:tc>
                <w:tcPr>
                  <w:tcW w:w="516" w:type="dxa"/>
                  <w:vMerge w:val="continue"/>
                  <w:vAlign w:val="center"/>
                </w:tcPr>
                <w:p w14:paraId="5F766C8B">
                  <w:pPr>
                    <w:jc w:val="center"/>
                    <w:textAlignment w:val="center"/>
                    <w:rPr>
                      <w:rFonts w:hint="default" w:ascii="Times New Roman" w:hAnsi="Times New Roman" w:cs="Times New Roman"/>
                      <w:color w:val="auto"/>
                      <w:sz w:val="18"/>
                      <w:szCs w:val="18"/>
                    </w:rPr>
                  </w:pPr>
                </w:p>
              </w:tc>
              <w:tc>
                <w:tcPr>
                  <w:tcW w:w="484" w:type="dxa"/>
                  <w:vAlign w:val="center"/>
                </w:tcPr>
                <w:p w14:paraId="5EFA34A9">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50</w:t>
                  </w:r>
                </w:p>
              </w:tc>
              <w:tc>
                <w:tcPr>
                  <w:tcW w:w="623" w:type="dxa"/>
                  <w:vAlign w:val="center"/>
                </w:tcPr>
                <w:p w14:paraId="7F2DE44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1.035 </w:t>
                  </w:r>
                </w:p>
              </w:tc>
              <w:tc>
                <w:tcPr>
                  <w:tcW w:w="468" w:type="dxa"/>
                  <w:vMerge w:val="continue"/>
                  <w:vAlign w:val="center"/>
                </w:tcPr>
                <w:p w14:paraId="08EB1400">
                  <w:pPr>
                    <w:jc w:val="center"/>
                    <w:textAlignment w:val="center"/>
                    <w:rPr>
                      <w:rFonts w:hint="default" w:ascii="Times New Roman" w:hAnsi="Times New Roman" w:cs="Times New Roman"/>
                      <w:color w:val="auto"/>
                      <w:sz w:val="18"/>
                      <w:szCs w:val="18"/>
                    </w:rPr>
                  </w:pPr>
                </w:p>
              </w:tc>
            </w:tr>
            <w:tr w14:paraId="0DFC2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65" w:type="dxa"/>
                  <w:vMerge w:val="continue"/>
                  <w:vAlign w:val="center"/>
                </w:tcPr>
                <w:p w14:paraId="06DE2B86">
                  <w:pPr>
                    <w:jc w:val="center"/>
                    <w:textAlignment w:val="center"/>
                    <w:rPr>
                      <w:rFonts w:hint="default" w:ascii="Times New Roman" w:hAnsi="Times New Roman" w:cs="Times New Roman"/>
                      <w:color w:val="auto"/>
                      <w:sz w:val="18"/>
                      <w:szCs w:val="18"/>
                    </w:rPr>
                  </w:pPr>
                </w:p>
              </w:tc>
              <w:tc>
                <w:tcPr>
                  <w:tcW w:w="345" w:type="dxa"/>
                  <w:vMerge w:val="continue"/>
                  <w:vAlign w:val="center"/>
                </w:tcPr>
                <w:p w14:paraId="6805D156">
                  <w:pPr>
                    <w:jc w:val="center"/>
                    <w:textAlignment w:val="center"/>
                    <w:rPr>
                      <w:rFonts w:hint="default" w:ascii="Times New Roman" w:hAnsi="Times New Roman" w:cs="Times New Roman"/>
                      <w:color w:val="auto"/>
                      <w:sz w:val="18"/>
                      <w:szCs w:val="18"/>
                    </w:rPr>
                  </w:pPr>
                </w:p>
              </w:tc>
              <w:tc>
                <w:tcPr>
                  <w:tcW w:w="398" w:type="dxa"/>
                  <w:vMerge w:val="continue"/>
                  <w:vAlign w:val="center"/>
                </w:tcPr>
                <w:p w14:paraId="4F0AE86D">
                  <w:pPr>
                    <w:jc w:val="center"/>
                    <w:textAlignment w:val="center"/>
                    <w:rPr>
                      <w:rFonts w:hint="default" w:ascii="Times New Roman" w:hAnsi="Times New Roman" w:cs="Times New Roman"/>
                      <w:color w:val="auto"/>
                      <w:sz w:val="18"/>
                      <w:szCs w:val="18"/>
                    </w:rPr>
                  </w:pPr>
                </w:p>
              </w:tc>
              <w:tc>
                <w:tcPr>
                  <w:tcW w:w="662" w:type="dxa"/>
                  <w:vAlign w:val="center"/>
                </w:tcPr>
                <w:p w14:paraId="23F9384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LAS</w:t>
                  </w:r>
                </w:p>
              </w:tc>
              <w:tc>
                <w:tcPr>
                  <w:tcW w:w="441" w:type="dxa"/>
                  <w:vMerge w:val="continue"/>
                  <w:vAlign w:val="center"/>
                </w:tcPr>
                <w:p w14:paraId="3595476C">
                  <w:pPr>
                    <w:jc w:val="center"/>
                    <w:textAlignment w:val="center"/>
                    <w:rPr>
                      <w:rFonts w:hint="default" w:ascii="Times New Roman" w:hAnsi="Times New Roman" w:cs="Times New Roman"/>
                      <w:color w:val="auto"/>
                      <w:sz w:val="18"/>
                      <w:szCs w:val="18"/>
                    </w:rPr>
                  </w:pPr>
                </w:p>
              </w:tc>
              <w:tc>
                <w:tcPr>
                  <w:tcW w:w="511" w:type="dxa"/>
                  <w:vMerge w:val="continue"/>
                  <w:vAlign w:val="center"/>
                </w:tcPr>
                <w:p w14:paraId="0E4C9BA4">
                  <w:pPr>
                    <w:jc w:val="center"/>
                    <w:textAlignment w:val="center"/>
                    <w:rPr>
                      <w:rFonts w:hint="default" w:ascii="Times New Roman" w:hAnsi="Times New Roman" w:cs="Times New Roman"/>
                      <w:color w:val="auto"/>
                      <w:sz w:val="18"/>
                      <w:szCs w:val="18"/>
                    </w:rPr>
                  </w:pPr>
                </w:p>
              </w:tc>
              <w:tc>
                <w:tcPr>
                  <w:tcW w:w="584" w:type="dxa"/>
                  <w:vAlign w:val="center"/>
                </w:tcPr>
                <w:p w14:paraId="5899B0C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10.1 </w:t>
                  </w:r>
                </w:p>
              </w:tc>
              <w:tc>
                <w:tcPr>
                  <w:tcW w:w="700" w:type="dxa"/>
                  <w:vAlign w:val="center"/>
                </w:tcPr>
                <w:p w14:paraId="6B852766">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0.210 </w:t>
                  </w:r>
                </w:p>
              </w:tc>
              <w:tc>
                <w:tcPr>
                  <w:tcW w:w="655" w:type="dxa"/>
                  <w:vMerge w:val="continue"/>
                  <w:vAlign w:val="center"/>
                </w:tcPr>
                <w:p w14:paraId="4FD88662">
                  <w:pPr>
                    <w:jc w:val="center"/>
                    <w:textAlignment w:val="center"/>
                    <w:rPr>
                      <w:rFonts w:hint="default" w:ascii="Times New Roman" w:hAnsi="Times New Roman" w:cs="Times New Roman"/>
                      <w:color w:val="auto"/>
                      <w:sz w:val="18"/>
                      <w:szCs w:val="18"/>
                    </w:rPr>
                  </w:pPr>
                </w:p>
              </w:tc>
              <w:tc>
                <w:tcPr>
                  <w:tcW w:w="661" w:type="dxa"/>
                  <w:vAlign w:val="center"/>
                </w:tcPr>
                <w:p w14:paraId="54E2BC26">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34" w:type="dxa"/>
                  <w:vMerge w:val="continue"/>
                  <w:vAlign w:val="center"/>
                </w:tcPr>
                <w:p w14:paraId="0D5897C2">
                  <w:pPr>
                    <w:jc w:val="center"/>
                    <w:textAlignment w:val="center"/>
                    <w:rPr>
                      <w:rFonts w:hint="default" w:ascii="Times New Roman" w:hAnsi="Times New Roman" w:cs="Times New Roman"/>
                      <w:color w:val="auto"/>
                      <w:sz w:val="18"/>
                      <w:szCs w:val="18"/>
                    </w:rPr>
                  </w:pPr>
                </w:p>
              </w:tc>
              <w:tc>
                <w:tcPr>
                  <w:tcW w:w="516" w:type="dxa"/>
                  <w:vMerge w:val="continue"/>
                  <w:vAlign w:val="center"/>
                </w:tcPr>
                <w:p w14:paraId="77E9BF25">
                  <w:pPr>
                    <w:jc w:val="center"/>
                    <w:textAlignment w:val="center"/>
                    <w:rPr>
                      <w:rFonts w:hint="default" w:ascii="Times New Roman" w:hAnsi="Times New Roman" w:cs="Times New Roman"/>
                      <w:color w:val="auto"/>
                      <w:sz w:val="18"/>
                      <w:szCs w:val="18"/>
                    </w:rPr>
                  </w:pPr>
                </w:p>
              </w:tc>
              <w:tc>
                <w:tcPr>
                  <w:tcW w:w="484" w:type="dxa"/>
                  <w:vAlign w:val="center"/>
                </w:tcPr>
                <w:p w14:paraId="66B92DC5">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20</w:t>
                  </w:r>
                </w:p>
              </w:tc>
              <w:tc>
                <w:tcPr>
                  <w:tcW w:w="623" w:type="dxa"/>
                  <w:vAlign w:val="center"/>
                </w:tcPr>
                <w:p w14:paraId="1A797A1A">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 xml:space="preserve">0.414 </w:t>
                  </w:r>
                </w:p>
              </w:tc>
              <w:tc>
                <w:tcPr>
                  <w:tcW w:w="468" w:type="dxa"/>
                  <w:vMerge w:val="continue"/>
                  <w:vAlign w:val="center"/>
                </w:tcPr>
                <w:p w14:paraId="10B06BFE">
                  <w:pPr>
                    <w:jc w:val="center"/>
                    <w:textAlignment w:val="center"/>
                    <w:rPr>
                      <w:rFonts w:hint="default" w:ascii="Times New Roman" w:hAnsi="Times New Roman" w:cs="Times New Roman"/>
                      <w:color w:val="auto"/>
                      <w:sz w:val="18"/>
                      <w:szCs w:val="18"/>
                    </w:rPr>
                  </w:pPr>
                </w:p>
              </w:tc>
            </w:tr>
          </w:tbl>
          <w:p w14:paraId="4FC66627">
            <w:pPr>
              <w:autoSpaceDE w:val="0"/>
              <w:autoSpaceDN w:val="0"/>
              <w:adjustRightInd w:val="0"/>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注：</w:t>
            </w:r>
            <w:r>
              <w:rPr>
                <w:rFonts w:hint="eastAsia" w:cs="Times New Roman"/>
                <w:color w:val="auto"/>
                <w:szCs w:val="21"/>
                <w:lang w:val="en-US" w:eastAsia="zh-CN"/>
              </w:rPr>
              <w:t>氟化物纳管企业内部控制要求10mg/L</w:t>
            </w:r>
            <w:r>
              <w:rPr>
                <w:rFonts w:hint="default" w:ascii="Times New Roman" w:hAnsi="Times New Roman" w:cs="Times New Roman"/>
                <w:color w:val="auto"/>
                <w:szCs w:val="21"/>
              </w:rPr>
              <w:t>。</w:t>
            </w:r>
          </w:p>
          <w:p w14:paraId="1ABF5614">
            <w:pPr>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表4.2.4-</w:t>
            </w:r>
            <w:r>
              <w:rPr>
                <w:rFonts w:hint="eastAsia" w:cs="Times New Roman"/>
                <w:b/>
                <w:color w:val="auto"/>
                <w:szCs w:val="21"/>
                <w:lang w:val="en-US" w:eastAsia="zh-CN"/>
              </w:rPr>
              <w:t>8</w:t>
            </w:r>
            <w:r>
              <w:rPr>
                <w:rFonts w:hint="default" w:ascii="Times New Roman" w:hAnsi="Times New Roman" w:cs="Times New Roman"/>
                <w:b/>
                <w:color w:val="auto"/>
                <w:szCs w:val="21"/>
              </w:rPr>
              <w:t xml:space="preserve">  废水类别、污染物及污染治理设施信息表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5"/>
              <w:gridCol w:w="935"/>
              <w:gridCol w:w="991"/>
              <w:gridCol w:w="759"/>
              <w:gridCol w:w="835"/>
              <w:gridCol w:w="879"/>
              <w:gridCol w:w="909"/>
              <w:gridCol w:w="687"/>
              <w:gridCol w:w="953"/>
              <w:gridCol w:w="613"/>
            </w:tblGrid>
            <w:tr w14:paraId="19911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6" w:type="dxa"/>
                  <w:vMerge w:val="restart"/>
                  <w:tcMar>
                    <w:top w:w="15" w:type="dxa"/>
                    <w:left w:w="15" w:type="dxa"/>
                    <w:right w:w="15" w:type="dxa"/>
                  </w:tcMar>
                  <w:vAlign w:val="center"/>
                </w:tcPr>
                <w:p w14:paraId="14A3A5D7">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936" w:type="dxa"/>
                  <w:vMerge w:val="restart"/>
                  <w:tcMar>
                    <w:top w:w="15" w:type="dxa"/>
                    <w:left w:w="15" w:type="dxa"/>
                    <w:right w:w="15" w:type="dxa"/>
                  </w:tcMar>
                  <w:vAlign w:val="center"/>
                </w:tcPr>
                <w:p w14:paraId="3104BDAE">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废水类别</w:t>
                  </w:r>
                </w:p>
              </w:tc>
              <w:tc>
                <w:tcPr>
                  <w:tcW w:w="992" w:type="dxa"/>
                  <w:vMerge w:val="restart"/>
                  <w:tcMar>
                    <w:top w:w="15" w:type="dxa"/>
                    <w:left w:w="15" w:type="dxa"/>
                    <w:right w:w="15" w:type="dxa"/>
                  </w:tcMar>
                  <w:vAlign w:val="center"/>
                </w:tcPr>
                <w:p w14:paraId="7B347AF3">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污染物种类</w:t>
                  </w:r>
                </w:p>
              </w:tc>
              <w:tc>
                <w:tcPr>
                  <w:tcW w:w="760" w:type="dxa"/>
                  <w:vMerge w:val="restart"/>
                  <w:tcMar>
                    <w:top w:w="15" w:type="dxa"/>
                    <w:left w:w="15" w:type="dxa"/>
                    <w:right w:w="15" w:type="dxa"/>
                  </w:tcMar>
                  <w:vAlign w:val="center"/>
                </w:tcPr>
                <w:p w14:paraId="4D4AFB00">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排放去向</w:t>
                  </w:r>
                </w:p>
              </w:tc>
              <w:tc>
                <w:tcPr>
                  <w:tcW w:w="836" w:type="dxa"/>
                  <w:vMerge w:val="restart"/>
                  <w:tcMar>
                    <w:top w:w="15" w:type="dxa"/>
                    <w:left w:w="15" w:type="dxa"/>
                    <w:right w:w="15" w:type="dxa"/>
                  </w:tcMar>
                  <w:vAlign w:val="center"/>
                </w:tcPr>
                <w:p w14:paraId="7AABAD2E">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排放规律</w:t>
                  </w:r>
                </w:p>
              </w:tc>
              <w:tc>
                <w:tcPr>
                  <w:tcW w:w="1790" w:type="dxa"/>
                  <w:gridSpan w:val="2"/>
                  <w:tcMar>
                    <w:top w:w="15" w:type="dxa"/>
                    <w:left w:w="15" w:type="dxa"/>
                    <w:right w:w="15" w:type="dxa"/>
                  </w:tcMar>
                  <w:vAlign w:val="center"/>
                </w:tcPr>
                <w:p w14:paraId="03E3510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污染治理设施</w:t>
                  </w:r>
                </w:p>
              </w:tc>
              <w:tc>
                <w:tcPr>
                  <w:tcW w:w="688" w:type="dxa"/>
                  <w:vMerge w:val="restart"/>
                  <w:tcMar>
                    <w:top w:w="15" w:type="dxa"/>
                    <w:left w:w="15" w:type="dxa"/>
                    <w:right w:w="15" w:type="dxa"/>
                  </w:tcMar>
                  <w:vAlign w:val="center"/>
                </w:tcPr>
                <w:p w14:paraId="5ECE4A5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排放口编号</w:t>
                  </w:r>
                </w:p>
              </w:tc>
              <w:tc>
                <w:tcPr>
                  <w:tcW w:w="954" w:type="dxa"/>
                  <w:vMerge w:val="restart"/>
                  <w:tcMar>
                    <w:top w:w="15" w:type="dxa"/>
                    <w:left w:w="15" w:type="dxa"/>
                    <w:right w:w="15" w:type="dxa"/>
                  </w:tcMar>
                  <w:vAlign w:val="center"/>
                </w:tcPr>
                <w:p w14:paraId="3CF5A518">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排放口设置是否符合要求</w:t>
                  </w:r>
                </w:p>
              </w:tc>
              <w:tc>
                <w:tcPr>
                  <w:tcW w:w="614" w:type="dxa"/>
                  <w:vMerge w:val="restart"/>
                  <w:tcMar>
                    <w:top w:w="15" w:type="dxa"/>
                    <w:left w:w="15" w:type="dxa"/>
                    <w:right w:w="15" w:type="dxa"/>
                  </w:tcMar>
                  <w:vAlign w:val="center"/>
                </w:tcPr>
                <w:p w14:paraId="60AA6A8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排放口类型</w:t>
                  </w:r>
                </w:p>
              </w:tc>
            </w:tr>
            <w:tr w14:paraId="7F5B6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6" w:type="dxa"/>
                  <w:vMerge w:val="continue"/>
                  <w:tcMar>
                    <w:top w:w="15" w:type="dxa"/>
                    <w:left w:w="15" w:type="dxa"/>
                    <w:right w:w="15" w:type="dxa"/>
                  </w:tcMar>
                  <w:vAlign w:val="center"/>
                </w:tcPr>
                <w:p w14:paraId="6E08BFA6">
                  <w:pPr>
                    <w:jc w:val="center"/>
                    <w:rPr>
                      <w:rFonts w:hint="default" w:ascii="Times New Roman" w:hAnsi="Times New Roman" w:cs="Times New Roman"/>
                      <w:color w:val="auto"/>
                      <w:sz w:val="18"/>
                      <w:szCs w:val="18"/>
                    </w:rPr>
                  </w:pPr>
                </w:p>
              </w:tc>
              <w:tc>
                <w:tcPr>
                  <w:tcW w:w="936" w:type="dxa"/>
                  <w:vMerge w:val="continue"/>
                  <w:tcMar>
                    <w:top w:w="15" w:type="dxa"/>
                    <w:left w:w="15" w:type="dxa"/>
                    <w:right w:w="15" w:type="dxa"/>
                  </w:tcMar>
                  <w:vAlign w:val="center"/>
                </w:tcPr>
                <w:p w14:paraId="4B2C0ACF">
                  <w:pPr>
                    <w:jc w:val="center"/>
                    <w:rPr>
                      <w:rFonts w:hint="default" w:ascii="Times New Roman" w:hAnsi="Times New Roman" w:cs="Times New Roman"/>
                      <w:color w:val="auto"/>
                      <w:sz w:val="18"/>
                      <w:szCs w:val="18"/>
                    </w:rPr>
                  </w:pPr>
                </w:p>
              </w:tc>
              <w:tc>
                <w:tcPr>
                  <w:tcW w:w="992" w:type="dxa"/>
                  <w:vMerge w:val="continue"/>
                  <w:tcMar>
                    <w:top w:w="15" w:type="dxa"/>
                    <w:left w:w="15" w:type="dxa"/>
                    <w:right w:w="15" w:type="dxa"/>
                  </w:tcMar>
                  <w:vAlign w:val="center"/>
                </w:tcPr>
                <w:p w14:paraId="0C6B4D7A">
                  <w:pPr>
                    <w:jc w:val="center"/>
                    <w:rPr>
                      <w:rFonts w:hint="default" w:ascii="Times New Roman" w:hAnsi="Times New Roman" w:cs="Times New Roman"/>
                      <w:color w:val="auto"/>
                      <w:sz w:val="18"/>
                      <w:szCs w:val="18"/>
                    </w:rPr>
                  </w:pPr>
                </w:p>
              </w:tc>
              <w:tc>
                <w:tcPr>
                  <w:tcW w:w="760" w:type="dxa"/>
                  <w:vMerge w:val="continue"/>
                  <w:tcMar>
                    <w:top w:w="15" w:type="dxa"/>
                    <w:left w:w="15" w:type="dxa"/>
                    <w:right w:w="15" w:type="dxa"/>
                  </w:tcMar>
                  <w:vAlign w:val="center"/>
                </w:tcPr>
                <w:p w14:paraId="5C398C6D">
                  <w:pPr>
                    <w:jc w:val="center"/>
                    <w:rPr>
                      <w:rFonts w:hint="default" w:ascii="Times New Roman" w:hAnsi="Times New Roman" w:cs="Times New Roman"/>
                      <w:color w:val="auto"/>
                      <w:sz w:val="18"/>
                      <w:szCs w:val="18"/>
                    </w:rPr>
                  </w:pPr>
                </w:p>
              </w:tc>
              <w:tc>
                <w:tcPr>
                  <w:tcW w:w="836" w:type="dxa"/>
                  <w:vMerge w:val="continue"/>
                  <w:tcMar>
                    <w:top w:w="15" w:type="dxa"/>
                    <w:left w:w="15" w:type="dxa"/>
                    <w:right w:w="15" w:type="dxa"/>
                  </w:tcMar>
                  <w:vAlign w:val="center"/>
                </w:tcPr>
                <w:p w14:paraId="2E526FA6">
                  <w:pPr>
                    <w:jc w:val="center"/>
                    <w:rPr>
                      <w:rFonts w:hint="default" w:ascii="Times New Roman" w:hAnsi="Times New Roman" w:cs="Times New Roman"/>
                      <w:color w:val="auto"/>
                      <w:sz w:val="18"/>
                      <w:szCs w:val="18"/>
                    </w:rPr>
                  </w:pPr>
                </w:p>
              </w:tc>
              <w:tc>
                <w:tcPr>
                  <w:tcW w:w="880" w:type="dxa"/>
                  <w:tcMar>
                    <w:top w:w="15" w:type="dxa"/>
                    <w:left w:w="15" w:type="dxa"/>
                    <w:right w:w="15" w:type="dxa"/>
                  </w:tcMar>
                  <w:vAlign w:val="center"/>
                </w:tcPr>
                <w:p w14:paraId="320DCA1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污染治理设施名称</w:t>
                  </w:r>
                </w:p>
              </w:tc>
              <w:tc>
                <w:tcPr>
                  <w:tcW w:w="910" w:type="dxa"/>
                  <w:tcMar>
                    <w:top w:w="15" w:type="dxa"/>
                    <w:left w:w="15" w:type="dxa"/>
                    <w:right w:w="15" w:type="dxa"/>
                  </w:tcMar>
                  <w:vAlign w:val="center"/>
                </w:tcPr>
                <w:p w14:paraId="1069142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污染治理设施工艺</w:t>
                  </w:r>
                </w:p>
              </w:tc>
              <w:tc>
                <w:tcPr>
                  <w:tcW w:w="688" w:type="dxa"/>
                  <w:vMerge w:val="continue"/>
                  <w:tcMar>
                    <w:top w:w="15" w:type="dxa"/>
                    <w:left w:w="15" w:type="dxa"/>
                    <w:right w:w="15" w:type="dxa"/>
                  </w:tcMar>
                  <w:vAlign w:val="center"/>
                </w:tcPr>
                <w:p w14:paraId="706FF990">
                  <w:pPr>
                    <w:jc w:val="center"/>
                    <w:rPr>
                      <w:rFonts w:hint="default" w:ascii="Times New Roman" w:hAnsi="Times New Roman" w:cs="Times New Roman"/>
                      <w:color w:val="auto"/>
                      <w:sz w:val="18"/>
                      <w:szCs w:val="18"/>
                    </w:rPr>
                  </w:pPr>
                </w:p>
              </w:tc>
              <w:tc>
                <w:tcPr>
                  <w:tcW w:w="954" w:type="dxa"/>
                  <w:vMerge w:val="continue"/>
                  <w:tcMar>
                    <w:top w:w="15" w:type="dxa"/>
                    <w:left w:w="15" w:type="dxa"/>
                    <w:right w:w="15" w:type="dxa"/>
                  </w:tcMar>
                  <w:vAlign w:val="center"/>
                </w:tcPr>
                <w:p w14:paraId="28D0379E">
                  <w:pPr>
                    <w:jc w:val="center"/>
                    <w:rPr>
                      <w:rFonts w:hint="default" w:ascii="Times New Roman" w:hAnsi="Times New Roman" w:cs="Times New Roman"/>
                      <w:color w:val="auto"/>
                      <w:sz w:val="18"/>
                      <w:szCs w:val="18"/>
                    </w:rPr>
                  </w:pPr>
                </w:p>
              </w:tc>
              <w:tc>
                <w:tcPr>
                  <w:tcW w:w="614" w:type="dxa"/>
                  <w:vMerge w:val="continue"/>
                  <w:tcMar>
                    <w:top w:w="15" w:type="dxa"/>
                    <w:left w:w="15" w:type="dxa"/>
                    <w:right w:w="15" w:type="dxa"/>
                  </w:tcMar>
                  <w:vAlign w:val="center"/>
                </w:tcPr>
                <w:p w14:paraId="6C83F053">
                  <w:pPr>
                    <w:jc w:val="center"/>
                    <w:rPr>
                      <w:rFonts w:hint="default" w:ascii="Times New Roman" w:hAnsi="Times New Roman" w:cs="Times New Roman"/>
                      <w:color w:val="auto"/>
                      <w:sz w:val="18"/>
                      <w:szCs w:val="18"/>
                    </w:rPr>
                  </w:pPr>
                </w:p>
              </w:tc>
            </w:tr>
            <w:tr w14:paraId="39CD3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6" w:type="dxa"/>
                  <w:tcMar>
                    <w:top w:w="15" w:type="dxa"/>
                    <w:left w:w="15" w:type="dxa"/>
                    <w:right w:w="15" w:type="dxa"/>
                  </w:tcMar>
                  <w:vAlign w:val="center"/>
                </w:tcPr>
                <w:p w14:paraId="03009CE7">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936" w:type="dxa"/>
                  <w:tcMar>
                    <w:top w:w="15" w:type="dxa"/>
                    <w:left w:w="15" w:type="dxa"/>
                    <w:right w:w="15" w:type="dxa"/>
                  </w:tcMar>
                  <w:vAlign w:val="center"/>
                </w:tcPr>
                <w:p w14:paraId="0C0266D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生产污水</w:t>
                  </w:r>
                </w:p>
              </w:tc>
              <w:tc>
                <w:tcPr>
                  <w:tcW w:w="992" w:type="dxa"/>
                  <w:tcMar>
                    <w:top w:w="15" w:type="dxa"/>
                    <w:left w:w="15" w:type="dxa"/>
                    <w:right w:w="15" w:type="dxa"/>
                  </w:tcMar>
                  <w:vAlign w:val="center"/>
                </w:tcPr>
                <w:p w14:paraId="479FF70C">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vertAlign w:val="subscript"/>
                    </w:rPr>
                    <w:t>Cr</w:t>
                  </w:r>
                  <w:r>
                    <w:rPr>
                      <w:rFonts w:hint="default" w:ascii="Times New Roman" w:hAnsi="Times New Roman" w:cs="Times New Roman"/>
                      <w:color w:val="auto"/>
                      <w:sz w:val="18"/>
                      <w:szCs w:val="18"/>
                    </w:rPr>
                    <w:t>、SS、氟化物、氨氮、总氮、LAS</w:t>
                  </w:r>
                </w:p>
              </w:tc>
              <w:tc>
                <w:tcPr>
                  <w:tcW w:w="760" w:type="dxa"/>
                  <w:tcMar>
                    <w:top w:w="15" w:type="dxa"/>
                    <w:left w:w="15" w:type="dxa"/>
                    <w:right w:w="15" w:type="dxa"/>
                  </w:tcMar>
                  <w:vAlign w:val="center"/>
                </w:tcPr>
                <w:p w14:paraId="6472803E">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城市污水处理厂</w:t>
                  </w:r>
                </w:p>
              </w:tc>
              <w:tc>
                <w:tcPr>
                  <w:tcW w:w="836" w:type="dxa"/>
                  <w:tcMar>
                    <w:top w:w="15" w:type="dxa"/>
                    <w:left w:w="15" w:type="dxa"/>
                    <w:right w:w="15" w:type="dxa"/>
                  </w:tcMar>
                  <w:vAlign w:val="center"/>
                </w:tcPr>
                <w:p w14:paraId="75F66353">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间断排</w:t>
                  </w:r>
                  <w:r>
                    <w:rPr>
                      <w:rFonts w:hint="default" w:ascii="Times New Roman" w:hAnsi="Times New Roman" w:cs="Times New Roman"/>
                      <w:color w:val="auto"/>
                      <w:sz w:val="18"/>
                      <w:szCs w:val="18"/>
                    </w:rPr>
                    <w:br w:type="textWrapping"/>
                  </w:r>
                  <w:r>
                    <w:rPr>
                      <w:rFonts w:hint="default" w:ascii="Times New Roman" w:hAnsi="Times New Roman" w:cs="Times New Roman"/>
                      <w:color w:val="auto"/>
                      <w:sz w:val="18"/>
                      <w:szCs w:val="18"/>
                    </w:rPr>
                    <w:t>放，排放</w:t>
                  </w:r>
                  <w:r>
                    <w:rPr>
                      <w:rFonts w:hint="default" w:ascii="Times New Roman" w:hAnsi="Times New Roman" w:cs="Times New Roman"/>
                      <w:color w:val="auto"/>
                      <w:sz w:val="18"/>
                      <w:szCs w:val="18"/>
                    </w:rPr>
                    <w:br w:type="textWrapping"/>
                  </w:r>
                  <w:r>
                    <w:rPr>
                      <w:rFonts w:hint="default" w:ascii="Times New Roman" w:hAnsi="Times New Roman" w:cs="Times New Roman"/>
                      <w:color w:val="auto"/>
                      <w:sz w:val="18"/>
                      <w:szCs w:val="18"/>
                    </w:rPr>
                    <w:t>期间流</w:t>
                  </w:r>
                  <w:r>
                    <w:rPr>
                      <w:rFonts w:hint="default" w:ascii="Times New Roman" w:hAnsi="Times New Roman" w:cs="Times New Roman"/>
                      <w:color w:val="auto"/>
                      <w:sz w:val="18"/>
                      <w:szCs w:val="18"/>
                    </w:rPr>
                    <w:br w:type="textWrapping"/>
                  </w:r>
                  <w:r>
                    <w:rPr>
                      <w:rFonts w:hint="default" w:ascii="Times New Roman" w:hAnsi="Times New Roman" w:cs="Times New Roman"/>
                      <w:color w:val="auto"/>
                      <w:sz w:val="18"/>
                      <w:szCs w:val="18"/>
                    </w:rPr>
                    <w:t>量稳定</w:t>
                  </w:r>
                </w:p>
              </w:tc>
              <w:tc>
                <w:tcPr>
                  <w:tcW w:w="880" w:type="dxa"/>
                  <w:tcMar>
                    <w:top w:w="15" w:type="dxa"/>
                    <w:left w:w="15" w:type="dxa"/>
                    <w:right w:w="15" w:type="dxa"/>
                  </w:tcMar>
                  <w:vAlign w:val="center"/>
                </w:tcPr>
                <w:p w14:paraId="729DA83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厂区污水站</w:t>
                  </w:r>
                </w:p>
              </w:tc>
              <w:tc>
                <w:tcPr>
                  <w:tcW w:w="910" w:type="dxa"/>
                  <w:tcMar>
                    <w:top w:w="15" w:type="dxa"/>
                    <w:left w:w="15" w:type="dxa"/>
                    <w:right w:w="15" w:type="dxa"/>
                  </w:tcMar>
                  <w:vAlign w:val="center"/>
                </w:tcPr>
                <w:p w14:paraId="5548454E">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调节、中和沉淀、过滤</w:t>
                  </w:r>
                </w:p>
              </w:tc>
              <w:tc>
                <w:tcPr>
                  <w:tcW w:w="688" w:type="dxa"/>
                  <w:tcMar>
                    <w:top w:w="15" w:type="dxa"/>
                    <w:left w:w="15" w:type="dxa"/>
                    <w:right w:w="15" w:type="dxa"/>
                  </w:tcMar>
                  <w:vAlign w:val="center"/>
                </w:tcPr>
                <w:p w14:paraId="198C7DB7">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DW001</w:t>
                  </w:r>
                </w:p>
              </w:tc>
              <w:tc>
                <w:tcPr>
                  <w:tcW w:w="954" w:type="dxa"/>
                  <w:tcMar>
                    <w:top w:w="15" w:type="dxa"/>
                    <w:left w:w="15" w:type="dxa"/>
                    <w:right w:w="15" w:type="dxa"/>
                  </w:tcMar>
                  <w:vAlign w:val="center"/>
                </w:tcPr>
                <w:p w14:paraId="5638EEC4">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614" w:type="dxa"/>
                  <w:tcMar>
                    <w:top w:w="15" w:type="dxa"/>
                    <w:left w:w="15" w:type="dxa"/>
                    <w:right w:w="15" w:type="dxa"/>
                  </w:tcMar>
                  <w:vAlign w:val="center"/>
                </w:tcPr>
                <w:p w14:paraId="30FF0054">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企业总排口</w:t>
                  </w:r>
                </w:p>
              </w:tc>
            </w:tr>
          </w:tbl>
          <w:p w14:paraId="4855F926">
            <w:pPr>
              <w:spacing w:before="12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表4.2.4-</w:t>
            </w:r>
            <w:r>
              <w:rPr>
                <w:rFonts w:hint="eastAsia" w:cs="Times New Roman"/>
                <w:b/>
                <w:color w:val="auto"/>
                <w:szCs w:val="21"/>
                <w:lang w:val="en-US" w:eastAsia="zh-CN"/>
              </w:rPr>
              <w:t>9</w:t>
            </w:r>
            <w:r>
              <w:rPr>
                <w:rFonts w:hint="default" w:ascii="Times New Roman" w:hAnsi="Times New Roman" w:cs="Times New Roman"/>
                <w:b/>
                <w:color w:val="auto"/>
                <w:szCs w:val="21"/>
              </w:rPr>
              <w:t xml:space="preserve">  废水间接排放口基本情况表</w:t>
            </w:r>
          </w:p>
          <w:tbl>
            <w:tblPr>
              <w:tblStyle w:val="32"/>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449"/>
              <w:gridCol w:w="721"/>
              <w:gridCol w:w="736"/>
              <w:gridCol w:w="655"/>
              <w:gridCol w:w="518"/>
              <w:gridCol w:w="668"/>
              <w:gridCol w:w="696"/>
              <w:gridCol w:w="533"/>
              <w:gridCol w:w="1590"/>
              <w:gridCol w:w="1359"/>
            </w:tblGrid>
            <w:tr w14:paraId="12F1D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9" w:type="dxa"/>
                  <w:vMerge w:val="restart"/>
                  <w:vAlign w:val="center"/>
                </w:tcPr>
                <w:p w14:paraId="3A1C40D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721" w:type="dxa"/>
                  <w:vMerge w:val="restart"/>
                  <w:vAlign w:val="center"/>
                </w:tcPr>
                <w:p w14:paraId="7CD651A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排放口编号</w:t>
                  </w:r>
                </w:p>
              </w:tc>
              <w:tc>
                <w:tcPr>
                  <w:tcW w:w="1391" w:type="dxa"/>
                  <w:gridSpan w:val="2"/>
                  <w:vAlign w:val="center"/>
                </w:tcPr>
                <w:p w14:paraId="4E65DC1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排放口经纬度</w:t>
                  </w:r>
                </w:p>
              </w:tc>
              <w:tc>
                <w:tcPr>
                  <w:tcW w:w="518" w:type="dxa"/>
                  <w:vMerge w:val="restart"/>
                  <w:vAlign w:val="center"/>
                </w:tcPr>
                <w:p w14:paraId="41D3DEA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w:t>
                  </w:r>
                </w:p>
                <w:p w14:paraId="02B578C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(t/a)</w:t>
                  </w:r>
                </w:p>
              </w:tc>
              <w:tc>
                <w:tcPr>
                  <w:tcW w:w="668" w:type="dxa"/>
                  <w:vMerge w:val="restart"/>
                  <w:vAlign w:val="center"/>
                </w:tcPr>
                <w:p w14:paraId="6B21D54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排放规律</w:t>
                  </w:r>
                </w:p>
              </w:tc>
              <w:tc>
                <w:tcPr>
                  <w:tcW w:w="696" w:type="dxa"/>
                  <w:vMerge w:val="restart"/>
                  <w:vAlign w:val="center"/>
                </w:tcPr>
                <w:p w14:paraId="1D7A0A1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间歇排</w:t>
                  </w:r>
                </w:p>
                <w:p w14:paraId="69C5030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放时段</w:t>
                  </w:r>
                </w:p>
              </w:tc>
              <w:tc>
                <w:tcPr>
                  <w:tcW w:w="3482" w:type="dxa"/>
                  <w:gridSpan w:val="3"/>
                  <w:vAlign w:val="center"/>
                </w:tcPr>
                <w:p w14:paraId="56C46DF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受纳污水处理厂信息</w:t>
                  </w:r>
                </w:p>
              </w:tc>
            </w:tr>
            <w:tr w14:paraId="281A6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49" w:type="dxa"/>
                  <w:vMerge w:val="continue"/>
                  <w:vAlign w:val="center"/>
                </w:tcPr>
                <w:p w14:paraId="1C95384E">
                  <w:pPr>
                    <w:rPr>
                      <w:rFonts w:hint="default" w:ascii="Times New Roman" w:hAnsi="Times New Roman" w:cs="Times New Roman"/>
                      <w:color w:val="auto"/>
                      <w:sz w:val="18"/>
                      <w:szCs w:val="18"/>
                    </w:rPr>
                  </w:pPr>
                </w:p>
              </w:tc>
              <w:tc>
                <w:tcPr>
                  <w:tcW w:w="721" w:type="dxa"/>
                  <w:vMerge w:val="continue"/>
                  <w:vAlign w:val="center"/>
                </w:tcPr>
                <w:p w14:paraId="5D7803BD">
                  <w:pPr>
                    <w:rPr>
                      <w:rFonts w:hint="default" w:ascii="Times New Roman" w:hAnsi="Times New Roman" w:cs="Times New Roman"/>
                      <w:color w:val="auto"/>
                      <w:sz w:val="18"/>
                      <w:szCs w:val="18"/>
                    </w:rPr>
                  </w:pPr>
                </w:p>
              </w:tc>
              <w:tc>
                <w:tcPr>
                  <w:tcW w:w="736" w:type="dxa"/>
                  <w:vAlign w:val="center"/>
                </w:tcPr>
                <w:p w14:paraId="30F4447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经度°</w:t>
                  </w:r>
                </w:p>
              </w:tc>
              <w:tc>
                <w:tcPr>
                  <w:tcW w:w="655" w:type="dxa"/>
                  <w:vAlign w:val="center"/>
                </w:tcPr>
                <w:p w14:paraId="459470C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纬度°</w:t>
                  </w:r>
                </w:p>
              </w:tc>
              <w:tc>
                <w:tcPr>
                  <w:tcW w:w="518" w:type="dxa"/>
                  <w:vMerge w:val="continue"/>
                  <w:vAlign w:val="center"/>
                </w:tcPr>
                <w:p w14:paraId="64825F4E">
                  <w:pPr>
                    <w:rPr>
                      <w:rFonts w:hint="default" w:ascii="Times New Roman" w:hAnsi="Times New Roman" w:cs="Times New Roman"/>
                      <w:color w:val="auto"/>
                      <w:sz w:val="18"/>
                      <w:szCs w:val="18"/>
                    </w:rPr>
                  </w:pPr>
                </w:p>
              </w:tc>
              <w:tc>
                <w:tcPr>
                  <w:tcW w:w="668" w:type="dxa"/>
                  <w:vMerge w:val="continue"/>
                  <w:vAlign w:val="center"/>
                </w:tcPr>
                <w:p w14:paraId="092C2844">
                  <w:pPr>
                    <w:rPr>
                      <w:rFonts w:hint="default" w:ascii="Times New Roman" w:hAnsi="Times New Roman" w:cs="Times New Roman"/>
                      <w:color w:val="auto"/>
                      <w:sz w:val="18"/>
                      <w:szCs w:val="18"/>
                    </w:rPr>
                  </w:pPr>
                </w:p>
              </w:tc>
              <w:tc>
                <w:tcPr>
                  <w:tcW w:w="696" w:type="dxa"/>
                  <w:vMerge w:val="continue"/>
                  <w:vAlign w:val="center"/>
                </w:tcPr>
                <w:p w14:paraId="5B68A846">
                  <w:pPr>
                    <w:rPr>
                      <w:rFonts w:hint="default" w:ascii="Times New Roman" w:hAnsi="Times New Roman" w:cs="Times New Roman"/>
                      <w:color w:val="auto"/>
                      <w:sz w:val="18"/>
                      <w:szCs w:val="18"/>
                    </w:rPr>
                  </w:pPr>
                </w:p>
              </w:tc>
              <w:tc>
                <w:tcPr>
                  <w:tcW w:w="533" w:type="dxa"/>
                  <w:vAlign w:val="center"/>
                </w:tcPr>
                <w:p w14:paraId="268CE8C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1590" w:type="dxa"/>
                  <w:vAlign w:val="center"/>
                </w:tcPr>
                <w:p w14:paraId="6AE0D94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p w14:paraId="347E726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种类</w:t>
                  </w:r>
                </w:p>
              </w:tc>
              <w:tc>
                <w:tcPr>
                  <w:tcW w:w="1359" w:type="dxa"/>
                  <w:vAlign w:val="center"/>
                </w:tcPr>
                <w:p w14:paraId="550FB13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国家或地方污染物排放标准浓度限值(mg/L)</w:t>
                  </w:r>
                </w:p>
              </w:tc>
            </w:tr>
            <w:tr w14:paraId="0BCDC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restart"/>
                  <w:vAlign w:val="center"/>
                </w:tcPr>
                <w:p w14:paraId="0AD3B5C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721" w:type="dxa"/>
                  <w:vMerge w:val="restart"/>
                  <w:vAlign w:val="center"/>
                </w:tcPr>
                <w:p w14:paraId="1832E20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DW001</w:t>
                  </w:r>
                </w:p>
              </w:tc>
              <w:tc>
                <w:tcPr>
                  <w:tcW w:w="736" w:type="dxa"/>
                  <w:vMerge w:val="restart"/>
                  <w:vAlign w:val="center"/>
                </w:tcPr>
                <w:p w14:paraId="5DEED24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117.087</w:t>
                  </w:r>
                </w:p>
              </w:tc>
              <w:tc>
                <w:tcPr>
                  <w:tcW w:w="655" w:type="dxa"/>
                  <w:vMerge w:val="restart"/>
                  <w:vAlign w:val="center"/>
                </w:tcPr>
                <w:p w14:paraId="5C2092A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32.635</w:t>
                  </w:r>
                </w:p>
              </w:tc>
              <w:tc>
                <w:tcPr>
                  <w:tcW w:w="518" w:type="dxa"/>
                  <w:vMerge w:val="restart"/>
                  <w:vAlign w:val="center"/>
                </w:tcPr>
                <w:p w14:paraId="24DAD065">
                  <w:pPr>
                    <w:adjustRightInd w:val="0"/>
                    <w:snapToGrid w:val="0"/>
                    <w:jc w:val="center"/>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20700</w:t>
                  </w:r>
                </w:p>
              </w:tc>
              <w:tc>
                <w:tcPr>
                  <w:tcW w:w="668" w:type="dxa"/>
                  <w:vMerge w:val="restart"/>
                  <w:vAlign w:val="center"/>
                </w:tcPr>
                <w:p w14:paraId="383F555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间歇</w:t>
                  </w:r>
                </w:p>
              </w:tc>
              <w:tc>
                <w:tcPr>
                  <w:tcW w:w="696" w:type="dxa"/>
                  <w:vMerge w:val="restart"/>
                  <w:vAlign w:val="center"/>
                </w:tcPr>
                <w:p w14:paraId="6EEAAE73">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24h</w:t>
                  </w:r>
                </w:p>
              </w:tc>
              <w:tc>
                <w:tcPr>
                  <w:tcW w:w="533" w:type="dxa"/>
                  <w:vMerge w:val="restart"/>
                  <w:vAlign w:val="center"/>
                </w:tcPr>
                <w:p w14:paraId="30AFD5E7">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淮南经济技术开发区污水处理厂</w:t>
                  </w:r>
                </w:p>
              </w:tc>
              <w:tc>
                <w:tcPr>
                  <w:tcW w:w="1590" w:type="dxa"/>
                  <w:vAlign w:val="center"/>
                </w:tcPr>
                <w:p w14:paraId="349D9E5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pH</w:t>
                  </w:r>
                </w:p>
              </w:tc>
              <w:tc>
                <w:tcPr>
                  <w:tcW w:w="1359" w:type="dxa"/>
                  <w:vAlign w:val="center"/>
                </w:tcPr>
                <w:p w14:paraId="49C0884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6-9</w:t>
                  </w:r>
                </w:p>
              </w:tc>
            </w:tr>
            <w:tr w14:paraId="45DA4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continue"/>
                  <w:vAlign w:val="center"/>
                </w:tcPr>
                <w:p w14:paraId="74F61805">
                  <w:pPr>
                    <w:rPr>
                      <w:rFonts w:hint="default" w:ascii="Times New Roman" w:hAnsi="Times New Roman" w:cs="Times New Roman"/>
                      <w:color w:val="auto"/>
                      <w:sz w:val="18"/>
                      <w:szCs w:val="18"/>
                    </w:rPr>
                  </w:pPr>
                </w:p>
              </w:tc>
              <w:tc>
                <w:tcPr>
                  <w:tcW w:w="721" w:type="dxa"/>
                  <w:vMerge w:val="continue"/>
                  <w:vAlign w:val="center"/>
                </w:tcPr>
                <w:p w14:paraId="10EAE289">
                  <w:pPr>
                    <w:rPr>
                      <w:rFonts w:hint="default" w:ascii="Times New Roman" w:hAnsi="Times New Roman" w:cs="Times New Roman"/>
                      <w:color w:val="auto"/>
                      <w:sz w:val="18"/>
                      <w:szCs w:val="18"/>
                    </w:rPr>
                  </w:pPr>
                </w:p>
              </w:tc>
              <w:tc>
                <w:tcPr>
                  <w:tcW w:w="736" w:type="dxa"/>
                  <w:vMerge w:val="continue"/>
                  <w:vAlign w:val="center"/>
                </w:tcPr>
                <w:p w14:paraId="23EECA18">
                  <w:pPr>
                    <w:rPr>
                      <w:rFonts w:hint="default" w:ascii="Times New Roman" w:hAnsi="Times New Roman" w:cs="Times New Roman"/>
                      <w:color w:val="auto"/>
                      <w:sz w:val="18"/>
                      <w:szCs w:val="18"/>
                    </w:rPr>
                  </w:pPr>
                </w:p>
              </w:tc>
              <w:tc>
                <w:tcPr>
                  <w:tcW w:w="655" w:type="dxa"/>
                  <w:vMerge w:val="continue"/>
                  <w:vAlign w:val="center"/>
                </w:tcPr>
                <w:p w14:paraId="5DED8CF1">
                  <w:pPr>
                    <w:rPr>
                      <w:rFonts w:hint="default" w:ascii="Times New Roman" w:hAnsi="Times New Roman" w:cs="Times New Roman"/>
                      <w:color w:val="auto"/>
                      <w:sz w:val="18"/>
                      <w:szCs w:val="18"/>
                    </w:rPr>
                  </w:pPr>
                </w:p>
              </w:tc>
              <w:tc>
                <w:tcPr>
                  <w:tcW w:w="518" w:type="dxa"/>
                  <w:vMerge w:val="continue"/>
                  <w:vAlign w:val="center"/>
                </w:tcPr>
                <w:p w14:paraId="10D10868">
                  <w:pPr>
                    <w:rPr>
                      <w:rFonts w:hint="default" w:ascii="Times New Roman" w:hAnsi="Times New Roman" w:cs="Times New Roman"/>
                      <w:color w:val="auto"/>
                      <w:sz w:val="18"/>
                      <w:szCs w:val="18"/>
                    </w:rPr>
                  </w:pPr>
                </w:p>
              </w:tc>
              <w:tc>
                <w:tcPr>
                  <w:tcW w:w="668" w:type="dxa"/>
                  <w:vMerge w:val="continue"/>
                  <w:vAlign w:val="center"/>
                </w:tcPr>
                <w:p w14:paraId="458CEFC7">
                  <w:pPr>
                    <w:rPr>
                      <w:rFonts w:hint="default" w:ascii="Times New Roman" w:hAnsi="Times New Roman" w:cs="Times New Roman"/>
                      <w:color w:val="auto"/>
                      <w:sz w:val="18"/>
                      <w:szCs w:val="18"/>
                    </w:rPr>
                  </w:pPr>
                </w:p>
              </w:tc>
              <w:tc>
                <w:tcPr>
                  <w:tcW w:w="696" w:type="dxa"/>
                  <w:vMerge w:val="continue"/>
                  <w:vAlign w:val="center"/>
                </w:tcPr>
                <w:p w14:paraId="57268F46">
                  <w:pPr>
                    <w:rPr>
                      <w:rFonts w:hint="default" w:ascii="Times New Roman" w:hAnsi="Times New Roman" w:cs="Times New Roman"/>
                      <w:color w:val="auto"/>
                      <w:sz w:val="18"/>
                      <w:szCs w:val="18"/>
                    </w:rPr>
                  </w:pPr>
                </w:p>
              </w:tc>
              <w:tc>
                <w:tcPr>
                  <w:tcW w:w="533" w:type="dxa"/>
                  <w:vMerge w:val="continue"/>
                  <w:vAlign w:val="center"/>
                </w:tcPr>
                <w:p w14:paraId="0C395DA5">
                  <w:pPr>
                    <w:rPr>
                      <w:rFonts w:hint="default" w:ascii="Times New Roman" w:hAnsi="Times New Roman" w:cs="Times New Roman"/>
                      <w:color w:val="auto"/>
                      <w:sz w:val="18"/>
                      <w:szCs w:val="18"/>
                    </w:rPr>
                  </w:pPr>
                </w:p>
              </w:tc>
              <w:tc>
                <w:tcPr>
                  <w:tcW w:w="1590" w:type="dxa"/>
                  <w:vAlign w:val="center"/>
                </w:tcPr>
                <w:p w14:paraId="6C1DAEB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w:t>
                  </w:r>
                  <w:r>
                    <w:rPr>
                      <w:rFonts w:hint="default" w:ascii="Times New Roman" w:hAnsi="Times New Roman" w:cs="Times New Roman"/>
                      <w:color w:val="auto"/>
                      <w:sz w:val="18"/>
                      <w:szCs w:val="18"/>
                      <w:vertAlign w:val="subscript"/>
                    </w:rPr>
                    <w:t>Cr</w:t>
                  </w:r>
                </w:p>
              </w:tc>
              <w:tc>
                <w:tcPr>
                  <w:tcW w:w="1359" w:type="dxa"/>
                  <w:vAlign w:val="center"/>
                </w:tcPr>
                <w:p w14:paraId="0EAD250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r>
            <w:tr w14:paraId="594D5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continue"/>
                </w:tcPr>
                <w:p w14:paraId="408324B8">
                  <w:pPr>
                    <w:rPr>
                      <w:rFonts w:hint="default" w:ascii="Times New Roman" w:hAnsi="Times New Roman" w:cs="Times New Roman"/>
                      <w:color w:val="auto"/>
                      <w:sz w:val="18"/>
                      <w:szCs w:val="18"/>
                    </w:rPr>
                  </w:pPr>
                </w:p>
              </w:tc>
              <w:tc>
                <w:tcPr>
                  <w:tcW w:w="721" w:type="dxa"/>
                  <w:vMerge w:val="continue"/>
                </w:tcPr>
                <w:p w14:paraId="62F749DF">
                  <w:pPr>
                    <w:rPr>
                      <w:rFonts w:hint="default" w:ascii="Times New Roman" w:hAnsi="Times New Roman" w:cs="Times New Roman"/>
                      <w:color w:val="auto"/>
                      <w:sz w:val="18"/>
                      <w:szCs w:val="18"/>
                    </w:rPr>
                  </w:pPr>
                </w:p>
              </w:tc>
              <w:tc>
                <w:tcPr>
                  <w:tcW w:w="736" w:type="dxa"/>
                  <w:vMerge w:val="continue"/>
                </w:tcPr>
                <w:p w14:paraId="30D75DB9">
                  <w:pPr>
                    <w:rPr>
                      <w:rFonts w:hint="default" w:ascii="Times New Roman" w:hAnsi="Times New Roman" w:cs="Times New Roman"/>
                      <w:color w:val="auto"/>
                      <w:sz w:val="18"/>
                      <w:szCs w:val="18"/>
                    </w:rPr>
                  </w:pPr>
                </w:p>
              </w:tc>
              <w:tc>
                <w:tcPr>
                  <w:tcW w:w="655" w:type="dxa"/>
                  <w:vMerge w:val="continue"/>
                </w:tcPr>
                <w:p w14:paraId="4CC94234">
                  <w:pPr>
                    <w:rPr>
                      <w:rFonts w:hint="default" w:ascii="Times New Roman" w:hAnsi="Times New Roman" w:cs="Times New Roman"/>
                      <w:color w:val="auto"/>
                      <w:sz w:val="18"/>
                      <w:szCs w:val="18"/>
                    </w:rPr>
                  </w:pPr>
                </w:p>
              </w:tc>
              <w:tc>
                <w:tcPr>
                  <w:tcW w:w="518" w:type="dxa"/>
                  <w:vMerge w:val="continue"/>
                </w:tcPr>
                <w:p w14:paraId="57AC81E3">
                  <w:pPr>
                    <w:rPr>
                      <w:rFonts w:hint="default" w:ascii="Times New Roman" w:hAnsi="Times New Roman" w:cs="Times New Roman"/>
                      <w:color w:val="auto"/>
                      <w:sz w:val="18"/>
                      <w:szCs w:val="18"/>
                    </w:rPr>
                  </w:pPr>
                </w:p>
              </w:tc>
              <w:tc>
                <w:tcPr>
                  <w:tcW w:w="668" w:type="dxa"/>
                  <w:vMerge w:val="continue"/>
                </w:tcPr>
                <w:p w14:paraId="3EE11767">
                  <w:pPr>
                    <w:rPr>
                      <w:rFonts w:hint="default" w:ascii="Times New Roman" w:hAnsi="Times New Roman" w:cs="Times New Roman"/>
                      <w:color w:val="auto"/>
                      <w:sz w:val="18"/>
                      <w:szCs w:val="18"/>
                    </w:rPr>
                  </w:pPr>
                </w:p>
              </w:tc>
              <w:tc>
                <w:tcPr>
                  <w:tcW w:w="696" w:type="dxa"/>
                  <w:vMerge w:val="continue"/>
                </w:tcPr>
                <w:p w14:paraId="3B68A567">
                  <w:pPr>
                    <w:rPr>
                      <w:rFonts w:hint="default" w:ascii="Times New Roman" w:hAnsi="Times New Roman" w:cs="Times New Roman"/>
                      <w:color w:val="auto"/>
                      <w:sz w:val="18"/>
                      <w:szCs w:val="18"/>
                    </w:rPr>
                  </w:pPr>
                </w:p>
              </w:tc>
              <w:tc>
                <w:tcPr>
                  <w:tcW w:w="533" w:type="dxa"/>
                  <w:vMerge w:val="continue"/>
                </w:tcPr>
                <w:p w14:paraId="481C870C">
                  <w:pPr>
                    <w:rPr>
                      <w:rFonts w:hint="default" w:ascii="Times New Roman" w:hAnsi="Times New Roman" w:cs="Times New Roman"/>
                      <w:color w:val="auto"/>
                      <w:sz w:val="18"/>
                      <w:szCs w:val="18"/>
                    </w:rPr>
                  </w:pPr>
                </w:p>
              </w:tc>
              <w:tc>
                <w:tcPr>
                  <w:tcW w:w="1590" w:type="dxa"/>
                  <w:vAlign w:val="center"/>
                </w:tcPr>
                <w:p w14:paraId="7394680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NH</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-N</w:t>
                  </w:r>
                </w:p>
              </w:tc>
              <w:tc>
                <w:tcPr>
                  <w:tcW w:w="1359" w:type="dxa"/>
                  <w:vAlign w:val="center"/>
                </w:tcPr>
                <w:p w14:paraId="4FC431A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5（8)</w:t>
                  </w:r>
                </w:p>
              </w:tc>
            </w:tr>
            <w:tr w14:paraId="6DA75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continue"/>
                </w:tcPr>
                <w:p w14:paraId="0E8E93F0">
                  <w:pPr>
                    <w:rPr>
                      <w:rFonts w:hint="default" w:ascii="Times New Roman" w:hAnsi="Times New Roman" w:cs="Times New Roman"/>
                      <w:color w:val="auto"/>
                      <w:sz w:val="18"/>
                      <w:szCs w:val="18"/>
                    </w:rPr>
                  </w:pPr>
                </w:p>
              </w:tc>
              <w:tc>
                <w:tcPr>
                  <w:tcW w:w="721" w:type="dxa"/>
                  <w:vMerge w:val="continue"/>
                </w:tcPr>
                <w:p w14:paraId="0B6AF58B">
                  <w:pPr>
                    <w:rPr>
                      <w:rFonts w:hint="default" w:ascii="Times New Roman" w:hAnsi="Times New Roman" w:cs="Times New Roman"/>
                      <w:color w:val="auto"/>
                      <w:sz w:val="18"/>
                      <w:szCs w:val="18"/>
                    </w:rPr>
                  </w:pPr>
                </w:p>
              </w:tc>
              <w:tc>
                <w:tcPr>
                  <w:tcW w:w="736" w:type="dxa"/>
                  <w:vMerge w:val="continue"/>
                </w:tcPr>
                <w:p w14:paraId="152DEFD3">
                  <w:pPr>
                    <w:rPr>
                      <w:rFonts w:hint="default" w:ascii="Times New Roman" w:hAnsi="Times New Roman" w:cs="Times New Roman"/>
                      <w:color w:val="auto"/>
                      <w:sz w:val="18"/>
                      <w:szCs w:val="18"/>
                    </w:rPr>
                  </w:pPr>
                </w:p>
              </w:tc>
              <w:tc>
                <w:tcPr>
                  <w:tcW w:w="655" w:type="dxa"/>
                  <w:vMerge w:val="continue"/>
                </w:tcPr>
                <w:p w14:paraId="68CC00CB">
                  <w:pPr>
                    <w:rPr>
                      <w:rFonts w:hint="default" w:ascii="Times New Roman" w:hAnsi="Times New Roman" w:cs="Times New Roman"/>
                      <w:color w:val="auto"/>
                      <w:sz w:val="18"/>
                      <w:szCs w:val="18"/>
                    </w:rPr>
                  </w:pPr>
                </w:p>
              </w:tc>
              <w:tc>
                <w:tcPr>
                  <w:tcW w:w="518" w:type="dxa"/>
                  <w:vMerge w:val="continue"/>
                </w:tcPr>
                <w:p w14:paraId="103F847C">
                  <w:pPr>
                    <w:rPr>
                      <w:rFonts w:hint="default" w:ascii="Times New Roman" w:hAnsi="Times New Roman" w:cs="Times New Roman"/>
                      <w:color w:val="auto"/>
                      <w:sz w:val="18"/>
                      <w:szCs w:val="18"/>
                    </w:rPr>
                  </w:pPr>
                </w:p>
              </w:tc>
              <w:tc>
                <w:tcPr>
                  <w:tcW w:w="668" w:type="dxa"/>
                  <w:vMerge w:val="continue"/>
                </w:tcPr>
                <w:p w14:paraId="262655F7">
                  <w:pPr>
                    <w:rPr>
                      <w:rFonts w:hint="default" w:ascii="Times New Roman" w:hAnsi="Times New Roman" w:cs="Times New Roman"/>
                      <w:color w:val="auto"/>
                      <w:sz w:val="18"/>
                      <w:szCs w:val="18"/>
                    </w:rPr>
                  </w:pPr>
                </w:p>
              </w:tc>
              <w:tc>
                <w:tcPr>
                  <w:tcW w:w="696" w:type="dxa"/>
                  <w:vMerge w:val="continue"/>
                </w:tcPr>
                <w:p w14:paraId="49175C1B">
                  <w:pPr>
                    <w:rPr>
                      <w:rFonts w:hint="default" w:ascii="Times New Roman" w:hAnsi="Times New Roman" w:cs="Times New Roman"/>
                      <w:color w:val="auto"/>
                      <w:sz w:val="18"/>
                      <w:szCs w:val="18"/>
                    </w:rPr>
                  </w:pPr>
                </w:p>
              </w:tc>
              <w:tc>
                <w:tcPr>
                  <w:tcW w:w="533" w:type="dxa"/>
                  <w:vMerge w:val="continue"/>
                </w:tcPr>
                <w:p w14:paraId="67C190F0">
                  <w:pPr>
                    <w:rPr>
                      <w:rFonts w:hint="default" w:ascii="Times New Roman" w:hAnsi="Times New Roman" w:cs="Times New Roman"/>
                      <w:color w:val="auto"/>
                      <w:sz w:val="18"/>
                      <w:szCs w:val="18"/>
                    </w:rPr>
                  </w:pPr>
                </w:p>
              </w:tc>
              <w:tc>
                <w:tcPr>
                  <w:tcW w:w="1590" w:type="dxa"/>
                  <w:vAlign w:val="center"/>
                </w:tcPr>
                <w:p w14:paraId="45BE023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总磷</w:t>
                  </w:r>
                </w:p>
              </w:tc>
              <w:tc>
                <w:tcPr>
                  <w:tcW w:w="1359" w:type="dxa"/>
                  <w:vAlign w:val="center"/>
                </w:tcPr>
                <w:p w14:paraId="0DB4568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0.5</w:t>
                  </w:r>
                </w:p>
              </w:tc>
            </w:tr>
            <w:tr w14:paraId="433AC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continue"/>
                </w:tcPr>
                <w:p w14:paraId="0353BBAE">
                  <w:pPr>
                    <w:rPr>
                      <w:rFonts w:hint="default" w:ascii="Times New Roman" w:hAnsi="Times New Roman" w:cs="Times New Roman"/>
                      <w:color w:val="auto"/>
                      <w:sz w:val="18"/>
                      <w:szCs w:val="18"/>
                    </w:rPr>
                  </w:pPr>
                </w:p>
              </w:tc>
              <w:tc>
                <w:tcPr>
                  <w:tcW w:w="721" w:type="dxa"/>
                  <w:vMerge w:val="continue"/>
                </w:tcPr>
                <w:p w14:paraId="14EFF6FB">
                  <w:pPr>
                    <w:rPr>
                      <w:rFonts w:hint="default" w:ascii="Times New Roman" w:hAnsi="Times New Roman" w:cs="Times New Roman"/>
                      <w:color w:val="auto"/>
                      <w:sz w:val="18"/>
                      <w:szCs w:val="18"/>
                    </w:rPr>
                  </w:pPr>
                </w:p>
              </w:tc>
              <w:tc>
                <w:tcPr>
                  <w:tcW w:w="736" w:type="dxa"/>
                  <w:vMerge w:val="continue"/>
                </w:tcPr>
                <w:p w14:paraId="10DE3D5D">
                  <w:pPr>
                    <w:rPr>
                      <w:rFonts w:hint="default" w:ascii="Times New Roman" w:hAnsi="Times New Roman" w:cs="Times New Roman"/>
                      <w:color w:val="auto"/>
                      <w:sz w:val="18"/>
                      <w:szCs w:val="18"/>
                    </w:rPr>
                  </w:pPr>
                </w:p>
              </w:tc>
              <w:tc>
                <w:tcPr>
                  <w:tcW w:w="655" w:type="dxa"/>
                  <w:vMerge w:val="continue"/>
                </w:tcPr>
                <w:p w14:paraId="025BDFCF">
                  <w:pPr>
                    <w:rPr>
                      <w:rFonts w:hint="default" w:ascii="Times New Roman" w:hAnsi="Times New Roman" w:cs="Times New Roman"/>
                      <w:color w:val="auto"/>
                      <w:sz w:val="18"/>
                      <w:szCs w:val="18"/>
                    </w:rPr>
                  </w:pPr>
                </w:p>
              </w:tc>
              <w:tc>
                <w:tcPr>
                  <w:tcW w:w="518" w:type="dxa"/>
                  <w:vMerge w:val="continue"/>
                </w:tcPr>
                <w:p w14:paraId="20C5BAA0">
                  <w:pPr>
                    <w:rPr>
                      <w:rFonts w:hint="default" w:ascii="Times New Roman" w:hAnsi="Times New Roman" w:cs="Times New Roman"/>
                      <w:color w:val="auto"/>
                      <w:sz w:val="18"/>
                      <w:szCs w:val="18"/>
                    </w:rPr>
                  </w:pPr>
                </w:p>
              </w:tc>
              <w:tc>
                <w:tcPr>
                  <w:tcW w:w="668" w:type="dxa"/>
                  <w:vMerge w:val="continue"/>
                </w:tcPr>
                <w:p w14:paraId="4867CD9A">
                  <w:pPr>
                    <w:rPr>
                      <w:rFonts w:hint="default" w:ascii="Times New Roman" w:hAnsi="Times New Roman" w:cs="Times New Roman"/>
                      <w:color w:val="auto"/>
                      <w:sz w:val="18"/>
                      <w:szCs w:val="18"/>
                    </w:rPr>
                  </w:pPr>
                </w:p>
              </w:tc>
              <w:tc>
                <w:tcPr>
                  <w:tcW w:w="696" w:type="dxa"/>
                  <w:vMerge w:val="continue"/>
                </w:tcPr>
                <w:p w14:paraId="6776E537">
                  <w:pPr>
                    <w:rPr>
                      <w:rFonts w:hint="default" w:ascii="Times New Roman" w:hAnsi="Times New Roman" w:cs="Times New Roman"/>
                      <w:color w:val="auto"/>
                      <w:sz w:val="18"/>
                      <w:szCs w:val="18"/>
                    </w:rPr>
                  </w:pPr>
                </w:p>
              </w:tc>
              <w:tc>
                <w:tcPr>
                  <w:tcW w:w="533" w:type="dxa"/>
                  <w:vMerge w:val="continue"/>
                </w:tcPr>
                <w:p w14:paraId="7015929B">
                  <w:pPr>
                    <w:rPr>
                      <w:rFonts w:hint="default" w:ascii="Times New Roman" w:hAnsi="Times New Roman" w:cs="Times New Roman"/>
                      <w:color w:val="auto"/>
                      <w:sz w:val="18"/>
                      <w:szCs w:val="18"/>
                    </w:rPr>
                  </w:pPr>
                </w:p>
              </w:tc>
              <w:tc>
                <w:tcPr>
                  <w:tcW w:w="1590" w:type="dxa"/>
                  <w:vAlign w:val="center"/>
                </w:tcPr>
                <w:p w14:paraId="0ED76D3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总氮</w:t>
                  </w:r>
                </w:p>
              </w:tc>
              <w:tc>
                <w:tcPr>
                  <w:tcW w:w="1359" w:type="dxa"/>
                  <w:vAlign w:val="center"/>
                </w:tcPr>
                <w:p w14:paraId="557DA05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r>
            <w:tr w14:paraId="685D0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continue"/>
                </w:tcPr>
                <w:p w14:paraId="3012AA2C">
                  <w:pPr>
                    <w:rPr>
                      <w:rFonts w:hint="default" w:ascii="Times New Roman" w:hAnsi="Times New Roman" w:cs="Times New Roman"/>
                      <w:color w:val="auto"/>
                      <w:sz w:val="18"/>
                      <w:szCs w:val="18"/>
                    </w:rPr>
                  </w:pPr>
                </w:p>
              </w:tc>
              <w:tc>
                <w:tcPr>
                  <w:tcW w:w="721" w:type="dxa"/>
                  <w:vMerge w:val="continue"/>
                </w:tcPr>
                <w:p w14:paraId="402AE2D1">
                  <w:pPr>
                    <w:rPr>
                      <w:rFonts w:hint="default" w:ascii="Times New Roman" w:hAnsi="Times New Roman" w:cs="Times New Roman"/>
                      <w:color w:val="auto"/>
                      <w:sz w:val="18"/>
                      <w:szCs w:val="18"/>
                    </w:rPr>
                  </w:pPr>
                </w:p>
              </w:tc>
              <w:tc>
                <w:tcPr>
                  <w:tcW w:w="736" w:type="dxa"/>
                  <w:vMerge w:val="continue"/>
                </w:tcPr>
                <w:p w14:paraId="20DACC66">
                  <w:pPr>
                    <w:rPr>
                      <w:rFonts w:hint="default" w:ascii="Times New Roman" w:hAnsi="Times New Roman" w:cs="Times New Roman"/>
                      <w:color w:val="auto"/>
                      <w:sz w:val="18"/>
                      <w:szCs w:val="18"/>
                    </w:rPr>
                  </w:pPr>
                </w:p>
              </w:tc>
              <w:tc>
                <w:tcPr>
                  <w:tcW w:w="655" w:type="dxa"/>
                  <w:vMerge w:val="continue"/>
                </w:tcPr>
                <w:p w14:paraId="42845A6F">
                  <w:pPr>
                    <w:rPr>
                      <w:rFonts w:hint="default" w:ascii="Times New Roman" w:hAnsi="Times New Roman" w:cs="Times New Roman"/>
                      <w:color w:val="auto"/>
                      <w:sz w:val="18"/>
                      <w:szCs w:val="18"/>
                    </w:rPr>
                  </w:pPr>
                </w:p>
              </w:tc>
              <w:tc>
                <w:tcPr>
                  <w:tcW w:w="518" w:type="dxa"/>
                  <w:vMerge w:val="continue"/>
                </w:tcPr>
                <w:p w14:paraId="5BAF737B">
                  <w:pPr>
                    <w:rPr>
                      <w:rFonts w:hint="default" w:ascii="Times New Roman" w:hAnsi="Times New Roman" w:cs="Times New Roman"/>
                      <w:color w:val="auto"/>
                      <w:sz w:val="18"/>
                      <w:szCs w:val="18"/>
                    </w:rPr>
                  </w:pPr>
                </w:p>
              </w:tc>
              <w:tc>
                <w:tcPr>
                  <w:tcW w:w="668" w:type="dxa"/>
                  <w:vMerge w:val="continue"/>
                </w:tcPr>
                <w:p w14:paraId="39AEDB95">
                  <w:pPr>
                    <w:rPr>
                      <w:rFonts w:hint="default" w:ascii="Times New Roman" w:hAnsi="Times New Roman" w:cs="Times New Roman"/>
                      <w:color w:val="auto"/>
                      <w:sz w:val="18"/>
                      <w:szCs w:val="18"/>
                    </w:rPr>
                  </w:pPr>
                </w:p>
              </w:tc>
              <w:tc>
                <w:tcPr>
                  <w:tcW w:w="696" w:type="dxa"/>
                  <w:vMerge w:val="continue"/>
                </w:tcPr>
                <w:p w14:paraId="4DF896C5">
                  <w:pPr>
                    <w:rPr>
                      <w:rFonts w:hint="default" w:ascii="Times New Roman" w:hAnsi="Times New Roman" w:cs="Times New Roman"/>
                      <w:color w:val="auto"/>
                      <w:sz w:val="18"/>
                      <w:szCs w:val="18"/>
                    </w:rPr>
                  </w:pPr>
                </w:p>
              </w:tc>
              <w:tc>
                <w:tcPr>
                  <w:tcW w:w="533" w:type="dxa"/>
                  <w:vMerge w:val="continue"/>
                </w:tcPr>
                <w:p w14:paraId="0BD3C241">
                  <w:pPr>
                    <w:rPr>
                      <w:rFonts w:hint="default" w:ascii="Times New Roman" w:hAnsi="Times New Roman" w:cs="Times New Roman"/>
                      <w:color w:val="auto"/>
                      <w:sz w:val="18"/>
                      <w:szCs w:val="18"/>
                    </w:rPr>
                  </w:pPr>
                </w:p>
              </w:tc>
              <w:tc>
                <w:tcPr>
                  <w:tcW w:w="1590" w:type="dxa"/>
                  <w:vAlign w:val="center"/>
                </w:tcPr>
                <w:p w14:paraId="45AF9B0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SS</w:t>
                  </w:r>
                </w:p>
              </w:tc>
              <w:tc>
                <w:tcPr>
                  <w:tcW w:w="1359" w:type="dxa"/>
                  <w:vAlign w:val="center"/>
                </w:tcPr>
                <w:p w14:paraId="5BBED96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r w14:paraId="4D3F8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continue"/>
                </w:tcPr>
                <w:p w14:paraId="6A098C59">
                  <w:pPr>
                    <w:rPr>
                      <w:rFonts w:hint="default" w:ascii="Times New Roman" w:hAnsi="Times New Roman" w:cs="Times New Roman"/>
                      <w:color w:val="auto"/>
                      <w:sz w:val="18"/>
                      <w:szCs w:val="18"/>
                    </w:rPr>
                  </w:pPr>
                </w:p>
              </w:tc>
              <w:tc>
                <w:tcPr>
                  <w:tcW w:w="721" w:type="dxa"/>
                  <w:vMerge w:val="continue"/>
                </w:tcPr>
                <w:p w14:paraId="34FE0213">
                  <w:pPr>
                    <w:rPr>
                      <w:rFonts w:hint="default" w:ascii="Times New Roman" w:hAnsi="Times New Roman" w:cs="Times New Roman"/>
                      <w:color w:val="auto"/>
                      <w:sz w:val="18"/>
                      <w:szCs w:val="18"/>
                    </w:rPr>
                  </w:pPr>
                </w:p>
              </w:tc>
              <w:tc>
                <w:tcPr>
                  <w:tcW w:w="736" w:type="dxa"/>
                  <w:vMerge w:val="continue"/>
                </w:tcPr>
                <w:p w14:paraId="664EA15E">
                  <w:pPr>
                    <w:rPr>
                      <w:rFonts w:hint="default" w:ascii="Times New Roman" w:hAnsi="Times New Roman" w:cs="Times New Roman"/>
                      <w:color w:val="auto"/>
                      <w:sz w:val="18"/>
                      <w:szCs w:val="18"/>
                    </w:rPr>
                  </w:pPr>
                </w:p>
              </w:tc>
              <w:tc>
                <w:tcPr>
                  <w:tcW w:w="655" w:type="dxa"/>
                  <w:vMerge w:val="continue"/>
                </w:tcPr>
                <w:p w14:paraId="04766464">
                  <w:pPr>
                    <w:rPr>
                      <w:rFonts w:hint="default" w:ascii="Times New Roman" w:hAnsi="Times New Roman" w:cs="Times New Roman"/>
                      <w:color w:val="auto"/>
                      <w:sz w:val="18"/>
                      <w:szCs w:val="18"/>
                    </w:rPr>
                  </w:pPr>
                </w:p>
              </w:tc>
              <w:tc>
                <w:tcPr>
                  <w:tcW w:w="518" w:type="dxa"/>
                  <w:vMerge w:val="continue"/>
                </w:tcPr>
                <w:p w14:paraId="7F69CCFE">
                  <w:pPr>
                    <w:rPr>
                      <w:rFonts w:hint="default" w:ascii="Times New Roman" w:hAnsi="Times New Roman" w:cs="Times New Roman"/>
                      <w:color w:val="auto"/>
                      <w:sz w:val="18"/>
                      <w:szCs w:val="18"/>
                    </w:rPr>
                  </w:pPr>
                </w:p>
              </w:tc>
              <w:tc>
                <w:tcPr>
                  <w:tcW w:w="668" w:type="dxa"/>
                  <w:vMerge w:val="continue"/>
                </w:tcPr>
                <w:p w14:paraId="642DE675">
                  <w:pPr>
                    <w:rPr>
                      <w:rFonts w:hint="default" w:ascii="Times New Roman" w:hAnsi="Times New Roman" w:cs="Times New Roman"/>
                      <w:color w:val="auto"/>
                      <w:sz w:val="18"/>
                      <w:szCs w:val="18"/>
                    </w:rPr>
                  </w:pPr>
                </w:p>
              </w:tc>
              <w:tc>
                <w:tcPr>
                  <w:tcW w:w="696" w:type="dxa"/>
                  <w:vMerge w:val="continue"/>
                </w:tcPr>
                <w:p w14:paraId="148AAD18">
                  <w:pPr>
                    <w:rPr>
                      <w:rFonts w:hint="default" w:ascii="Times New Roman" w:hAnsi="Times New Roman" w:cs="Times New Roman"/>
                      <w:color w:val="auto"/>
                      <w:sz w:val="18"/>
                      <w:szCs w:val="18"/>
                    </w:rPr>
                  </w:pPr>
                </w:p>
              </w:tc>
              <w:tc>
                <w:tcPr>
                  <w:tcW w:w="533" w:type="dxa"/>
                  <w:vMerge w:val="continue"/>
                </w:tcPr>
                <w:p w14:paraId="5F4FBC49">
                  <w:pPr>
                    <w:rPr>
                      <w:rFonts w:hint="default" w:ascii="Times New Roman" w:hAnsi="Times New Roman" w:cs="Times New Roman"/>
                      <w:color w:val="auto"/>
                      <w:sz w:val="18"/>
                      <w:szCs w:val="18"/>
                    </w:rPr>
                  </w:pPr>
                </w:p>
              </w:tc>
              <w:tc>
                <w:tcPr>
                  <w:tcW w:w="1590" w:type="dxa"/>
                  <w:vAlign w:val="center"/>
                </w:tcPr>
                <w:p w14:paraId="2786306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BOD</w:t>
                  </w:r>
                  <w:r>
                    <w:rPr>
                      <w:rFonts w:hint="default" w:ascii="Times New Roman" w:hAnsi="Times New Roman" w:cs="Times New Roman"/>
                      <w:color w:val="auto"/>
                      <w:sz w:val="18"/>
                      <w:szCs w:val="18"/>
                      <w:vertAlign w:val="subscript"/>
                    </w:rPr>
                    <w:t>5</w:t>
                  </w:r>
                </w:p>
              </w:tc>
              <w:tc>
                <w:tcPr>
                  <w:tcW w:w="1359" w:type="dxa"/>
                  <w:vAlign w:val="center"/>
                </w:tcPr>
                <w:p w14:paraId="27B6557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r w14:paraId="325D3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 w:hRule="atLeast"/>
                <w:jc w:val="center"/>
              </w:trPr>
              <w:tc>
                <w:tcPr>
                  <w:tcW w:w="449" w:type="dxa"/>
                  <w:vMerge w:val="continue"/>
                </w:tcPr>
                <w:p w14:paraId="0AB914AB">
                  <w:pPr>
                    <w:rPr>
                      <w:rFonts w:hint="default" w:ascii="Times New Roman" w:hAnsi="Times New Roman" w:cs="Times New Roman"/>
                      <w:color w:val="auto"/>
                      <w:sz w:val="18"/>
                      <w:szCs w:val="18"/>
                    </w:rPr>
                  </w:pPr>
                </w:p>
              </w:tc>
              <w:tc>
                <w:tcPr>
                  <w:tcW w:w="721" w:type="dxa"/>
                  <w:vMerge w:val="continue"/>
                </w:tcPr>
                <w:p w14:paraId="38C28058">
                  <w:pPr>
                    <w:rPr>
                      <w:rFonts w:hint="default" w:ascii="Times New Roman" w:hAnsi="Times New Roman" w:cs="Times New Roman"/>
                      <w:color w:val="auto"/>
                      <w:sz w:val="18"/>
                      <w:szCs w:val="18"/>
                    </w:rPr>
                  </w:pPr>
                </w:p>
              </w:tc>
              <w:tc>
                <w:tcPr>
                  <w:tcW w:w="736" w:type="dxa"/>
                  <w:vMerge w:val="continue"/>
                </w:tcPr>
                <w:p w14:paraId="2918F48A">
                  <w:pPr>
                    <w:rPr>
                      <w:rFonts w:hint="default" w:ascii="Times New Roman" w:hAnsi="Times New Roman" w:cs="Times New Roman"/>
                      <w:color w:val="auto"/>
                      <w:sz w:val="18"/>
                      <w:szCs w:val="18"/>
                    </w:rPr>
                  </w:pPr>
                </w:p>
              </w:tc>
              <w:tc>
                <w:tcPr>
                  <w:tcW w:w="655" w:type="dxa"/>
                  <w:vMerge w:val="continue"/>
                </w:tcPr>
                <w:p w14:paraId="529DB77B">
                  <w:pPr>
                    <w:rPr>
                      <w:rFonts w:hint="default" w:ascii="Times New Roman" w:hAnsi="Times New Roman" w:cs="Times New Roman"/>
                      <w:color w:val="auto"/>
                      <w:sz w:val="18"/>
                      <w:szCs w:val="18"/>
                    </w:rPr>
                  </w:pPr>
                </w:p>
              </w:tc>
              <w:tc>
                <w:tcPr>
                  <w:tcW w:w="518" w:type="dxa"/>
                  <w:vMerge w:val="continue"/>
                </w:tcPr>
                <w:p w14:paraId="6F8BE82B">
                  <w:pPr>
                    <w:rPr>
                      <w:rFonts w:hint="default" w:ascii="Times New Roman" w:hAnsi="Times New Roman" w:cs="Times New Roman"/>
                      <w:color w:val="auto"/>
                      <w:sz w:val="18"/>
                      <w:szCs w:val="18"/>
                    </w:rPr>
                  </w:pPr>
                </w:p>
              </w:tc>
              <w:tc>
                <w:tcPr>
                  <w:tcW w:w="668" w:type="dxa"/>
                  <w:vMerge w:val="continue"/>
                </w:tcPr>
                <w:p w14:paraId="655AE283">
                  <w:pPr>
                    <w:rPr>
                      <w:rFonts w:hint="default" w:ascii="Times New Roman" w:hAnsi="Times New Roman" w:cs="Times New Roman"/>
                      <w:color w:val="auto"/>
                      <w:sz w:val="18"/>
                      <w:szCs w:val="18"/>
                    </w:rPr>
                  </w:pPr>
                </w:p>
              </w:tc>
              <w:tc>
                <w:tcPr>
                  <w:tcW w:w="696" w:type="dxa"/>
                  <w:vMerge w:val="continue"/>
                </w:tcPr>
                <w:p w14:paraId="1324AB4A">
                  <w:pPr>
                    <w:rPr>
                      <w:rFonts w:hint="default" w:ascii="Times New Roman" w:hAnsi="Times New Roman" w:cs="Times New Roman"/>
                      <w:color w:val="auto"/>
                      <w:sz w:val="18"/>
                      <w:szCs w:val="18"/>
                    </w:rPr>
                  </w:pPr>
                </w:p>
              </w:tc>
              <w:tc>
                <w:tcPr>
                  <w:tcW w:w="533" w:type="dxa"/>
                  <w:vMerge w:val="continue"/>
                </w:tcPr>
                <w:p w14:paraId="589BE896">
                  <w:pPr>
                    <w:rPr>
                      <w:rFonts w:hint="default" w:ascii="Times New Roman" w:hAnsi="Times New Roman" w:cs="Times New Roman"/>
                      <w:color w:val="auto"/>
                      <w:sz w:val="18"/>
                      <w:szCs w:val="18"/>
                    </w:rPr>
                  </w:pPr>
                </w:p>
              </w:tc>
              <w:tc>
                <w:tcPr>
                  <w:tcW w:w="1590" w:type="dxa"/>
                  <w:vAlign w:val="center"/>
                </w:tcPr>
                <w:p w14:paraId="51248DE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阴离子表面活性剂</w:t>
                  </w:r>
                </w:p>
              </w:tc>
              <w:tc>
                <w:tcPr>
                  <w:tcW w:w="1359" w:type="dxa"/>
                  <w:vAlign w:val="center"/>
                </w:tcPr>
                <w:p w14:paraId="4C2CFFC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0.5</w:t>
                  </w:r>
                </w:p>
              </w:tc>
            </w:tr>
          </w:tbl>
          <w:p w14:paraId="72CD6149">
            <w:pPr>
              <w:autoSpaceDE w:val="0"/>
              <w:autoSpaceDN w:val="0"/>
              <w:adjustRightInd w:val="0"/>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注：括号外数值为水温＞12℃时的控制指标，括号内数值为水温≤12℃的控制指标。</w:t>
            </w:r>
          </w:p>
          <w:p w14:paraId="5410EF73">
            <w:pPr>
              <w:spacing w:before="12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表4.2.4-</w:t>
            </w:r>
            <w:r>
              <w:rPr>
                <w:rFonts w:hint="eastAsia" w:cs="Times New Roman"/>
                <w:b/>
                <w:color w:val="auto"/>
                <w:szCs w:val="21"/>
                <w:lang w:val="en-US" w:eastAsia="zh-CN"/>
              </w:rPr>
              <w:t>10</w:t>
            </w:r>
            <w:r>
              <w:rPr>
                <w:rFonts w:hint="default" w:ascii="Times New Roman" w:hAnsi="Times New Roman" w:cs="Times New Roman"/>
                <w:b/>
                <w:color w:val="auto"/>
                <w:szCs w:val="21"/>
              </w:rPr>
              <w:t xml:space="preserve">  废水污染物排放执行标准表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8"/>
              <w:gridCol w:w="667"/>
              <w:gridCol w:w="794"/>
              <w:gridCol w:w="4579"/>
              <w:gridCol w:w="1398"/>
            </w:tblGrid>
            <w:tr w14:paraId="7B429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3" w:type="pct"/>
                  <w:vMerge w:val="restart"/>
                  <w:tcMar>
                    <w:top w:w="15" w:type="dxa"/>
                    <w:left w:w="15" w:type="dxa"/>
                    <w:right w:w="15" w:type="dxa"/>
                  </w:tcMar>
                  <w:vAlign w:val="center"/>
                </w:tcPr>
                <w:p w14:paraId="7EBF24C8">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420" w:type="pct"/>
                  <w:vMerge w:val="restart"/>
                  <w:tcMar>
                    <w:top w:w="15" w:type="dxa"/>
                    <w:left w:w="15" w:type="dxa"/>
                    <w:right w:w="15" w:type="dxa"/>
                  </w:tcMar>
                  <w:vAlign w:val="center"/>
                </w:tcPr>
                <w:p w14:paraId="371D5DD1">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排放口编号</w:t>
                  </w:r>
                </w:p>
              </w:tc>
              <w:tc>
                <w:tcPr>
                  <w:tcW w:w="500" w:type="pct"/>
                  <w:vMerge w:val="restart"/>
                  <w:tcMar>
                    <w:top w:w="15" w:type="dxa"/>
                    <w:left w:w="15" w:type="dxa"/>
                    <w:right w:w="15" w:type="dxa"/>
                  </w:tcMar>
                  <w:vAlign w:val="center"/>
                </w:tcPr>
                <w:p w14:paraId="34E084AE">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污染物种类</w:t>
                  </w:r>
                </w:p>
              </w:tc>
              <w:tc>
                <w:tcPr>
                  <w:tcW w:w="3765" w:type="pct"/>
                  <w:gridSpan w:val="2"/>
                  <w:tcMar>
                    <w:top w:w="15" w:type="dxa"/>
                    <w:left w:w="15" w:type="dxa"/>
                    <w:right w:w="15" w:type="dxa"/>
                  </w:tcMar>
                  <w:vAlign w:val="center"/>
                </w:tcPr>
                <w:p w14:paraId="63BD0475">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国家或地方污染物排放标准及其他按规定商定的排放协议</w:t>
                  </w:r>
                </w:p>
              </w:tc>
            </w:tr>
            <w:tr w14:paraId="57CA1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3" w:type="pct"/>
                  <w:vMerge w:val="continue"/>
                  <w:tcMar>
                    <w:top w:w="15" w:type="dxa"/>
                    <w:left w:w="15" w:type="dxa"/>
                    <w:right w:w="15" w:type="dxa"/>
                  </w:tcMar>
                  <w:vAlign w:val="center"/>
                </w:tcPr>
                <w:p w14:paraId="0695B098">
                  <w:pPr>
                    <w:jc w:val="center"/>
                    <w:rPr>
                      <w:rFonts w:hint="default" w:ascii="Times New Roman" w:hAnsi="Times New Roman" w:cs="Times New Roman"/>
                      <w:color w:val="auto"/>
                      <w:sz w:val="18"/>
                      <w:szCs w:val="18"/>
                    </w:rPr>
                  </w:pPr>
                </w:p>
              </w:tc>
              <w:tc>
                <w:tcPr>
                  <w:tcW w:w="420" w:type="pct"/>
                  <w:vMerge w:val="continue"/>
                  <w:tcMar>
                    <w:top w:w="15" w:type="dxa"/>
                    <w:left w:w="15" w:type="dxa"/>
                    <w:right w:w="15" w:type="dxa"/>
                  </w:tcMar>
                  <w:vAlign w:val="center"/>
                </w:tcPr>
                <w:p w14:paraId="66B388A7">
                  <w:pPr>
                    <w:jc w:val="center"/>
                    <w:rPr>
                      <w:rFonts w:hint="default" w:ascii="Times New Roman" w:hAnsi="Times New Roman" w:cs="Times New Roman"/>
                      <w:color w:val="auto"/>
                      <w:sz w:val="18"/>
                      <w:szCs w:val="18"/>
                    </w:rPr>
                  </w:pPr>
                </w:p>
              </w:tc>
              <w:tc>
                <w:tcPr>
                  <w:tcW w:w="500" w:type="pct"/>
                  <w:vMerge w:val="continue"/>
                  <w:tcMar>
                    <w:top w:w="15" w:type="dxa"/>
                    <w:left w:w="15" w:type="dxa"/>
                    <w:right w:w="15" w:type="dxa"/>
                  </w:tcMar>
                  <w:vAlign w:val="center"/>
                </w:tcPr>
                <w:p w14:paraId="744DE648">
                  <w:pPr>
                    <w:jc w:val="center"/>
                    <w:rPr>
                      <w:rFonts w:hint="default" w:ascii="Times New Roman" w:hAnsi="Times New Roman" w:cs="Times New Roman"/>
                      <w:color w:val="auto"/>
                      <w:sz w:val="18"/>
                      <w:szCs w:val="18"/>
                    </w:rPr>
                  </w:pPr>
                </w:p>
              </w:tc>
              <w:tc>
                <w:tcPr>
                  <w:tcW w:w="2884" w:type="pct"/>
                  <w:tcMar>
                    <w:top w:w="15" w:type="dxa"/>
                    <w:left w:w="15" w:type="dxa"/>
                    <w:right w:w="15" w:type="dxa"/>
                  </w:tcMar>
                  <w:vAlign w:val="center"/>
                </w:tcPr>
                <w:p w14:paraId="06B5A645">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880" w:type="pct"/>
                  <w:tcMar>
                    <w:top w:w="15" w:type="dxa"/>
                    <w:left w:w="15" w:type="dxa"/>
                    <w:right w:w="15" w:type="dxa"/>
                  </w:tcMar>
                  <w:vAlign w:val="center"/>
                </w:tcPr>
                <w:p w14:paraId="395EBBBD">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浓度限值(mg/L)</w:t>
                  </w:r>
                </w:p>
              </w:tc>
            </w:tr>
            <w:tr w14:paraId="5B9DE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13" w:type="pct"/>
                  <w:tcMar>
                    <w:top w:w="15" w:type="dxa"/>
                    <w:left w:w="15" w:type="dxa"/>
                    <w:right w:w="15" w:type="dxa"/>
                  </w:tcMar>
                  <w:vAlign w:val="center"/>
                </w:tcPr>
                <w:p w14:paraId="43ACADE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420" w:type="pct"/>
                  <w:vMerge w:val="restart"/>
                  <w:tcMar>
                    <w:top w:w="15" w:type="dxa"/>
                    <w:left w:w="15" w:type="dxa"/>
                    <w:right w:w="15" w:type="dxa"/>
                  </w:tcMar>
                  <w:vAlign w:val="center"/>
                </w:tcPr>
                <w:p w14:paraId="4BF9A9D8">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DW001</w:t>
                  </w:r>
                </w:p>
              </w:tc>
              <w:tc>
                <w:tcPr>
                  <w:tcW w:w="500" w:type="pct"/>
                  <w:tcMar>
                    <w:top w:w="15" w:type="dxa"/>
                    <w:left w:w="15" w:type="dxa"/>
                    <w:right w:w="15" w:type="dxa"/>
                  </w:tcMar>
                  <w:vAlign w:val="center"/>
                </w:tcPr>
                <w:p w14:paraId="0B15B12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pH</w:t>
                  </w:r>
                </w:p>
              </w:tc>
              <w:tc>
                <w:tcPr>
                  <w:tcW w:w="2884" w:type="pct"/>
                  <w:vMerge w:val="restart"/>
                  <w:tcMar>
                    <w:top w:w="15" w:type="dxa"/>
                    <w:left w:w="15" w:type="dxa"/>
                    <w:right w:w="15" w:type="dxa"/>
                  </w:tcMar>
                  <w:vAlign w:val="center"/>
                </w:tcPr>
                <w:p w14:paraId="4F98E88C">
                  <w:pPr>
                    <w:adjustRightInd w:val="0"/>
                    <w:snapToGrid w:val="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rPr>
                    <w:t>《关于发布淮南经开区企业生产废水排放限值的通知》</w:t>
                  </w:r>
                </w:p>
              </w:tc>
              <w:tc>
                <w:tcPr>
                  <w:tcW w:w="880" w:type="pct"/>
                  <w:tcMar>
                    <w:top w:w="15" w:type="dxa"/>
                    <w:left w:w="15" w:type="dxa"/>
                    <w:right w:w="15" w:type="dxa"/>
                  </w:tcMar>
                  <w:vAlign w:val="center"/>
                </w:tcPr>
                <w:p w14:paraId="6D72DC7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6~9</w:t>
                  </w:r>
                </w:p>
              </w:tc>
            </w:tr>
            <w:tr w14:paraId="02EA3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13" w:type="pct"/>
                  <w:tcMar>
                    <w:top w:w="15" w:type="dxa"/>
                    <w:left w:w="15" w:type="dxa"/>
                    <w:right w:w="15" w:type="dxa"/>
                  </w:tcMar>
                  <w:vAlign w:val="center"/>
                </w:tcPr>
                <w:p w14:paraId="7252896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20" w:type="pct"/>
                  <w:vMerge w:val="continue"/>
                  <w:tcMar>
                    <w:top w:w="15" w:type="dxa"/>
                    <w:left w:w="15" w:type="dxa"/>
                    <w:right w:w="15" w:type="dxa"/>
                  </w:tcMar>
                  <w:vAlign w:val="center"/>
                </w:tcPr>
                <w:p w14:paraId="044405DE">
                  <w:pPr>
                    <w:jc w:val="center"/>
                    <w:rPr>
                      <w:rFonts w:hint="default" w:ascii="Times New Roman" w:hAnsi="Times New Roman" w:cs="Times New Roman"/>
                      <w:color w:val="auto"/>
                      <w:sz w:val="18"/>
                      <w:szCs w:val="18"/>
                    </w:rPr>
                  </w:pPr>
                </w:p>
              </w:tc>
              <w:tc>
                <w:tcPr>
                  <w:tcW w:w="500" w:type="pct"/>
                  <w:tcMar>
                    <w:top w:w="15" w:type="dxa"/>
                    <w:left w:w="15" w:type="dxa"/>
                    <w:right w:w="15" w:type="dxa"/>
                  </w:tcMar>
                  <w:vAlign w:val="center"/>
                </w:tcPr>
                <w:p w14:paraId="308DD8D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w:t>
                  </w:r>
                </w:p>
              </w:tc>
              <w:tc>
                <w:tcPr>
                  <w:tcW w:w="2884" w:type="pct"/>
                  <w:vMerge w:val="continue"/>
                  <w:tcMar>
                    <w:top w:w="15" w:type="dxa"/>
                    <w:left w:w="15" w:type="dxa"/>
                    <w:right w:w="15" w:type="dxa"/>
                  </w:tcMar>
                  <w:vAlign w:val="center"/>
                </w:tcPr>
                <w:p w14:paraId="47968872">
                  <w:pPr>
                    <w:adjustRightInd w:val="0"/>
                    <w:snapToGrid w:val="0"/>
                    <w:jc w:val="center"/>
                    <w:rPr>
                      <w:rFonts w:hint="default" w:ascii="Times New Roman" w:hAnsi="Times New Roman" w:cs="Times New Roman"/>
                      <w:color w:val="auto"/>
                      <w:sz w:val="18"/>
                      <w:szCs w:val="18"/>
                    </w:rPr>
                  </w:pPr>
                </w:p>
              </w:tc>
              <w:tc>
                <w:tcPr>
                  <w:tcW w:w="880" w:type="pct"/>
                  <w:tcMar>
                    <w:top w:w="15" w:type="dxa"/>
                    <w:left w:w="15" w:type="dxa"/>
                    <w:right w:w="15" w:type="dxa"/>
                  </w:tcMar>
                  <w:vAlign w:val="center"/>
                </w:tcPr>
                <w:p w14:paraId="79DD244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360</w:t>
                  </w:r>
                </w:p>
              </w:tc>
            </w:tr>
            <w:tr w14:paraId="0A582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13" w:type="pct"/>
                  <w:tcMar>
                    <w:top w:w="15" w:type="dxa"/>
                    <w:left w:w="15" w:type="dxa"/>
                    <w:right w:w="15" w:type="dxa"/>
                  </w:tcMar>
                  <w:vAlign w:val="center"/>
                </w:tcPr>
                <w:p w14:paraId="2B5C2B5A">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420" w:type="pct"/>
                  <w:vMerge w:val="continue"/>
                  <w:tcMar>
                    <w:top w:w="15" w:type="dxa"/>
                    <w:left w:w="15" w:type="dxa"/>
                    <w:right w:w="15" w:type="dxa"/>
                  </w:tcMar>
                  <w:vAlign w:val="center"/>
                </w:tcPr>
                <w:p w14:paraId="6E99FA5A">
                  <w:pPr>
                    <w:jc w:val="center"/>
                    <w:rPr>
                      <w:rFonts w:hint="default" w:ascii="Times New Roman" w:hAnsi="Times New Roman" w:cs="Times New Roman"/>
                      <w:color w:val="auto"/>
                      <w:sz w:val="18"/>
                      <w:szCs w:val="18"/>
                    </w:rPr>
                  </w:pPr>
                </w:p>
              </w:tc>
              <w:tc>
                <w:tcPr>
                  <w:tcW w:w="500" w:type="pct"/>
                  <w:tcMar>
                    <w:top w:w="15" w:type="dxa"/>
                    <w:left w:w="15" w:type="dxa"/>
                    <w:right w:w="15" w:type="dxa"/>
                  </w:tcMar>
                  <w:vAlign w:val="center"/>
                </w:tcPr>
                <w:p w14:paraId="3090B42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氨氮</w:t>
                  </w:r>
                </w:p>
              </w:tc>
              <w:tc>
                <w:tcPr>
                  <w:tcW w:w="2884" w:type="pct"/>
                  <w:vMerge w:val="continue"/>
                  <w:tcMar>
                    <w:top w:w="15" w:type="dxa"/>
                    <w:left w:w="15" w:type="dxa"/>
                    <w:right w:w="15" w:type="dxa"/>
                  </w:tcMar>
                  <w:vAlign w:val="center"/>
                </w:tcPr>
                <w:p w14:paraId="02DEF993">
                  <w:pPr>
                    <w:adjustRightInd w:val="0"/>
                    <w:snapToGrid w:val="0"/>
                    <w:jc w:val="center"/>
                    <w:rPr>
                      <w:rFonts w:hint="default" w:ascii="Times New Roman" w:hAnsi="Times New Roman" w:cs="Times New Roman"/>
                      <w:color w:val="auto"/>
                      <w:sz w:val="18"/>
                      <w:szCs w:val="18"/>
                    </w:rPr>
                  </w:pPr>
                </w:p>
              </w:tc>
              <w:tc>
                <w:tcPr>
                  <w:tcW w:w="880" w:type="pct"/>
                  <w:tcMar>
                    <w:top w:w="15" w:type="dxa"/>
                    <w:left w:w="15" w:type="dxa"/>
                    <w:right w:w="15" w:type="dxa"/>
                  </w:tcMar>
                  <w:vAlign w:val="center"/>
                </w:tcPr>
                <w:p w14:paraId="74061AC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r>
            <w:tr w14:paraId="1D06F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13" w:type="pct"/>
                  <w:tcMar>
                    <w:top w:w="15" w:type="dxa"/>
                    <w:left w:w="15" w:type="dxa"/>
                    <w:right w:w="15" w:type="dxa"/>
                  </w:tcMar>
                  <w:vAlign w:val="center"/>
                </w:tcPr>
                <w:p w14:paraId="40672E3F">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420" w:type="pct"/>
                  <w:vMerge w:val="continue"/>
                  <w:tcMar>
                    <w:top w:w="15" w:type="dxa"/>
                    <w:left w:w="15" w:type="dxa"/>
                    <w:right w:w="15" w:type="dxa"/>
                  </w:tcMar>
                  <w:vAlign w:val="center"/>
                </w:tcPr>
                <w:p w14:paraId="76B234FF">
                  <w:pPr>
                    <w:jc w:val="center"/>
                    <w:rPr>
                      <w:rFonts w:hint="default" w:ascii="Times New Roman" w:hAnsi="Times New Roman" w:cs="Times New Roman"/>
                      <w:color w:val="auto"/>
                      <w:sz w:val="18"/>
                      <w:szCs w:val="18"/>
                    </w:rPr>
                  </w:pPr>
                </w:p>
              </w:tc>
              <w:tc>
                <w:tcPr>
                  <w:tcW w:w="500" w:type="pct"/>
                  <w:tcMar>
                    <w:top w:w="15" w:type="dxa"/>
                    <w:left w:w="15" w:type="dxa"/>
                    <w:right w:w="15" w:type="dxa"/>
                  </w:tcMar>
                  <w:vAlign w:val="center"/>
                </w:tcPr>
                <w:p w14:paraId="6A858B3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总氮</w:t>
                  </w:r>
                </w:p>
              </w:tc>
              <w:tc>
                <w:tcPr>
                  <w:tcW w:w="2884" w:type="pct"/>
                  <w:vMerge w:val="continue"/>
                  <w:tcMar>
                    <w:top w:w="15" w:type="dxa"/>
                    <w:left w:w="15" w:type="dxa"/>
                    <w:right w:w="15" w:type="dxa"/>
                  </w:tcMar>
                  <w:vAlign w:val="center"/>
                </w:tcPr>
                <w:p w14:paraId="1BA437E0">
                  <w:pPr>
                    <w:adjustRightInd w:val="0"/>
                    <w:snapToGrid w:val="0"/>
                    <w:jc w:val="center"/>
                    <w:rPr>
                      <w:rFonts w:hint="default" w:ascii="Times New Roman" w:hAnsi="Times New Roman" w:cs="Times New Roman"/>
                      <w:color w:val="auto"/>
                      <w:sz w:val="18"/>
                      <w:szCs w:val="18"/>
                    </w:rPr>
                  </w:pPr>
                </w:p>
              </w:tc>
              <w:tc>
                <w:tcPr>
                  <w:tcW w:w="880" w:type="pct"/>
                  <w:tcMar>
                    <w:top w:w="15" w:type="dxa"/>
                    <w:left w:w="15" w:type="dxa"/>
                    <w:right w:w="15" w:type="dxa"/>
                  </w:tcMar>
                  <w:vAlign w:val="center"/>
                </w:tcPr>
                <w:p w14:paraId="433DF14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r>
            <w:tr w14:paraId="263E0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13" w:type="pct"/>
                  <w:tcMar>
                    <w:top w:w="15" w:type="dxa"/>
                    <w:left w:w="15" w:type="dxa"/>
                    <w:right w:w="15" w:type="dxa"/>
                  </w:tcMar>
                  <w:vAlign w:val="center"/>
                </w:tcPr>
                <w:p w14:paraId="167D6002">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420" w:type="pct"/>
                  <w:vMerge w:val="continue"/>
                  <w:tcMar>
                    <w:top w:w="15" w:type="dxa"/>
                    <w:left w:w="15" w:type="dxa"/>
                    <w:right w:w="15" w:type="dxa"/>
                  </w:tcMar>
                  <w:vAlign w:val="center"/>
                </w:tcPr>
                <w:p w14:paraId="04D5BD54">
                  <w:pPr>
                    <w:jc w:val="center"/>
                    <w:rPr>
                      <w:rFonts w:hint="default" w:ascii="Times New Roman" w:hAnsi="Times New Roman" w:cs="Times New Roman"/>
                      <w:color w:val="auto"/>
                      <w:sz w:val="18"/>
                      <w:szCs w:val="18"/>
                    </w:rPr>
                  </w:pPr>
                </w:p>
              </w:tc>
              <w:tc>
                <w:tcPr>
                  <w:tcW w:w="500" w:type="pct"/>
                  <w:tcMar>
                    <w:top w:w="15" w:type="dxa"/>
                    <w:left w:w="15" w:type="dxa"/>
                    <w:right w:w="15" w:type="dxa"/>
                  </w:tcMar>
                  <w:vAlign w:val="center"/>
                </w:tcPr>
                <w:p w14:paraId="57E43EB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SS</w:t>
                  </w:r>
                </w:p>
              </w:tc>
              <w:tc>
                <w:tcPr>
                  <w:tcW w:w="2884" w:type="pct"/>
                  <w:vMerge w:val="continue"/>
                  <w:tcMar>
                    <w:top w:w="15" w:type="dxa"/>
                    <w:left w:w="15" w:type="dxa"/>
                    <w:right w:w="15" w:type="dxa"/>
                  </w:tcMar>
                  <w:vAlign w:val="center"/>
                </w:tcPr>
                <w:p w14:paraId="73B19C83">
                  <w:pPr>
                    <w:adjustRightInd w:val="0"/>
                    <w:snapToGrid w:val="0"/>
                    <w:jc w:val="center"/>
                    <w:rPr>
                      <w:rFonts w:hint="default" w:ascii="Times New Roman" w:hAnsi="Times New Roman" w:cs="Times New Roman"/>
                      <w:color w:val="auto"/>
                      <w:sz w:val="18"/>
                      <w:szCs w:val="18"/>
                    </w:rPr>
                  </w:pPr>
                </w:p>
              </w:tc>
              <w:tc>
                <w:tcPr>
                  <w:tcW w:w="880" w:type="pct"/>
                  <w:tcMar>
                    <w:top w:w="15" w:type="dxa"/>
                    <w:left w:w="15" w:type="dxa"/>
                    <w:right w:w="15" w:type="dxa"/>
                  </w:tcMar>
                  <w:vAlign w:val="center"/>
                </w:tcPr>
                <w:p w14:paraId="040CE95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w:t>
                  </w:r>
                </w:p>
              </w:tc>
            </w:tr>
            <w:tr w14:paraId="06404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13" w:type="pct"/>
                  <w:tcMar>
                    <w:top w:w="15" w:type="dxa"/>
                    <w:left w:w="15" w:type="dxa"/>
                    <w:right w:w="15" w:type="dxa"/>
                  </w:tcMar>
                  <w:vAlign w:val="center"/>
                </w:tcPr>
                <w:p w14:paraId="22811A8D">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w:t>
                  </w:r>
                </w:p>
              </w:tc>
              <w:tc>
                <w:tcPr>
                  <w:tcW w:w="420" w:type="pct"/>
                  <w:vMerge w:val="continue"/>
                  <w:tcMar>
                    <w:top w:w="15" w:type="dxa"/>
                    <w:left w:w="15" w:type="dxa"/>
                    <w:right w:w="15" w:type="dxa"/>
                  </w:tcMar>
                  <w:vAlign w:val="center"/>
                </w:tcPr>
                <w:p w14:paraId="5E3F1142">
                  <w:pPr>
                    <w:jc w:val="center"/>
                    <w:rPr>
                      <w:rFonts w:hint="default" w:ascii="Times New Roman" w:hAnsi="Times New Roman" w:cs="Times New Roman"/>
                      <w:color w:val="auto"/>
                      <w:sz w:val="18"/>
                      <w:szCs w:val="18"/>
                    </w:rPr>
                  </w:pPr>
                </w:p>
              </w:tc>
              <w:tc>
                <w:tcPr>
                  <w:tcW w:w="500" w:type="pct"/>
                  <w:tcMar>
                    <w:top w:w="15" w:type="dxa"/>
                    <w:left w:w="15" w:type="dxa"/>
                    <w:right w:w="15" w:type="dxa"/>
                  </w:tcMar>
                  <w:vAlign w:val="center"/>
                </w:tcPr>
                <w:p w14:paraId="17EF24F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氟化物</w:t>
                  </w:r>
                </w:p>
              </w:tc>
              <w:tc>
                <w:tcPr>
                  <w:tcW w:w="4579" w:type="dxa"/>
                  <w:vMerge w:val="restart"/>
                  <w:tcMar>
                    <w:top w:w="15" w:type="dxa"/>
                    <w:left w:w="15" w:type="dxa"/>
                    <w:right w:w="15" w:type="dxa"/>
                  </w:tcMar>
                  <w:vAlign w:val="center"/>
                </w:tcPr>
                <w:p w14:paraId="743B7F1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《污水综合排放标准》(GB8978-1996)中三级标准</w:t>
                  </w:r>
                </w:p>
              </w:tc>
              <w:tc>
                <w:tcPr>
                  <w:tcW w:w="880" w:type="pct"/>
                  <w:tcMar>
                    <w:top w:w="15" w:type="dxa"/>
                    <w:left w:w="15" w:type="dxa"/>
                    <w:right w:w="15" w:type="dxa"/>
                  </w:tcMar>
                  <w:vAlign w:val="center"/>
                </w:tcPr>
                <w:p w14:paraId="288C04FE">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10</w:t>
                  </w:r>
                </w:p>
              </w:tc>
            </w:tr>
            <w:tr w14:paraId="6809E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13" w:type="pct"/>
                  <w:tcMar>
                    <w:top w:w="15" w:type="dxa"/>
                    <w:left w:w="15" w:type="dxa"/>
                    <w:right w:w="15" w:type="dxa"/>
                  </w:tcMar>
                  <w:vAlign w:val="center"/>
                </w:tcPr>
                <w:p w14:paraId="5A600D10">
                  <w:pPr>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c>
                <w:tcPr>
                  <w:tcW w:w="420" w:type="pct"/>
                  <w:vMerge w:val="continue"/>
                  <w:tcMar>
                    <w:top w:w="15" w:type="dxa"/>
                    <w:left w:w="15" w:type="dxa"/>
                    <w:right w:w="15" w:type="dxa"/>
                  </w:tcMar>
                  <w:vAlign w:val="center"/>
                </w:tcPr>
                <w:p w14:paraId="7016E6AE">
                  <w:pPr>
                    <w:jc w:val="center"/>
                    <w:rPr>
                      <w:rFonts w:hint="default" w:ascii="Times New Roman" w:hAnsi="Times New Roman" w:cs="Times New Roman"/>
                      <w:color w:val="auto"/>
                      <w:sz w:val="18"/>
                      <w:szCs w:val="18"/>
                    </w:rPr>
                  </w:pPr>
                </w:p>
              </w:tc>
              <w:tc>
                <w:tcPr>
                  <w:tcW w:w="500" w:type="pct"/>
                  <w:tcMar>
                    <w:top w:w="15" w:type="dxa"/>
                    <w:left w:w="15" w:type="dxa"/>
                    <w:right w:w="15" w:type="dxa"/>
                  </w:tcMar>
                  <w:vAlign w:val="center"/>
                </w:tcPr>
                <w:p w14:paraId="76CC3AC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LAS</w:t>
                  </w:r>
                </w:p>
              </w:tc>
              <w:tc>
                <w:tcPr>
                  <w:tcW w:w="2884" w:type="pct"/>
                  <w:vMerge w:val="continue"/>
                  <w:tcMar>
                    <w:top w:w="15" w:type="dxa"/>
                    <w:left w:w="15" w:type="dxa"/>
                    <w:right w:w="15" w:type="dxa"/>
                  </w:tcMar>
                  <w:vAlign w:val="center"/>
                </w:tcPr>
                <w:p w14:paraId="06A2CF0F">
                  <w:pPr>
                    <w:adjustRightInd w:val="0"/>
                    <w:snapToGrid w:val="0"/>
                    <w:jc w:val="center"/>
                    <w:rPr>
                      <w:rFonts w:hint="default" w:ascii="Times New Roman" w:hAnsi="Times New Roman" w:cs="Times New Roman"/>
                      <w:color w:val="auto"/>
                      <w:sz w:val="18"/>
                      <w:szCs w:val="18"/>
                    </w:rPr>
                  </w:pPr>
                </w:p>
              </w:tc>
              <w:tc>
                <w:tcPr>
                  <w:tcW w:w="880" w:type="pct"/>
                  <w:tcMar>
                    <w:top w:w="15" w:type="dxa"/>
                    <w:left w:w="15" w:type="dxa"/>
                    <w:right w:w="15" w:type="dxa"/>
                  </w:tcMar>
                  <w:vAlign w:val="center"/>
                </w:tcPr>
                <w:p w14:paraId="5B893FB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r>
          </w:tbl>
          <w:p w14:paraId="72784DF7">
            <w:pPr>
              <w:autoSpaceDE w:val="0"/>
              <w:autoSpaceDN w:val="0"/>
              <w:adjustRightInd w:val="0"/>
              <w:ind w:firstLine="420" w:firstLineChars="200"/>
              <w:rPr>
                <w:rFonts w:hint="default" w:ascii="Times New Roman" w:hAnsi="Times New Roman" w:cs="Times New Roman"/>
                <w:color w:val="auto"/>
                <w:szCs w:val="21"/>
              </w:rPr>
            </w:pPr>
            <w:r>
              <w:rPr>
                <w:rFonts w:hint="eastAsia" w:cs="Times New Roman"/>
                <w:color w:val="auto"/>
                <w:szCs w:val="21"/>
                <w:lang w:val="en-US" w:eastAsia="zh-CN"/>
              </w:rPr>
              <w:t>注：</w:t>
            </w:r>
            <w:r>
              <w:rPr>
                <w:rFonts w:hint="eastAsia" w:ascii="Times New Roman" w:hAnsi="Times New Roman" w:cs="Times New Roman"/>
                <w:color w:val="auto"/>
                <w:szCs w:val="21"/>
                <w:lang w:val="en-US" w:eastAsia="zh-CN"/>
              </w:rPr>
              <w:t>氟化物纳管企业内部控制要求10mg/L</w:t>
            </w:r>
            <w:r>
              <w:rPr>
                <w:rFonts w:hint="default" w:ascii="Times New Roman" w:hAnsi="Times New Roman" w:cs="Times New Roman"/>
                <w:color w:val="auto"/>
                <w:szCs w:val="21"/>
              </w:rPr>
              <w:t>。</w:t>
            </w:r>
          </w:p>
          <w:p w14:paraId="7E9A9E97">
            <w:pPr>
              <w:adjustRightInd w:val="0"/>
              <w:snapToGrid w:val="0"/>
              <w:spacing w:before="120" w:line="360" w:lineRule="auto"/>
              <w:ind w:left="420" w:leftChars="200"/>
              <w:rPr>
                <w:rFonts w:hint="default" w:ascii="Times New Roman" w:hAnsi="Times New Roman" w:cs="Times New Roman"/>
                <w:b/>
                <w:color w:val="auto"/>
                <w:sz w:val="24"/>
              </w:rPr>
            </w:pPr>
            <w:r>
              <w:rPr>
                <w:rFonts w:hint="default" w:ascii="Times New Roman" w:hAnsi="Times New Roman" w:cs="Times New Roman"/>
                <w:b/>
                <w:color w:val="auto"/>
                <w:sz w:val="24"/>
              </w:rPr>
              <w:t>4、污染防治措施及达标可行性分析</w:t>
            </w:r>
          </w:p>
          <w:p w14:paraId="4B383B83">
            <w:pPr>
              <w:numPr>
                <w:ilvl w:val="0"/>
                <w:numId w:val="3"/>
              </w:num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废水污染防治措施</w:t>
            </w:r>
          </w:p>
          <w:p w14:paraId="20BBFA0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本项目废水收集后经新建污水处理站处理达标后纳管，主要污染物为COD</w:t>
            </w:r>
            <w:r>
              <w:rPr>
                <w:rFonts w:hint="default" w:ascii="Times New Roman" w:hAnsi="Times New Roman" w:cs="Times New Roman"/>
                <w:color w:val="auto"/>
                <w:sz w:val="24"/>
                <w:vertAlign w:val="subscript"/>
              </w:rPr>
              <w:t>Cr</w:t>
            </w:r>
            <w:r>
              <w:rPr>
                <w:rFonts w:hint="default" w:ascii="Times New Roman" w:hAnsi="Times New Roman" w:cs="Times New Roman"/>
                <w:color w:val="auto"/>
                <w:sz w:val="24"/>
              </w:rPr>
              <w:t>、氨氮、总氮、LAS、SS、氟化物等，废水水质简单，废水经处理后污染物浓度小于淮南经济技术开发区工业污水处理厂进管浓度要求。</w:t>
            </w:r>
          </w:p>
          <w:p w14:paraId="63D465AD">
            <w:pPr>
              <w:numPr>
                <w:ilvl w:val="0"/>
                <w:numId w:val="3"/>
              </w:numPr>
              <w:spacing w:line="360" w:lineRule="auto"/>
              <w:ind w:firstLine="482" w:firstLineChars="200"/>
              <w:rPr>
                <w:rFonts w:hint="default" w:ascii="Times New Roman" w:hAnsi="Times New Roman" w:cs="Times New Roman"/>
                <w:b/>
                <w:color w:val="auto"/>
                <w:sz w:val="24"/>
              </w:rPr>
            </w:pPr>
            <w:bookmarkStart w:id="21" w:name="_Toc257189409"/>
            <w:bookmarkStart w:id="22" w:name="_Toc235530575"/>
            <w:bookmarkStart w:id="23" w:name="_Toc244081419"/>
            <w:bookmarkStart w:id="24" w:name="_Toc230682680"/>
            <w:bookmarkStart w:id="25" w:name="_Toc171338523"/>
            <w:r>
              <w:rPr>
                <w:rFonts w:hint="default" w:ascii="Times New Roman" w:hAnsi="Times New Roman" w:cs="Times New Roman"/>
                <w:b/>
                <w:color w:val="auto"/>
                <w:sz w:val="24"/>
              </w:rPr>
              <w:t>纳管达标可行性分析</w:t>
            </w:r>
          </w:p>
          <w:p w14:paraId="64493A0C">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由工程分析可知，本项目废水污染物浓度不高，通过新建污水处理站处理达标后即可外排入管网，最终出水水质可满足纳管排放要求。</w:t>
            </w:r>
          </w:p>
          <w:p w14:paraId="2AD9337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处理工艺属于《排污许可证申请与核发技术规范 石墨及其他非金属矿物制品制造》（HJ 1119-2020）废水污染防治可行技术中可行技术物化法，由此可知，本项目的废水防治措施有效可行，废水经处理后能达到纳管标准。</w:t>
            </w:r>
          </w:p>
          <w:p w14:paraId="39CA12DE">
            <w:pPr>
              <w:numPr>
                <w:ilvl w:val="0"/>
                <w:numId w:val="3"/>
              </w:num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依托污水处理设施环境可行性分析</w:t>
            </w:r>
            <w:bookmarkEnd w:id="21"/>
            <w:bookmarkEnd w:id="22"/>
            <w:bookmarkEnd w:id="23"/>
            <w:bookmarkEnd w:id="24"/>
            <w:bookmarkEnd w:id="25"/>
          </w:p>
          <w:p w14:paraId="1369210A">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项目拟建地属淮南经济技术开发区工业污水处理厂收集区域，废水可纳入淮南经济技术开发区工业污水处理厂处理。</w:t>
            </w:r>
          </w:p>
          <w:p w14:paraId="06BCA62B">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淮南经济技术开发区工业污水处理厂于2019年建设，位于淮南市经济技术开发区长宁路北路、华兴路东侧、吉安路南侧，其一期工程（3万m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/d）目前已建成投入运行，其收水范围主要为淮南经济开发区的工业废水和开发区工业企业员工的生活污水，建设规模为30000m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/d，通过采取“水解酸化+A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/O+高效沉淀池+滤池+二氧化氯接触消毒”的污水处理工艺后使得出水水质达到《城镇污水处理厂污染物排放标准》（GB18918-2002）中的一级标准A标准后排入至淮河。</w:t>
            </w:r>
          </w:p>
          <w:p w14:paraId="036237E4">
            <w:pPr>
              <w:jc w:val="center"/>
              <w:rPr>
                <w:rFonts w:hint="default" w:ascii="Times New Roman" w:hAnsi="Times New Roman" w:cs="Times New Roman"/>
                <w:color w:val="auto"/>
                <w:szCs w:val="21"/>
              </w:rPr>
            </w:pPr>
            <w:r>
              <w:rPr>
                <w:rFonts w:hint="default" w:ascii="Times New Roman" w:hAnsi="Times New Roman" w:cs="Times New Roman"/>
                <w:color w:val="auto"/>
              </w:rPr>
              <w:drawing>
                <wp:inline distT="0" distB="0" distL="0" distR="0">
                  <wp:extent cx="5271770" cy="2108835"/>
                  <wp:effectExtent l="0" t="0" r="5080" b="5715"/>
                  <wp:docPr id="1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0"/>
                          <pic:cNvPicPr>
                            <a:picLocks noChangeAspect="1" noChangeArrowheads="1"/>
                          </pic:cNvPicPr>
                        </pic:nvPicPr>
                        <pic:blipFill>
                          <a:blip r:embed="rId22"/>
                          <a:srcRect/>
                          <a:stretch>
                            <a:fillRect/>
                          </a:stretch>
                        </pic:blipFill>
                        <pic:spPr>
                          <a:xfrm>
                            <a:off x="0" y="0"/>
                            <a:ext cx="5271770" cy="2108835"/>
                          </a:xfrm>
                          <a:prstGeom prst="rect">
                            <a:avLst/>
                          </a:prstGeom>
                          <a:noFill/>
                          <a:ln w="9525">
                            <a:noFill/>
                            <a:miter lim="800000"/>
                            <a:headEnd/>
                            <a:tailEnd/>
                          </a:ln>
                        </pic:spPr>
                      </pic:pic>
                    </a:graphicData>
                  </a:graphic>
                </wp:inline>
              </w:drawing>
            </w:r>
          </w:p>
          <w:p w14:paraId="28EAB1AF">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Cs w:val="21"/>
              </w:rPr>
              <w:t>图4.2.4-2  淮南经济技术开发区工业污水处理厂处理工艺流程图</w:t>
            </w:r>
          </w:p>
          <w:p w14:paraId="4F38D7F4">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rPr>
              <w:t>项目废水纳管排放，纳管水质浓度满足淮南经济技术开发区工业污水处理厂入管标准。由于项目废水量不大，废水水质简单，废水经处理后污水水质完全可满足污水进管标准，水质上不会造成对淮南经济技术开发区工业污水处理厂正常运行的冲击，在水量方面污水处理厂目前已接管水量为2万t/d，尚有余量1万t/d，完全能接纳本次项目新增废水接入，因此项目污水纳管排放对污水处理厂正常运行基本无影响。同时项目废水不排放周边内河地表水体，也不会对周边地表水体造成污染影响。</w:t>
            </w:r>
          </w:p>
          <w:p w14:paraId="7CD7A99F">
            <w:pPr>
              <w:adjustRightInd w:val="0"/>
              <w:snapToGrid w:val="0"/>
              <w:spacing w:line="360" w:lineRule="auto"/>
              <w:ind w:left="420"/>
              <w:rPr>
                <w:rFonts w:hint="default" w:ascii="Times New Roman" w:hAnsi="Times New Roman" w:cs="Times New Roman"/>
                <w:b/>
                <w:color w:val="auto"/>
                <w:sz w:val="24"/>
              </w:rPr>
            </w:pPr>
            <w:r>
              <w:rPr>
                <w:rFonts w:hint="default" w:ascii="Times New Roman" w:hAnsi="Times New Roman" w:cs="Times New Roman"/>
                <w:b/>
                <w:color w:val="auto"/>
                <w:sz w:val="24"/>
              </w:rPr>
              <w:t>6、自行监测要求</w:t>
            </w:r>
          </w:p>
          <w:p w14:paraId="6AE546D6">
            <w:pPr>
              <w:snapToGrid w:val="0"/>
              <w:spacing w:line="360" w:lineRule="auto"/>
              <w:ind w:firstLine="480" w:firstLineChars="200"/>
              <w:rPr>
                <w:rFonts w:hint="default" w:ascii="Times New Roman" w:hAnsi="Times New Roman" w:cs="Times New Roman"/>
                <w:b/>
                <w:bCs/>
                <w:color w:val="auto"/>
                <w:sz w:val="24"/>
              </w:rPr>
            </w:pPr>
            <w:r>
              <w:rPr>
                <w:rFonts w:hint="default" w:ascii="Times New Roman" w:hAnsi="Times New Roman" w:cs="Times New Roman"/>
                <w:color w:val="auto"/>
                <w:sz w:val="24"/>
              </w:rPr>
              <w:t>本项目营运期监测计划参考《排污许可证申请与核发技术规范 石墨及其他非金属矿物制品制造》（HJ1119-2020）中多晶硅棒自行监测要求及《排污单位自行监测技术指南总则》（HJ819-2017）相关要求。</w:t>
            </w:r>
          </w:p>
          <w:p w14:paraId="35B4F3F4">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表4.2.4-</w:t>
            </w:r>
            <w:r>
              <w:rPr>
                <w:rFonts w:hint="eastAsia" w:cs="Times New Roman"/>
                <w:b/>
                <w:color w:val="auto"/>
                <w:szCs w:val="21"/>
                <w:lang w:val="en-US" w:eastAsia="zh-CN"/>
              </w:rPr>
              <w:t>11</w:t>
            </w:r>
            <w:r>
              <w:rPr>
                <w:rFonts w:hint="default" w:ascii="Times New Roman" w:hAnsi="Times New Roman" w:cs="Times New Roman"/>
                <w:b/>
                <w:color w:val="auto"/>
                <w:szCs w:val="21"/>
              </w:rPr>
              <w:t xml:space="preserve">  废水监测计划一览表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890"/>
              <w:gridCol w:w="949"/>
              <w:gridCol w:w="724"/>
              <w:gridCol w:w="1976"/>
              <w:gridCol w:w="1498"/>
              <w:gridCol w:w="1249"/>
            </w:tblGrid>
            <w:tr w14:paraId="787DA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Align w:val="center"/>
                </w:tcPr>
                <w:p w14:paraId="03BFD253">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序号</w:t>
                  </w:r>
                </w:p>
              </w:tc>
              <w:tc>
                <w:tcPr>
                  <w:tcW w:w="560" w:type="pct"/>
                  <w:vAlign w:val="center"/>
                </w:tcPr>
                <w:p w14:paraId="278D02DE">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排放口编号</w:t>
                  </w:r>
                </w:p>
              </w:tc>
              <w:tc>
                <w:tcPr>
                  <w:tcW w:w="598" w:type="pct"/>
                  <w:vAlign w:val="center"/>
                </w:tcPr>
                <w:p w14:paraId="376552F2">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排放口名称</w:t>
                  </w:r>
                </w:p>
              </w:tc>
              <w:tc>
                <w:tcPr>
                  <w:tcW w:w="456" w:type="pct"/>
                  <w:vAlign w:val="center"/>
                </w:tcPr>
                <w:p w14:paraId="050E1C8F">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监测内容</w:t>
                  </w:r>
                </w:p>
              </w:tc>
              <w:tc>
                <w:tcPr>
                  <w:tcW w:w="1244" w:type="pct"/>
                  <w:vAlign w:val="center"/>
                </w:tcPr>
                <w:p w14:paraId="33C30F24">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污染物名称</w:t>
                  </w:r>
                </w:p>
              </w:tc>
              <w:tc>
                <w:tcPr>
                  <w:tcW w:w="943" w:type="pct"/>
                  <w:vAlign w:val="center"/>
                </w:tcPr>
                <w:p w14:paraId="3EE2CD0F">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监测采样方法及个数</w:t>
                  </w:r>
                </w:p>
              </w:tc>
              <w:tc>
                <w:tcPr>
                  <w:tcW w:w="786" w:type="pct"/>
                  <w:vAlign w:val="center"/>
                </w:tcPr>
                <w:p w14:paraId="0DD8460A">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监测频次</w:t>
                  </w:r>
                </w:p>
              </w:tc>
            </w:tr>
            <w:tr w14:paraId="1F8A6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Align w:val="center"/>
                </w:tcPr>
                <w:p w14:paraId="6D40DCD5">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w:t>
                  </w:r>
                </w:p>
              </w:tc>
              <w:tc>
                <w:tcPr>
                  <w:tcW w:w="560" w:type="pct"/>
                  <w:vAlign w:val="center"/>
                </w:tcPr>
                <w:p w14:paraId="7DBB8CA6">
                  <w:pPr>
                    <w:widowControl/>
                    <w:jc w:val="center"/>
                    <w:rPr>
                      <w:rFonts w:hint="default" w:ascii="Times New Roman" w:hAnsi="Times New Roman" w:cs="Times New Roman"/>
                      <w:color w:val="auto"/>
                      <w:kern w:val="0"/>
                      <w:szCs w:val="21"/>
                    </w:rPr>
                  </w:pPr>
                  <w:r>
                    <w:rPr>
                      <w:rFonts w:hint="default" w:ascii="Times New Roman" w:hAnsi="Times New Roman" w:cs="Times New Roman"/>
                      <w:bCs/>
                      <w:color w:val="auto"/>
                      <w:spacing w:val="-10"/>
                      <w:szCs w:val="21"/>
                    </w:rPr>
                    <w:t>DW001</w:t>
                  </w:r>
                </w:p>
              </w:tc>
              <w:tc>
                <w:tcPr>
                  <w:tcW w:w="598" w:type="pct"/>
                  <w:vAlign w:val="center"/>
                </w:tcPr>
                <w:p w14:paraId="220E8EAC">
                  <w:pPr>
                    <w:widowControl/>
                    <w:jc w:val="center"/>
                    <w:rPr>
                      <w:rFonts w:hint="default" w:ascii="Times New Roman" w:hAnsi="Times New Roman" w:cs="Times New Roman"/>
                      <w:color w:val="auto"/>
                      <w:kern w:val="0"/>
                      <w:szCs w:val="21"/>
                    </w:rPr>
                  </w:pPr>
                  <w:r>
                    <w:rPr>
                      <w:rFonts w:hint="default" w:ascii="Times New Roman" w:hAnsi="Times New Roman" w:cs="Times New Roman"/>
                      <w:bCs/>
                      <w:color w:val="auto"/>
                      <w:spacing w:val="-10"/>
                      <w:szCs w:val="21"/>
                    </w:rPr>
                    <w:t>废水总排放口</w:t>
                  </w:r>
                </w:p>
              </w:tc>
              <w:tc>
                <w:tcPr>
                  <w:tcW w:w="456" w:type="pct"/>
                  <w:vAlign w:val="center"/>
                </w:tcPr>
                <w:p w14:paraId="12D8245C">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流量</w:t>
                  </w:r>
                </w:p>
              </w:tc>
              <w:tc>
                <w:tcPr>
                  <w:tcW w:w="1244" w:type="pct"/>
                  <w:vAlign w:val="center"/>
                </w:tcPr>
                <w:p w14:paraId="67C5AA96">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COD</w:t>
                  </w:r>
                  <w:r>
                    <w:rPr>
                      <w:rFonts w:hint="default" w:ascii="Times New Roman" w:hAnsi="Times New Roman" w:cs="Times New Roman"/>
                      <w:color w:val="auto"/>
                      <w:szCs w:val="21"/>
                      <w:vertAlign w:val="subscript"/>
                    </w:rPr>
                    <w:t>Cr</w:t>
                  </w:r>
                  <w:r>
                    <w:rPr>
                      <w:rFonts w:hint="default" w:ascii="Times New Roman" w:hAnsi="Times New Roman" w:cs="Times New Roman"/>
                      <w:color w:val="auto"/>
                      <w:szCs w:val="21"/>
                    </w:rPr>
                    <w:t>、SS、氟化物、氨氮、总氮、LAS</w:t>
                  </w:r>
                </w:p>
              </w:tc>
              <w:tc>
                <w:tcPr>
                  <w:tcW w:w="943" w:type="pct"/>
                  <w:vAlign w:val="center"/>
                </w:tcPr>
                <w:p w14:paraId="234A8404">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混合采样 至少3个混合样</w:t>
                  </w:r>
                </w:p>
              </w:tc>
              <w:tc>
                <w:tcPr>
                  <w:tcW w:w="786" w:type="pct"/>
                  <w:vAlign w:val="center"/>
                </w:tcPr>
                <w:p w14:paraId="0484D1E3">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一次/半年</w:t>
                  </w:r>
                </w:p>
              </w:tc>
            </w:tr>
          </w:tbl>
          <w:p w14:paraId="45DD431A">
            <w:pPr>
              <w:tabs>
                <w:tab w:val="left" w:pos="5340"/>
              </w:tabs>
              <w:snapToGrid w:val="0"/>
              <w:spacing w:line="360" w:lineRule="auto"/>
              <w:rPr>
                <w:rFonts w:hint="default" w:ascii="Times New Roman" w:hAnsi="Times New Roman" w:cs="Times New Roman"/>
                <w:b/>
                <w:bCs/>
                <w:color w:val="auto"/>
                <w:sz w:val="24"/>
              </w:rPr>
            </w:pPr>
            <w:r>
              <w:rPr>
                <w:rFonts w:hint="default" w:ascii="Times New Roman" w:hAnsi="Times New Roman" w:cs="Times New Roman"/>
                <w:b/>
                <w:bCs/>
                <w:color w:val="auto"/>
                <w:sz w:val="24"/>
              </w:rPr>
              <w:t>4.2.5噪声</w:t>
            </w:r>
          </w:p>
          <w:p w14:paraId="3AA437DB">
            <w:pPr>
              <w:pStyle w:val="109"/>
              <w:adjustRightInd/>
              <w:snapToGrid/>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1、噪声源强</w:t>
            </w:r>
          </w:p>
          <w:p w14:paraId="1672D179">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项目噪声主要为设备运行时产生的噪声，项目噪声产生情况见下表。</w:t>
            </w:r>
          </w:p>
          <w:p w14:paraId="4152FE89">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表4.2.5-1 工业企业噪声源强调查清单（室外声源）</w:t>
            </w:r>
          </w:p>
          <w:tbl>
            <w:tblPr>
              <w:tblStyle w:val="32"/>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
              <w:gridCol w:w="1260"/>
              <w:gridCol w:w="389"/>
              <w:gridCol w:w="633"/>
              <w:gridCol w:w="533"/>
              <w:gridCol w:w="547"/>
              <w:gridCol w:w="1763"/>
              <w:gridCol w:w="1400"/>
              <w:gridCol w:w="1008"/>
            </w:tblGrid>
            <w:tr w14:paraId="64FE2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03" w:type="dxa"/>
                  <w:vMerge w:val="restart"/>
                  <w:vAlign w:val="center"/>
                </w:tcPr>
                <w:p w14:paraId="6A8B789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序号</w:t>
                  </w:r>
                </w:p>
              </w:tc>
              <w:tc>
                <w:tcPr>
                  <w:tcW w:w="1260" w:type="dxa"/>
                  <w:vMerge w:val="restart"/>
                  <w:vAlign w:val="center"/>
                </w:tcPr>
                <w:p w14:paraId="5E900BD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声源名称</w:t>
                  </w:r>
                </w:p>
              </w:tc>
              <w:tc>
                <w:tcPr>
                  <w:tcW w:w="389" w:type="dxa"/>
                  <w:vMerge w:val="restart"/>
                  <w:vAlign w:val="center"/>
                </w:tcPr>
                <w:p w14:paraId="7E799EA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型号</w:t>
                  </w:r>
                </w:p>
              </w:tc>
              <w:tc>
                <w:tcPr>
                  <w:tcW w:w="1713" w:type="dxa"/>
                  <w:gridSpan w:val="3"/>
                  <w:vAlign w:val="center"/>
                </w:tcPr>
                <w:p w14:paraId="2D92DCA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空间相对位置/m</w:t>
                  </w:r>
                </w:p>
              </w:tc>
              <w:tc>
                <w:tcPr>
                  <w:tcW w:w="1763" w:type="dxa"/>
                  <w:vAlign w:val="center"/>
                </w:tcPr>
                <w:p w14:paraId="7057FB5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声源源强</w:t>
                  </w:r>
                </w:p>
              </w:tc>
              <w:tc>
                <w:tcPr>
                  <w:tcW w:w="1400" w:type="dxa"/>
                  <w:vMerge w:val="restart"/>
                  <w:vAlign w:val="center"/>
                </w:tcPr>
                <w:p w14:paraId="4EC0907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声源控制措施</w:t>
                  </w:r>
                </w:p>
              </w:tc>
              <w:tc>
                <w:tcPr>
                  <w:tcW w:w="1008" w:type="dxa"/>
                  <w:vMerge w:val="restart"/>
                  <w:vAlign w:val="center"/>
                </w:tcPr>
                <w:p w14:paraId="1D9A59B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运行时段</w:t>
                  </w:r>
                </w:p>
              </w:tc>
            </w:tr>
            <w:tr w14:paraId="48AA7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3" w:type="dxa"/>
                  <w:vMerge w:val="continue"/>
                  <w:vAlign w:val="center"/>
                </w:tcPr>
                <w:p w14:paraId="40684271">
                  <w:pPr>
                    <w:adjustRightInd w:val="0"/>
                    <w:snapToGrid w:val="0"/>
                    <w:jc w:val="center"/>
                    <w:rPr>
                      <w:rFonts w:hint="default" w:ascii="Times New Roman" w:hAnsi="Times New Roman" w:cs="Times New Roman"/>
                      <w:color w:val="auto"/>
                      <w:sz w:val="16"/>
                      <w:szCs w:val="16"/>
                    </w:rPr>
                  </w:pPr>
                </w:p>
              </w:tc>
              <w:tc>
                <w:tcPr>
                  <w:tcW w:w="1260" w:type="dxa"/>
                  <w:vMerge w:val="continue"/>
                  <w:vAlign w:val="center"/>
                </w:tcPr>
                <w:p w14:paraId="0BD8165F">
                  <w:pPr>
                    <w:adjustRightInd w:val="0"/>
                    <w:snapToGrid w:val="0"/>
                    <w:jc w:val="center"/>
                    <w:rPr>
                      <w:rFonts w:hint="default" w:ascii="Times New Roman" w:hAnsi="Times New Roman" w:cs="Times New Roman"/>
                      <w:color w:val="auto"/>
                      <w:sz w:val="16"/>
                      <w:szCs w:val="16"/>
                    </w:rPr>
                  </w:pPr>
                </w:p>
              </w:tc>
              <w:tc>
                <w:tcPr>
                  <w:tcW w:w="389" w:type="dxa"/>
                  <w:vMerge w:val="continue"/>
                  <w:vAlign w:val="center"/>
                </w:tcPr>
                <w:p w14:paraId="15A4D361">
                  <w:pPr>
                    <w:adjustRightInd w:val="0"/>
                    <w:snapToGrid w:val="0"/>
                    <w:jc w:val="center"/>
                    <w:rPr>
                      <w:rFonts w:hint="default" w:ascii="Times New Roman" w:hAnsi="Times New Roman" w:cs="Times New Roman"/>
                      <w:color w:val="auto"/>
                      <w:sz w:val="16"/>
                      <w:szCs w:val="16"/>
                    </w:rPr>
                  </w:pPr>
                </w:p>
              </w:tc>
              <w:tc>
                <w:tcPr>
                  <w:tcW w:w="633" w:type="dxa"/>
                  <w:vAlign w:val="center"/>
                </w:tcPr>
                <w:p w14:paraId="6D8248E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X</w:t>
                  </w:r>
                </w:p>
              </w:tc>
              <w:tc>
                <w:tcPr>
                  <w:tcW w:w="533" w:type="dxa"/>
                  <w:vAlign w:val="center"/>
                </w:tcPr>
                <w:p w14:paraId="6730E0F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Y</w:t>
                  </w:r>
                </w:p>
              </w:tc>
              <w:tc>
                <w:tcPr>
                  <w:tcW w:w="547" w:type="dxa"/>
                  <w:vAlign w:val="center"/>
                </w:tcPr>
                <w:p w14:paraId="49743C9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Z</w:t>
                  </w:r>
                </w:p>
              </w:tc>
              <w:tc>
                <w:tcPr>
                  <w:tcW w:w="1763" w:type="dxa"/>
                  <w:vAlign w:val="center"/>
                </w:tcPr>
                <w:p w14:paraId="6430E0E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（声压级/距声源距离）/（dB(A)/m）</w:t>
                  </w:r>
                </w:p>
              </w:tc>
              <w:tc>
                <w:tcPr>
                  <w:tcW w:w="1400" w:type="dxa"/>
                  <w:vMerge w:val="continue"/>
                  <w:vAlign w:val="center"/>
                </w:tcPr>
                <w:p w14:paraId="34DF6F1A">
                  <w:pPr>
                    <w:adjustRightInd w:val="0"/>
                    <w:snapToGrid w:val="0"/>
                    <w:jc w:val="center"/>
                    <w:rPr>
                      <w:rFonts w:hint="default" w:ascii="Times New Roman" w:hAnsi="Times New Roman" w:cs="Times New Roman"/>
                      <w:color w:val="auto"/>
                      <w:sz w:val="16"/>
                      <w:szCs w:val="16"/>
                    </w:rPr>
                  </w:pPr>
                </w:p>
              </w:tc>
              <w:tc>
                <w:tcPr>
                  <w:tcW w:w="1008" w:type="dxa"/>
                  <w:vMerge w:val="continue"/>
                  <w:vAlign w:val="center"/>
                </w:tcPr>
                <w:p w14:paraId="778480AC">
                  <w:pPr>
                    <w:adjustRightInd w:val="0"/>
                    <w:snapToGrid w:val="0"/>
                    <w:jc w:val="center"/>
                    <w:rPr>
                      <w:rFonts w:hint="default" w:ascii="Times New Roman" w:hAnsi="Times New Roman" w:cs="Times New Roman"/>
                      <w:color w:val="auto"/>
                      <w:sz w:val="16"/>
                      <w:szCs w:val="16"/>
                    </w:rPr>
                  </w:pPr>
                </w:p>
              </w:tc>
            </w:tr>
            <w:tr w14:paraId="369CC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03" w:type="dxa"/>
                  <w:vAlign w:val="center"/>
                </w:tcPr>
                <w:p w14:paraId="0832E3C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1260" w:type="dxa"/>
                  <w:vAlign w:val="center"/>
                </w:tcPr>
                <w:p w14:paraId="401971B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曝气风机</w:t>
                  </w:r>
                </w:p>
              </w:tc>
              <w:tc>
                <w:tcPr>
                  <w:tcW w:w="389" w:type="dxa"/>
                  <w:vAlign w:val="center"/>
                </w:tcPr>
                <w:p w14:paraId="7A050EA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633" w:type="dxa"/>
                  <w:vAlign w:val="center"/>
                </w:tcPr>
                <w:p w14:paraId="39381D8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13</w:t>
                  </w:r>
                </w:p>
              </w:tc>
              <w:tc>
                <w:tcPr>
                  <w:tcW w:w="533" w:type="dxa"/>
                  <w:vAlign w:val="center"/>
                </w:tcPr>
                <w:p w14:paraId="67212FF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15</w:t>
                  </w:r>
                </w:p>
              </w:tc>
              <w:tc>
                <w:tcPr>
                  <w:tcW w:w="547" w:type="dxa"/>
                  <w:vAlign w:val="center"/>
                </w:tcPr>
                <w:p w14:paraId="7CBEF2C4">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0.5</w:t>
                  </w:r>
                </w:p>
              </w:tc>
              <w:tc>
                <w:tcPr>
                  <w:tcW w:w="1763" w:type="dxa"/>
                  <w:vAlign w:val="center"/>
                </w:tcPr>
                <w:p w14:paraId="4972652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76/1</w:t>
                  </w:r>
                </w:p>
              </w:tc>
              <w:tc>
                <w:tcPr>
                  <w:tcW w:w="1400" w:type="dxa"/>
                  <w:vAlign w:val="center"/>
                </w:tcPr>
                <w:p w14:paraId="4009363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机组做减振处理</w:t>
                  </w:r>
                </w:p>
              </w:tc>
              <w:tc>
                <w:tcPr>
                  <w:tcW w:w="1008" w:type="dxa"/>
                  <w:vAlign w:val="center"/>
                </w:tcPr>
                <w:p w14:paraId="37D861F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24h</w:t>
                  </w:r>
                </w:p>
              </w:tc>
            </w:tr>
            <w:tr w14:paraId="46CF9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03" w:type="dxa"/>
                  <w:vAlign w:val="center"/>
                </w:tcPr>
                <w:p w14:paraId="02C9EB57">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2</w:t>
                  </w:r>
                </w:p>
              </w:tc>
              <w:tc>
                <w:tcPr>
                  <w:tcW w:w="1260" w:type="dxa"/>
                  <w:vAlign w:val="center"/>
                </w:tcPr>
                <w:p w14:paraId="4AEB98E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污水泵组</w:t>
                  </w:r>
                </w:p>
              </w:tc>
              <w:tc>
                <w:tcPr>
                  <w:tcW w:w="389" w:type="dxa"/>
                  <w:vAlign w:val="center"/>
                </w:tcPr>
                <w:p w14:paraId="06FD9C4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633" w:type="dxa"/>
                  <w:vAlign w:val="center"/>
                </w:tcPr>
                <w:p w14:paraId="5AD0000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533" w:type="dxa"/>
                  <w:vAlign w:val="center"/>
                </w:tcPr>
                <w:p w14:paraId="55237F4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15</w:t>
                  </w:r>
                </w:p>
              </w:tc>
              <w:tc>
                <w:tcPr>
                  <w:tcW w:w="547" w:type="dxa"/>
                  <w:vAlign w:val="center"/>
                </w:tcPr>
                <w:p w14:paraId="2F3EC25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1763" w:type="dxa"/>
                  <w:vAlign w:val="center"/>
                </w:tcPr>
                <w:p w14:paraId="7F0134C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76/1</w:t>
                  </w:r>
                </w:p>
              </w:tc>
              <w:tc>
                <w:tcPr>
                  <w:tcW w:w="1400" w:type="dxa"/>
                  <w:vAlign w:val="center"/>
                </w:tcPr>
                <w:p w14:paraId="42CB4F3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机组做减振处理</w:t>
                  </w:r>
                </w:p>
              </w:tc>
              <w:tc>
                <w:tcPr>
                  <w:tcW w:w="1008" w:type="dxa"/>
                  <w:vAlign w:val="center"/>
                </w:tcPr>
                <w:p w14:paraId="17B7C61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24h</w:t>
                  </w:r>
                </w:p>
              </w:tc>
            </w:tr>
            <w:tr w14:paraId="751C7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03" w:type="dxa"/>
                  <w:shd w:val="clear" w:color="auto" w:fill="auto"/>
                  <w:vAlign w:val="center"/>
                </w:tcPr>
                <w:p w14:paraId="660615B1">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3</w:t>
                  </w:r>
                </w:p>
              </w:tc>
              <w:tc>
                <w:tcPr>
                  <w:tcW w:w="1260" w:type="dxa"/>
                  <w:shd w:val="clear" w:color="auto" w:fill="auto"/>
                  <w:vAlign w:val="center"/>
                </w:tcPr>
                <w:p w14:paraId="35BC4BFB">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废气风机1#</w:t>
                  </w:r>
                </w:p>
              </w:tc>
              <w:tc>
                <w:tcPr>
                  <w:tcW w:w="389" w:type="dxa"/>
                  <w:shd w:val="clear" w:color="auto" w:fill="auto"/>
                  <w:vAlign w:val="center"/>
                </w:tcPr>
                <w:p w14:paraId="41D01920">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w:t>
                  </w:r>
                </w:p>
              </w:tc>
              <w:tc>
                <w:tcPr>
                  <w:tcW w:w="633" w:type="dxa"/>
                  <w:shd w:val="clear" w:color="auto" w:fill="auto"/>
                  <w:vAlign w:val="center"/>
                </w:tcPr>
                <w:p w14:paraId="4254D71D">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eastAsia" w:cs="Times New Roman"/>
                      <w:color w:val="auto"/>
                      <w:kern w:val="2"/>
                      <w:sz w:val="16"/>
                      <w:szCs w:val="16"/>
                      <w:lang w:val="en-US" w:eastAsia="zh-CN" w:bidi="ar-SA"/>
                    </w:rPr>
                    <w:t>8</w:t>
                  </w:r>
                </w:p>
              </w:tc>
              <w:tc>
                <w:tcPr>
                  <w:tcW w:w="533" w:type="dxa"/>
                  <w:shd w:val="clear" w:color="auto" w:fill="auto"/>
                  <w:vAlign w:val="center"/>
                </w:tcPr>
                <w:p w14:paraId="6FC37B7B">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eastAsia" w:cs="Times New Roman"/>
                      <w:color w:val="auto"/>
                      <w:sz w:val="16"/>
                      <w:szCs w:val="16"/>
                      <w:lang w:val="en-US" w:eastAsia="zh-CN"/>
                    </w:rPr>
                    <w:t>-16</w:t>
                  </w:r>
                </w:p>
              </w:tc>
              <w:tc>
                <w:tcPr>
                  <w:tcW w:w="547" w:type="dxa"/>
                  <w:shd w:val="clear" w:color="auto" w:fill="auto"/>
                  <w:vAlign w:val="center"/>
                </w:tcPr>
                <w:p w14:paraId="37FE0A79">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eastAsia" w:cs="Times New Roman"/>
                      <w:color w:val="auto"/>
                      <w:kern w:val="2"/>
                      <w:sz w:val="16"/>
                      <w:szCs w:val="16"/>
                      <w:lang w:val="en-US" w:eastAsia="zh-CN" w:bidi="ar-SA"/>
                    </w:rPr>
                    <w:t>0.5</w:t>
                  </w:r>
                </w:p>
              </w:tc>
              <w:tc>
                <w:tcPr>
                  <w:tcW w:w="1763" w:type="dxa"/>
                  <w:shd w:val="clear" w:color="auto" w:fill="auto"/>
                  <w:vAlign w:val="center"/>
                </w:tcPr>
                <w:p w14:paraId="0BD6D26D">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75/1</w:t>
                  </w:r>
                </w:p>
              </w:tc>
              <w:tc>
                <w:tcPr>
                  <w:tcW w:w="1400" w:type="dxa"/>
                  <w:vAlign w:val="center"/>
                </w:tcPr>
                <w:p w14:paraId="5CABD8F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机组做减振处理</w:t>
                  </w:r>
                </w:p>
              </w:tc>
              <w:tc>
                <w:tcPr>
                  <w:tcW w:w="1008" w:type="dxa"/>
                  <w:vMerge w:val="restart"/>
                  <w:vAlign w:val="center"/>
                </w:tcPr>
                <w:p w14:paraId="0D37DD7F">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8:00～17:00</w:t>
                  </w:r>
                </w:p>
              </w:tc>
            </w:tr>
            <w:tr w14:paraId="59156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03" w:type="dxa"/>
                  <w:shd w:val="clear" w:color="auto" w:fill="auto"/>
                  <w:vAlign w:val="center"/>
                </w:tcPr>
                <w:p w14:paraId="5C353408">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4</w:t>
                  </w:r>
                </w:p>
              </w:tc>
              <w:tc>
                <w:tcPr>
                  <w:tcW w:w="1260" w:type="dxa"/>
                  <w:shd w:val="clear" w:color="auto" w:fill="auto"/>
                  <w:vAlign w:val="center"/>
                </w:tcPr>
                <w:p w14:paraId="1316BFE5">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废气风机2#</w:t>
                  </w:r>
                </w:p>
              </w:tc>
              <w:tc>
                <w:tcPr>
                  <w:tcW w:w="389" w:type="dxa"/>
                  <w:shd w:val="clear" w:color="auto" w:fill="auto"/>
                  <w:vAlign w:val="center"/>
                </w:tcPr>
                <w:p w14:paraId="20BE7520">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w:t>
                  </w:r>
                </w:p>
              </w:tc>
              <w:tc>
                <w:tcPr>
                  <w:tcW w:w="633" w:type="dxa"/>
                  <w:shd w:val="clear" w:color="auto" w:fill="auto"/>
                  <w:vAlign w:val="center"/>
                </w:tcPr>
                <w:p w14:paraId="3B8E5821">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20</w:t>
                  </w:r>
                </w:p>
              </w:tc>
              <w:tc>
                <w:tcPr>
                  <w:tcW w:w="533" w:type="dxa"/>
                  <w:shd w:val="clear" w:color="auto" w:fill="auto"/>
                  <w:vAlign w:val="center"/>
                </w:tcPr>
                <w:p w14:paraId="71B27BFF">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-20</w:t>
                  </w:r>
                </w:p>
              </w:tc>
              <w:tc>
                <w:tcPr>
                  <w:tcW w:w="547" w:type="dxa"/>
                  <w:shd w:val="clear" w:color="auto" w:fill="auto"/>
                  <w:vAlign w:val="center"/>
                </w:tcPr>
                <w:p w14:paraId="7822D376">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eastAsia" w:cs="Times New Roman"/>
                      <w:color w:val="auto"/>
                      <w:kern w:val="2"/>
                      <w:sz w:val="16"/>
                      <w:szCs w:val="16"/>
                      <w:lang w:val="en-US" w:eastAsia="zh-CN" w:bidi="ar-SA"/>
                    </w:rPr>
                    <w:t>0.5</w:t>
                  </w:r>
                </w:p>
              </w:tc>
              <w:tc>
                <w:tcPr>
                  <w:tcW w:w="1763" w:type="dxa"/>
                  <w:shd w:val="clear" w:color="auto" w:fill="auto"/>
                  <w:vAlign w:val="center"/>
                </w:tcPr>
                <w:p w14:paraId="2AA1BBD4">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75/1</w:t>
                  </w:r>
                </w:p>
              </w:tc>
              <w:tc>
                <w:tcPr>
                  <w:tcW w:w="1400" w:type="dxa"/>
                  <w:vAlign w:val="center"/>
                </w:tcPr>
                <w:p w14:paraId="13C947E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机组做减振处理</w:t>
                  </w:r>
                </w:p>
              </w:tc>
              <w:tc>
                <w:tcPr>
                  <w:tcW w:w="1008" w:type="dxa"/>
                  <w:vMerge w:val="continue"/>
                  <w:vAlign w:val="center"/>
                </w:tcPr>
                <w:p w14:paraId="17250AE2">
                  <w:pPr>
                    <w:adjustRightInd w:val="0"/>
                    <w:snapToGrid w:val="0"/>
                    <w:jc w:val="center"/>
                    <w:rPr>
                      <w:rFonts w:hint="default" w:ascii="Times New Roman" w:hAnsi="Times New Roman" w:cs="Times New Roman"/>
                      <w:color w:val="auto"/>
                      <w:sz w:val="16"/>
                      <w:szCs w:val="16"/>
                    </w:rPr>
                  </w:pPr>
                </w:p>
              </w:tc>
            </w:tr>
            <w:tr w14:paraId="469F5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03" w:type="dxa"/>
                  <w:shd w:val="clear" w:color="auto" w:fill="auto"/>
                  <w:vAlign w:val="center"/>
                </w:tcPr>
                <w:p w14:paraId="29FF3903">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5</w:t>
                  </w:r>
                </w:p>
              </w:tc>
              <w:tc>
                <w:tcPr>
                  <w:tcW w:w="1260" w:type="dxa"/>
                  <w:shd w:val="clear" w:color="auto" w:fill="auto"/>
                  <w:vAlign w:val="center"/>
                </w:tcPr>
                <w:p w14:paraId="72BC9DBD">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废气风机3#</w:t>
                  </w:r>
                </w:p>
              </w:tc>
              <w:tc>
                <w:tcPr>
                  <w:tcW w:w="389" w:type="dxa"/>
                  <w:shd w:val="clear" w:color="auto" w:fill="auto"/>
                  <w:vAlign w:val="center"/>
                </w:tcPr>
                <w:p w14:paraId="5AA705AF">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w:t>
                  </w:r>
                </w:p>
              </w:tc>
              <w:tc>
                <w:tcPr>
                  <w:tcW w:w="633" w:type="dxa"/>
                  <w:shd w:val="clear" w:color="auto" w:fill="auto"/>
                  <w:vAlign w:val="center"/>
                </w:tcPr>
                <w:p w14:paraId="6D2F4AE9">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-7</w:t>
                  </w:r>
                </w:p>
              </w:tc>
              <w:tc>
                <w:tcPr>
                  <w:tcW w:w="533" w:type="dxa"/>
                  <w:shd w:val="clear" w:color="auto" w:fill="auto"/>
                  <w:vAlign w:val="center"/>
                </w:tcPr>
                <w:p w14:paraId="2D3610AC">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22</w:t>
                  </w:r>
                </w:p>
              </w:tc>
              <w:tc>
                <w:tcPr>
                  <w:tcW w:w="547" w:type="dxa"/>
                  <w:shd w:val="clear" w:color="auto" w:fill="auto"/>
                  <w:vAlign w:val="center"/>
                </w:tcPr>
                <w:p w14:paraId="20F5ADB7">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eastAsia" w:cs="Times New Roman"/>
                      <w:color w:val="auto"/>
                      <w:kern w:val="2"/>
                      <w:sz w:val="16"/>
                      <w:szCs w:val="16"/>
                      <w:lang w:val="en-US" w:eastAsia="zh-CN" w:bidi="ar-SA"/>
                    </w:rPr>
                    <w:t>0.5</w:t>
                  </w:r>
                </w:p>
              </w:tc>
              <w:tc>
                <w:tcPr>
                  <w:tcW w:w="1763" w:type="dxa"/>
                  <w:shd w:val="clear" w:color="auto" w:fill="auto"/>
                  <w:vAlign w:val="center"/>
                </w:tcPr>
                <w:p w14:paraId="504B12B8">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75/1</w:t>
                  </w:r>
                </w:p>
              </w:tc>
              <w:tc>
                <w:tcPr>
                  <w:tcW w:w="1400" w:type="dxa"/>
                  <w:vAlign w:val="center"/>
                </w:tcPr>
                <w:p w14:paraId="4FEE9CB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机组做减振处理</w:t>
                  </w:r>
                </w:p>
              </w:tc>
              <w:tc>
                <w:tcPr>
                  <w:tcW w:w="1008" w:type="dxa"/>
                  <w:vMerge w:val="continue"/>
                  <w:vAlign w:val="center"/>
                </w:tcPr>
                <w:p w14:paraId="0D6A3C1F">
                  <w:pPr>
                    <w:adjustRightInd w:val="0"/>
                    <w:snapToGrid w:val="0"/>
                    <w:jc w:val="center"/>
                    <w:rPr>
                      <w:rFonts w:hint="default" w:ascii="Times New Roman" w:hAnsi="Times New Roman" w:cs="Times New Roman"/>
                      <w:color w:val="auto"/>
                      <w:sz w:val="16"/>
                      <w:szCs w:val="16"/>
                    </w:rPr>
                  </w:pPr>
                </w:p>
              </w:tc>
            </w:tr>
            <w:tr w14:paraId="12D95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3" w:type="dxa"/>
                  <w:shd w:val="clear" w:color="auto" w:fill="auto"/>
                  <w:vAlign w:val="center"/>
                </w:tcPr>
                <w:p w14:paraId="48645DE0">
                  <w:pPr>
                    <w:adjustRightInd w:val="0"/>
                    <w:snapToGrid w:val="0"/>
                    <w:jc w:val="center"/>
                    <w:rPr>
                      <w:rFonts w:hint="default"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6</w:t>
                  </w:r>
                </w:p>
              </w:tc>
              <w:tc>
                <w:tcPr>
                  <w:tcW w:w="1260" w:type="dxa"/>
                  <w:vAlign w:val="center"/>
                </w:tcPr>
                <w:p w14:paraId="6386A88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废气风机</w:t>
                  </w:r>
                  <w:r>
                    <w:rPr>
                      <w:rFonts w:hint="eastAsia" w:cs="Times New Roman"/>
                      <w:color w:val="auto"/>
                      <w:sz w:val="16"/>
                      <w:szCs w:val="16"/>
                      <w:lang w:val="en-US" w:eastAsia="zh-CN"/>
                    </w:rPr>
                    <w:t>4</w:t>
                  </w:r>
                  <w:r>
                    <w:rPr>
                      <w:rFonts w:hint="default" w:ascii="Times New Roman" w:hAnsi="Times New Roman" w:cs="Times New Roman"/>
                      <w:color w:val="auto"/>
                      <w:sz w:val="16"/>
                      <w:szCs w:val="16"/>
                    </w:rPr>
                    <w:t>#</w:t>
                  </w:r>
                </w:p>
              </w:tc>
              <w:tc>
                <w:tcPr>
                  <w:tcW w:w="389" w:type="dxa"/>
                  <w:vAlign w:val="center"/>
                </w:tcPr>
                <w:p w14:paraId="4A66F24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633" w:type="dxa"/>
                  <w:vAlign w:val="center"/>
                </w:tcPr>
                <w:p w14:paraId="61080749">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-30</w:t>
                  </w:r>
                </w:p>
              </w:tc>
              <w:tc>
                <w:tcPr>
                  <w:tcW w:w="533" w:type="dxa"/>
                  <w:vAlign w:val="center"/>
                </w:tcPr>
                <w:p w14:paraId="7FA6964D">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-10</w:t>
                  </w:r>
                </w:p>
              </w:tc>
              <w:tc>
                <w:tcPr>
                  <w:tcW w:w="547" w:type="dxa"/>
                  <w:vAlign w:val="center"/>
                </w:tcPr>
                <w:p w14:paraId="3D12D1E2">
                  <w:pPr>
                    <w:adjustRightInd w:val="0"/>
                    <w:snapToGrid w:val="0"/>
                    <w:jc w:val="center"/>
                    <w:rPr>
                      <w:rFonts w:hint="default" w:ascii="Times New Roman" w:hAnsi="Times New Roman" w:cs="Times New Roman"/>
                      <w:color w:val="auto"/>
                      <w:sz w:val="16"/>
                      <w:szCs w:val="16"/>
                    </w:rPr>
                  </w:pPr>
                  <w:r>
                    <w:rPr>
                      <w:rFonts w:hint="eastAsia" w:cs="Times New Roman"/>
                      <w:color w:val="auto"/>
                      <w:kern w:val="2"/>
                      <w:sz w:val="16"/>
                      <w:szCs w:val="16"/>
                      <w:lang w:val="en-US" w:eastAsia="zh-CN" w:bidi="ar-SA"/>
                    </w:rPr>
                    <w:t>0.5</w:t>
                  </w:r>
                </w:p>
              </w:tc>
              <w:tc>
                <w:tcPr>
                  <w:tcW w:w="1763" w:type="dxa"/>
                  <w:vAlign w:val="center"/>
                </w:tcPr>
                <w:p w14:paraId="4470F78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75/1</w:t>
                  </w:r>
                </w:p>
              </w:tc>
              <w:tc>
                <w:tcPr>
                  <w:tcW w:w="1400" w:type="dxa"/>
                  <w:vAlign w:val="center"/>
                </w:tcPr>
                <w:p w14:paraId="0645EA6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机组做减振处理</w:t>
                  </w:r>
                </w:p>
              </w:tc>
              <w:tc>
                <w:tcPr>
                  <w:tcW w:w="1008" w:type="dxa"/>
                  <w:vMerge w:val="continue"/>
                  <w:vAlign w:val="center"/>
                </w:tcPr>
                <w:p w14:paraId="30F98DEE">
                  <w:pPr>
                    <w:adjustRightInd w:val="0"/>
                    <w:snapToGrid w:val="0"/>
                    <w:jc w:val="center"/>
                    <w:rPr>
                      <w:rFonts w:hint="default" w:ascii="Times New Roman" w:hAnsi="Times New Roman" w:cs="Times New Roman"/>
                      <w:color w:val="auto"/>
                      <w:sz w:val="16"/>
                      <w:szCs w:val="16"/>
                    </w:rPr>
                  </w:pPr>
                </w:p>
              </w:tc>
            </w:tr>
            <w:tr w14:paraId="1DA8E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403" w:type="dxa"/>
                  <w:shd w:val="clear" w:color="auto" w:fill="auto"/>
                  <w:vAlign w:val="center"/>
                </w:tcPr>
                <w:p w14:paraId="5A9B57A3">
                  <w:pPr>
                    <w:adjustRightInd w:val="0"/>
                    <w:snapToGrid w:val="0"/>
                    <w:jc w:val="center"/>
                    <w:rPr>
                      <w:rFonts w:hint="eastAsia" w:ascii="Times New Roman" w:hAnsi="Times New Roman" w:eastAsia="宋体" w:cs="Times New Roman"/>
                      <w:color w:val="auto"/>
                      <w:kern w:val="2"/>
                      <w:sz w:val="16"/>
                      <w:szCs w:val="16"/>
                      <w:lang w:val="en-US" w:eastAsia="zh-CN" w:bidi="ar-SA"/>
                    </w:rPr>
                  </w:pPr>
                  <w:r>
                    <w:rPr>
                      <w:rFonts w:hint="default" w:ascii="Times New Roman" w:hAnsi="Times New Roman" w:cs="Times New Roman"/>
                      <w:color w:val="auto"/>
                      <w:sz w:val="16"/>
                      <w:szCs w:val="16"/>
                    </w:rPr>
                    <w:t>7</w:t>
                  </w:r>
                </w:p>
              </w:tc>
              <w:tc>
                <w:tcPr>
                  <w:tcW w:w="1260" w:type="dxa"/>
                  <w:vAlign w:val="center"/>
                </w:tcPr>
                <w:p w14:paraId="6186DB5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废气风机</w:t>
                  </w:r>
                  <w:r>
                    <w:rPr>
                      <w:rFonts w:hint="eastAsia" w:cs="Times New Roman"/>
                      <w:color w:val="auto"/>
                      <w:sz w:val="16"/>
                      <w:szCs w:val="16"/>
                      <w:lang w:val="en-US" w:eastAsia="zh-CN"/>
                    </w:rPr>
                    <w:t>5</w:t>
                  </w:r>
                  <w:r>
                    <w:rPr>
                      <w:rFonts w:hint="default" w:ascii="Times New Roman" w:hAnsi="Times New Roman" w:cs="Times New Roman"/>
                      <w:color w:val="auto"/>
                      <w:sz w:val="16"/>
                      <w:szCs w:val="16"/>
                    </w:rPr>
                    <w:t>#</w:t>
                  </w:r>
                </w:p>
              </w:tc>
              <w:tc>
                <w:tcPr>
                  <w:tcW w:w="389" w:type="dxa"/>
                  <w:vAlign w:val="center"/>
                </w:tcPr>
                <w:p w14:paraId="0C30F4D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633" w:type="dxa"/>
                  <w:vAlign w:val="center"/>
                </w:tcPr>
                <w:p w14:paraId="4AFA0868">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-24</w:t>
                  </w:r>
                </w:p>
              </w:tc>
              <w:tc>
                <w:tcPr>
                  <w:tcW w:w="533" w:type="dxa"/>
                  <w:vAlign w:val="center"/>
                </w:tcPr>
                <w:p w14:paraId="2655B579">
                  <w:pPr>
                    <w:adjustRightInd w:val="0"/>
                    <w:snapToGrid w:val="0"/>
                    <w:jc w:val="center"/>
                    <w:rPr>
                      <w:rFonts w:hint="default" w:eastAsia="宋体" w:cs="Times New Roman"/>
                      <w:color w:val="auto"/>
                      <w:kern w:val="2"/>
                      <w:sz w:val="16"/>
                      <w:szCs w:val="16"/>
                      <w:lang w:val="en-US" w:eastAsia="zh-CN" w:bidi="ar-SA"/>
                    </w:rPr>
                  </w:pPr>
                  <w:r>
                    <w:rPr>
                      <w:rFonts w:hint="eastAsia" w:eastAsia="宋体" w:cs="Times New Roman"/>
                      <w:color w:val="auto"/>
                      <w:kern w:val="2"/>
                      <w:sz w:val="16"/>
                      <w:szCs w:val="16"/>
                      <w:lang w:val="en-US" w:eastAsia="zh-CN" w:bidi="ar-SA"/>
                    </w:rPr>
                    <w:t>24</w:t>
                  </w:r>
                </w:p>
              </w:tc>
              <w:tc>
                <w:tcPr>
                  <w:tcW w:w="547" w:type="dxa"/>
                  <w:vAlign w:val="center"/>
                </w:tcPr>
                <w:p w14:paraId="5772970D">
                  <w:pPr>
                    <w:adjustRightInd w:val="0"/>
                    <w:snapToGrid w:val="0"/>
                    <w:jc w:val="center"/>
                    <w:rPr>
                      <w:rFonts w:hint="default" w:ascii="Times New Roman" w:hAnsi="Times New Roman" w:cs="Times New Roman"/>
                      <w:color w:val="auto"/>
                      <w:sz w:val="16"/>
                      <w:szCs w:val="16"/>
                    </w:rPr>
                  </w:pPr>
                  <w:r>
                    <w:rPr>
                      <w:rFonts w:hint="eastAsia" w:cs="Times New Roman"/>
                      <w:color w:val="auto"/>
                      <w:kern w:val="2"/>
                      <w:sz w:val="16"/>
                      <w:szCs w:val="16"/>
                      <w:lang w:val="en-US" w:eastAsia="zh-CN" w:bidi="ar-SA"/>
                    </w:rPr>
                    <w:t>0.5</w:t>
                  </w:r>
                </w:p>
              </w:tc>
              <w:tc>
                <w:tcPr>
                  <w:tcW w:w="1763" w:type="dxa"/>
                  <w:vAlign w:val="center"/>
                </w:tcPr>
                <w:p w14:paraId="432686F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75/1</w:t>
                  </w:r>
                </w:p>
              </w:tc>
              <w:tc>
                <w:tcPr>
                  <w:tcW w:w="1400" w:type="dxa"/>
                  <w:vAlign w:val="center"/>
                </w:tcPr>
                <w:p w14:paraId="615153E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机组做减振处理</w:t>
                  </w:r>
                </w:p>
              </w:tc>
              <w:tc>
                <w:tcPr>
                  <w:tcW w:w="1008" w:type="dxa"/>
                  <w:vAlign w:val="center"/>
                </w:tcPr>
                <w:p w14:paraId="791E0C5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24h</w:t>
                  </w:r>
                </w:p>
              </w:tc>
            </w:tr>
          </w:tbl>
          <w:p w14:paraId="2145DAFF">
            <w:pPr>
              <w:rPr>
                <w:rFonts w:hint="default" w:ascii="Times New Roman" w:hAnsi="Times New Roman" w:cs="Times New Roman"/>
                <w:color w:val="auto"/>
              </w:rPr>
            </w:pPr>
            <w:r>
              <w:rPr>
                <w:rFonts w:hint="default" w:ascii="Times New Roman" w:hAnsi="Times New Roman" w:cs="Times New Roman"/>
                <w:color w:val="auto"/>
                <w:sz w:val="16"/>
                <w:szCs w:val="16"/>
              </w:rPr>
              <w:t>注：本次以厂界中心点（117.086293度，32.635135度）、地面0m高度为（0,0,0）点，东西向为X轴，南北向为Y轴，垂直高度为Z轴。</w:t>
            </w:r>
          </w:p>
          <w:p w14:paraId="51BBF1B1">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表4.2.5-2 工业企业噪声源强调查清单（室内声源）</w:t>
            </w:r>
          </w:p>
          <w:tbl>
            <w:tblPr>
              <w:tblStyle w:val="32"/>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294"/>
              <w:gridCol w:w="867"/>
              <w:gridCol w:w="363"/>
              <w:gridCol w:w="1010"/>
              <w:gridCol w:w="423"/>
              <w:gridCol w:w="654"/>
              <w:gridCol w:w="445"/>
              <w:gridCol w:w="425"/>
              <w:gridCol w:w="423"/>
              <w:gridCol w:w="525"/>
              <w:gridCol w:w="345"/>
              <w:gridCol w:w="579"/>
              <w:gridCol w:w="584"/>
              <w:gridCol w:w="571"/>
            </w:tblGrid>
            <w:tr w14:paraId="27470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8" w:type="dxa"/>
                  <w:vMerge w:val="restart"/>
                  <w:vAlign w:val="center"/>
                </w:tcPr>
                <w:p w14:paraId="33CA5A52">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序号</w:t>
                  </w:r>
                </w:p>
              </w:tc>
              <w:tc>
                <w:tcPr>
                  <w:tcW w:w="294" w:type="dxa"/>
                  <w:vMerge w:val="restart"/>
                  <w:vAlign w:val="center"/>
                </w:tcPr>
                <w:p w14:paraId="625B28CE">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建筑物名称</w:t>
                  </w:r>
                </w:p>
              </w:tc>
              <w:tc>
                <w:tcPr>
                  <w:tcW w:w="867" w:type="dxa"/>
                  <w:vMerge w:val="restart"/>
                  <w:vAlign w:val="center"/>
                </w:tcPr>
                <w:p w14:paraId="5B8CDBB5">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声源名称</w:t>
                  </w:r>
                </w:p>
              </w:tc>
              <w:tc>
                <w:tcPr>
                  <w:tcW w:w="363" w:type="dxa"/>
                  <w:vMerge w:val="restart"/>
                  <w:vAlign w:val="center"/>
                </w:tcPr>
                <w:p w14:paraId="23EA5921">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型号</w:t>
                  </w:r>
                </w:p>
              </w:tc>
              <w:tc>
                <w:tcPr>
                  <w:tcW w:w="1010" w:type="dxa"/>
                  <w:vAlign w:val="center"/>
                </w:tcPr>
                <w:p w14:paraId="4D910B67">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声源源强</w:t>
                  </w:r>
                </w:p>
              </w:tc>
              <w:tc>
                <w:tcPr>
                  <w:tcW w:w="423" w:type="dxa"/>
                  <w:vMerge w:val="restart"/>
                  <w:vAlign w:val="center"/>
                </w:tcPr>
                <w:p w14:paraId="05653FF9">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声源控制措施</w:t>
                  </w:r>
                </w:p>
              </w:tc>
              <w:tc>
                <w:tcPr>
                  <w:tcW w:w="1524" w:type="dxa"/>
                  <w:gridSpan w:val="3"/>
                  <w:vAlign w:val="center"/>
                </w:tcPr>
                <w:p w14:paraId="10DFB935">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空间相对位置/m</w:t>
                  </w:r>
                </w:p>
              </w:tc>
              <w:tc>
                <w:tcPr>
                  <w:tcW w:w="423" w:type="dxa"/>
                  <w:vMerge w:val="restart"/>
                  <w:vAlign w:val="center"/>
                </w:tcPr>
                <w:p w14:paraId="74C5C870">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距室内边界距离/m</w:t>
                  </w:r>
                </w:p>
              </w:tc>
              <w:tc>
                <w:tcPr>
                  <w:tcW w:w="525" w:type="dxa"/>
                  <w:vMerge w:val="restart"/>
                  <w:vAlign w:val="center"/>
                </w:tcPr>
                <w:p w14:paraId="17A31088">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室内边界声级/dB(A)</w:t>
                  </w:r>
                </w:p>
              </w:tc>
              <w:tc>
                <w:tcPr>
                  <w:tcW w:w="345" w:type="dxa"/>
                  <w:vMerge w:val="restart"/>
                  <w:vAlign w:val="center"/>
                </w:tcPr>
                <w:p w14:paraId="349BB973">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运行时段</w:t>
                  </w:r>
                </w:p>
              </w:tc>
              <w:tc>
                <w:tcPr>
                  <w:tcW w:w="579" w:type="dxa"/>
                  <w:vMerge w:val="restart"/>
                  <w:vAlign w:val="center"/>
                </w:tcPr>
                <w:p w14:paraId="16DE9840">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建筑物插入损失/dB(A)</w:t>
                  </w:r>
                </w:p>
              </w:tc>
              <w:tc>
                <w:tcPr>
                  <w:tcW w:w="1155" w:type="dxa"/>
                  <w:gridSpan w:val="2"/>
                  <w:vAlign w:val="center"/>
                </w:tcPr>
                <w:p w14:paraId="6F4D9F47">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建筑物外噪声</w:t>
                  </w:r>
                </w:p>
              </w:tc>
            </w:tr>
            <w:tr w14:paraId="6D83E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Merge w:val="continue"/>
                  <w:vAlign w:val="center"/>
                </w:tcPr>
                <w:p w14:paraId="6E3FF2C6">
                  <w:pPr>
                    <w:jc w:val="center"/>
                    <w:rPr>
                      <w:rFonts w:hint="default" w:ascii="Times New Roman" w:hAnsi="Times New Roman" w:cs="Times New Roman"/>
                      <w:color w:val="auto"/>
                      <w:sz w:val="16"/>
                      <w:szCs w:val="16"/>
                    </w:rPr>
                  </w:pPr>
                </w:p>
              </w:tc>
              <w:tc>
                <w:tcPr>
                  <w:tcW w:w="294" w:type="dxa"/>
                  <w:vMerge w:val="continue"/>
                  <w:vAlign w:val="center"/>
                </w:tcPr>
                <w:p w14:paraId="760745C1">
                  <w:pPr>
                    <w:jc w:val="center"/>
                    <w:rPr>
                      <w:rFonts w:hint="default" w:ascii="Times New Roman" w:hAnsi="Times New Roman" w:cs="Times New Roman"/>
                      <w:color w:val="auto"/>
                      <w:sz w:val="16"/>
                      <w:szCs w:val="16"/>
                    </w:rPr>
                  </w:pPr>
                </w:p>
              </w:tc>
              <w:tc>
                <w:tcPr>
                  <w:tcW w:w="867" w:type="dxa"/>
                  <w:vMerge w:val="continue"/>
                  <w:vAlign w:val="center"/>
                </w:tcPr>
                <w:p w14:paraId="0C1E267E">
                  <w:pPr>
                    <w:jc w:val="center"/>
                    <w:rPr>
                      <w:rFonts w:hint="default" w:ascii="Times New Roman" w:hAnsi="Times New Roman" w:cs="Times New Roman"/>
                      <w:color w:val="auto"/>
                      <w:sz w:val="16"/>
                      <w:szCs w:val="16"/>
                    </w:rPr>
                  </w:pPr>
                </w:p>
              </w:tc>
              <w:tc>
                <w:tcPr>
                  <w:tcW w:w="363" w:type="dxa"/>
                  <w:vMerge w:val="continue"/>
                  <w:vAlign w:val="center"/>
                </w:tcPr>
                <w:p w14:paraId="65104003">
                  <w:pPr>
                    <w:jc w:val="center"/>
                    <w:rPr>
                      <w:rFonts w:hint="default" w:ascii="Times New Roman" w:hAnsi="Times New Roman" w:cs="Times New Roman"/>
                      <w:color w:val="auto"/>
                      <w:sz w:val="16"/>
                      <w:szCs w:val="16"/>
                    </w:rPr>
                  </w:pPr>
                </w:p>
              </w:tc>
              <w:tc>
                <w:tcPr>
                  <w:tcW w:w="1010" w:type="dxa"/>
                  <w:vAlign w:val="center"/>
                </w:tcPr>
                <w:p w14:paraId="16A0A14B">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（声压级/距声源距离）/dB(A)/m</w:t>
                  </w:r>
                </w:p>
              </w:tc>
              <w:tc>
                <w:tcPr>
                  <w:tcW w:w="423" w:type="dxa"/>
                  <w:vMerge w:val="continue"/>
                  <w:vAlign w:val="center"/>
                </w:tcPr>
                <w:p w14:paraId="39E4F6B4">
                  <w:pPr>
                    <w:jc w:val="center"/>
                    <w:rPr>
                      <w:rFonts w:hint="default" w:ascii="Times New Roman" w:hAnsi="Times New Roman" w:cs="Times New Roman"/>
                      <w:color w:val="auto"/>
                      <w:sz w:val="16"/>
                      <w:szCs w:val="16"/>
                    </w:rPr>
                  </w:pPr>
                </w:p>
              </w:tc>
              <w:tc>
                <w:tcPr>
                  <w:tcW w:w="654" w:type="dxa"/>
                  <w:vAlign w:val="center"/>
                </w:tcPr>
                <w:p w14:paraId="78AD19FE">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X</w:t>
                  </w:r>
                </w:p>
              </w:tc>
              <w:tc>
                <w:tcPr>
                  <w:tcW w:w="445" w:type="dxa"/>
                  <w:vAlign w:val="center"/>
                </w:tcPr>
                <w:p w14:paraId="382D84FF">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Y</w:t>
                  </w:r>
                </w:p>
              </w:tc>
              <w:tc>
                <w:tcPr>
                  <w:tcW w:w="425" w:type="dxa"/>
                  <w:vAlign w:val="center"/>
                </w:tcPr>
                <w:p w14:paraId="765263B7">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Z</w:t>
                  </w:r>
                </w:p>
              </w:tc>
              <w:tc>
                <w:tcPr>
                  <w:tcW w:w="423" w:type="dxa"/>
                  <w:vMerge w:val="continue"/>
                  <w:vAlign w:val="center"/>
                </w:tcPr>
                <w:p w14:paraId="324ED1BF">
                  <w:pPr>
                    <w:jc w:val="center"/>
                    <w:rPr>
                      <w:rFonts w:hint="default" w:ascii="Times New Roman" w:hAnsi="Times New Roman" w:cs="Times New Roman"/>
                      <w:color w:val="auto"/>
                      <w:sz w:val="16"/>
                      <w:szCs w:val="16"/>
                    </w:rPr>
                  </w:pPr>
                </w:p>
              </w:tc>
              <w:tc>
                <w:tcPr>
                  <w:tcW w:w="525" w:type="dxa"/>
                  <w:vMerge w:val="continue"/>
                  <w:vAlign w:val="center"/>
                </w:tcPr>
                <w:p w14:paraId="52371EB7">
                  <w:pPr>
                    <w:jc w:val="center"/>
                    <w:rPr>
                      <w:rFonts w:hint="default" w:ascii="Times New Roman" w:hAnsi="Times New Roman" w:cs="Times New Roman"/>
                      <w:color w:val="auto"/>
                      <w:sz w:val="16"/>
                      <w:szCs w:val="16"/>
                    </w:rPr>
                  </w:pPr>
                </w:p>
              </w:tc>
              <w:tc>
                <w:tcPr>
                  <w:tcW w:w="345" w:type="dxa"/>
                  <w:vMerge w:val="continue"/>
                  <w:vAlign w:val="center"/>
                </w:tcPr>
                <w:p w14:paraId="43F9E3D5">
                  <w:pPr>
                    <w:jc w:val="center"/>
                    <w:rPr>
                      <w:rFonts w:hint="default" w:ascii="Times New Roman" w:hAnsi="Times New Roman" w:cs="Times New Roman"/>
                      <w:color w:val="auto"/>
                      <w:sz w:val="16"/>
                      <w:szCs w:val="16"/>
                    </w:rPr>
                  </w:pPr>
                </w:p>
              </w:tc>
              <w:tc>
                <w:tcPr>
                  <w:tcW w:w="579" w:type="dxa"/>
                  <w:vMerge w:val="continue"/>
                  <w:vAlign w:val="center"/>
                </w:tcPr>
                <w:p w14:paraId="295808B6">
                  <w:pPr>
                    <w:jc w:val="center"/>
                    <w:rPr>
                      <w:rFonts w:hint="default" w:ascii="Times New Roman" w:hAnsi="Times New Roman" w:cs="Times New Roman"/>
                      <w:color w:val="auto"/>
                      <w:sz w:val="16"/>
                      <w:szCs w:val="16"/>
                    </w:rPr>
                  </w:pPr>
                </w:p>
              </w:tc>
              <w:tc>
                <w:tcPr>
                  <w:tcW w:w="584" w:type="dxa"/>
                  <w:vAlign w:val="center"/>
                </w:tcPr>
                <w:p w14:paraId="0AEAC8D0">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声压级/dB(A)</w:t>
                  </w:r>
                </w:p>
              </w:tc>
              <w:tc>
                <w:tcPr>
                  <w:tcW w:w="571" w:type="dxa"/>
                  <w:vAlign w:val="center"/>
                </w:tcPr>
                <w:p w14:paraId="6C052E94">
                  <w:pPr>
                    <w:adjustRightInd w:val="0"/>
                    <w:snapToGrid w:val="0"/>
                    <w:jc w:val="center"/>
                    <w:rPr>
                      <w:rFonts w:hint="default" w:ascii="Times New Roman" w:hAnsi="Times New Roman" w:cs="Times New Roman"/>
                      <w:b/>
                      <w:bCs/>
                      <w:color w:val="auto"/>
                      <w:sz w:val="16"/>
                      <w:szCs w:val="16"/>
                    </w:rPr>
                  </w:pPr>
                  <w:r>
                    <w:rPr>
                      <w:rFonts w:hint="default" w:ascii="Times New Roman" w:hAnsi="Times New Roman" w:cs="Times New Roman"/>
                      <w:b/>
                      <w:bCs/>
                      <w:color w:val="auto"/>
                      <w:sz w:val="16"/>
                      <w:szCs w:val="16"/>
                    </w:rPr>
                    <w:t>建筑物外距离</w:t>
                  </w:r>
                </w:p>
              </w:tc>
            </w:tr>
            <w:tr w14:paraId="1DFB2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28" w:type="dxa"/>
                  <w:vAlign w:val="center"/>
                </w:tcPr>
                <w:p w14:paraId="1D178CA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294" w:type="dxa"/>
                  <w:vMerge w:val="restart"/>
                  <w:vAlign w:val="center"/>
                </w:tcPr>
                <w:p w14:paraId="0009AB6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车间</w:t>
                  </w:r>
                </w:p>
              </w:tc>
              <w:tc>
                <w:tcPr>
                  <w:tcW w:w="867" w:type="dxa"/>
                  <w:vAlign w:val="center"/>
                </w:tcPr>
                <w:p w14:paraId="2FE3CF35">
                  <w:pPr>
                    <w:adjustRightInd w:val="0"/>
                    <w:snapToGrid w:val="0"/>
                    <w:jc w:val="center"/>
                    <w:rPr>
                      <w:rFonts w:hint="default" w:ascii="Times New Roman" w:hAnsi="Times New Roman" w:cs="Times New Roman"/>
                      <w:color w:val="auto"/>
                      <w:sz w:val="16"/>
                      <w:szCs w:val="16"/>
                      <w:lang w:eastAsia="en-US"/>
                    </w:rPr>
                  </w:pPr>
                  <w:r>
                    <w:rPr>
                      <w:rFonts w:hint="default" w:ascii="Times New Roman" w:hAnsi="Times New Roman" w:cs="Times New Roman"/>
                      <w:color w:val="auto"/>
                      <w:sz w:val="16"/>
                      <w:szCs w:val="16"/>
                    </w:rPr>
                    <w:t>振动给料机</w:t>
                  </w:r>
                </w:p>
              </w:tc>
              <w:tc>
                <w:tcPr>
                  <w:tcW w:w="363" w:type="dxa"/>
                  <w:vAlign w:val="center"/>
                </w:tcPr>
                <w:p w14:paraId="2BDD179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30165D3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83/1</w:t>
                  </w:r>
                </w:p>
              </w:tc>
              <w:tc>
                <w:tcPr>
                  <w:tcW w:w="423" w:type="dxa"/>
                  <w:vMerge w:val="restart"/>
                  <w:vAlign w:val="center"/>
                </w:tcPr>
                <w:p w14:paraId="0F40F40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设备做减振处理，墙壁、门窗隔声</w:t>
                  </w:r>
                </w:p>
              </w:tc>
              <w:tc>
                <w:tcPr>
                  <w:tcW w:w="654" w:type="dxa"/>
                  <w:vAlign w:val="center"/>
                </w:tcPr>
                <w:p w14:paraId="573FE10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-25</w:t>
                  </w:r>
                </w:p>
              </w:tc>
              <w:tc>
                <w:tcPr>
                  <w:tcW w:w="445" w:type="dxa"/>
                  <w:vAlign w:val="center"/>
                </w:tcPr>
                <w:p w14:paraId="12E4723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-10</w:t>
                  </w:r>
                </w:p>
              </w:tc>
              <w:tc>
                <w:tcPr>
                  <w:tcW w:w="425" w:type="dxa"/>
                  <w:vAlign w:val="center"/>
                </w:tcPr>
                <w:p w14:paraId="1DC20303">
                  <w:pPr>
                    <w:adjustRightInd w:val="0"/>
                    <w:snapToGrid w:val="0"/>
                    <w:jc w:val="center"/>
                    <w:rPr>
                      <w:rFonts w:hint="default" w:ascii="Times New Roman" w:hAnsi="Times New Roman" w:eastAsia="宋体" w:cs="Times New Roman"/>
                      <w:color w:val="auto"/>
                      <w:sz w:val="16"/>
                      <w:szCs w:val="16"/>
                      <w:lang w:val="en-US" w:eastAsia="zh-CN"/>
                    </w:rPr>
                  </w:pPr>
                  <w:r>
                    <w:rPr>
                      <w:rFonts w:hint="default" w:ascii="Times New Roman" w:hAnsi="Times New Roman" w:cs="Times New Roman"/>
                      <w:color w:val="auto"/>
                      <w:sz w:val="16"/>
                      <w:szCs w:val="16"/>
                    </w:rPr>
                    <w:t>1</w:t>
                  </w:r>
                  <w:r>
                    <w:rPr>
                      <w:rFonts w:hint="eastAsia" w:cs="Times New Roman"/>
                      <w:color w:val="auto"/>
                      <w:sz w:val="16"/>
                      <w:szCs w:val="16"/>
                      <w:lang w:val="en-US" w:eastAsia="zh-CN"/>
                    </w:rPr>
                    <w:t>.5</w:t>
                  </w:r>
                </w:p>
              </w:tc>
              <w:tc>
                <w:tcPr>
                  <w:tcW w:w="423" w:type="dxa"/>
                  <w:vAlign w:val="center"/>
                </w:tcPr>
                <w:p w14:paraId="760CA3B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w:t>
                  </w:r>
                </w:p>
              </w:tc>
              <w:tc>
                <w:tcPr>
                  <w:tcW w:w="525" w:type="dxa"/>
                  <w:vAlign w:val="center"/>
                </w:tcPr>
                <w:p w14:paraId="247E1AB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75.5</w:t>
                  </w:r>
                </w:p>
              </w:tc>
              <w:tc>
                <w:tcPr>
                  <w:tcW w:w="345" w:type="dxa"/>
                  <w:vMerge w:val="restart"/>
                  <w:vAlign w:val="center"/>
                </w:tcPr>
                <w:p w14:paraId="60605F1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0：00~24:00</w:t>
                  </w:r>
                </w:p>
              </w:tc>
              <w:tc>
                <w:tcPr>
                  <w:tcW w:w="579" w:type="dxa"/>
                  <w:vAlign w:val="center"/>
                </w:tcPr>
                <w:p w14:paraId="35399CF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580DD89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54.5</w:t>
                  </w:r>
                </w:p>
              </w:tc>
              <w:tc>
                <w:tcPr>
                  <w:tcW w:w="571" w:type="dxa"/>
                  <w:vAlign w:val="center"/>
                </w:tcPr>
                <w:p w14:paraId="53EC1A3E">
                  <w:pPr>
                    <w:widowControl/>
                    <w:jc w:val="center"/>
                    <w:textAlignment w:val="center"/>
                    <w:rPr>
                      <w:rFonts w:hint="default" w:ascii="Times New Roman" w:hAnsi="Times New Roman" w:cs="Times New Roman"/>
                      <w:color w:val="auto"/>
                      <w:sz w:val="16"/>
                      <w:szCs w:val="16"/>
                    </w:rPr>
                  </w:pPr>
                  <w:r>
                    <w:rPr>
                      <w:rFonts w:hint="default" w:ascii="Times New Roman" w:hAnsi="Times New Roman" w:cs="Times New Roman"/>
                      <w:color w:val="auto"/>
                      <w:kern w:val="0"/>
                      <w:sz w:val="16"/>
                      <w:szCs w:val="16"/>
                    </w:rPr>
                    <w:t>0.5</w:t>
                  </w:r>
                </w:p>
              </w:tc>
            </w:tr>
            <w:tr w14:paraId="610E9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0FE1F5C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w:t>
                  </w:r>
                </w:p>
              </w:tc>
              <w:tc>
                <w:tcPr>
                  <w:tcW w:w="294" w:type="dxa"/>
                  <w:vMerge w:val="continue"/>
                  <w:vAlign w:val="center"/>
                </w:tcPr>
                <w:p w14:paraId="6C0FF34C">
                  <w:pPr>
                    <w:adjustRightInd w:val="0"/>
                    <w:snapToGrid w:val="0"/>
                    <w:jc w:val="center"/>
                    <w:rPr>
                      <w:rFonts w:hint="default" w:ascii="Times New Roman" w:hAnsi="Times New Roman" w:cs="Times New Roman"/>
                      <w:color w:val="auto"/>
                      <w:sz w:val="16"/>
                      <w:szCs w:val="16"/>
                    </w:rPr>
                  </w:pPr>
                </w:p>
              </w:tc>
              <w:tc>
                <w:tcPr>
                  <w:tcW w:w="867" w:type="dxa"/>
                  <w:vAlign w:val="center"/>
                </w:tcPr>
                <w:p w14:paraId="4C0F5F9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颚破机</w:t>
                  </w:r>
                </w:p>
              </w:tc>
              <w:tc>
                <w:tcPr>
                  <w:tcW w:w="363" w:type="dxa"/>
                  <w:vAlign w:val="center"/>
                </w:tcPr>
                <w:p w14:paraId="71E1F7B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6EB0617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80/1</w:t>
                  </w:r>
                </w:p>
              </w:tc>
              <w:tc>
                <w:tcPr>
                  <w:tcW w:w="423" w:type="dxa"/>
                  <w:vMerge w:val="continue"/>
                  <w:vAlign w:val="center"/>
                </w:tcPr>
                <w:p w14:paraId="1B0D8324">
                  <w:pPr>
                    <w:adjustRightInd w:val="0"/>
                    <w:snapToGrid w:val="0"/>
                    <w:jc w:val="center"/>
                    <w:rPr>
                      <w:rFonts w:hint="default" w:ascii="Times New Roman" w:hAnsi="Times New Roman" w:cs="Times New Roman"/>
                      <w:color w:val="auto"/>
                      <w:sz w:val="16"/>
                      <w:szCs w:val="16"/>
                    </w:rPr>
                  </w:pPr>
                </w:p>
              </w:tc>
              <w:tc>
                <w:tcPr>
                  <w:tcW w:w="654" w:type="dxa"/>
                  <w:vAlign w:val="center"/>
                </w:tcPr>
                <w:p w14:paraId="66D4C4D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-38</w:t>
                  </w:r>
                </w:p>
              </w:tc>
              <w:tc>
                <w:tcPr>
                  <w:tcW w:w="445" w:type="dxa"/>
                  <w:vAlign w:val="center"/>
                </w:tcPr>
                <w:p w14:paraId="0895BFC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w:t>
                  </w:r>
                </w:p>
              </w:tc>
              <w:tc>
                <w:tcPr>
                  <w:tcW w:w="425" w:type="dxa"/>
                  <w:vAlign w:val="center"/>
                </w:tcPr>
                <w:p w14:paraId="1473AED9">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1.2</w:t>
                  </w:r>
                </w:p>
              </w:tc>
              <w:tc>
                <w:tcPr>
                  <w:tcW w:w="423" w:type="dxa"/>
                  <w:vAlign w:val="center"/>
                </w:tcPr>
                <w:p w14:paraId="399B826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w:t>
                  </w:r>
                </w:p>
              </w:tc>
              <w:tc>
                <w:tcPr>
                  <w:tcW w:w="525" w:type="dxa"/>
                  <w:vAlign w:val="center"/>
                </w:tcPr>
                <w:p w14:paraId="0C4E56B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w:t>
                  </w:r>
                </w:p>
              </w:tc>
              <w:tc>
                <w:tcPr>
                  <w:tcW w:w="345" w:type="dxa"/>
                  <w:vMerge w:val="continue"/>
                  <w:vAlign w:val="center"/>
                </w:tcPr>
                <w:p w14:paraId="4AE597E9">
                  <w:pPr>
                    <w:adjustRightInd w:val="0"/>
                    <w:snapToGrid w:val="0"/>
                    <w:jc w:val="center"/>
                    <w:rPr>
                      <w:rFonts w:hint="default" w:ascii="Times New Roman" w:hAnsi="Times New Roman" w:cs="Times New Roman"/>
                      <w:color w:val="auto"/>
                      <w:sz w:val="16"/>
                      <w:szCs w:val="16"/>
                    </w:rPr>
                  </w:pPr>
                </w:p>
              </w:tc>
              <w:tc>
                <w:tcPr>
                  <w:tcW w:w="579" w:type="dxa"/>
                  <w:vAlign w:val="center"/>
                </w:tcPr>
                <w:p w14:paraId="509A962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331BD6B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w:t>
                  </w:r>
                </w:p>
              </w:tc>
              <w:tc>
                <w:tcPr>
                  <w:tcW w:w="571" w:type="dxa"/>
                  <w:vAlign w:val="center"/>
                </w:tcPr>
                <w:p w14:paraId="014894BF">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058C0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029BBD4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w:t>
                  </w:r>
                </w:p>
              </w:tc>
              <w:tc>
                <w:tcPr>
                  <w:tcW w:w="294" w:type="dxa"/>
                  <w:vMerge w:val="continue"/>
                  <w:vAlign w:val="center"/>
                </w:tcPr>
                <w:p w14:paraId="6DD8B760">
                  <w:pPr>
                    <w:adjustRightInd w:val="0"/>
                    <w:snapToGrid w:val="0"/>
                    <w:jc w:val="center"/>
                    <w:rPr>
                      <w:rFonts w:hint="default" w:ascii="Times New Roman" w:hAnsi="Times New Roman" w:cs="Times New Roman"/>
                      <w:color w:val="auto"/>
                      <w:sz w:val="16"/>
                      <w:szCs w:val="16"/>
                    </w:rPr>
                  </w:pPr>
                </w:p>
              </w:tc>
              <w:tc>
                <w:tcPr>
                  <w:tcW w:w="867" w:type="dxa"/>
                  <w:vAlign w:val="center"/>
                </w:tcPr>
                <w:p w14:paraId="4FE1102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立轴制砂机</w:t>
                  </w:r>
                </w:p>
              </w:tc>
              <w:tc>
                <w:tcPr>
                  <w:tcW w:w="363" w:type="dxa"/>
                  <w:vAlign w:val="center"/>
                </w:tcPr>
                <w:p w14:paraId="7B47C5D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394125F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86/1</w:t>
                  </w:r>
                </w:p>
              </w:tc>
              <w:tc>
                <w:tcPr>
                  <w:tcW w:w="423" w:type="dxa"/>
                  <w:vMerge w:val="continue"/>
                  <w:vAlign w:val="center"/>
                </w:tcPr>
                <w:p w14:paraId="0ED4BC21">
                  <w:pPr>
                    <w:adjustRightInd w:val="0"/>
                    <w:snapToGrid w:val="0"/>
                    <w:jc w:val="center"/>
                    <w:rPr>
                      <w:rFonts w:hint="default" w:ascii="Times New Roman" w:hAnsi="Times New Roman" w:cs="Times New Roman"/>
                      <w:color w:val="auto"/>
                      <w:sz w:val="16"/>
                      <w:szCs w:val="16"/>
                    </w:rPr>
                  </w:pPr>
                </w:p>
              </w:tc>
              <w:tc>
                <w:tcPr>
                  <w:tcW w:w="654" w:type="dxa"/>
                  <w:vAlign w:val="center"/>
                </w:tcPr>
                <w:p w14:paraId="372E7BB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-25</w:t>
                  </w:r>
                </w:p>
              </w:tc>
              <w:tc>
                <w:tcPr>
                  <w:tcW w:w="445" w:type="dxa"/>
                  <w:vAlign w:val="center"/>
                </w:tcPr>
                <w:p w14:paraId="73366B5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w:t>
                  </w:r>
                </w:p>
              </w:tc>
              <w:tc>
                <w:tcPr>
                  <w:tcW w:w="425" w:type="dxa"/>
                  <w:vAlign w:val="center"/>
                </w:tcPr>
                <w:p w14:paraId="6EF490BC">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1.2</w:t>
                  </w:r>
                </w:p>
              </w:tc>
              <w:tc>
                <w:tcPr>
                  <w:tcW w:w="423" w:type="dxa"/>
                  <w:vAlign w:val="center"/>
                </w:tcPr>
                <w:p w14:paraId="7E5E72C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9</w:t>
                  </w:r>
                </w:p>
              </w:tc>
              <w:tc>
                <w:tcPr>
                  <w:tcW w:w="525" w:type="dxa"/>
                  <w:vAlign w:val="center"/>
                </w:tcPr>
                <w:p w14:paraId="3FE08D3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72.5</w:t>
                  </w:r>
                </w:p>
              </w:tc>
              <w:tc>
                <w:tcPr>
                  <w:tcW w:w="345" w:type="dxa"/>
                  <w:vMerge w:val="continue"/>
                  <w:vAlign w:val="center"/>
                </w:tcPr>
                <w:p w14:paraId="6C53CB81">
                  <w:pPr>
                    <w:adjustRightInd w:val="0"/>
                    <w:snapToGrid w:val="0"/>
                    <w:jc w:val="center"/>
                    <w:rPr>
                      <w:rFonts w:hint="default" w:ascii="Times New Roman" w:hAnsi="Times New Roman" w:cs="Times New Roman"/>
                      <w:color w:val="auto"/>
                      <w:sz w:val="16"/>
                      <w:szCs w:val="16"/>
                    </w:rPr>
                  </w:pPr>
                </w:p>
              </w:tc>
              <w:tc>
                <w:tcPr>
                  <w:tcW w:w="579" w:type="dxa"/>
                  <w:vAlign w:val="center"/>
                </w:tcPr>
                <w:p w14:paraId="02323A8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2087F46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51.5</w:t>
                  </w:r>
                </w:p>
              </w:tc>
              <w:tc>
                <w:tcPr>
                  <w:tcW w:w="571" w:type="dxa"/>
                  <w:vAlign w:val="center"/>
                </w:tcPr>
                <w:p w14:paraId="128B135F">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341E7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0E2F457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w:t>
                  </w:r>
                </w:p>
              </w:tc>
              <w:tc>
                <w:tcPr>
                  <w:tcW w:w="294" w:type="dxa"/>
                  <w:vMerge w:val="continue"/>
                  <w:vAlign w:val="center"/>
                </w:tcPr>
                <w:p w14:paraId="1A2C5E45">
                  <w:pPr>
                    <w:adjustRightInd w:val="0"/>
                    <w:snapToGrid w:val="0"/>
                    <w:jc w:val="center"/>
                    <w:rPr>
                      <w:rFonts w:hint="default" w:ascii="Times New Roman" w:hAnsi="Times New Roman" w:cs="Times New Roman"/>
                      <w:color w:val="auto"/>
                      <w:sz w:val="16"/>
                      <w:szCs w:val="16"/>
                    </w:rPr>
                  </w:pPr>
                </w:p>
              </w:tc>
              <w:tc>
                <w:tcPr>
                  <w:tcW w:w="867" w:type="dxa"/>
                  <w:vAlign w:val="center"/>
                </w:tcPr>
                <w:p w14:paraId="10F5251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筛分机</w:t>
                  </w:r>
                </w:p>
              </w:tc>
              <w:tc>
                <w:tcPr>
                  <w:tcW w:w="363" w:type="dxa"/>
                  <w:vAlign w:val="center"/>
                </w:tcPr>
                <w:p w14:paraId="399A1EA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3B609E8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83/1</w:t>
                  </w:r>
                </w:p>
              </w:tc>
              <w:tc>
                <w:tcPr>
                  <w:tcW w:w="423" w:type="dxa"/>
                  <w:vMerge w:val="continue"/>
                  <w:vAlign w:val="center"/>
                </w:tcPr>
                <w:p w14:paraId="4A881E8B">
                  <w:pPr>
                    <w:adjustRightInd w:val="0"/>
                    <w:snapToGrid w:val="0"/>
                    <w:jc w:val="center"/>
                    <w:rPr>
                      <w:rFonts w:hint="default" w:ascii="Times New Roman" w:hAnsi="Times New Roman" w:cs="Times New Roman"/>
                      <w:color w:val="auto"/>
                      <w:sz w:val="16"/>
                      <w:szCs w:val="16"/>
                    </w:rPr>
                  </w:pPr>
                </w:p>
              </w:tc>
              <w:tc>
                <w:tcPr>
                  <w:tcW w:w="654" w:type="dxa"/>
                  <w:vAlign w:val="center"/>
                </w:tcPr>
                <w:p w14:paraId="7982F75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37</w:t>
                  </w:r>
                </w:p>
              </w:tc>
              <w:tc>
                <w:tcPr>
                  <w:tcW w:w="445" w:type="dxa"/>
                  <w:vAlign w:val="center"/>
                </w:tcPr>
                <w:p w14:paraId="46BDF09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w:t>
                  </w:r>
                </w:p>
              </w:tc>
              <w:tc>
                <w:tcPr>
                  <w:tcW w:w="425" w:type="dxa"/>
                  <w:vAlign w:val="center"/>
                </w:tcPr>
                <w:p w14:paraId="5DBFF4E0">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36325F9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w:t>
                  </w:r>
                </w:p>
              </w:tc>
              <w:tc>
                <w:tcPr>
                  <w:tcW w:w="525" w:type="dxa"/>
                  <w:vAlign w:val="center"/>
                </w:tcPr>
                <w:p w14:paraId="19FDD59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75.5</w:t>
                  </w:r>
                </w:p>
              </w:tc>
              <w:tc>
                <w:tcPr>
                  <w:tcW w:w="345" w:type="dxa"/>
                  <w:vMerge w:val="continue"/>
                  <w:vAlign w:val="center"/>
                </w:tcPr>
                <w:p w14:paraId="60349CD6">
                  <w:pPr>
                    <w:adjustRightInd w:val="0"/>
                    <w:snapToGrid w:val="0"/>
                    <w:jc w:val="center"/>
                    <w:rPr>
                      <w:rFonts w:hint="default" w:ascii="Times New Roman" w:hAnsi="Times New Roman" w:cs="Times New Roman"/>
                      <w:color w:val="auto"/>
                      <w:sz w:val="16"/>
                      <w:szCs w:val="16"/>
                    </w:rPr>
                  </w:pPr>
                </w:p>
              </w:tc>
              <w:tc>
                <w:tcPr>
                  <w:tcW w:w="579" w:type="dxa"/>
                  <w:vAlign w:val="center"/>
                </w:tcPr>
                <w:p w14:paraId="26E4B27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1CEE630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54.5</w:t>
                  </w:r>
                </w:p>
              </w:tc>
              <w:tc>
                <w:tcPr>
                  <w:tcW w:w="571" w:type="dxa"/>
                  <w:vAlign w:val="center"/>
                </w:tcPr>
                <w:p w14:paraId="023D3DAF">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3B09C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7A23704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w:t>
                  </w:r>
                </w:p>
              </w:tc>
              <w:tc>
                <w:tcPr>
                  <w:tcW w:w="294" w:type="dxa"/>
                  <w:vMerge w:val="continue"/>
                  <w:vAlign w:val="center"/>
                </w:tcPr>
                <w:p w14:paraId="6E5FA23C">
                  <w:pPr>
                    <w:adjustRightInd w:val="0"/>
                    <w:snapToGrid w:val="0"/>
                    <w:jc w:val="center"/>
                    <w:rPr>
                      <w:rFonts w:hint="default" w:ascii="Times New Roman" w:hAnsi="Times New Roman" w:cs="Times New Roman"/>
                      <w:color w:val="auto"/>
                      <w:sz w:val="16"/>
                      <w:szCs w:val="16"/>
                    </w:rPr>
                  </w:pPr>
                </w:p>
              </w:tc>
              <w:tc>
                <w:tcPr>
                  <w:tcW w:w="867" w:type="dxa"/>
                  <w:vAlign w:val="center"/>
                </w:tcPr>
                <w:p w14:paraId="57D257A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棒磨机</w:t>
                  </w:r>
                </w:p>
              </w:tc>
              <w:tc>
                <w:tcPr>
                  <w:tcW w:w="363" w:type="dxa"/>
                  <w:vAlign w:val="center"/>
                </w:tcPr>
                <w:p w14:paraId="4FE593E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521323B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82/1</w:t>
                  </w:r>
                </w:p>
              </w:tc>
              <w:tc>
                <w:tcPr>
                  <w:tcW w:w="423" w:type="dxa"/>
                  <w:vMerge w:val="continue"/>
                  <w:vAlign w:val="center"/>
                </w:tcPr>
                <w:p w14:paraId="047F7F3F">
                  <w:pPr>
                    <w:adjustRightInd w:val="0"/>
                    <w:snapToGrid w:val="0"/>
                    <w:jc w:val="center"/>
                    <w:rPr>
                      <w:rFonts w:hint="default" w:ascii="Times New Roman" w:hAnsi="Times New Roman" w:cs="Times New Roman"/>
                      <w:color w:val="auto"/>
                      <w:sz w:val="16"/>
                      <w:szCs w:val="16"/>
                    </w:rPr>
                  </w:pPr>
                </w:p>
              </w:tc>
              <w:tc>
                <w:tcPr>
                  <w:tcW w:w="654" w:type="dxa"/>
                  <w:vAlign w:val="center"/>
                </w:tcPr>
                <w:p w14:paraId="4366C0D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28</w:t>
                  </w:r>
                </w:p>
              </w:tc>
              <w:tc>
                <w:tcPr>
                  <w:tcW w:w="445" w:type="dxa"/>
                  <w:vAlign w:val="center"/>
                </w:tcPr>
                <w:p w14:paraId="71A70E3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w:t>
                  </w:r>
                </w:p>
              </w:tc>
              <w:tc>
                <w:tcPr>
                  <w:tcW w:w="425" w:type="dxa"/>
                  <w:vAlign w:val="center"/>
                </w:tcPr>
                <w:p w14:paraId="0830D8BB">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1.5</w:t>
                  </w:r>
                </w:p>
              </w:tc>
              <w:tc>
                <w:tcPr>
                  <w:tcW w:w="423" w:type="dxa"/>
                  <w:vAlign w:val="center"/>
                </w:tcPr>
                <w:p w14:paraId="2807D48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9</w:t>
                  </w:r>
                </w:p>
              </w:tc>
              <w:tc>
                <w:tcPr>
                  <w:tcW w:w="525" w:type="dxa"/>
                  <w:vAlign w:val="center"/>
                </w:tcPr>
                <w:p w14:paraId="493D89C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68.5</w:t>
                  </w:r>
                </w:p>
              </w:tc>
              <w:tc>
                <w:tcPr>
                  <w:tcW w:w="345" w:type="dxa"/>
                  <w:vMerge w:val="continue"/>
                  <w:vAlign w:val="center"/>
                </w:tcPr>
                <w:p w14:paraId="0BE66330">
                  <w:pPr>
                    <w:adjustRightInd w:val="0"/>
                    <w:snapToGrid w:val="0"/>
                    <w:jc w:val="center"/>
                    <w:rPr>
                      <w:rFonts w:hint="default" w:ascii="Times New Roman" w:hAnsi="Times New Roman" w:cs="Times New Roman"/>
                      <w:color w:val="auto"/>
                      <w:sz w:val="16"/>
                      <w:szCs w:val="16"/>
                    </w:rPr>
                  </w:pPr>
                </w:p>
              </w:tc>
              <w:tc>
                <w:tcPr>
                  <w:tcW w:w="579" w:type="dxa"/>
                  <w:vAlign w:val="center"/>
                </w:tcPr>
                <w:p w14:paraId="47F7130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561C517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47.5</w:t>
                  </w:r>
                </w:p>
              </w:tc>
              <w:tc>
                <w:tcPr>
                  <w:tcW w:w="571" w:type="dxa"/>
                  <w:vAlign w:val="center"/>
                </w:tcPr>
                <w:p w14:paraId="0B34CD7B">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2E2BB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3E19711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w:t>
                  </w:r>
                </w:p>
              </w:tc>
              <w:tc>
                <w:tcPr>
                  <w:tcW w:w="294" w:type="dxa"/>
                  <w:vMerge w:val="continue"/>
                  <w:vAlign w:val="center"/>
                </w:tcPr>
                <w:p w14:paraId="124ACAAD">
                  <w:pPr>
                    <w:adjustRightInd w:val="0"/>
                    <w:snapToGrid w:val="0"/>
                    <w:jc w:val="center"/>
                    <w:rPr>
                      <w:rFonts w:hint="default" w:ascii="Times New Roman" w:hAnsi="Times New Roman" w:cs="Times New Roman"/>
                      <w:color w:val="auto"/>
                      <w:sz w:val="16"/>
                      <w:szCs w:val="16"/>
                    </w:rPr>
                  </w:pPr>
                </w:p>
              </w:tc>
              <w:tc>
                <w:tcPr>
                  <w:tcW w:w="867" w:type="dxa"/>
                  <w:vAlign w:val="center"/>
                </w:tcPr>
                <w:p w14:paraId="2E50280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高频筛</w:t>
                  </w:r>
                </w:p>
              </w:tc>
              <w:tc>
                <w:tcPr>
                  <w:tcW w:w="363" w:type="dxa"/>
                  <w:vAlign w:val="center"/>
                </w:tcPr>
                <w:p w14:paraId="5111AE4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242302A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87/1</w:t>
                  </w:r>
                </w:p>
              </w:tc>
              <w:tc>
                <w:tcPr>
                  <w:tcW w:w="423" w:type="dxa"/>
                  <w:vMerge w:val="continue"/>
                  <w:vAlign w:val="center"/>
                </w:tcPr>
                <w:p w14:paraId="0A62E687">
                  <w:pPr>
                    <w:adjustRightInd w:val="0"/>
                    <w:snapToGrid w:val="0"/>
                    <w:jc w:val="center"/>
                    <w:rPr>
                      <w:rFonts w:hint="default" w:ascii="Times New Roman" w:hAnsi="Times New Roman" w:cs="Times New Roman"/>
                      <w:color w:val="auto"/>
                      <w:sz w:val="16"/>
                      <w:szCs w:val="16"/>
                    </w:rPr>
                  </w:pPr>
                </w:p>
              </w:tc>
              <w:tc>
                <w:tcPr>
                  <w:tcW w:w="654" w:type="dxa"/>
                  <w:vAlign w:val="center"/>
                </w:tcPr>
                <w:p w14:paraId="54BAA93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10</w:t>
                  </w:r>
                </w:p>
              </w:tc>
              <w:tc>
                <w:tcPr>
                  <w:tcW w:w="445" w:type="dxa"/>
                  <w:vAlign w:val="center"/>
                </w:tcPr>
                <w:p w14:paraId="10FF76E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w:t>
                  </w:r>
                </w:p>
              </w:tc>
              <w:tc>
                <w:tcPr>
                  <w:tcW w:w="425" w:type="dxa"/>
                  <w:vAlign w:val="center"/>
                </w:tcPr>
                <w:p w14:paraId="1825DF55">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0.5</w:t>
                  </w:r>
                </w:p>
              </w:tc>
              <w:tc>
                <w:tcPr>
                  <w:tcW w:w="423" w:type="dxa"/>
                  <w:vAlign w:val="center"/>
                </w:tcPr>
                <w:p w14:paraId="2F6C7FC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w:t>
                  </w:r>
                </w:p>
              </w:tc>
              <w:tc>
                <w:tcPr>
                  <w:tcW w:w="525" w:type="dxa"/>
                  <w:vAlign w:val="center"/>
                </w:tcPr>
                <w:p w14:paraId="616FE57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76.5</w:t>
                  </w:r>
                </w:p>
              </w:tc>
              <w:tc>
                <w:tcPr>
                  <w:tcW w:w="345" w:type="dxa"/>
                  <w:vMerge w:val="continue"/>
                  <w:vAlign w:val="center"/>
                </w:tcPr>
                <w:p w14:paraId="50144D8B">
                  <w:pPr>
                    <w:adjustRightInd w:val="0"/>
                    <w:snapToGrid w:val="0"/>
                    <w:jc w:val="center"/>
                    <w:rPr>
                      <w:rFonts w:hint="default" w:ascii="Times New Roman" w:hAnsi="Times New Roman" w:cs="Times New Roman"/>
                      <w:color w:val="auto"/>
                      <w:sz w:val="16"/>
                      <w:szCs w:val="16"/>
                    </w:rPr>
                  </w:pPr>
                </w:p>
              </w:tc>
              <w:tc>
                <w:tcPr>
                  <w:tcW w:w="579" w:type="dxa"/>
                  <w:vAlign w:val="center"/>
                </w:tcPr>
                <w:p w14:paraId="2A50213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6081780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55.5</w:t>
                  </w:r>
                </w:p>
              </w:tc>
              <w:tc>
                <w:tcPr>
                  <w:tcW w:w="571" w:type="dxa"/>
                  <w:vAlign w:val="center"/>
                </w:tcPr>
                <w:p w14:paraId="582CB7C5">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6545E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71F2BC4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w:t>
                  </w:r>
                </w:p>
              </w:tc>
              <w:tc>
                <w:tcPr>
                  <w:tcW w:w="294" w:type="dxa"/>
                  <w:vMerge w:val="continue"/>
                  <w:vAlign w:val="center"/>
                </w:tcPr>
                <w:p w14:paraId="7D4BC804">
                  <w:pPr>
                    <w:adjustRightInd w:val="0"/>
                    <w:snapToGrid w:val="0"/>
                    <w:jc w:val="center"/>
                    <w:rPr>
                      <w:rFonts w:hint="default" w:ascii="Times New Roman" w:hAnsi="Times New Roman" w:cs="Times New Roman"/>
                      <w:color w:val="auto"/>
                      <w:sz w:val="16"/>
                      <w:szCs w:val="16"/>
                    </w:rPr>
                  </w:pPr>
                </w:p>
              </w:tc>
              <w:tc>
                <w:tcPr>
                  <w:tcW w:w="867" w:type="dxa"/>
                  <w:vAlign w:val="center"/>
                </w:tcPr>
                <w:p w14:paraId="24B2725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永磁磁选机</w:t>
                  </w:r>
                </w:p>
              </w:tc>
              <w:tc>
                <w:tcPr>
                  <w:tcW w:w="363" w:type="dxa"/>
                  <w:vAlign w:val="center"/>
                </w:tcPr>
                <w:p w14:paraId="4985233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614D87F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86/1</w:t>
                  </w:r>
                </w:p>
              </w:tc>
              <w:tc>
                <w:tcPr>
                  <w:tcW w:w="423" w:type="dxa"/>
                  <w:vMerge w:val="continue"/>
                  <w:vAlign w:val="center"/>
                </w:tcPr>
                <w:p w14:paraId="2971B0CE">
                  <w:pPr>
                    <w:adjustRightInd w:val="0"/>
                    <w:snapToGrid w:val="0"/>
                    <w:jc w:val="center"/>
                    <w:rPr>
                      <w:rFonts w:hint="default" w:ascii="Times New Roman" w:hAnsi="Times New Roman" w:cs="Times New Roman"/>
                      <w:color w:val="auto"/>
                      <w:sz w:val="16"/>
                      <w:szCs w:val="16"/>
                    </w:rPr>
                  </w:pPr>
                </w:p>
              </w:tc>
              <w:tc>
                <w:tcPr>
                  <w:tcW w:w="654" w:type="dxa"/>
                  <w:vAlign w:val="center"/>
                </w:tcPr>
                <w:p w14:paraId="3CB4568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445" w:type="dxa"/>
                  <w:vAlign w:val="center"/>
                </w:tcPr>
                <w:p w14:paraId="6EA0570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9</w:t>
                  </w:r>
                </w:p>
              </w:tc>
              <w:tc>
                <w:tcPr>
                  <w:tcW w:w="425" w:type="dxa"/>
                  <w:vAlign w:val="center"/>
                </w:tcPr>
                <w:p w14:paraId="205D22D7">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75614A2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w:t>
                  </w:r>
                </w:p>
              </w:tc>
              <w:tc>
                <w:tcPr>
                  <w:tcW w:w="525" w:type="dxa"/>
                  <w:vAlign w:val="center"/>
                </w:tcPr>
                <w:p w14:paraId="4DEDDB1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77</w:t>
                  </w:r>
                </w:p>
              </w:tc>
              <w:tc>
                <w:tcPr>
                  <w:tcW w:w="345" w:type="dxa"/>
                  <w:vMerge w:val="continue"/>
                  <w:vAlign w:val="center"/>
                </w:tcPr>
                <w:p w14:paraId="00732787">
                  <w:pPr>
                    <w:adjustRightInd w:val="0"/>
                    <w:snapToGrid w:val="0"/>
                    <w:jc w:val="center"/>
                    <w:rPr>
                      <w:rFonts w:hint="default" w:ascii="Times New Roman" w:hAnsi="Times New Roman" w:cs="Times New Roman"/>
                      <w:color w:val="auto"/>
                      <w:sz w:val="16"/>
                      <w:szCs w:val="16"/>
                    </w:rPr>
                  </w:pPr>
                </w:p>
              </w:tc>
              <w:tc>
                <w:tcPr>
                  <w:tcW w:w="579" w:type="dxa"/>
                  <w:vAlign w:val="center"/>
                </w:tcPr>
                <w:p w14:paraId="2C70052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44AA469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56</w:t>
                  </w:r>
                </w:p>
              </w:tc>
              <w:tc>
                <w:tcPr>
                  <w:tcW w:w="571" w:type="dxa"/>
                  <w:vAlign w:val="center"/>
                </w:tcPr>
                <w:p w14:paraId="2EA364A2">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32661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0F57817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w:t>
                  </w:r>
                </w:p>
              </w:tc>
              <w:tc>
                <w:tcPr>
                  <w:tcW w:w="294" w:type="dxa"/>
                  <w:vMerge w:val="continue"/>
                  <w:vAlign w:val="center"/>
                </w:tcPr>
                <w:p w14:paraId="5E09DFD0">
                  <w:pPr>
                    <w:adjustRightInd w:val="0"/>
                    <w:snapToGrid w:val="0"/>
                    <w:jc w:val="center"/>
                    <w:rPr>
                      <w:rFonts w:hint="default" w:ascii="Times New Roman" w:hAnsi="Times New Roman" w:cs="Times New Roman"/>
                      <w:color w:val="auto"/>
                      <w:sz w:val="16"/>
                      <w:szCs w:val="16"/>
                    </w:rPr>
                  </w:pPr>
                </w:p>
              </w:tc>
              <w:tc>
                <w:tcPr>
                  <w:tcW w:w="867" w:type="dxa"/>
                  <w:vAlign w:val="center"/>
                </w:tcPr>
                <w:p w14:paraId="0D4B27F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浆泵</w:t>
                  </w:r>
                </w:p>
              </w:tc>
              <w:tc>
                <w:tcPr>
                  <w:tcW w:w="363" w:type="dxa"/>
                  <w:vAlign w:val="center"/>
                </w:tcPr>
                <w:p w14:paraId="64C578B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226AA28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86/1</w:t>
                  </w:r>
                </w:p>
              </w:tc>
              <w:tc>
                <w:tcPr>
                  <w:tcW w:w="423" w:type="dxa"/>
                  <w:vMerge w:val="continue"/>
                  <w:vAlign w:val="center"/>
                </w:tcPr>
                <w:p w14:paraId="480B304E">
                  <w:pPr>
                    <w:adjustRightInd w:val="0"/>
                    <w:snapToGrid w:val="0"/>
                    <w:jc w:val="center"/>
                    <w:rPr>
                      <w:rFonts w:hint="default" w:ascii="Times New Roman" w:hAnsi="Times New Roman" w:cs="Times New Roman"/>
                      <w:color w:val="auto"/>
                      <w:sz w:val="16"/>
                      <w:szCs w:val="16"/>
                    </w:rPr>
                  </w:pPr>
                </w:p>
              </w:tc>
              <w:tc>
                <w:tcPr>
                  <w:tcW w:w="654" w:type="dxa"/>
                  <w:vAlign w:val="center"/>
                </w:tcPr>
                <w:p w14:paraId="20E33D8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w:t>
                  </w:r>
                </w:p>
              </w:tc>
              <w:tc>
                <w:tcPr>
                  <w:tcW w:w="445" w:type="dxa"/>
                  <w:vAlign w:val="center"/>
                </w:tcPr>
                <w:p w14:paraId="34A24AF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425" w:type="dxa"/>
                  <w:vAlign w:val="center"/>
                </w:tcPr>
                <w:p w14:paraId="79C6B1C3">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401A0BF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525" w:type="dxa"/>
                  <w:vAlign w:val="center"/>
                </w:tcPr>
                <w:p w14:paraId="674306E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65</w:t>
                  </w:r>
                </w:p>
              </w:tc>
              <w:tc>
                <w:tcPr>
                  <w:tcW w:w="345" w:type="dxa"/>
                  <w:vMerge w:val="continue"/>
                  <w:vAlign w:val="center"/>
                </w:tcPr>
                <w:p w14:paraId="7ECB11B1">
                  <w:pPr>
                    <w:adjustRightInd w:val="0"/>
                    <w:snapToGrid w:val="0"/>
                    <w:jc w:val="center"/>
                    <w:rPr>
                      <w:rFonts w:hint="default" w:ascii="Times New Roman" w:hAnsi="Times New Roman" w:cs="Times New Roman"/>
                      <w:color w:val="auto"/>
                      <w:sz w:val="16"/>
                      <w:szCs w:val="16"/>
                    </w:rPr>
                  </w:pPr>
                </w:p>
              </w:tc>
              <w:tc>
                <w:tcPr>
                  <w:tcW w:w="579" w:type="dxa"/>
                  <w:vAlign w:val="center"/>
                </w:tcPr>
                <w:p w14:paraId="3A1A22E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127C146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44</w:t>
                  </w:r>
                </w:p>
              </w:tc>
              <w:tc>
                <w:tcPr>
                  <w:tcW w:w="571" w:type="dxa"/>
                  <w:vAlign w:val="center"/>
                </w:tcPr>
                <w:p w14:paraId="0DA6FA40">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717E6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2E590EC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9</w:t>
                  </w:r>
                </w:p>
              </w:tc>
              <w:tc>
                <w:tcPr>
                  <w:tcW w:w="294" w:type="dxa"/>
                  <w:vMerge w:val="continue"/>
                  <w:vAlign w:val="center"/>
                </w:tcPr>
                <w:p w14:paraId="37AD4CAC">
                  <w:pPr>
                    <w:adjustRightInd w:val="0"/>
                    <w:snapToGrid w:val="0"/>
                    <w:jc w:val="center"/>
                    <w:rPr>
                      <w:rFonts w:hint="default" w:ascii="Times New Roman" w:hAnsi="Times New Roman" w:cs="Times New Roman"/>
                      <w:color w:val="auto"/>
                      <w:sz w:val="16"/>
                      <w:szCs w:val="16"/>
                    </w:rPr>
                  </w:pPr>
                </w:p>
              </w:tc>
              <w:tc>
                <w:tcPr>
                  <w:tcW w:w="867" w:type="dxa"/>
                  <w:vAlign w:val="center"/>
                </w:tcPr>
                <w:p w14:paraId="3F01C2C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双锥回转反应釜</w:t>
                  </w:r>
                </w:p>
              </w:tc>
              <w:tc>
                <w:tcPr>
                  <w:tcW w:w="363" w:type="dxa"/>
                  <w:vAlign w:val="center"/>
                </w:tcPr>
                <w:p w14:paraId="2680EC7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4F9B31B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72/1</w:t>
                  </w:r>
                </w:p>
              </w:tc>
              <w:tc>
                <w:tcPr>
                  <w:tcW w:w="423" w:type="dxa"/>
                  <w:vMerge w:val="continue"/>
                  <w:vAlign w:val="center"/>
                </w:tcPr>
                <w:p w14:paraId="15E2C898">
                  <w:pPr>
                    <w:adjustRightInd w:val="0"/>
                    <w:snapToGrid w:val="0"/>
                    <w:jc w:val="center"/>
                    <w:rPr>
                      <w:rFonts w:hint="default" w:ascii="Times New Roman" w:hAnsi="Times New Roman" w:cs="Times New Roman"/>
                      <w:color w:val="auto"/>
                      <w:sz w:val="16"/>
                      <w:szCs w:val="16"/>
                    </w:rPr>
                  </w:pPr>
                </w:p>
              </w:tc>
              <w:tc>
                <w:tcPr>
                  <w:tcW w:w="654" w:type="dxa"/>
                  <w:vAlign w:val="center"/>
                </w:tcPr>
                <w:p w14:paraId="77A3C15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22</w:t>
                  </w:r>
                </w:p>
              </w:tc>
              <w:tc>
                <w:tcPr>
                  <w:tcW w:w="445" w:type="dxa"/>
                  <w:vAlign w:val="center"/>
                </w:tcPr>
                <w:p w14:paraId="36E7573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15</w:t>
                  </w:r>
                </w:p>
              </w:tc>
              <w:tc>
                <w:tcPr>
                  <w:tcW w:w="425" w:type="dxa"/>
                  <w:vAlign w:val="center"/>
                </w:tcPr>
                <w:p w14:paraId="587DA8F4">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2.5</w:t>
                  </w:r>
                </w:p>
              </w:tc>
              <w:tc>
                <w:tcPr>
                  <w:tcW w:w="423" w:type="dxa"/>
                  <w:vAlign w:val="center"/>
                </w:tcPr>
                <w:p w14:paraId="170A193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0</w:t>
                  </w:r>
                </w:p>
              </w:tc>
              <w:tc>
                <w:tcPr>
                  <w:tcW w:w="525" w:type="dxa"/>
                  <w:vAlign w:val="center"/>
                </w:tcPr>
                <w:p w14:paraId="76EE380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72</w:t>
                  </w:r>
                </w:p>
              </w:tc>
              <w:tc>
                <w:tcPr>
                  <w:tcW w:w="345" w:type="dxa"/>
                  <w:vMerge w:val="continue"/>
                  <w:vAlign w:val="center"/>
                </w:tcPr>
                <w:p w14:paraId="20C7D549">
                  <w:pPr>
                    <w:adjustRightInd w:val="0"/>
                    <w:snapToGrid w:val="0"/>
                    <w:jc w:val="center"/>
                    <w:rPr>
                      <w:rFonts w:hint="default" w:ascii="Times New Roman" w:hAnsi="Times New Roman" w:cs="Times New Roman"/>
                      <w:color w:val="auto"/>
                      <w:sz w:val="16"/>
                      <w:szCs w:val="16"/>
                    </w:rPr>
                  </w:pPr>
                </w:p>
              </w:tc>
              <w:tc>
                <w:tcPr>
                  <w:tcW w:w="579" w:type="dxa"/>
                  <w:vAlign w:val="center"/>
                </w:tcPr>
                <w:p w14:paraId="68950A4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216BF13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51</w:t>
                  </w:r>
                </w:p>
              </w:tc>
              <w:tc>
                <w:tcPr>
                  <w:tcW w:w="571" w:type="dxa"/>
                  <w:vAlign w:val="center"/>
                </w:tcPr>
                <w:p w14:paraId="6BAF4DE2">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7A055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34EF6CE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10</w:t>
                  </w:r>
                </w:p>
              </w:tc>
              <w:tc>
                <w:tcPr>
                  <w:tcW w:w="294" w:type="dxa"/>
                  <w:vMerge w:val="continue"/>
                  <w:vAlign w:val="center"/>
                </w:tcPr>
                <w:p w14:paraId="0DB4FDE6">
                  <w:pPr>
                    <w:adjustRightInd w:val="0"/>
                    <w:snapToGrid w:val="0"/>
                    <w:jc w:val="center"/>
                    <w:rPr>
                      <w:rFonts w:hint="default" w:ascii="Times New Roman" w:hAnsi="Times New Roman" w:cs="Times New Roman"/>
                      <w:color w:val="auto"/>
                      <w:sz w:val="16"/>
                      <w:szCs w:val="16"/>
                    </w:rPr>
                  </w:pPr>
                </w:p>
              </w:tc>
              <w:tc>
                <w:tcPr>
                  <w:tcW w:w="867" w:type="dxa"/>
                  <w:vAlign w:val="center"/>
                </w:tcPr>
                <w:p w14:paraId="388E15E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输送带</w:t>
                  </w:r>
                </w:p>
              </w:tc>
              <w:tc>
                <w:tcPr>
                  <w:tcW w:w="363" w:type="dxa"/>
                  <w:vAlign w:val="center"/>
                </w:tcPr>
                <w:p w14:paraId="220D768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04100E0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70/1</w:t>
                  </w:r>
                </w:p>
              </w:tc>
              <w:tc>
                <w:tcPr>
                  <w:tcW w:w="423" w:type="dxa"/>
                  <w:vMerge w:val="continue"/>
                  <w:vAlign w:val="center"/>
                </w:tcPr>
                <w:p w14:paraId="0A813172">
                  <w:pPr>
                    <w:adjustRightInd w:val="0"/>
                    <w:snapToGrid w:val="0"/>
                    <w:jc w:val="center"/>
                    <w:rPr>
                      <w:rFonts w:hint="default" w:ascii="Times New Roman" w:hAnsi="Times New Roman" w:cs="Times New Roman"/>
                      <w:color w:val="auto"/>
                      <w:sz w:val="16"/>
                      <w:szCs w:val="16"/>
                    </w:rPr>
                  </w:pPr>
                </w:p>
              </w:tc>
              <w:tc>
                <w:tcPr>
                  <w:tcW w:w="654" w:type="dxa"/>
                  <w:vAlign w:val="center"/>
                </w:tcPr>
                <w:p w14:paraId="59C562E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w:t>
                  </w:r>
                </w:p>
              </w:tc>
              <w:tc>
                <w:tcPr>
                  <w:tcW w:w="445" w:type="dxa"/>
                  <w:vAlign w:val="center"/>
                </w:tcPr>
                <w:p w14:paraId="185DFD2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w:t>
                  </w:r>
                </w:p>
              </w:tc>
              <w:tc>
                <w:tcPr>
                  <w:tcW w:w="425" w:type="dxa"/>
                  <w:vAlign w:val="center"/>
                </w:tcPr>
                <w:p w14:paraId="0B72C0F6">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1248059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w:t>
                  </w:r>
                </w:p>
              </w:tc>
              <w:tc>
                <w:tcPr>
                  <w:tcW w:w="525" w:type="dxa"/>
                  <w:vAlign w:val="center"/>
                </w:tcPr>
                <w:p w14:paraId="4DAE83C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59.5</w:t>
                  </w:r>
                </w:p>
              </w:tc>
              <w:tc>
                <w:tcPr>
                  <w:tcW w:w="345" w:type="dxa"/>
                  <w:vMerge w:val="continue"/>
                  <w:vAlign w:val="center"/>
                </w:tcPr>
                <w:p w14:paraId="060F9C3F">
                  <w:pPr>
                    <w:adjustRightInd w:val="0"/>
                    <w:snapToGrid w:val="0"/>
                    <w:jc w:val="center"/>
                    <w:rPr>
                      <w:rFonts w:hint="default" w:ascii="Times New Roman" w:hAnsi="Times New Roman" w:cs="Times New Roman"/>
                      <w:color w:val="auto"/>
                      <w:sz w:val="16"/>
                      <w:szCs w:val="16"/>
                    </w:rPr>
                  </w:pPr>
                </w:p>
              </w:tc>
              <w:tc>
                <w:tcPr>
                  <w:tcW w:w="579" w:type="dxa"/>
                  <w:vAlign w:val="center"/>
                </w:tcPr>
                <w:p w14:paraId="562B40A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080C033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38.5</w:t>
                  </w:r>
                </w:p>
              </w:tc>
              <w:tc>
                <w:tcPr>
                  <w:tcW w:w="571" w:type="dxa"/>
                  <w:vAlign w:val="center"/>
                </w:tcPr>
                <w:p w14:paraId="797384FD">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539A8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38104BC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11</w:t>
                  </w:r>
                </w:p>
              </w:tc>
              <w:tc>
                <w:tcPr>
                  <w:tcW w:w="294" w:type="dxa"/>
                  <w:vMerge w:val="continue"/>
                  <w:vAlign w:val="center"/>
                </w:tcPr>
                <w:p w14:paraId="077C03C2">
                  <w:pPr>
                    <w:adjustRightInd w:val="0"/>
                    <w:snapToGrid w:val="0"/>
                    <w:jc w:val="center"/>
                    <w:rPr>
                      <w:rFonts w:hint="default" w:ascii="Times New Roman" w:hAnsi="Times New Roman" w:cs="Times New Roman"/>
                      <w:color w:val="auto"/>
                      <w:sz w:val="16"/>
                      <w:szCs w:val="16"/>
                    </w:rPr>
                  </w:pPr>
                </w:p>
              </w:tc>
              <w:tc>
                <w:tcPr>
                  <w:tcW w:w="867" w:type="dxa"/>
                  <w:vAlign w:val="center"/>
                </w:tcPr>
                <w:p w14:paraId="5B4DD51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高温焙烧炉</w:t>
                  </w:r>
                </w:p>
              </w:tc>
              <w:tc>
                <w:tcPr>
                  <w:tcW w:w="363" w:type="dxa"/>
                  <w:vAlign w:val="center"/>
                </w:tcPr>
                <w:p w14:paraId="3CD552F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11EA650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75/1</w:t>
                  </w:r>
                </w:p>
              </w:tc>
              <w:tc>
                <w:tcPr>
                  <w:tcW w:w="423" w:type="dxa"/>
                  <w:vMerge w:val="continue"/>
                  <w:vAlign w:val="center"/>
                </w:tcPr>
                <w:p w14:paraId="6CDE0C35">
                  <w:pPr>
                    <w:adjustRightInd w:val="0"/>
                    <w:snapToGrid w:val="0"/>
                    <w:jc w:val="center"/>
                    <w:rPr>
                      <w:rFonts w:hint="default" w:ascii="Times New Roman" w:hAnsi="Times New Roman" w:cs="Times New Roman"/>
                      <w:color w:val="auto"/>
                      <w:sz w:val="16"/>
                      <w:szCs w:val="16"/>
                    </w:rPr>
                  </w:pPr>
                </w:p>
              </w:tc>
              <w:tc>
                <w:tcPr>
                  <w:tcW w:w="654" w:type="dxa"/>
                  <w:vAlign w:val="center"/>
                </w:tcPr>
                <w:p w14:paraId="735D151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20</w:t>
                  </w:r>
                </w:p>
              </w:tc>
              <w:tc>
                <w:tcPr>
                  <w:tcW w:w="445" w:type="dxa"/>
                  <w:vAlign w:val="center"/>
                </w:tcPr>
                <w:p w14:paraId="5294EEA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425" w:type="dxa"/>
                  <w:vAlign w:val="center"/>
                </w:tcPr>
                <w:p w14:paraId="67E718B5">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0.8</w:t>
                  </w:r>
                </w:p>
              </w:tc>
              <w:tc>
                <w:tcPr>
                  <w:tcW w:w="423" w:type="dxa"/>
                  <w:vAlign w:val="center"/>
                </w:tcPr>
                <w:p w14:paraId="47FD88C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525" w:type="dxa"/>
                  <w:vAlign w:val="center"/>
                </w:tcPr>
                <w:p w14:paraId="25078EF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w:t>
                  </w:r>
                </w:p>
              </w:tc>
              <w:tc>
                <w:tcPr>
                  <w:tcW w:w="345" w:type="dxa"/>
                  <w:vMerge w:val="continue"/>
                  <w:vAlign w:val="center"/>
                </w:tcPr>
                <w:p w14:paraId="6945FBD5">
                  <w:pPr>
                    <w:adjustRightInd w:val="0"/>
                    <w:snapToGrid w:val="0"/>
                    <w:jc w:val="center"/>
                    <w:rPr>
                      <w:rFonts w:hint="default" w:ascii="Times New Roman" w:hAnsi="Times New Roman" w:cs="Times New Roman"/>
                      <w:color w:val="auto"/>
                      <w:sz w:val="16"/>
                      <w:szCs w:val="16"/>
                    </w:rPr>
                  </w:pPr>
                </w:p>
              </w:tc>
              <w:tc>
                <w:tcPr>
                  <w:tcW w:w="579" w:type="dxa"/>
                  <w:vAlign w:val="center"/>
                </w:tcPr>
                <w:p w14:paraId="687FB7F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02FB252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33</w:t>
                  </w:r>
                </w:p>
              </w:tc>
              <w:tc>
                <w:tcPr>
                  <w:tcW w:w="571" w:type="dxa"/>
                  <w:vAlign w:val="center"/>
                </w:tcPr>
                <w:p w14:paraId="45C95650">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7CB18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4F5CA14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12</w:t>
                  </w:r>
                </w:p>
              </w:tc>
              <w:tc>
                <w:tcPr>
                  <w:tcW w:w="294" w:type="dxa"/>
                  <w:vMerge w:val="continue"/>
                  <w:vAlign w:val="center"/>
                </w:tcPr>
                <w:p w14:paraId="193B4953">
                  <w:pPr>
                    <w:adjustRightInd w:val="0"/>
                    <w:snapToGrid w:val="0"/>
                    <w:jc w:val="center"/>
                    <w:rPr>
                      <w:rFonts w:hint="default" w:ascii="Times New Roman" w:hAnsi="Times New Roman" w:cs="Times New Roman"/>
                      <w:color w:val="auto"/>
                      <w:sz w:val="16"/>
                      <w:szCs w:val="16"/>
                    </w:rPr>
                  </w:pPr>
                </w:p>
              </w:tc>
              <w:tc>
                <w:tcPr>
                  <w:tcW w:w="867" w:type="dxa"/>
                  <w:vAlign w:val="center"/>
                </w:tcPr>
                <w:p w14:paraId="2188278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烤砂炉</w:t>
                  </w:r>
                </w:p>
              </w:tc>
              <w:tc>
                <w:tcPr>
                  <w:tcW w:w="363" w:type="dxa"/>
                  <w:vAlign w:val="center"/>
                </w:tcPr>
                <w:p w14:paraId="36413A0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7E55057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70/1</w:t>
                  </w:r>
                </w:p>
              </w:tc>
              <w:tc>
                <w:tcPr>
                  <w:tcW w:w="423" w:type="dxa"/>
                  <w:vMerge w:val="continue"/>
                  <w:vAlign w:val="center"/>
                </w:tcPr>
                <w:p w14:paraId="554F7A60">
                  <w:pPr>
                    <w:adjustRightInd w:val="0"/>
                    <w:snapToGrid w:val="0"/>
                    <w:jc w:val="center"/>
                    <w:rPr>
                      <w:rFonts w:hint="default" w:ascii="Times New Roman" w:hAnsi="Times New Roman" w:cs="Times New Roman"/>
                      <w:color w:val="auto"/>
                      <w:sz w:val="16"/>
                      <w:szCs w:val="16"/>
                    </w:rPr>
                  </w:pPr>
                </w:p>
              </w:tc>
              <w:tc>
                <w:tcPr>
                  <w:tcW w:w="654" w:type="dxa"/>
                  <w:vAlign w:val="center"/>
                </w:tcPr>
                <w:p w14:paraId="3ADFDD9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-17</w:t>
                  </w:r>
                </w:p>
              </w:tc>
              <w:tc>
                <w:tcPr>
                  <w:tcW w:w="445" w:type="dxa"/>
                  <w:vAlign w:val="center"/>
                </w:tcPr>
                <w:p w14:paraId="2A40CE5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w:t>
                  </w:r>
                </w:p>
              </w:tc>
              <w:tc>
                <w:tcPr>
                  <w:tcW w:w="425" w:type="dxa"/>
                  <w:vAlign w:val="center"/>
                </w:tcPr>
                <w:p w14:paraId="1E3F2A1C">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0.8</w:t>
                  </w:r>
                </w:p>
              </w:tc>
              <w:tc>
                <w:tcPr>
                  <w:tcW w:w="423" w:type="dxa"/>
                  <w:vAlign w:val="center"/>
                </w:tcPr>
                <w:p w14:paraId="7A622D1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10</w:t>
                  </w:r>
                </w:p>
              </w:tc>
              <w:tc>
                <w:tcPr>
                  <w:tcW w:w="525" w:type="dxa"/>
                  <w:vAlign w:val="center"/>
                </w:tcPr>
                <w:p w14:paraId="7FAA149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55</w:t>
                  </w:r>
                </w:p>
              </w:tc>
              <w:tc>
                <w:tcPr>
                  <w:tcW w:w="345" w:type="dxa"/>
                  <w:vMerge w:val="continue"/>
                  <w:vAlign w:val="center"/>
                </w:tcPr>
                <w:p w14:paraId="0EEC7E50">
                  <w:pPr>
                    <w:adjustRightInd w:val="0"/>
                    <w:snapToGrid w:val="0"/>
                    <w:jc w:val="center"/>
                    <w:rPr>
                      <w:rFonts w:hint="default" w:ascii="Times New Roman" w:hAnsi="Times New Roman" w:cs="Times New Roman"/>
                      <w:color w:val="auto"/>
                      <w:sz w:val="16"/>
                      <w:szCs w:val="16"/>
                    </w:rPr>
                  </w:pPr>
                </w:p>
              </w:tc>
              <w:tc>
                <w:tcPr>
                  <w:tcW w:w="579" w:type="dxa"/>
                  <w:vAlign w:val="center"/>
                </w:tcPr>
                <w:p w14:paraId="23027AD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139C875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34</w:t>
                  </w:r>
                </w:p>
              </w:tc>
              <w:tc>
                <w:tcPr>
                  <w:tcW w:w="571" w:type="dxa"/>
                  <w:vAlign w:val="center"/>
                </w:tcPr>
                <w:p w14:paraId="35043A2A">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2C516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6FB4FD7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13</w:t>
                  </w:r>
                </w:p>
              </w:tc>
              <w:tc>
                <w:tcPr>
                  <w:tcW w:w="294" w:type="dxa"/>
                  <w:vMerge w:val="continue"/>
                  <w:vAlign w:val="center"/>
                </w:tcPr>
                <w:p w14:paraId="3EBA4F95">
                  <w:pPr>
                    <w:adjustRightInd w:val="0"/>
                    <w:snapToGrid w:val="0"/>
                    <w:jc w:val="center"/>
                    <w:rPr>
                      <w:rFonts w:hint="default" w:ascii="Times New Roman" w:hAnsi="Times New Roman" w:cs="Times New Roman"/>
                      <w:color w:val="auto"/>
                      <w:sz w:val="16"/>
                      <w:szCs w:val="16"/>
                    </w:rPr>
                  </w:pPr>
                </w:p>
              </w:tc>
              <w:tc>
                <w:tcPr>
                  <w:tcW w:w="867" w:type="dxa"/>
                  <w:vAlign w:val="center"/>
                </w:tcPr>
                <w:p w14:paraId="5FB14F4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高温提纯设备</w:t>
                  </w:r>
                </w:p>
              </w:tc>
              <w:tc>
                <w:tcPr>
                  <w:tcW w:w="363" w:type="dxa"/>
                  <w:vAlign w:val="center"/>
                </w:tcPr>
                <w:p w14:paraId="38B4AEC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560345C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73/1</w:t>
                  </w:r>
                </w:p>
              </w:tc>
              <w:tc>
                <w:tcPr>
                  <w:tcW w:w="423" w:type="dxa"/>
                  <w:vMerge w:val="continue"/>
                  <w:vAlign w:val="center"/>
                </w:tcPr>
                <w:p w14:paraId="39A29AB2">
                  <w:pPr>
                    <w:adjustRightInd w:val="0"/>
                    <w:snapToGrid w:val="0"/>
                    <w:jc w:val="center"/>
                    <w:rPr>
                      <w:rFonts w:hint="default" w:ascii="Times New Roman" w:hAnsi="Times New Roman" w:cs="Times New Roman"/>
                      <w:color w:val="auto"/>
                      <w:sz w:val="16"/>
                      <w:szCs w:val="16"/>
                    </w:rPr>
                  </w:pPr>
                </w:p>
              </w:tc>
              <w:tc>
                <w:tcPr>
                  <w:tcW w:w="654" w:type="dxa"/>
                  <w:vAlign w:val="center"/>
                </w:tcPr>
                <w:p w14:paraId="573A8A0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27</w:t>
                  </w:r>
                </w:p>
              </w:tc>
              <w:tc>
                <w:tcPr>
                  <w:tcW w:w="445" w:type="dxa"/>
                  <w:vAlign w:val="center"/>
                </w:tcPr>
                <w:p w14:paraId="754B12E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w:t>
                  </w:r>
                </w:p>
              </w:tc>
              <w:tc>
                <w:tcPr>
                  <w:tcW w:w="425" w:type="dxa"/>
                  <w:vAlign w:val="center"/>
                </w:tcPr>
                <w:p w14:paraId="102C7C30">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1BCED1C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13</w:t>
                  </w:r>
                </w:p>
              </w:tc>
              <w:tc>
                <w:tcPr>
                  <w:tcW w:w="525" w:type="dxa"/>
                  <w:vAlign w:val="center"/>
                </w:tcPr>
                <w:p w14:paraId="36F471B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53.5</w:t>
                  </w:r>
                </w:p>
              </w:tc>
              <w:tc>
                <w:tcPr>
                  <w:tcW w:w="345" w:type="dxa"/>
                  <w:vMerge w:val="continue"/>
                  <w:vAlign w:val="center"/>
                </w:tcPr>
                <w:p w14:paraId="0E0A376D">
                  <w:pPr>
                    <w:adjustRightInd w:val="0"/>
                    <w:snapToGrid w:val="0"/>
                    <w:jc w:val="center"/>
                    <w:rPr>
                      <w:rFonts w:hint="default" w:ascii="Times New Roman" w:hAnsi="Times New Roman" w:cs="Times New Roman"/>
                      <w:color w:val="auto"/>
                      <w:sz w:val="16"/>
                      <w:szCs w:val="16"/>
                    </w:rPr>
                  </w:pPr>
                </w:p>
              </w:tc>
              <w:tc>
                <w:tcPr>
                  <w:tcW w:w="579" w:type="dxa"/>
                  <w:vAlign w:val="center"/>
                </w:tcPr>
                <w:p w14:paraId="39138A2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06DA3AC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32.5</w:t>
                  </w:r>
                </w:p>
              </w:tc>
              <w:tc>
                <w:tcPr>
                  <w:tcW w:w="571" w:type="dxa"/>
                  <w:vAlign w:val="center"/>
                </w:tcPr>
                <w:p w14:paraId="07B90C69">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0D5FF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78EB5F1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294" w:type="dxa"/>
                  <w:vMerge w:val="continue"/>
                  <w:vAlign w:val="center"/>
                </w:tcPr>
                <w:p w14:paraId="65836383">
                  <w:pPr>
                    <w:adjustRightInd w:val="0"/>
                    <w:snapToGrid w:val="0"/>
                    <w:jc w:val="center"/>
                    <w:rPr>
                      <w:rFonts w:hint="default" w:ascii="Times New Roman" w:hAnsi="Times New Roman" w:cs="Times New Roman"/>
                      <w:color w:val="auto"/>
                      <w:sz w:val="16"/>
                      <w:szCs w:val="16"/>
                    </w:rPr>
                  </w:pPr>
                </w:p>
              </w:tc>
              <w:tc>
                <w:tcPr>
                  <w:tcW w:w="867" w:type="dxa"/>
                  <w:vAlign w:val="center"/>
                </w:tcPr>
                <w:p w14:paraId="541C6EB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高磁选机</w:t>
                  </w:r>
                </w:p>
              </w:tc>
              <w:tc>
                <w:tcPr>
                  <w:tcW w:w="363" w:type="dxa"/>
                  <w:vAlign w:val="center"/>
                </w:tcPr>
                <w:p w14:paraId="18B219E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401723B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85/1</w:t>
                  </w:r>
                </w:p>
              </w:tc>
              <w:tc>
                <w:tcPr>
                  <w:tcW w:w="423" w:type="dxa"/>
                  <w:vMerge w:val="continue"/>
                  <w:vAlign w:val="center"/>
                </w:tcPr>
                <w:p w14:paraId="6A0189E2">
                  <w:pPr>
                    <w:adjustRightInd w:val="0"/>
                    <w:snapToGrid w:val="0"/>
                    <w:jc w:val="center"/>
                    <w:rPr>
                      <w:rFonts w:hint="default" w:ascii="Times New Roman" w:hAnsi="Times New Roman" w:cs="Times New Roman"/>
                      <w:color w:val="auto"/>
                      <w:sz w:val="16"/>
                      <w:szCs w:val="16"/>
                    </w:rPr>
                  </w:pPr>
                </w:p>
              </w:tc>
              <w:tc>
                <w:tcPr>
                  <w:tcW w:w="654" w:type="dxa"/>
                  <w:vAlign w:val="center"/>
                </w:tcPr>
                <w:p w14:paraId="12F47DC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-26</w:t>
                  </w:r>
                </w:p>
              </w:tc>
              <w:tc>
                <w:tcPr>
                  <w:tcW w:w="445" w:type="dxa"/>
                  <w:vAlign w:val="center"/>
                </w:tcPr>
                <w:p w14:paraId="2232A0D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0</w:t>
                  </w:r>
                </w:p>
              </w:tc>
              <w:tc>
                <w:tcPr>
                  <w:tcW w:w="425" w:type="dxa"/>
                  <w:vAlign w:val="center"/>
                </w:tcPr>
                <w:p w14:paraId="73EBABA3">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1964E46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525" w:type="dxa"/>
                  <w:vAlign w:val="center"/>
                </w:tcPr>
                <w:p w14:paraId="3248BFB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64</w:t>
                  </w:r>
                </w:p>
              </w:tc>
              <w:tc>
                <w:tcPr>
                  <w:tcW w:w="345" w:type="dxa"/>
                  <w:vMerge w:val="continue"/>
                  <w:vAlign w:val="center"/>
                </w:tcPr>
                <w:p w14:paraId="1B9A90F3">
                  <w:pPr>
                    <w:adjustRightInd w:val="0"/>
                    <w:snapToGrid w:val="0"/>
                    <w:jc w:val="center"/>
                    <w:rPr>
                      <w:rFonts w:hint="default" w:ascii="Times New Roman" w:hAnsi="Times New Roman" w:cs="Times New Roman"/>
                      <w:color w:val="auto"/>
                      <w:sz w:val="16"/>
                      <w:szCs w:val="16"/>
                    </w:rPr>
                  </w:pPr>
                </w:p>
              </w:tc>
              <w:tc>
                <w:tcPr>
                  <w:tcW w:w="579" w:type="dxa"/>
                  <w:vAlign w:val="center"/>
                </w:tcPr>
                <w:p w14:paraId="6F4FE74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0114BBF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43</w:t>
                  </w:r>
                </w:p>
              </w:tc>
              <w:tc>
                <w:tcPr>
                  <w:tcW w:w="571" w:type="dxa"/>
                  <w:vAlign w:val="center"/>
                </w:tcPr>
                <w:p w14:paraId="6063C7E9">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768AC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5C11EC8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15</w:t>
                  </w:r>
                </w:p>
              </w:tc>
              <w:tc>
                <w:tcPr>
                  <w:tcW w:w="294" w:type="dxa"/>
                  <w:vMerge w:val="continue"/>
                  <w:vAlign w:val="center"/>
                </w:tcPr>
                <w:p w14:paraId="72B854A3">
                  <w:pPr>
                    <w:adjustRightInd w:val="0"/>
                    <w:snapToGrid w:val="0"/>
                    <w:jc w:val="center"/>
                    <w:rPr>
                      <w:rFonts w:hint="default" w:ascii="Times New Roman" w:hAnsi="Times New Roman" w:cs="Times New Roman"/>
                      <w:color w:val="auto"/>
                      <w:sz w:val="16"/>
                      <w:szCs w:val="16"/>
                    </w:rPr>
                  </w:pPr>
                </w:p>
              </w:tc>
              <w:tc>
                <w:tcPr>
                  <w:tcW w:w="867" w:type="dxa"/>
                  <w:vAlign w:val="center"/>
                </w:tcPr>
                <w:p w14:paraId="598EB2C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浮洗机组</w:t>
                  </w:r>
                </w:p>
              </w:tc>
              <w:tc>
                <w:tcPr>
                  <w:tcW w:w="363" w:type="dxa"/>
                  <w:vAlign w:val="center"/>
                </w:tcPr>
                <w:p w14:paraId="73EC549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1D102F6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80/1</w:t>
                  </w:r>
                </w:p>
              </w:tc>
              <w:tc>
                <w:tcPr>
                  <w:tcW w:w="423" w:type="dxa"/>
                  <w:vMerge w:val="continue"/>
                  <w:vAlign w:val="center"/>
                </w:tcPr>
                <w:p w14:paraId="78109CC2">
                  <w:pPr>
                    <w:adjustRightInd w:val="0"/>
                    <w:snapToGrid w:val="0"/>
                    <w:jc w:val="center"/>
                    <w:rPr>
                      <w:rFonts w:hint="default" w:ascii="Times New Roman" w:hAnsi="Times New Roman" w:cs="Times New Roman"/>
                      <w:color w:val="auto"/>
                      <w:sz w:val="16"/>
                      <w:szCs w:val="16"/>
                    </w:rPr>
                  </w:pPr>
                </w:p>
              </w:tc>
              <w:tc>
                <w:tcPr>
                  <w:tcW w:w="654" w:type="dxa"/>
                  <w:vAlign w:val="center"/>
                </w:tcPr>
                <w:p w14:paraId="49683B1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w:t>
                  </w:r>
                </w:p>
              </w:tc>
              <w:tc>
                <w:tcPr>
                  <w:tcW w:w="445" w:type="dxa"/>
                  <w:vAlign w:val="center"/>
                </w:tcPr>
                <w:p w14:paraId="3923B94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12</w:t>
                  </w:r>
                </w:p>
              </w:tc>
              <w:tc>
                <w:tcPr>
                  <w:tcW w:w="425" w:type="dxa"/>
                  <w:vAlign w:val="center"/>
                </w:tcPr>
                <w:p w14:paraId="1CEFD9E5">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0.8</w:t>
                  </w:r>
                </w:p>
              </w:tc>
              <w:tc>
                <w:tcPr>
                  <w:tcW w:w="423" w:type="dxa"/>
                  <w:vAlign w:val="center"/>
                </w:tcPr>
                <w:p w14:paraId="0982766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w:t>
                  </w:r>
                </w:p>
              </w:tc>
              <w:tc>
                <w:tcPr>
                  <w:tcW w:w="525" w:type="dxa"/>
                  <w:vAlign w:val="center"/>
                </w:tcPr>
                <w:p w14:paraId="035BEE6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75.5</w:t>
                  </w:r>
                </w:p>
              </w:tc>
              <w:tc>
                <w:tcPr>
                  <w:tcW w:w="345" w:type="dxa"/>
                  <w:vMerge w:val="continue"/>
                  <w:vAlign w:val="center"/>
                </w:tcPr>
                <w:p w14:paraId="5AE6C8E4">
                  <w:pPr>
                    <w:adjustRightInd w:val="0"/>
                    <w:snapToGrid w:val="0"/>
                    <w:jc w:val="center"/>
                    <w:rPr>
                      <w:rFonts w:hint="default" w:ascii="Times New Roman" w:hAnsi="Times New Roman" w:cs="Times New Roman"/>
                      <w:color w:val="auto"/>
                      <w:sz w:val="16"/>
                      <w:szCs w:val="16"/>
                    </w:rPr>
                  </w:pPr>
                </w:p>
              </w:tc>
              <w:tc>
                <w:tcPr>
                  <w:tcW w:w="579" w:type="dxa"/>
                  <w:vAlign w:val="center"/>
                </w:tcPr>
                <w:p w14:paraId="1F45415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665C253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54.5</w:t>
                  </w:r>
                </w:p>
              </w:tc>
              <w:tc>
                <w:tcPr>
                  <w:tcW w:w="571" w:type="dxa"/>
                  <w:vAlign w:val="center"/>
                </w:tcPr>
                <w:p w14:paraId="079FD337">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18A94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5A0B007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16</w:t>
                  </w:r>
                </w:p>
              </w:tc>
              <w:tc>
                <w:tcPr>
                  <w:tcW w:w="294" w:type="dxa"/>
                  <w:vMerge w:val="continue"/>
                  <w:vAlign w:val="center"/>
                </w:tcPr>
                <w:p w14:paraId="30C35E79">
                  <w:pPr>
                    <w:adjustRightInd w:val="0"/>
                    <w:snapToGrid w:val="0"/>
                    <w:jc w:val="center"/>
                    <w:rPr>
                      <w:rFonts w:hint="default" w:ascii="Times New Roman" w:hAnsi="Times New Roman" w:cs="Times New Roman"/>
                      <w:color w:val="auto"/>
                      <w:sz w:val="16"/>
                      <w:szCs w:val="16"/>
                    </w:rPr>
                  </w:pPr>
                </w:p>
              </w:tc>
              <w:tc>
                <w:tcPr>
                  <w:tcW w:w="867" w:type="dxa"/>
                  <w:vAlign w:val="center"/>
                </w:tcPr>
                <w:p w14:paraId="0AC3689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螺旋洗矿机</w:t>
                  </w:r>
                </w:p>
              </w:tc>
              <w:tc>
                <w:tcPr>
                  <w:tcW w:w="363" w:type="dxa"/>
                  <w:vAlign w:val="center"/>
                </w:tcPr>
                <w:p w14:paraId="25CDDE0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1C27303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78/1</w:t>
                  </w:r>
                </w:p>
              </w:tc>
              <w:tc>
                <w:tcPr>
                  <w:tcW w:w="423" w:type="dxa"/>
                  <w:vMerge w:val="continue"/>
                  <w:vAlign w:val="center"/>
                </w:tcPr>
                <w:p w14:paraId="39A9134D">
                  <w:pPr>
                    <w:adjustRightInd w:val="0"/>
                    <w:snapToGrid w:val="0"/>
                    <w:jc w:val="center"/>
                    <w:rPr>
                      <w:rFonts w:hint="default" w:ascii="Times New Roman" w:hAnsi="Times New Roman" w:cs="Times New Roman"/>
                      <w:color w:val="auto"/>
                      <w:sz w:val="16"/>
                      <w:szCs w:val="16"/>
                    </w:rPr>
                  </w:pPr>
                </w:p>
              </w:tc>
              <w:tc>
                <w:tcPr>
                  <w:tcW w:w="654" w:type="dxa"/>
                  <w:vAlign w:val="center"/>
                </w:tcPr>
                <w:p w14:paraId="655E42C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-24</w:t>
                  </w:r>
                </w:p>
              </w:tc>
              <w:tc>
                <w:tcPr>
                  <w:tcW w:w="445" w:type="dxa"/>
                  <w:vAlign w:val="center"/>
                </w:tcPr>
                <w:p w14:paraId="58528E3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425" w:type="dxa"/>
                  <w:vAlign w:val="center"/>
                </w:tcPr>
                <w:p w14:paraId="6B6A0750">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0.8</w:t>
                  </w:r>
                </w:p>
              </w:tc>
              <w:tc>
                <w:tcPr>
                  <w:tcW w:w="423" w:type="dxa"/>
                  <w:vAlign w:val="center"/>
                </w:tcPr>
                <w:p w14:paraId="60071B8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525" w:type="dxa"/>
                  <w:vAlign w:val="center"/>
                </w:tcPr>
                <w:p w14:paraId="6C1ECF5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75.5</w:t>
                  </w:r>
                </w:p>
              </w:tc>
              <w:tc>
                <w:tcPr>
                  <w:tcW w:w="345" w:type="dxa"/>
                  <w:vMerge w:val="continue"/>
                  <w:vAlign w:val="center"/>
                </w:tcPr>
                <w:p w14:paraId="43624C9B">
                  <w:pPr>
                    <w:adjustRightInd w:val="0"/>
                    <w:snapToGrid w:val="0"/>
                    <w:jc w:val="center"/>
                    <w:rPr>
                      <w:rFonts w:hint="default" w:ascii="Times New Roman" w:hAnsi="Times New Roman" w:cs="Times New Roman"/>
                      <w:color w:val="auto"/>
                      <w:sz w:val="16"/>
                      <w:szCs w:val="16"/>
                    </w:rPr>
                  </w:pPr>
                </w:p>
              </w:tc>
              <w:tc>
                <w:tcPr>
                  <w:tcW w:w="579" w:type="dxa"/>
                  <w:vAlign w:val="center"/>
                </w:tcPr>
                <w:p w14:paraId="403AAB6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7718403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54.5</w:t>
                  </w:r>
                </w:p>
              </w:tc>
              <w:tc>
                <w:tcPr>
                  <w:tcW w:w="571" w:type="dxa"/>
                  <w:vAlign w:val="center"/>
                </w:tcPr>
                <w:p w14:paraId="77FDB952">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50B1B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2C984FC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17</w:t>
                  </w:r>
                </w:p>
              </w:tc>
              <w:tc>
                <w:tcPr>
                  <w:tcW w:w="294" w:type="dxa"/>
                  <w:vMerge w:val="continue"/>
                  <w:vAlign w:val="center"/>
                </w:tcPr>
                <w:p w14:paraId="51EFAE28">
                  <w:pPr>
                    <w:adjustRightInd w:val="0"/>
                    <w:snapToGrid w:val="0"/>
                    <w:jc w:val="center"/>
                    <w:rPr>
                      <w:rFonts w:hint="default" w:ascii="Times New Roman" w:hAnsi="Times New Roman" w:cs="Times New Roman"/>
                      <w:color w:val="auto"/>
                      <w:sz w:val="16"/>
                      <w:szCs w:val="16"/>
                    </w:rPr>
                  </w:pPr>
                </w:p>
              </w:tc>
              <w:tc>
                <w:tcPr>
                  <w:tcW w:w="867" w:type="dxa"/>
                  <w:vAlign w:val="center"/>
                </w:tcPr>
                <w:p w14:paraId="5E48350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双桶擦洗机</w:t>
                  </w:r>
                </w:p>
              </w:tc>
              <w:tc>
                <w:tcPr>
                  <w:tcW w:w="363" w:type="dxa"/>
                  <w:vAlign w:val="center"/>
                </w:tcPr>
                <w:p w14:paraId="71E361C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73954E4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72/1</w:t>
                  </w:r>
                </w:p>
              </w:tc>
              <w:tc>
                <w:tcPr>
                  <w:tcW w:w="423" w:type="dxa"/>
                  <w:vMerge w:val="continue"/>
                  <w:vAlign w:val="center"/>
                </w:tcPr>
                <w:p w14:paraId="1422B4AB">
                  <w:pPr>
                    <w:adjustRightInd w:val="0"/>
                    <w:snapToGrid w:val="0"/>
                    <w:jc w:val="center"/>
                    <w:rPr>
                      <w:rFonts w:hint="default" w:ascii="Times New Roman" w:hAnsi="Times New Roman" w:cs="Times New Roman"/>
                      <w:color w:val="auto"/>
                      <w:sz w:val="16"/>
                      <w:szCs w:val="16"/>
                    </w:rPr>
                  </w:pPr>
                </w:p>
              </w:tc>
              <w:tc>
                <w:tcPr>
                  <w:tcW w:w="654" w:type="dxa"/>
                  <w:vAlign w:val="center"/>
                </w:tcPr>
                <w:p w14:paraId="4E38E69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36</w:t>
                  </w:r>
                </w:p>
              </w:tc>
              <w:tc>
                <w:tcPr>
                  <w:tcW w:w="445" w:type="dxa"/>
                  <w:vAlign w:val="center"/>
                </w:tcPr>
                <w:p w14:paraId="1513FD5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425" w:type="dxa"/>
                  <w:vAlign w:val="center"/>
                </w:tcPr>
                <w:p w14:paraId="2A855B5C">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0.8</w:t>
                  </w:r>
                </w:p>
              </w:tc>
              <w:tc>
                <w:tcPr>
                  <w:tcW w:w="423" w:type="dxa"/>
                  <w:vAlign w:val="center"/>
                </w:tcPr>
                <w:p w14:paraId="0C4EE83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w:t>
                  </w:r>
                </w:p>
              </w:tc>
              <w:tc>
                <w:tcPr>
                  <w:tcW w:w="525" w:type="dxa"/>
                  <w:vAlign w:val="center"/>
                </w:tcPr>
                <w:p w14:paraId="79EB80D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66</w:t>
                  </w:r>
                </w:p>
              </w:tc>
              <w:tc>
                <w:tcPr>
                  <w:tcW w:w="345" w:type="dxa"/>
                  <w:vMerge w:val="continue"/>
                  <w:vAlign w:val="center"/>
                </w:tcPr>
                <w:p w14:paraId="738E5072">
                  <w:pPr>
                    <w:adjustRightInd w:val="0"/>
                    <w:snapToGrid w:val="0"/>
                    <w:jc w:val="center"/>
                    <w:rPr>
                      <w:rFonts w:hint="default" w:ascii="Times New Roman" w:hAnsi="Times New Roman" w:cs="Times New Roman"/>
                      <w:color w:val="auto"/>
                      <w:sz w:val="16"/>
                      <w:szCs w:val="16"/>
                    </w:rPr>
                  </w:pPr>
                </w:p>
              </w:tc>
              <w:tc>
                <w:tcPr>
                  <w:tcW w:w="579" w:type="dxa"/>
                  <w:vAlign w:val="center"/>
                </w:tcPr>
                <w:p w14:paraId="550D4E8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3A497F3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45</w:t>
                  </w:r>
                </w:p>
              </w:tc>
              <w:tc>
                <w:tcPr>
                  <w:tcW w:w="571" w:type="dxa"/>
                  <w:vAlign w:val="center"/>
                </w:tcPr>
                <w:p w14:paraId="6339C8B0">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34D4A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7D8A477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18</w:t>
                  </w:r>
                </w:p>
              </w:tc>
              <w:tc>
                <w:tcPr>
                  <w:tcW w:w="294" w:type="dxa"/>
                  <w:vMerge w:val="continue"/>
                  <w:vAlign w:val="center"/>
                </w:tcPr>
                <w:p w14:paraId="21CF0E97">
                  <w:pPr>
                    <w:adjustRightInd w:val="0"/>
                    <w:snapToGrid w:val="0"/>
                    <w:jc w:val="center"/>
                    <w:rPr>
                      <w:rFonts w:hint="default" w:ascii="Times New Roman" w:hAnsi="Times New Roman" w:cs="Times New Roman"/>
                      <w:color w:val="auto"/>
                      <w:sz w:val="16"/>
                      <w:szCs w:val="16"/>
                    </w:rPr>
                  </w:pPr>
                </w:p>
              </w:tc>
              <w:tc>
                <w:tcPr>
                  <w:tcW w:w="867" w:type="dxa"/>
                  <w:vAlign w:val="center"/>
                </w:tcPr>
                <w:p w14:paraId="3A17840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脱泥斗</w:t>
                  </w:r>
                </w:p>
              </w:tc>
              <w:tc>
                <w:tcPr>
                  <w:tcW w:w="363" w:type="dxa"/>
                  <w:vAlign w:val="center"/>
                </w:tcPr>
                <w:p w14:paraId="6ECCF96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65E490D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84/1</w:t>
                  </w:r>
                </w:p>
              </w:tc>
              <w:tc>
                <w:tcPr>
                  <w:tcW w:w="423" w:type="dxa"/>
                  <w:vMerge w:val="continue"/>
                  <w:vAlign w:val="center"/>
                </w:tcPr>
                <w:p w14:paraId="2378D6B8">
                  <w:pPr>
                    <w:adjustRightInd w:val="0"/>
                    <w:snapToGrid w:val="0"/>
                    <w:jc w:val="center"/>
                    <w:rPr>
                      <w:rFonts w:hint="default" w:ascii="Times New Roman" w:hAnsi="Times New Roman" w:cs="Times New Roman"/>
                      <w:color w:val="auto"/>
                      <w:sz w:val="16"/>
                      <w:szCs w:val="16"/>
                    </w:rPr>
                  </w:pPr>
                </w:p>
              </w:tc>
              <w:tc>
                <w:tcPr>
                  <w:tcW w:w="654" w:type="dxa"/>
                  <w:vAlign w:val="center"/>
                </w:tcPr>
                <w:p w14:paraId="53B209C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-27</w:t>
                  </w:r>
                </w:p>
              </w:tc>
              <w:tc>
                <w:tcPr>
                  <w:tcW w:w="445" w:type="dxa"/>
                  <w:vAlign w:val="center"/>
                </w:tcPr>
                <w:p w14:paraId="5617DE6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425" w:type="dxa"/>
                  <w:vAlign w:val="center"/>
                </w:tcPr>
                <w:p w14:paraId="20CF1C11">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269DCE2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13</w:t>
                  </w:r>
                </w:p>
              </w:tc>
              <w:tc>
                <w:tcPr>
                  <w:tcW w:w="525" w:type="dxa"/>
                  <w:vAlign w:val="center"/>
                </w:tcPr>
                <w:p w14:paraId="7B03CE3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64.5</w:t>
                  </w:r>
                </w:p>
              </w:tc>
              <w:tc>
                <w:tcPr>
                  <w:tcW w:w="345" w:type="dxa"/>
                  <w:vMerge w:val="continue"/>
                  <w:vAlign w:val="center"/>
                </w:tcPr>
                <w:p w14:paraId="43728A9B">
                  <w:pPr>
                    <w:adjustRightInd w:val="0"/>
                    <w:snapToGrid w:val="0"/>
                    <w:jc w:val="center"/>
                    <w:rPr>
                      <w:rFonts w:hint="default" w:ascii="Times New Roman" w:hAnsi="Times New Roman" w:cs="Times New Roman"/>
                      <w:color w:val="auto"/>
                      <w:sz w:val="16"/>
                      <w:szCs w:val="16"/>
                    </w:rPr>
                  </w:pPr>
                </w:p>
              </w:tc>
              <w:tc>
                <w:tcPr>
                  <w:tcW w:w="579" w:type="dxa"/>
                  <w:vAlign w:val="center"/>
                </w:tcPr>
                <w:p w14:paraId="6EC9437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2C19C0D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43.5</w:t>
                  </w:r>
                </w:p>
              </w:tc>
              <w:tc>
                <w:tcPr>
                  <w:tcW w:w="571" w:type="dxa"/>
                  <w:vAlign w:val="center"/>
                </w:tcPr>
                <w:p w14:paraId="2DCE24AD">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5A223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2FBBCDF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19</w:t>
                  </w:r>
                </w:p>
              </w:tc>
              <w:tc>
                <w:tcPr>
                  <w:tcW w:w="294" w:type="dxa"/>
                  <w:vMerge w:val="continue"/>
                  <w:vAlign w:val="center"/>
                </w:tcPr>
                <w:p w14:paraId="15EC2AA6">
                  <w:pPr>
                    <w:adjustRightInd w:val="0"/>
                    <w:snapToGrid w:val="0"/>
                    <w:jc w:val="center"/>
                    <w:rPr>
                      <w:rFonts w:hint="default" w:ascii="Times New Roman" w:hAnsi="Times New Roman" w:cs="Times New Roman"/>
                      <w:color w:val="auto"/>
                      <w:sz w:val="16"/>
                      <w:szCs w:val="16"/>
                    </w:rPr>
                  </w:pPr>
                </w:p>
              </w:tc>
              <w:tc>
                <w:tcPr>
                  <w:tcW w:w="867" w:type="dxa"/>
                  <w:vAlign w:val="center"/>
                </w:tcPr>
                <w:p w14:paraId="6B4B7CD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平板全防离心机</w:t>
                  </w:r>
                </w:p>
              </w:tc>
              <w:tc>
                <w:tcPr>
                  <w:tcW w:w="363" w:type="dxa"/>
                  <w:vAlign w:val="center"/>
                </w:tcPr>
                <w:p w14:paraId="4BD2CCD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513A209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81/1</w:t>
                  </w:r>
                </w:p>
              </w:tc>
              <w:tc>
                <w:tcPr>
                  <w:tcW w:w="423" w:type="dxa"/>
                  <w:vMerge w:val="continue"/>
                  <w:vAlign w:val="center"/>
                </w:tcPr>
                <w:p w14:paraId="1FAA993C">
                  <w:pPr>
                    <w:adjustRightInd w:val="0"/>
                    <w:snapToGrid w:val="0"/>
                    <w:jc w:val="center"/>
                    <w:rPr>
                      <w:rFonts w:hint="default" w:ascii="Times New Roman" w:hAnsi="Times New Roman" w:cs="Times New Roman"/>
                      <w:color w:val="auto"/>
                      <w:sz w:val="16"/>
                      <w:szCs w:val="16"/>
                    </w:rPr>
                  </w:pPr>
                </w:p>
              </w:tc>
              <w:tc>
                <w:tcPr>
                  <w:tcW w:w="654" w:type="dxa"/>
                  <w:vAlign w:val="center"/>
                </w:tcPr>
                <w:p w14:paraId="577EEC5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22</w:t>
                  </w:r>
                </w:p>
              </w:tc>
              <w:tc>
                <w:tcPr>
                  <w:tcW w:w="445" w:type="dxa"/>
                  <w:vAlign w:val="center"/>
                </w:tcPr>
                <w:p w14:paraId="2213DB4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11</w:t>
                  </w:r>
                </w:p>
              </w:tc>
              <w:tc>
                <w:tcPr>
                  <w:tcW w:w="425" w:type="dxa"/>
                  <w:vAlign w:val="center"/>
                </w:tcPr>
                <w:p w14:paraId="1E35549F">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23A29EA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w:t>
                  </w:r>
                </w:p>
              </w:tc>
              <w:tc>
                <w:tcPr>
                  <w:tcW w:w="525" w:type="dxa"/>
                  <w:vAlign w:val="center"/>
                </w:tcPr>
                <w:p w14:paraId="563C88B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w:t>
                  </w:r>
                </w:p>
              </w:tc>
              <w:tc>
                <w:tcPr>
                  <w:tcW w:w="345" w:type="dxa"/>
                  <w:vMerge w:val="continue"/>
                  <w:vAlign w:val="center"/>
                </w:tcPr>
                <w:p w14:paraId="4D28BC32">
                  <w:pPr>
                    <w:adjustRightInd w:val="0"/>
                    <w:snapToGrid w:val="0"/>
                    <w:jc w:val="center"/>
                    <w:rPr>
                      <w:rFonts w:hint="default" w:ascii="Times New Roman" w:hAnsi="Times New Roman" w:cs="Times New Roman"/>
                      <w:color w:val="auto"/>
                      <w:sz w:val="16"/>
                      <w:szCs w:val="16"/>
                    </w:rPr>
                  </w:pPr>
                </w:p>
              </w:tc>
              <w:tc>
                <w:tcPr>
                  <w:tcW w:w="579" w:type="dxa"/>
                  <w:vAlign w:val="center"/>
                </w:tcPr>
                <w:p w14:paraId="37E7164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627DDD8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w:t>
                  </w:r>
                </w:p>
              </w:tc>
              <w:tc>
                <w:tcPr>
                  <w:tcW w:w="571" w:type="dxa"/>
                  <w:vAlign w:val="center"/>
                </w:tcPr>
                <w:p w14:paraId="44FAA9E0">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267DB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0D3B03E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20</w:t>
                  </w:r>
                </w:p>
              </w:tc>
              <w:tc>
                <w:tcPr>
                  <w:tcW w:w="294" w:type="dxa"/>
                  <w:vMerge w:val="continue"/>
                  <w:vAlign w:val="center"/>
                </w:tcPr>
                <w:p w14:paraId="48B8E573">
                  <w:pPr>
                    <w:adjustRightInd w:val="0"/>
                    <w:snapToGrid w:val="0"/>
                    <w:jc w:val="center"/>
                    <w:rPr>
                      <w:rFonts w:hint="default" w:ascii="Times New Roman" w:hAnsi="Times New Roman" w:cs="Times New Roman"/>
                      <w:color w:val="auto"/>
                      <w:sz w:val="16"/>
                      <w:szCs w:val="16"/>
                    </w:rPr>
                  </w:pPr>
                </w:p>
              </w:tc>
              <w:tc>
                <w:tcPr>
                  <w:tcW w:w="867" w:type="dxa"/>
                  <w:vAlign w:val="center"/>
                </w:tcPr>
                <w:p w14:paraId="672D5AC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电磁式粉体除铁器</w:t>
                  </w:r>
                </w:p>
              </w:tc>
              <w:tc>
                <w:tcPr>
                  <w:tcW w:w="363" w:type="dxa"/>
                  <w:vAlign w:val="center"/>
                </w:tcPr>
                <w:p w14:paraId="79E42AE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08D3125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86/1</w:t>
                  </w:r>
                </w:p>
              </w:tc>
              <w:tc>
                <w:tcPr>
                  <w:tcW w:w="423" w:type="dxa"/>
                  <w:vMerge w:val="continue"/>
                  <w:vAlign w:val="center"/>
                </w:tcPr>
                <w:p w14:paraId="05A6DFC8">
                  <w:pPr>
                    <w:adjustRightInd w:val="0"/>
                    <w:snapToGrid w:val="0"/>
                    <w:jc w:val="center"/>
                    <w:rPr>
                      <w:rFonts w:hint="default" w:ascii="Times New Roman" w:hAnsi="Times New Roman" w:cs="Times New Roman"/>
                      <w:color w:val="auto"/>
                      <w:sz w:val="16"/>
                      <w:szCs w:val="16"/>
                    </w:rPr>
                  </w:pPr>
                </w:p>
              </w:tc>
              <w:tc>
                <w:tcPr>
                  <w:tcW w:w="654" w:type="dxa"/>
                  <w:vAlign w:val="center"/>
                </w:tcPr>
                <w:p w14:paraId="26572AC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-26</w:t>
                  </w:r>
                </w:p>
              </w:tc>
              <w:tc>
                <w:tcPr>
                  <w:tcW w:w="445" w:type="dxa"/>
                  <w:vAlign w:val="center"/>
                </w:tcPr>
                <w:p w14:paraId="75B8080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w:t>
                  </w:r>
                </w:p>
              </w:tc>
              <w:tc>
                <w:tcPr>
                  <w:tcW w:w="425" w:type="dxa"/>
                  <w:vAlign w:val="center"/>
                </w:tcPr>
                <w:p w14:paraId="5114A3EA">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321384F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12</w:t>
                  </w:r>
                </w:p>
              </w:tc>
              <w:tc>
                <w:tcPr>
                  <w:tcW w:w="525" w:type="dxa"/>
                  <w:vAlign w:val="center"/>
                </w:tcPr>
                <w:p w14:paraId="57C2A2A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68</w:t>
                  </w:r>
                </w:p>
              </w:tc>
              <w:tc>
                <w:tcPr>
                  <w:tcW w:w="345" w:type="dxa"/>
                  <w:vMerge w:val="continue"/>
                  <w:vAlign w:val="center"/>
                </w:tcPr>
                <w:p w14:paraId="74C4FD05">
                  <w:pPr>
                    <w:adjustRightInd w:val="0"/>
                    <w:snapToGrid w:val="0"/>
                    <w:jc w:val="center"/>
                    <w:rPr>
                      <w:rFonts w:hint="default" w:ascii="Times New Roman" w:hAnsi="Times New Roman" w:cs="Times New Roman"/>
                      <w:color w:val="auto"/>
                      <w:sz w:val="16"/>
                      <w:szCs w:val="16"/>
                    </w:rPr>
                  </w:pPr>
                </w:p>
              </w:tc>
              <w:tc>
                <w:tcPr>
                  <w:tcW w:w="579" w:type="dxa"/>
                  <w:vAlign w:val="center"/>
                </w:tcPr>
                <w:p w14:paraId="3C11493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6D80755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47</w:t>
                  </w:r>
                </w:p>
              </w:tc>
              <w:tc>
                <w:tcPr>
                  <w:tcW w:w="571" w:type="dxa"/>
                  <w:vAlign w:val="center"/>
                </w:tcPr>
                <w:p w14:paraId="3285EC76">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7524A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52BCAD7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294" w:type="dxa"/>
                  <w:vMerge w:val="continue"/>
                  <w:vAlign w:val="center"/>
                </w:tcPr>
                <w:p w14:paraId="56214FB9">
                  <w:pPr>
                    <w:adjustRightInd w:val="0"/>
                    <w:snapToGrid w:val="0"/>
                    <w:jc w:val="center"/>
                    <w:rPr>
                      <w:rFonts w:hint="default" w:ascii="Times New Roman" w:hAnsi="Times New Roman" w:cs="Times New Roman"/>
                      <w:color w:val="auto"/>
                      <w:sz w:val="16"/>
                      <w:szCs w:val="16"/>
                    </w:rPr>
                  </w:pPr>
                </w:p>
              </w:tc>
              <w:tc>
                <w:tcPr>
                  <w:tcW w:w="867" w:type="dxa"/>
                  <w:vAlign w:val="center"/>
                </w:tcPr>
                <w:p w14:paraId="2449FEB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泵</w:t>
                  </w:r>
                </w:p>
              </w:tc>
              <w:tc>
                <w:tcPr>
                  <w:tcW w:w="363" w:type="dxa"/>
                  <w:vAlign w:val="center"/>
                </w:tcPr>
                <w:p w14:paraId="631B969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35CD901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87/1</w:t>
                  </w:r>
                </w:p>
              </w:tc>
              <w:tc>
                <w:tcPr>
                  <w:tcW w:w="423" w:type="dxa"/>
                  <w:vMerge w:val="continue"/>
                  <w:vAlign w:val="center"/>
                </w:tcPr>
                <w:p w14:paraId="65C91E6F">
                  <w:pPr>
                    <w:adjustRightInd w:val="0"/>
                    <w:snapToGrid w:val="0"/>
                    <w:jc w:val="center"/>
                    <w:rPr>
                      <w:rFonts w:hint="default" w:ascii="Times New Roman" w:hAnsi="Times New Roman" w:cs="Times New Roman"/>
                      <w:color w:val="auto"/>
                      <w:sz w:val="16"/>
                      <w:szCs w:val="16"/>
                    </w:rPr>
                  </w:pPr>
                </w:p>
              </w:tc>
              <w:tc>
                <w:tcPr>
                  <w:tcW w:w="654" w:type="dxa"/>
                  <w:vAlign w:val="center"/>
                </w:tcPr>
                <w:p w14:paraId="12FCA01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0</w:t>
                  </w:r>
                </w:p>
              </w:tc>
              <w:tc>
                <w:tcPr>
                  <w:tcW w:w="445" w:type="dxa"/>
                  <w:vAlign w:val="center"/>
                </w:tcPr>
                <w:p w14:paraId="244CA64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w:t>
                  </w:r>
                </w:p>
              </w:tc>
              <w:tc>
                <w:tcPr>
                  <w:tcW w:w="425" w:type="dxa"/>
                  <w:vAlign w:val="center"/>
                </w:tcPr>
                <w:p w14:paraId="48A7BD29">
                  <w:pPr>
                    <w:adjustRightInd w:val="0"/>
                    <w:snapToGrid w:val="0"/>
                    <w:jc w:val="center"/>
                    <w:rPr>
                      <w:rFonts w:hint="default"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0.3</w:t>
                  </w:r>
                </w:p>
              </w:tc>
              <w:tc>
                <w:tcPr>
                  <w:tcW w:w="423" w:type="dxa"/>
                  <w:vAlign w:val="center"/>
                </w:tcPr>
                <w:p w14:paraId="1636884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8</w:t>
                  </w:r>
                </w:p>
              </w:tc>
              <w:tc>
                <w:tcPr>
                  <w:tcW w:w="525" w:type="dxa"/>
                  <w:vAlign w:val="center"/>
                </w:tcPr>
                <w:p w14:paraId="091FEC0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75</w:t>
                  </w:r>
                </w:p>
              </w:tc>
              <w:tc>
                <w:tcPr>
                  <w:tcW w:w="345" w:type="dxa"/>
                  <w:vMerge w:val="continue"/>
                  <w:vAlign w:val="center"/>
                </w:tcPr>
                <w:p w14:paraId="2BB60EDA">
                  <w:pPr>
                    <w:adjustRightInd w:val="0"/>
                    <w:snapToGrid w:val="0"/>
                    <w:jc w:val="center"/>
                    <w:rPr>
                      <w:rFonts w:hint="default" w:ascii="Times New Roman" w:hAnsi="Times New Roman" w:cs="Times New Roman"/>
                      <w:color w:val="auto"/>
                      <w:sz w:val="16"/>
                      <w:szCs w:val="16"/>
                    </w:rPr>
                  </w:pPr>
                </w:p>
              </w:tc>
              <w:tc>
                <w:tcPr>
                  <w:tcW w:w="579" w:type="dxa"/>
                  <w:vAlign w:val="center"/>
                </w:tcPr>
                <w:p w14:paraId="7618A63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569594B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54</w:t>
                  </w:r>
                </w:p>
              </w:tc>
              <w:tc>
                <w:tcPr>
                  <w:tcW w:w="571" w:type="dxa"/>
                  <w:vAlign w:val="center"/>
                </w:tcPr>
                <w:p w14:paraId="7D9D7A7A">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6545D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1EA3186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22</w:t>
                  </w:r>
                </w:p>
              </w:tc>
              <w:tc>
                <w:tcPr>
                  <w:tcW w:w="294" w:type="dxa"/>
                  <w:vMerge w:val="continue"/>
                  <w:vAlign w:val="center"/>
                </w:tcPr>
                <w:p w14:paraId="32A174D1">
                  <w:pPr>
                    <w:adjustRightInd w:val="0"/>
                    <w:snapToGrid w:val="0"/>
                    <w:jc w:val="center"/>
                    <w:rPr>
                      <w:rFonts w:hint="default" w:ascii="Times New Roman" w:hAnsi="Times New Roman" w:cs="Times New Roman"/>
                      <w:color w:val="auto"/>
                      <w:sz w:val="16"/>
                      <w:szCs w:val="16"/>
                    </w:rPr>
                  </w:pPr>
                </w:p>
              </w:tc>
              <w:tc>
                <w:tcPr>
                  <w:tcW w:w="867" w:type="dxa"/>
                  <w:vAlign w:val="center"/>
                </w:tcPr>
                <w:p w14:paraId="2CB6316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多介质过滤器</w:t>
                  </w:r>
                </w:p>
              </w:tc>
              <w:tc>
                <w:tcPr>
                  <w:tcW w:w="363" w:type="dxa"/>
                  <w:vAlign w:val="center"/>
                </w:tcPr>
                <w:p w14:paraId="3C0654B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4DFE668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74/1</w:t>
                  </w:r>
                </w:p>
              </w:tc>
              <w:tc>
                <w:tcPr>
                  <w:tcW w:w="423" w:type="dxa"/>
                  <w:vMerge w:val="continue"/>
                  <w:vAlign w:val="center"/>
                </w:tcPr>
                <w:p w14:paraId="734385B9">
                  <w:pPr>
                    <w:adjustRightInd w:val="0"/>
                    <w:snapToGrid w:val="0"/>
                    <w:jc w:val="center"/>
                    <w:rPr>
                      <w:rFonts w:hint="default" w:ascii="Times New Roman" w:hAnsi="Times New Roman" w:cs="Times New Roman"/>
                      <w:color w:val="auto"/>
                      <w:sz w:val="16"/>
                      <w:szCs w:val="16"/>
                    </w:rPr>
                  </w:pPr>
                </w:p>
              </w:tc>
              <w:tc>
                <w:tcPr>
                  <w:tcW w:w="654" w:type="dxa"/>
                  <w:vAlign w:val="center"/>
                </w:tcPr>
                <w:p w14:paraId="796732F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-37</w:t>
                  </w:r>
                </w:p>
              </w:tc>
              <w:tc>
                <w:tcPr>
                  <w:tcW w:w="445" w:type="dxa"/>
                  <w:vAlign w:val="center"/>
                </w:tcPr>
                <w:p w14:paraId="4383E457">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w:t>
                  </w:r>
                </w:p>
              </w:tc>
              <w:tc>
                <w:tcPr>
                  <w:tcW w:w="425" w:type="dxa"/>
                  <w:vAlign w:val="center"/>
                </w:tcPr>
                <w:p w14:paraId="2420F839">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3D8657DF">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w:t>
                  </w:r>
                </w:p>
              </w:tc>
              <w:tc>
                <w:tcPr>
                  <w:tcW w:w="525" w:type="dxa"/>
                  <w:vAlign w:val="center"/>
                </w:tcPr>
                <w:p w14:paraId="1B01546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69.5</w:t>
                  </w:r>
                </w:p>
              </w:tc>
              <w:tc>
                <w:tcPr>
                  <w:tcW w:w="345" w:type="dxa"/>
                  <w:vMerge w:val="continue"/>
                  <w:vAlign w:val="center"/>
                </w:tcPr>
                <w:p w14:paraId="52B20294">
                  <w:pPr>
                    <w:adjustRightInd w:val="0"/>
                    <w:snapToGrid w:val="0"/>
                    <w:jc w:val="center"/>
                    <w:rPr>
                      <w:rFonts w:hint="default" w:ascii="Times New Roman" w:hAnsi="Times New Roman" w:cs="Times New Roman"/>
                      <w:color w:val="auto"/>
                      <w:sz w:val="16"/>
                      <w:szCs w:val="16"/>
                    </w:rPr>
                  </w:pPr>
                </w:p>
              </w:tc>
              <w:tc>
                <w:tcPr>
                  <w:tcW w:w="579" w:type="dxa"/>
                  <w:vAlign w:val="center"/>
                </w:tcPr>
                <w:p w14:paraId="0C20946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51AAE6E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48.5</w:t>
                  </w:r>
                </w:p>
              </w:tc>
              <w:tc>
                <w:tcPr>
                  <w:tcW w:w="571" w:type="dxa"/>
                  <w:vAlign w:val="center"/>
                </w:tcPr>
                <w:p w14:paraId="559A3C10">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7C6DA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6741F5F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23</w:t>
                  </w:r>
                </w:p>
              </w:tc>
              <w:tc>
                <w:tcPr>
                  <w:tcW w:w="294" w:type="dxa"/>
                  <w:vMerge w:val="continue"/>
                  <w:vAlign w:val="center"/>
                </w:tcPr>
                <w:p w14:paraId="5E9565E8">
                  <w:pPr>
                    <w:adjustRightInd w:val="0"/>
                    <w:snapToGrid w:val="0"/>
                    <w:jc w:val="center"/>
                    <w:rPr>
                      <w:rFonts w:hint="default" w:ascii="Times New Roman" w:hAnsi="Times New Roman" w:cs="Times New Roman"/>
                      <w:color w:val="auto"/>
                      <w:sz w:val="16"/>
                      <w:szCs w:val="16"/>
                    </w:rPr>
                  </w:pPr>
                </w:p>
              </w:tc>
              <w:tc>
                <w:tcPr>
                  <w:tcW w:w="867" w:type="dxa"/>
                  <w:vAlign w:val="center"/>
                </w:tcPr>
                <w:p w14:paraId="44A82BA5">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活性炭过滤器</w:t>
                  </w:r>
                </w:p>
              </w:tc>
              <w:tc>
                <w:tcPr>
                  <w:tcW w:w="363" w:type="dxa"/>
                  <w:vAlign w:val="center"/>
                </w:tcPr>
                <w:p w14:paraId="62B3E63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7F3BC52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71/1</w:t>
                  </w:r>
                </w:p>
              </w:tc>
              <w:tc>
                <w:tcPr>
                  <w:tcW w:w="423" w:type="dxa"/>
                  <w:vMerge w:val="continue"/>
                  <w:vAlign w:val="center"/>
                </w:tcPr>
                <w:p w14:paraId="63B40847">
                  <w:pPr>
                    <w:adjustRightInd w:val="0"/>
                    <w:snapToGrid w:val="0"/>
                    <w:jc w:val="center"/>
                    <w:rPr>
                      <w:rFonts w:hint="default" w:ascii="Times New Roman" w:hAnsi="Times New Roman" w:cs="Times New Roman"/>
                      <w:color w:val="auto"/>
                      <w:sz w:val="16"/>
                      <w:szCs w:val="16"/>
                    </w:rPr>
                  </w:pPr>
                </w:p>
              </w:tc>
              <w:tc>
                <w:tcPr>
                  <w:tcW w:w="654" w:type="dxa"/>
                  <w:vAlign w:val="center"/>
                </w:tcPr>
                <w:p w14:paraId="42585F7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-22</w:t>
                  </w:r>
                </w:p>
              </w:tc>
              <w:tc>
                <w:tcPr>
                  <w:tcW w:w="445" w:type="dxa"/>
                  <w:vAlign w:val="center"/>
                </w:tcPr>
                <w:p w14:paraId="1683125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w:t>
                  </w:r>
                </w:p>
              </w:tc>
              <w:tc>
                <w:tcPr>
                  <w:tcW w:w="425" w:type="dxa"/>
                  <w:vAlign w:val="center"/>
                </w:tcPr>
                <w:p w14:paraId="380D81BB">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3F80D33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10</w:t>
                  </w:r>
                </w:p>
              </w:tc>
              <w:tc>
                <w:tcPr>
                  <w:tcW w:w="525" w:type="dxa"/>
                  <w:vAlign w:val="center"/>
                </w:tcPr>
                <w:p w14:paraId="6340EC9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56</w:t>
                  </w:r>
                </w:p>
              </w:tc>
              <w:tc>
                <w:tcPr>
                  <w:tcW w:w="345" w:type="dxa"/>
                  <w:vMerge w:val="continue"/>
                  <w:vAlign w:val="center"/>
                </w:tcPr>
                <w:p w14:paraId="0853F4A9">
                  <w:pPr>
                    <w:adjustRightInd w:val="0"/>
                    <w:snapToGrid w:val="0"/>
                    <w:jc w:val="center"/>
                    <w:rPr>
                      <w:rFonts w:hint="default" w:ascii="Times New Roman" w:hAnsi="Times New Roman" w:cs="Times New Roman"/>
                      <w:color w:val="auto"/>
                      <w:sz w:val="16"/>
                      <w:szCs w:val="16"/>
                    </w:rPr>
                  </w:pPr>
                </w:p>
              </w:tc>
              <w:tc>
                <w:tcPr>
                  <w:tcW w:w="579" w:type="dxa"/>
                  <w:vAlign w:val="center"/>
                </w:tcPr>
                <w:p w14:paraId="2F31B5E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3AC29F4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35</w:t>
                  </w:r>
                </w:p>
              </w:tc>
              <w:tc>
                <w:tcPr>
                  <w:tcW w:w="571" w:type="dxa"/>
                  <w:vAlign w:val="center"/>
                </w:tcPr>
                <w:p w14:paraId="4A3EFB0E">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2E465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465D5F0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24</w:t>
                  </w:r>
                </w:p>
              </w:tc>
              <w:tc>
                <w:tcPr>
                  <w:tcW w:w="294" w:type="dxa"/>
                  <w:vMerge w:val="continue"/>
                  <w:vAlign w:val="center"/>
                </w:tcPr>
                <w:p w14:paraId="588A4663">
                  <w:pPr>
                    <w:adjustRightInd w:val="0"/>
                    <w:snapToGrid w:val="0"/>
                    <w:jc w:val="center"/>
                    <w:rPr>
                      <w:rFonts w:hint="default" w:ascii="Times New Roman" w:hAnsi="Times New Roman" w:cs="Times New Roman"/>
                      <w:color w:val="auto"/>
                      <w:sz w:val="16"/>
                      <w:szCs w:val="16"/>
                    </w:rPr>
                  </w:pPr>
                </w:p>
              </w:tc>
              <w:tc>
                <w:tcPr>
                  <w:tcW w:w="867" w:type="dxa"/>
                  <w:vAlign w:val="center"/>
                </w:tcPr>
                <w:p w14:paraId="4F9DDC3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一级反渗透装置</w:t>
                  </w:r>
                </w:p>
              </w:tc>
              <w:tc>
                <w:tcPr>
                  <w:tcW w:w="363" w:type="dxa"/>
                  <w:vAlign w:val="center"/>
                </w:tcPr>
                <w:p w14:paraId="09CF1A6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147E40A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72/1</w:t>
                  </w:r>
                </w:p>
              </w:tc>
              <w:tc>
                <w:tcPr>
                  <w:tcW w:w="423" w:type="dxa"/>
                  <w:vMerge w:val="continue"/>
                  <w:vAlign w:val="center"/>
                </w:tcPr>
                <w:p w14:paraId="3B9BC205">
                  <w:pPr>
                    <w:adjustRightInd w:val="0"/>
                    <w:snapToGrid w:val="0"/>
                    <w:jc w:val="center"/>
                    <w:rPr>
                      <w:rFonts w:hint="default" w:ascii="Times New Roman" w:hAnsi="Times New Roman" w:cs="Times New Roman"/>
                      <w:color w:val="auto"/>
                      <w:sz w:val="16"/>
                      <w:szCs w:val="16"/>
                    </w:rPr>
                  </w:pPr>
                </w:p>
              </w:tc>
              <w:tc>
                <w:tcPr>
                  <w:tcW w:w="654" w:type="dxa"/>
                  <w:vAlign w:val="center"/>
                </w:tcPr>
                <w:p w14:paraId="6116C5A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-33</w:t>
                  </w:r>
                </w:p>
              </w:tc>
              <w:tc>
                <w:tcPr>
                  <w:tcW w:w="445" w:type="dxa"/>
                  <w:vAlign w:val="center"/>
                </w:tcPr>
                <w:p w14:paraId="0AD947D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14</w:t>
                  </w:r>
                </w:p>
              </w:tc>
              <w:tc>
                <w:tcPr>
                  <w:tcW w:w="425" w:type="dxa"/>
                  <w:vAlign w:val="center"/>
                </w:tcPr>
                <w:p w14:paraId="088DCE9B">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7450B3A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w:t>
                  </w:r>
                </w:p>
              </w:tc>
              <w:tc>
                <w:tcPr>
                  <w:tcW w:w="525" w:type="dxa"/>
                  <w:vAlign w:val="center"/>
                </w:tcPr>
                <w:p w14:paraId="16237A0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70.5</w:t>
                  </w:r>
                </w:p>
              </w:tc>
              <w:tc>
                <w:tcPr>
                  <w:tcW w:w="345" w:type="dxa"/>
                  <w:vMerge w:val="continue"/>
                  <w:vAlign w:val="center"/>
                </w:tcPr>
                <w:p w14:paraId="69B22EE1">
                  <w:pPr>
                    <w:adjustRightInd w:val="0"/>
                    <w:snapToGrid w:val="0"/>
                    <w:jc w:val="center"/>
                    <w:rPr>
                      <w:rFonts w:hint="default" w:ascii="Times New Roman" w:hAnsi="Times New Roman" w:cs="Times New Roman"/>
                      <w:color w:val="auto"/>
                      <w:sz w:val="16"/>
                      <w:szCs w:val="16"/>
                    </w:rPr>
                  </w:pPr>
                </w:p>
              </w:tc>
              <w:tc>
                <w:tcPr>
                  <w:tcW w:w="579" w:type="dxa"/>
                  <w:vAlign w:val="center"/>
                </w:tcPr>
                <w:p w14:paraId="54E343C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0A71A20C">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49.5</w:t>
                  </w:r>
                </w:p>
              </w:tc>
              <w:tc>
                <w:tcPr>
                  <w:tcW w:w="571" w:type="dxa"/>
                  <w:vAlign w:val="center"/>
                </w:tcPr>
                <w:p w14:paraId="13BB9BAD">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61481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14018844">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25</w:t>
                  </w:r>
                </w:p>
              </w:tc>
              <w:tc>
                <w:tcPr>
                  <w:tcW w:w="294" w:type="dxa"/>
                  <w:vMerge w:val="continue"/>
                  <w:vAlign w:val="center"/>
                </w:tcPr>
                <w:p w14:paraId="7D7AAE07">
                  <w:pPr>
                    <w:adjustRightInd w:val="0"/>
                    <w:snapToGrid w:val="0"/>
                    <w:jc w:val="center"/>
                    <w:rPr>
                      <w:rFonts w:hint="default" w:ascii="Times New Roman" w:hAnsi="Times New Roman" w:cs="Times New Roman"/>
                      <w:color w:val="auto"/>
                      <w:sz w:val="16"/>
                      <w:szCs w:val="16"/>
                    </w:rPr>
                  </w:pPr>
                </w:p>
              </w:tc>
              <w:tc>
                <w:tcPr>
                  <w:tcW w:w="867" w:type="dxa"/>
                  <w:vAlign w:val="center"/>
                </w:tcPr>
                <w:p w14:paraId="5F9B3E3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二级反渗透装置</w:t>
                  </w:r>
                </w:p>
              </w:tc>
              <w:tc>
                <w:tcPr>
                  <w:tcW w:w="363" w:type="dxa"/>
                  <w:vAlign w:val="center"/>
                </w:tcPr>
                <w:p w14:paraId="6C7FD08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2820B4E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74/1</w:t>
                  </w:r>
                </w:p>
              </w:tc>
              <w:tc>
                <w:tcPr>
                  <w:tcW w:w="423" w:type="dxa"/>
                  <w:vMerge w:val="continue"/>
                  <w:vAlign w:val="center"/>
                </w:tcPr>
                <w:p w14:paraId="00D7911D">
                  <w:pPr>
                    <w:adjustRightInd w:val="0"/>
                    <w:snapToGrid w:val="0"/>
                    <w:jc w:val="center"/>
                    <w:rPr>
                      <w:rFonts w:hint="default" w:ascii="Times New Roman" w:hAnsi="Times New Roman" w:cs="Times New Roman"/>
                      <w:color w:val="auto"/>
                      <w:sz w:val="16"/>
                      <w:szCs w:val="16"/>
                    </w:rPr>
                  </w:pPr>
                </w:p>
              </w:tc>
              <w:tc>
                <w:tcPr>
                  <w:tcW w:w="654" w:type="dxa"/>
                  <w:vAlign w:val="center"/>
                </w:tcPr>
                <w:p w14:paraId="23AA44D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-19</w:t>
                  </w:r>
                </w:p>
              </w:tc>
              <w:tc>
                <w:tcPr>
                  <w:tcW w:w="445" w:type="dxa"/>
                  <w:vAlign w:val="center"/>
                </w:tcPr>
                <w:p w14:paraId="6D1C2C9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11</w:t>
                  </w:r>
                </w:p>
              </w:tc>
              <w:tc>
                <w:tcPr>
                  <w:tcW w:w="425" w:type="dxa"/>
                  <w:vAlign w:val="center"/>
                </w:tcPr>
                <w:p w14:paraId="6771537F">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05F149A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w:t>
                  </w:r>
                </w:p>
              </w:tc>
              <w:tc>
                <w:tcPr>
                  <w:tcW w:w="525" w:type="dxa"/>
                  <w:vAlign w:val="center"/>
                </w:tcPr>
                <w:p w14:paraId="43AC74B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68</w:t>
                  </w:r>
                </w:p>
              </w:tc>
              <w:tc>
                <w:tcPr>
                  <w:tcW w:w="345" w:type="dxa"/>
                  <w:vMerge w:val="continue"/>
                  <w:vAlign w:val="center"/>
                </w:tcPr>
                <w:p w14:paraId="2F7FE05E">
                  <w:pPr>
                    <w:adjustRightInd w:val="0"/>
                    <w:snapToGrid w:val="0"/>
                    <w:jc w:val="center"/>
                    <w:rPr>
                      <w:rFonts w:hint="default" w:ascii="Times New Roman" w:hAnsi="Times New Roman" w:cs="Times New Roman"/>
                      <w:color w:val="auto"/>
                      <w:sz w:val="16"/>
                      <w:szCs w:val="16"/>
                    </w:rPr>
                  </w:pPr>
                </w:p>
              </w:tc>
              <w:tc>
                <w:tcPr>
                  <w:tcW w:w="579" w:type="dxa"/>
                  <w:vAlign w:val="center"/>
                </w:tcPr>
                <w:p w14:paraId="24CD814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6E4CF87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47</w:t>
                  </w:r>
                </w:p>
              </w:tc>
              <w:tc>
                <w:tcPr>
                  <w:tcW w:w="571" w:type="dxa"/>
                  <w:vAlign w:val="center"/>
                </w:tcPr>
                <w:p w14:paraId="17CADE58">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3C03A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0C4E4A8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26</w:t>
                  </w:r>
                </w:p>
              </w:tc>
              <w:tc>
                <w:tcPr>
                  <w:tcW w:w="294" w:type="dxa"/>
                  <w:vMerge w:val="continue"/>
                  <w:vAlign w:val="center"/>
                </w:tcPr>
                <w:p w14:paraId="62638126">
                  <w:pPr>
                    <w:adjustRightInd w:val="0"/>
                    <w:snapToGrid w:val="0"/>
                    <w:jc w:val="center"/>
                    <w:rPr>
                      <w:rFonts w:hint="default" w:ascii="Times New Roman" w:hAnsi="Times New Roman" w:cs="Times New Roman"/>
                      <w:color w:val="auto"/>
                      <w:sz w:val="16"/>
                      <w:szCs w:val="16"/>
                    </w:rPr>
                  </w:pPr>
                </w:p>
              </w:tc>
              <w:tc>
                <w:tcPr>
                  <w:tcW w:w="867" w:type="dxa"/>
                  <w:vAlign w:val="center"/>
                </w:tcPr>
                <w:p w14:paraId="332AD2D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反渗透清洗装置</w:t>
                  </w:r>
                </w:p>
              </w:tc>
              <w:tc>
                <w:tcPr>
                  <w:tcW w:w="363" w:type="dxa"/>
                  <w:vAlign w:val="center"/>
                </w:tcPr>
                <w:p w14:paraId="33C70B3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7A07DC8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72/1</w:t>
                  </w:r>
                </w:p>
              </w:tc>
              <w:tc>
                <w:tcPr>
                  <w:tcW w:w="423" w:type="dxa"/>
                  <w:vMerge w:val="continue"/>
                  <w:vAlign w:val="center"/>
                </w:tcPr>
                <w:p w14:paraId="567FA374">
                  <w:pPr>
                    <w:adjustRightInd w:val="0"/>
                    <w:snapToGrid w:val="0"/>
                    <w:jc w:val="center"/>
                    <w:rPr>
                      <w:rFonts w:hint="default" w:ascii="Times New Roman" w:hAnsi="Times New Roman" w:cs="Times New Roman"/>
                      <w:color w:val="auto"/>
                      <w:sz w:val="16"/>
                      <w:szCs w:val="16"/>
                    </w:rPr>
                  </w:pPr>
                </w:p>
              </w:tc>
              <w:tc>
                <w:tcPr>
                  <w:tcW w:w="654" w:type="dxa"/>
                  <w:vAlign w:val="center"/>
                </w:tcPr>
                <w:p w14:paraId="071E5842">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445" w:type="dxa"/>
                  <w:vAlign w:val="center"/>
                </w:tcPr>
                <w:p w14:paraId="491D3C90">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11</w:t>
                  </w:r>
                </w:p>
              </w:tc>
              <w:tc>
                <w:tcPr>
                  <w:tcW w:w="425" w:type="dxa"/>
                  <w:vAlign w:val="center"/>
                </w:tcPr>
                <w:p w14:paraId="17526F04">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4D7DEEF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w:t>
                  </w:r>
                </w:p>
              </w:tc>
              <w:tc>
                <w:tcPr>
                  <w:tcW w:w="525" w:type="dxa"/>
                  <w:vAlign w:val="center"/>
                </w:tcPr>
                <w:p w14:paraId="321B7DA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66</w:t>
                  </w:r>
                </w:p>
              </w:tc>
              <w:tc>
                <w:tcPr>
                  <w:tcW w:w="345" w:type="dxa"/>
                  <w:vMerge w:val="continue"/>
                  <w:vAlign w:val="center"/>
                </w:tcPr>
                <w:p w14:paraId="04C85237">
                  <w:pPr>
                    <w:adjustRightInd w:val="0"/>
                    <w:snapToGrid w:val="0"/>
                    <w:jc w:val="center"/>
                    <w:rPr>
                      <w:rFonts w:hint="default" w:ascii="Times New Roman" w:hAnsi="Times New Roman" w:cs="Times New Roman"/>
                      <w:color w:val="auto"/>
                      <w:sz w:val="16"/>
                      <w:szCs w:val="16"/>
                    </w:rPr>
                  </w:pPr>
                </w:p>
              </w:tc>
              <w:tc>
                <w:tcPr>
                  <w:tcW w:w="579" w:type="dxa"/>
                  <w:vAlign w:val="center"/>
                </w:tcPr>
                <w:p w14:paraId="4B40312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41F6C01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45</w:t>
                  </w:r>
                </w:p>
              </w:tc>
              <w:tc>
                <w:tcPr>
                  <w:tcW w:w="571" w:type="dxa"/>
                  <w:vAlign w:val="center"/>
                </w:tcPr>
                <w:p w14:paraId="7BEB03C0">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r w14:paraId="12040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8" w:type="dxa"/>
                  <w:vAlign w:val="center"/>
                </w:tcPr>
                <w:p w14:paraId="0B00A5DB">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27</w:t>
                  </w:r>
                </w:p>
              </w:tc>
              <w:tc>
                <w:tcPr>
                  <w:tcW w:w="294" w:type="dxa"/>
                  <w:vMerge w:val="continue"/>
                  <w:vAlign w:val="center"/>
                </w:tcPr>
                <w:p w14:paraId="6E8E19B8">
                  <w:pPr>
                    <w:adjustRightInd w:val="0"/>
                    <w:snapToGrid w:val="0"/>
                    <w:jc w:val="center"/>
                    <w:rPr>
                      <w:rFonts w:hint="default" w:ascii="Times New Roman" w:hAnsi="Times New Roman" w:cs="Times New Roman"/>
                      <w:color w:val="auto"/>
                      <w:sz w:val="16"/>
                      <w:szCs w:val="16"/>
                    </w:rPr>
                  </w:pPr>
                </w:p>
              </w:tc>
              <w:tc>
                <w:tcPr>
                  <w:tcW w:w="867" w:type="dxa"/>
                  <w:vAlign w:val="center"/>
                </w:tcPr>
                <w:p w14:paraId="0D72C5F8">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EDI电脱盐装置</w:t>
                  </w:r>
                </w:p>
              </w:tc>
              <w:tc>
                <w:tcPr>
                  <w:tcW w:w="363" w:type="dxa"/>
                  <w:vAlign w:val="center"/>
                </w:tcPr>
                <w:p w14:paraId="18C3C566">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w:t>
                  </w:r>
                </w:p>
              </w:tc>
              <w:tc>
                <w:tcPr>
                  <w:tcW w:w="1010" w:type="dxa"/>
                  <w:vAlign w:val="center"/>
                </w:tcPr>
                <w:p w14:paraId="29D84A2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73/1</w:t>
                  </w:r>
                </w:p>
              </w:tc>
              <w:tc>
                <w:tcPr>
                  <w:tcW w:w="423" w:type="dxa"/>
                  <w:vMerge w:val="continue"/>
                  <w:vAlign w:val="center"/>
                </w:tcPr>
                <w:p w14:paraId="4E3B71FB">
                  <w:pPr>
                    <w:adjustRightInd w:val="0"/>
                    <w:snapToGrid w:val="0"/>
                    <w:jc w:val="center"/>
                    <w:rPr>
                      <w:rFonts w:hint="default" w:ascii="Times New Roman" w:hAnsi="Times New Roman" w:cs="Times New Roman"/>
                      <w:color w:val="auto"/>
                      <w:sz w:val="16"/>
                      <w:szCs w:val="16"/>
                    </w:rPr>
                  </w:pPr>
                </w:p>
              </w:tc>
              <w:tc>
                <w:tcPr>
                  <w:tcW w:w="654" w:type="dxa"/>
                  <w:vAlign w:val="center"/>
                </w:tcPr>
                <w:p w14:paraId="18AF26DA">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-34</w:t>
                  </w:r>
                </w:p>
              </w:tc>
              <w:tc>
                <w:tcPr>
                  <w:tcW w:w="445" w:type="dxa"/>
                  <w:vAlign w:val="center"/>
                </w:tcPr>
                <w:p w14:paraId="2761577D">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w:t>
                  </w:r>
                </w:p>
              </w:tc>
              <w:tc>
                <w:tcPr>
                  <w:tcW w:w="425" w:type="dxa"/>
                  <w:vAlign w:val="center"/>
                </w:tcPr>
                <w:p w14:paraId="67B0B23C">
                  <w:pPr>
                    <w:adjustRightInd w:val="0"/>
                    <w:snapToGrid w:val="0"/>
                    <w:jc w:val="center"/>
                    <w:rPr>
                      <w:rFonts w:hint="eastAsia" w:ascii="Times New Roman" w:hAnsi="Times New Roman" w:eastAsia="宋体" w:cs="Times New Roman"/>
                      <w:color w:val="auto"/>
                      <w:sz w:val="16"/>
                      <w:szCs w:val="16"/>
                      <w:lang w:val="en-US" w:eastAsia="zh-CN"/>
                    </w:rPr>
                  </w:pPr>
                  <w:r>
                    <w:rPr>
                      <w:rFonts w:hint="eastAsia" w:cs="Times New Roman"/>
                      <w:color w:val="auto"/>
                      <w:sz w:val="16"/>
                      <w:szCs w:val="16"/>
                      <w:lang w:val="en-US" w:eastAsia="zh-CN"/>
                    </w:rPr>
                    <w:t>1</w:t>
                  </w:r>
                </w:p>
              </w:tc>
              <w:tc>
                <w:tcPr>
                  <w:tcW w:w="423" w:type="dxa"/>
                  <w:vAlign w:val="center"/>
                </w:tcPr>
                <w:p w14:paraId="67EB8189">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w:t>
                  </w:r>
                </w:p>
              </w:tc>
              <w:tc>
                <w:tcPr>
                  <w:tcW w:w="525" w:type="dxa"/>
                  <w:vAlign w:val="center"/>
                </w:tcPr>
                <w:p w14:paraId="3B3AFB41">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64</w:t>
                  </w:r>
                </w:p>
              </w:tc>
              <w:tc>
                <w:tcPr>
                  <w:tcW w:w="345" w:type="dxa"/>
                  <w:vMerge w:val="continue"/>
                  <w:vAlign w:val="center"/>
                </w:tcPr>
                <w:p w14:paraId="1F3690E2">
                  <w:pPr>
                    <w:adjustRightInd w:val="0"/>
                    <w:snapToGrid w:val="0"/>
                    <w:jc w:val="center"/>
                    <w:rPr>
                      <w:rFonts w:hint="default" w:ascii="Times New Roman" w:hAnsi="Times New Roman" w:cs="Times New Roman"/>
                      <w:color w:val="auto"/>
                      <w:sz w:val="16"/>
                      <w:szCs w:val="16"/>
                    </w:rPr>
                  </w:pPr>
                </w:p>
              </w:tc>
              <w:tc>
                <w:tcPr>
                  <w:tcW w:w="579" w:type="dxa"/>
                  <w:vAlign w:val="center"/>
                </w:tcPr>
                <w:p w14:paraId="644443F3">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21</w:t>
                  </w:r>
                </w:p>
              </w:tc>
              <w:tc>
                <w:tcPr>
                  <w:tcW w:w="584" w:type="dxa"/>
                  <w:vAlign w:val="center"/>
                </w:tcPr>
                <w:p w14:paraId="13D59E8E">
                  <w:pPr>
                    <w:adjustRightInd w:val="0"/>
                    <w:snapToGrid w:val="0"/>
                    <w:jc w:val="center"/>
                    <w:rPr>
                      <w:rFonts w:hint="default" w:ascii="Times New Roman" w:hAnsi="Times New Roman" w:cs="Times New Roman"/>
                      <w:color w:val="auto"/>
                      <w:sz w:val="16"/>
                      <w:szCs w:val="16"/>
                    </w:rPr>
                  </w:pPr>
                  <w:r>
                    <w:rPr>
                      <w:rFonts w:hint="default" w:ascii="Times New Roman" w:hAnsi="Times New Roman" w:cs="Times New Roman"/>
                      <w:color w:val="auto"/>
                      <w:sz w:val="16"/>
                      <w:szCs w:val="16"/>
                    </w:rPr>
                    <w:t>43</w:t>
                  </w:r>
                </w:p>
              </w:tc>
              <w:tc>
                <w:tcPr>
                  <w:tcW w:w="571" w:type="dxa"/>
                  <w:vAlign w:val="center"/>
                </w:tcPr>
                <w:p w14:paraId="5CA9C6C9">
                  <w:pPr>
                    <w:widowControl/>
                    <w:jc w:val="center"/>
                    <w:textAlignment w:val="center"/>
                    <w:rPr>
                      <w:rFonts w:hint="default" w:ascii="Times New Roman" w:hAnsi="Times New Roman" w:cs="Times New Roman"/>
                      <w:color w:val="auto"/>
                      <w:kern w:val="0"/>
                      <w:sz w:val="16"/>
                      <w:szCs w:val="16"/>
                    </w:rPr>
                  </w:pPr>
                  <w:r>
                    <w:rPr>
                      <w:rFonts w:hint="default" w:ascii="Times New Roman" w:hAnsi="Times New Roman" w:cs="Times New Roman"/>
                      <w:color w:val="auto"/>
                      <w:kern w:val="0"/>
                      <w:sz w:val="16"/>
                      <w:szCs w:val="16"/>
                    </w:rPr>
                    <w:t>0.5</w:t>
                  </w:r>
                </w:p>
              </w:tc>
            </w:tr>
          </w:tbl>
          <w:p w14:paraId="08FDB31A">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【污染治理措施】</w:t>
            </w:r>
          </w:p>
          <w:p w14:paraId="7EE126B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①设备选型时应选取低噪声设备，并合理布局，产噪设备全部布置在车间内；②对高噪声设备</w:t>
            </w:r>
            <w:r>
              <w:rPr>
                <w:rFonts w:hint="eastAsia" w:cs="Times New Roman"/>
                <w:color w:val="auto"/>
                <w:sz w:val="24"/>
                <w:lang w:val="en-US" w:eastAsia="zh-CN"/>
              </w:rPr>
              <w:t>如：振动给料机、颚破机、立轴制砂机等</w:t>
            </w:r>
            <w:r>
              <w:rPr>
                <w:rFonts w:hint="default" w:ascii="Times New Roman" w:hAnsi="Times New Roman" w:cs="Times New Roman"/>
                <w:color w:val="auto"/>
                <w:sz w:val="24"/>
              </w:rPr>
              <w:t>安装减振垫（如橡胶制品、钢弹簧、乳胶海绵、空气弹簧、软木等），</w:t>
            </w:r>
            <w:r>
              <w:rPr>
                <w:rFonts w:hint="eastAsia" w:cs="Times New Roman"/>
                <w:color w:val="auto"/>
                <w:sz w:val="24"/>
                <w:lang w:val="en-US" w:eastAsia="zh-CN"/>
              </w:rPr>
              <w:t>必要时在上述设备周围挖一定宽度与深度的防振沟，有效地达到减振目的，</w:t>
            </w:r>
            <w:r>
              <w:rPr>
                <w:rFonts w:hint="default" w:ascii="Times New Roman" w:hAnsi="Times New Roman" w:cs="Times New Roman"/>
                <w:color w:val="auto"/>
                <w:sz w:val="24"/>
              </w:rPr>
              <w:t>减少噪声影响；③加强车间密闭性，减少厂房内的整体噪声强度；④建立设备定期维护、保养的管理制度，以防止设备故障形成的非生产噪声，同时确保环保措施发挥最有效的功能；⑤加强职工环保意识教育，提倡文明生产，防止人为噪声。</w:t>
            </w:r>
          </w:p>
          <w:p w14:paraId="0186389B">
            <w:pPr>
              <w:widowControl/>
              <w:adjustRightInd w:val="0"/>
              <w:snapToGrid w:val="0"/>
              <w:spacing w:line="360" w:lineRule="auto"/>
              <w:jc w:val="left"/>
              <w:rPr>
                <w:rFonts w:hint="default" w:ascii="Times New Roman" w:hAnsi="Times New Roman" w:cs="Times New Roman"/>
                <w:b/>
                <w:color w:val="auto"/>
                <w:sz w:val="24"/>
              </w:rPr>
            </w:pPr>
            <w:r>
              <w:rPr>
                <w:rFonts w:hint="default" w:ascii="Times New Roman" w:hAnsi="Times New Roman" w:cs="Times New Roman"/>
                <w:b/>
                <w:color w:val="auto"/>
                <w:sz w:val="24"/>
              </w:rPr>
              <w:t>4.2.6噪声影响预测</w:t>
            </w:r>
          </w:p>
          <w:p w14:paraId="5A0F7B61">
            <w:pPr>
              <w:spacing w:line="360" w:lineRule="auto"/>
              <w:ind w:firstLine="480"/>
              <w:rPr>
                <w:rFonts w:hint="default" w:ascii="Times New Roman" w:hAnsi="Times New Roman" w:cs="Times New Roman"/>
                <w:b/>
                <w:color w:val="auto"/>
                <w:sz w:val="24"/>
              </w:rPr>
            </w:pPr>
            <w:r>
              <w:rPr>
                <w:rFonts w:hint="default" w:ascii="Times New Roman" w:hAnsi="Times New Roman" w:cs="Times New Roman"/>
                <w:b/>
                <w:color w:val="auto"/>
                <w:sz w:val="24"/>
              </w:rPr>
              <w:t>1、预测模式</w:t>
            </w:r>
          </w:p>
          <w:p w14:paraId="626FB394">
            <w:pPr>
              <w:adjustRightInd w:val="0"/>
              <w:snapToGrid w:val="0"/>
              <w:spacing w:line="360" w:lineRule="auto"/>
              <w:ind w:firstLine="480" w:firstLineChars="200"/>
              <w:outlineLvl w:val="2"/>
              <w:rPr>
                <w:rFonts w:hint="default" w:ascii="Times New Roman" w:hAnsi="Times New Roman" w:cs="Times New Roman"/>
                <w:color w:val="auto"/>
                <w:sz w:val="24"/>
              </w:rPr>
            </w:pPr>
            <w:bookmarkStart w:id="26" w:name="_Toc28782"/>
            <w:bookmarkStart w:id="27" w:name="_Toc26647"/>
            <w:r>
              <w:rPr>
                <w:rFonts w:hint="default" w:ascii="Times New Roman" w:hAnsi="Times New Roman" w:cs="Times New Roman"/>
                <w:color w:val="auto"/>
                <w:sz w:val="24"/>
              </w:rPr>
              <w:t>本报告采用《环境影响评价技术导则声环境》(HJ2.4.2021)附录B（规范性附录）中“B.1工业噪声预测计算模型”进行预测计算。</w:t>
            </w:r>
            <w:bookmarkEnd w:id="26"/>
            <w:bookmarkEnd w:id="27"/>
          </w:p>
          <w:p w14:paraId="07F49FB1">
            <w:pPr>
              <w:adjustRightInd w:val="0"/>
              <w:snapToGrid w:val="0"/>
              <w:spacing w:line="360" w:lineRule="auto"/>
              <w:ind w:firstLine="480" w:firstLineChars="200"/>
              <w:outlineLvl w:val="2"/>
              <w:rPr>
                <w:rFonts w:hint="default" w:ascii="Times New Roman" w:hAnsi="Times New Roman" w:cs="Times New Roman"/>
                <w:color w:val="auto"/>
                <w:sz w:val="24"/>
              </w:rPr>
            </w:pPr>
            <w:bookmarkStart w:id="28" w:name="_Toc25737"/>
            <w:bookmarkStart w:id="29" w:name="_Toc7654"/>
            <w:r>
              <w:rPr>
                <w:rFonts w:hint="default" w:ascii="Times New Roman" w:hAnsi="Times New Roman" w:cs="Times New Roman"/>
                <w:color w:val="auto"/>
                <w:sz w:val="24"/>
              </w:rPr>
              <w:t>声环境影响预测时，一般采用声源的倍频带声功率级，A声功率级或靠近声源某一位置的倍频带声压级，A声级来预测计算距声源不同距离的声级。分别计算室外和室内两种工业声源。</w:t>
            </w:r>
            <w:bookmarkEnd w:id="28"/>
            <w:bookmarkEnd w:id="29"/>
          </w:p>
          <w:p w14:paraId="12021AFF">
            <w:pPr>
              <w:adjustRightInd w:val="0"/>
              <w:snapToGrid w:val="0"/>
              <w:spacing w:line="360" w:lineRule="auto"/>
              <w:ind w:firstLine="480" w:firstLineChars="200"/>
              <w:outlineLvl w:val="2"/>
              <w:rPr>
                <w:rFonts w:hint="default" w:ascii="Times New Roman" w:hAnsi="Times New Roman" w:cs="Times New Roman"/>
                <w:color w:val="auto"/>
                <w:sz w:val="24"/>
              </w:rPr>
            </w:pPr>
            <w:bookmarkStart w:id="30" w:name="_Toc27854"/>
            <w:bookmarkStart w:id="31" w:name="_Toc6808"/>
            <w:r>
              <w:rPr>
                <w:rFonts w:hint="default" w:ascii="Times New Roman" w:hAnsi="Times New Roman" w:cs="Times New Roman"/>
                <w:color w:val="auto"/>
                <w:sz w:val="24"/>
              </w:rPr>
              <w:t>1）室内声源等效室外声源声功率级计算方法</w:t>
            </w:r>
            <w:bookmarkEnd w:id="30"/>
            <w:bookmarkEnd w:id="31"/>
          </w:p>
          <w:p w14:paraId="6FA3E874">
            <w:pPr>
              <w:adjustRightInd w:val="0"/>
              <w:snapToGrid w:val="0"/>
              <w:spacing w:line="360" w:lineRule="auto"/>
              <w:ind w:firstLine="480" w:firstLineChars="200"/>
              <w:outlineLvl w:val="2"/>
              <w:rPr>
                <w:rFonts w:hint="default" w:ascii="Times New Roman" w:hAnsi="Times New Roman" w:cs="Times New Roman"/>
                <w:color w:val="auto"/>
                <w:sz w:val="24"/>
              </w:rPr>
            </w:pPr>
            <w:bookmarkStart w:id="32" w:name="_Toc13344"/>
            <w:bookmarkStart w:id="33" w:name="_Toc15900"/>
            <w:r>
              <w:rPr>
                <w:rFonts w:hint="default" w:ascii="Times New Roman" w:hAnsi="Times New Roman" w:cs="Times New Roman"/>
                <w:color w:val="auto"/>
                <w:sz w:val="24"/>
              </w:rPr>
              <w:t>如图1所示，声源位于室内，室内声源可采用等效室外声源声功率级法进行计算。设靠近开口处（或窗户）室内、室外某倍频带的声压级分别为Lp1和Lp2。若声源所在室内声场为近似扩散声场，式4-1计算某一室内声源靠近围护结构处产生的倍频带声压级：</w:t>
            </w:r>
            <w:bookmarkEnd w:id="32"/>
            <w:bookmarkEnd w:id="33"/>
          </w:p>
          <w:p w14:paraId="70516DBC">
            <w:pPr>
              <w:autoSpaceDE w:val="0"/>
              <w:autoSpaceDN w:val="0"/>
              <w:adjustRightInd w:val="0"/>
              <w:spacing w:line="360" w:lineRule="auto"/>
              <w:ind w:firstLine="2"/>
              <w:jc w:val="center"/>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0" distR="0">
                  <wp:extent cx="2495550" cy="1123950"/>
                  <wp:effectExtent l="19050" t="0" r="0" b="0"/>
                  <wp:docPr id="1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2"/>
                          <pic:cNvPicPr>
                            <a:picLocks noChangeAspect="1" noChangeArrowheads="1"/>
                          </pic:cNvPicPr>
                        </pic:nvPicPr>
                        <pic:blipFill>
                          <a:blip r:embed="rId23"/>
                          <a:srcRect t="7907" b="6047"/>
                          <a:stretch>
                            <a:fillRect/>
                          </a:stretch>
                        </pic:blipFill>
                        <pic:spPr>
                          <a:xfrm>
                            <a:off x="0" y="0"/>
                            <a:ext cx="2495550" cy="1123950"/>
                          </a:xfrm>
                          <a:prstGeom prst="rect">
                            <a:avLst/>
                          </a:prstGeom>
                          <a:noFill/>
                          <a:ln w="9525">
                            <a:noFill/>
                            <a:miter lim="800000"/>
                            <a:headEnd/>
                            <a:tailEnd/>
                          </a:ln>
                        </pic:spPr>
                      </pic:pic>
                    </a:graphicData>
                  </a:graphic>
                </wp:inline>
              </w:drawing>
            </w:r>
          </w:p>
          <w:p w14:paraId="572B175A">
            <w:pPr>
              <w:autoSpaceDE w:val="0"/>
              <w:autoSpaceDN w:val="0"/>
              <w:adjustRightInd w:val="0"/>
              <w:spacing w:line="360" w:lineRule="auto"/>
              <w:ind w:firstLine="2"/>
              <w:jc w:val="center"/>
              <w:rPr>
                <w:rFonts w:hint="default" w:ascii="Times New Roman" w:hAnsi="Times New Roman" w:cs="Times New Roman"/>
                <w:color w:val="auto"/>
                <w:sz w:val="24"/>
              </w:rPr>
            </w:pPr>
            <w:r>
              <w:rPr>
                <w:rFonts w:hint="default" w:ascii="Times New Roman" w:hAnsi="Times New Roman" w:cs="Times New Roman"/>
                <w:color w:val="auto"/>
                <w:sz w:val="24"/>
              </w:rPr>
              <w:t>室内声源等效为室外声源图例</w:t>
            </w:r>
          </w:p>
          <w:p w14:paraId="46561B44">
            <w:pPr>
              <w:adjustRightInd w:val="0"/>
              <w:snapToGrid w:val="0"/>
              <w:spacing w:line="360" w:lineRule="auto"/>
              <w:ind w:firstLine="5760" w:firstLineChars="2400"/>
              <w:outlineLvl w:val="2"/>
              <w:rPr>
                <w:rFonts w:hint="default" w:ascii="Times New Roman" w:hAnsi="Times New Roman" w:cs="Times New Roman"/>
                <w:color w:val="auto"/>
                <w:sz w:val="24"/>
              </w:rPr>
            </w:pPr>
            <w:r>
              <w:rPr>
                <w:rFonts w:hint="default" w:ascii="Times New Roman" w:hAnsi="Times New Roman" w:cs="Times New Roman"/>
                <w:color w:val="auto"/>
                <w:sz w:val="24"/>
              </w:rPr>
              <w:pict>
                <v:shape id="Object 2" o:spid="_x0000_s1033" o:spt="75" type="#_x0000_t75" style="position:absolute;left:0pt;margin-left:100.6pt;margin-top:5.2pt;height:34pt;width:135.15pt;z-index:251661312;mso-width-relative:page;mso-height-relative:page;" o:ole="t" filled="f" o:preferrelative="t" stroked="f" coordsize="21600,21600">
                  <v:path/>
                  <v:fill on="f" focussize="0,0"/>
                  <v:stroke on="f" joinstyle="miter"/>
                  <v:imagedata r:id="rId25" o:title=""/>
                  <o:lock v:ext="edit" aspectratio="t"/>
                </v:shape>
                <o:OLEObject Type="Embed" ProgID="Equation.3" ShapeID="Object 2" DrawAspect="Content" ObjectID="_1468075731" r:id="rId24">
                  <o:LockedField>false</o:LockedField>
                </o:OLEObject>
              </w:pict>
            </w:r>
          </w:p>
          <w:p w14:paraId="2123BD2C">
            <w:pPr>
              <w:adjustRightInd w:val="0"/>
              <w:snapToGrid w:val="0"/>
              <w:spacing w:line="360" w:lineRule="auto"/>
              <w:ind w:firstLine="5760" w:firstLineChars="2400"/>
              <w:outlineLvl w:val="2"/>
              <w:rPr>
                <w:rFonts w:hint="default" w:ascii="Times New Roman" w:hAnsi="Times New Roman" w:cs="Times New Roman"/>
                <w:color w:val="auto"/>
                <w:sz w:val="24"/>
              </w:rPr>
            </w:pPr>
          </w:p>
          <w:p w14:paraId="50EB6A50">
            <w:pPr>
              <w:adjustRightInd w:val="0"/>
              <w:snapToGrid w:val="0"/>
              <w:spacing w:line="360" w:lineRule="auto"/>
              <w:ind w:firstLine="5760" w:firstLineChars="2400"/>
              <w:outlineLvl w:val="2"/>
              <w:rPr>
                <w:rFonts w:hint="default" w:ascii="Times New Roman" w:hAnsi="Times New Roman" w:cs="Times New Roman"/>
                <w:color w:val="auto"/>
                <w:sz w:val="24"/>
              </w:rPr>
            </w:pPr>
            <w:bookmarkStart w:id="34" w:name="_Toc24097"/>
            <w:bookmarkStart w:id="35" w:name="_Toc25617"/>
            <w:r>
              <w:rPr>
                <w:rFonts w:hint="default" w:ascii="Times New Roman" w:hAnsi="Times New Roman" w:cs="Times New Roman"/>
                <w:color w:val="auto"/>
                <w:sz w:val="24"/>
              </w:rPr>
              <w:t>（式4-1）</w:t>
            </w:r>
            <w:bookmarkEnd w:id="34"/>
            <w:bookmarkEnd w:id="35"/>
          </w:p>
          <w:p w14:paraId="69A69BFB">
            <w:pPr>
              <w:adjustRightInd w:val="0"/>
              <w:snapToGrid w:val="0"/>
              <w:spacing w:line="360" w:lineRule="auto"/>
              <w:ind w:firstLine="480" w:firstLineChars="200"/>
              <w:outlineLvl w:val="2"/>
              <w:rPr>
                <w:rFonts w:hint="default" w:ascii="Times New Roman" w:hAnsi="Times New Roman" w:cs="Times New Roman"/>
                <w:color w:val="auto"/>
                <w:sz w:val="24"/>
              </w:rPr>
            </w:pPr>
            <w:bookmarkStart w:id="36" w:name="_Toc10138"/>
            <w:bookmarkStart w:id="37" w:name="_Toc8743"/>
            <w:r>
              <w:rPr>
                <w:rFonts w:hint="default" w:ascii="Times New Roman" w:hAnsi="Times New Roman" w:cs="Times New Roman"/>
                <w:color w:val="auto"/>
                <w:sz w:val="24"/>
              </w:rPr>
              <w:t>式中：</w:t>
            </w:r>
            <w:bookmarkEnd w:id="36"/>
            <w:bookmarkEnd w:id="37"/>
          </w:p>
          <w:p w14:paraId="479B63B1">
            <w:pPr>
              <w:adjustRightInd w:val="0"/>
              <w:snapToGrid w:val="0"/>
              <w:spacing w:line="360" w:lineRule="auto"/>
              <w:ind w:firstLine="480" w:firstLineChars="200"/>
              <w:outlineLvl w:val="2"/>
              <w:rPr>
                <w:rFonts w:hint="default" w:ascii="Times New Roman" w:hAnsi="Times New Roman" w:cs="Times New Roman"/>
                <w:color w:val="auto"/>
                <w:sz w:val="24"/>
              </w:rPr>
            </w:pPr>
            <w:bookmarkStart w:id="38" w:name="_Toc12933"/>
            <w:bookmarkStart w:id="39" w:name="_Toc25667"/>
            <w:r>
              <w:rPr>
                <w:rFonts w:hint="default" w:ascii="Times New Roman" w:hAnsi="Times New Roman" w:cs="Times New Roman"/>
                <w:color w:val="auto"/>
                <w:sz w:val="24"/>
              </w:rPr>
              <w:t>Lp1—靠近开口处（或窗户）室内某倍频带的声压级或A声级，dB；</w:t>
            </w:r>
            <w:bookmarkEnd w:id="38"/>
            <w:bookmarkEnd w:id="39"/>
          </w:p>
          <w:p w14:paraId="4E31BBFC">
            <w:pPr>
              <w:adjustRightInd w:val="0"/>
              <w:snapToGrid w:val="0"/>
              <w:spacing w:line="360" w:lineRule="auto"/>
              <w:ind w:firstLine="480" w:firstLineChars="200"/>
              <w:outlineLvl w:val="2"/>
              <w:rPr>
                <w:rFonts w:hint="default" w:ascii="Times New Roman" w:hAnsi="Times New Roman" w:cs="Times New Roman"/>
                <w:color w:val="auto"/>
                <w:sz w:val="24"/>
              </w:rPr>
            </w:pPr>
            <w:bookmarkStart w:id="40" w:name="_Toc17728"/>
            <w:bookmarkStart w:id="41" w:name="_Toc30650"/>
            <w:r>
              <w:rPr>
                <w:rFonts w:hint="default" w:ascii="Times New Roman" w:hAnsi="Times New Roman" w:cs="Times New Roman"/>
                <w:color w:val="auto"/>
                <w:sz w:val="24"/>
              </w:rPr>
              <w:t>Lw—点声源声功率级（A计权或倍频带），dB；</w:t>
            </w:r>
            <w:bookmarkEnd w:id="40"/>
            <w:bookmarkEnd w:id="41"/>
          </w:p>
          <w:p w14:paraId="1276EBFC">
            <w:pPr>
              <w:adjustRightInd w:val="0"/>
              <w:snapToGrid w:val="0"/>
              <w:spacing w:line="360" w:lineRule="auto"/>
              <w:ind w:firstLine="480" w:firstLineChars="200"/>
              <w:outlineLvl w:val="2"/>
              <w:rPr>
                <w:rFonts w:hint="default" w:ascii="Times New Roman" w:hAnsi="Times New Roman" w:cs="Times New Roman"/>
                <w:color w:val="auto"/>
                <w:sz w:val="24"/>
              </w:rPr>
            </w:pPr>
            <w:bookmarkStart w:id="42" w:name="_Toc30417"/>
            <w:bookmarkStart w:id="43" w:name="_Toc667"/>
            <w:r>
              <w:rPr>
                <w:rFonts w:hint="default" w:ascii="Times New Roman" w:hAnsi="Times New Roman" w:cs="Times New Roman"/>
                <w:color w:val="auto"/>
                <w:sz w:val="24"/>
              </w:rPr>
              <w:t>Q—指向性因数：通常对无指向性声源，当声源放在房间中心时，Q=1；当放在一面墙的中心时，Q=2；当放在两面墙夹角处时，Q=4；当放在三面墙夹角处时，Q=8。</w:t>
            </w:r>
            <w:bookmarkEnd w:id="42"/>
            <w:bookmarkEnd w:id="43"/>
          </w:p>
          <w:p w14:paraId="7415C8D1">
            <w:pPr>
              <w:adjustRightInd w:val="0"/>
              <w:snapToGrid w:val="0"/>
              <w:spacing w:line="360" w:lineRule="auto"/>
              <w:ind w:firstLine="480" w:firstLineChars="200"/>
              <w:outlineLvl w:val="2"/>
              <w:rPr>
                <w:rFonts w:hint="default" w:ascii="Times New Roman" w:hAnsi="Times New Roman" w:cs="Times New Roman"/>
                <w:color w:val="auto"/>
                <w:sz w:val="24"/>
              </w:rPr>
            </w:pPr>
            <w:bookmarkStart w:id="44" w:name="_Toc23085"/>
            <w:bookmarkStart w:id="45" w:name="_Toc22578"/>
            <w:r>
              <w:rPr>
                <w:rFonts w:hint="default" w:ascii="Times New Roman" w:hAnsi="Times New Roman" w:cs="Times New Roman"/>
                <w:color w:val="auto"/>
                <w:sz w:val="24"/>
              </w:rPr>
              <w:t>R—房间常数：R=Sα/(1−α)，S为房间内表面面积，m2；α为平均吸声系数。</w:t>
            </w:r>
            <w:bookmarkEnd w:id="44"/>
            <w:bookmarkEnd w:id="45"/>
          </w:p>
          <w:p w14:paraId="70EB072B">
            <w:pPr>
              <w:adjustRightInd w:val="0"/>
              <w:snapToGrid w:val="0"/>
              <w:spacing w:line="360" w:lineRule="auto"/>
              <w:ind w:firstLine="480" w:firstLineChars="200"/>
              <w:outlineLvl w:val="2"/>
              <w:rPr>
                <w:rFonts w:hint="default" w:ascii="Times New Roman" w:hAnsi="Times New Roman" w:cs="Times New Roman"/>
                <w:color w:val="auto"/>
                <w:sz w:val="24"/>
              </w:rPr>
            </w:pPr>
            <w:bookmarkStart w:id="46" w:name="_Toc5063"/>
            <w:bookmarkStart w:id="47" w:name="_Toc14017"/>
            <w:r>
              <w:rPr>
                <w:rFonts w:hint="default" w:ascii="Times New Roman" w:hAnsi="Times New Roman" w:cs="Times New Roman"/>
                <w:color w:val="auto"/>
                <w:sz w:val="24"/>
              </w:rPr>
              <w:t>r—声源到靠近围护结构某点处的距离，m。</w:t>
            </w:r>
            <w:bookmarkEnd w:id="46"/>
            <w:bookmarkEnd w:id="47"/>
          </w:p>
          <w:p w14:paraId="0D26D6CC">
            <w:pPr>
              <w:adjustRightInd w:val="0"/>
              <w:snapToGrid w:val="0"/>
              <w:spacing w:line="360" w:lineRule="auto"/>
              <w:ind w:firstLine="480" w:firstLineChars="200"/>
              <w:outlineLvl w:val="2"/>
              <w:rPr>
                <w:rFonts w:hint="default" w:ascii="Times New Roman" w:hAnsi="Times New Roman" w:cs="Times New Roman"/>
                <w:color w:val="auto"/>
                <w:sz w:val="24"/>
              </w:rPr>
            </w:pPr>
            <w:bookmarkStart w:id="48" w:name="_Toc9260"/>
            <w:bookmarkStart w:id="49" w:name="_Toc27450"/>
            <w:r>
              <w:rPr>
                <w:rFonts w:hint="default" w:ascii="Times New Roman" w:hAnsi="Times New Roman" w:cs="Times New Roman"/>
                <w:color w:val="auto"/>
                <w:sz w:val="24"/>
              </w:rPr>
              <w:t>然后按式4-2计算出所有室内声源在围护结构处产生的i倍频带叠加声压级：</w:t>
            </w:r>
            <w:bookmarkEnd w:id="48"/>
            <w:bookmarkEnd w:id="49"/>
          </w:p>
          <w:p w14:paraId="710A106A">
            <w:pPr>
              <w:adjustRightInd w:val="0"/>
              <w:snapToGrid w:val="0"/>
              <w:spacing w:line="360" w:lineRule="auto"/>
              <w:ind w:firstLine="480" w:firstLineChars="200"/>
              <w:outlineLvl w:val="2"/>
              <w:rPr>
                <w:rFonts w:hint="default" w:ascii="Times New Roman" w:hAnsi="Times New Roman" w:cs="Times New Roman"/>
                <w:color w:val="auto"/>
                <w:sz w:val="24"/>
              </w:rPr>
            </w:pPr>
            <w:bookmarkStart w:id="50" w:name="_Toc18572"/>
            <w:bookmarkStart w:id="51" w:name="_Toc19732"/>
            <w:r>
              <w:rPr>
                <w:rFonts w:hint="default" w:ascii="Times New Roman" w:hAnsi="Times New Roman" w:cs="Times New Roman"/>
                <w:color w:val="auto"/>
                <w:sz w:val="24"/>
              </w:rPr>
              <w:pict>
                <v:shape id="Object 3" o:spid="_x0000_s1034" o:spt="75" type="#_x0000_t75" style="position:absolute;left:0pt;margin-left:123.2pt;margin-top:-2.8pt;height:38pt;width:117.1pt;z-index:251661312;mso-width-relative:page;mso-height-relative:page;" o:ole="t" filled="f" o:preferrelative="t" stroked="f" coordsize="21600,21600">
                  <v:path/>
                  <v:fill on="f" focussize="0,0"/>
                  <v:stroke on="f" joinstyle="miter"/>
                  <v:imagedata r:id="rId27" o:title=""/>
                  <o:lock v:ext="edit" aspectratio="t"/>
                </v:shape>
                <o:OLEObject Type="Embed" ProgID="Equation.3" ShapeID="Object 3" DrawAspect="Content" ObjectID="_1468075732" r:id="rId26">
                  <o:LockedField>false</o:LockedField>
                </o:OLEObject>
              </w:pict>
            </w:r>
            <w:r>
              <w:rPr>
                <w:rFonts w:hint="default" w:ascii="Times New Roman" w:hAnsi="Times New Roman" w:cs="Times New Roman"/>
                <w:color w:val="auto"/>
                <w:sz w:val="24"/>
              </w:rPr>
              <w:t>（式4-2）</w:t>
            </w:r>
            <w:bookmarkEnd w:id="50"/>
            <w:bookmarkEnd w:id="51"/>
          </w:p>
          <w:p w14:paraId="3731B44B">
            <w:pPr>
              <w:adjustRightInd w:val="0"/>
              <w:snapToGrid w:val="0"/>
              <w:spacing w:line="360" w:lineRule="auto"/>
              <w:ind w:firstLine="480" w:firstLineChars="200"/>
              <w:outlineLvl w:val="2"/>
              <w:rPr>
                <w:rFonts w:hint="default" w:ascii="Times New Roman" w:hAnsi="Times New Roman" w:cs="Times New Roman"/>
                <w:color w:val="auto"/>
                <w:sz w:val="24"/>
              </w:rPr>
            </w:pPr>
            <w:bookmarkStart w:id="52" w:name="_Toc6552"/>
            <w:bookmarkStart w:id="53" w:name="_Toc29762"/>
            <w:r>
              <w:rPr>
                <w:rFonts w:hint="default" w:ascii="Times New Roman" w:hAnsi="Times New Roman" w:cs="Times New Roman"/>
                <w:color w:val="auto"/>
                <w:sz w:val="24"/>
              </w:rPr>
              <w:t>式中：</w:t>
            </w:r>
            <w:bookmarkEnd w:id="52"/>
            <w:bookmarkEnd w:id="53"/>
          </w:p>
          <w:p w14:paraId="07B2FE7E">
            <w:pPr>
              <w:adjustRightInd w:val="0"/>
              <w:snapToGrid w:val="0"/>
              <w:spacing w:line="360" w:lineRule="auto"/>
              <w:ind w:firstLine="480" w:firstLineChars="200"/>
              <w:outlineLvl w:val="2"/>
              <w:rPr>
                <w:rFonts w:hint="default" w:ascii="Times New Roman" w:hAnsi="Times New Roman" w:cs="Times New Roman"/>
                <w:color w:val="auto"/>
                <w:sz w:val="24"/>
              </w:rPr>
            </w:pPr>
            <w:bookmarkStart w:id="54" w:name="_Toc6668"/>
            <w:bookmarkStart w:id="55" w:name="_Toc20042"/>
            <w:r>
              <w:rPr>
                <w:rFonts w:hint="default" w:ascii="Times New Roman" w:hAnsi="Times New Roman" w:cs="Times New Roman"/>
                <w:color w:val="auto"/>
                <w:sz w:val="24"/>
              </w:rPr>
              <w:t>LP1i(T)—靠近围护结构处室内N个声源i倍频带的叠加声压级，dB；</w:t>
            </w:r>
            <w:bookmarkEnd w:id="54"/>
            <w:bookmarkEnd w:id="55"/>
          </w:p>
          <w:p w14:paraId="1DAD1589">
            <w:pPr>
              <w:adjustRightInd w:val="0"/>
              <w:snapToGrid w:val="0"/>
              <w:spacing w:line="360" w:lineRule="auto"/>
              <w:ind w:firstLine="480" w:firstLineChars="200"/>
              <w:outlineLvl w:val="2"/>
              <w:rPr>
                <w:rFonts w:hint="default" w:ascii="Times New Roman" w:hAnsi="Times New Roman" w:cs="Times New Roman"/>
                <w:color w:val="auto"/>
                <w:sz w:val="24"/>
              </w:rPr>
            </w:pPr>
            <w:bookmarkStart w:id="56" w:name="_Toc20904"/>
            <w:bookmarkStart w:id="57" w:name="_Toc4636"/>
            <w:r>
              <w:rPr>
                <w:rFonts w:hint="default" w:ascii="Times New Roman" w:hAnsi="Times New Roman" w:cs="Times New Roman"/>
                <w:color w:val="auto"/>
                <w:sz w:val="24"/>
              </w:rPr>
              <w:t>LP1ij—室内j声源i倍频带的声压级，dB；</w:t>
            </w:r>
            <w:bookmarkEnd w:id="56"/>
            <w:bookmarkEnd w:id="57"/>
          </w:p>
          <w:p w14:paraId="03D8A152">
            <w:pPr>
              <w:adjustRightInd w:val="0"/>
              <w:snapToGrid w:val="0"/>
              <w:spacing w:line="360" w:lineRule="auto"/>
              <w:ind w:firstLine="480" w:firstLineChars="200"/>
              <w:outlineLvl w:val="2"/>
              <w:rPr>
                <w:rFonts w:hint="default" w:ascii="Times New Roman" w:hAnsi="Times New Roman" w:cs="Times New Roman"/>
                <w:color w:val="auto"/>
                <w:sz w:val="24"/>
              </w:rPr>
            </w:pPr>
            <w:bookmarkStart w:id="58" w:name="_Toc21150"/>
            <w:bookmarkStart w:id="59" w:name="_Toc273"/>
            <w:r>
              <w:rPr>
                <w:rFonts w:hint="default" w:ascii="Times New Roman" w:hAnsi="Times New Roman" w:cs="Times New Roman"/>
                <w:color w:val="auto"/>
                <w:sz w:val="24"/>
              </w:rPr>
              <w:t>N—室内声源总数。</w:t>
            </w:r>
            <w:bookmarkEnd w:id="58"/>
            <w:bookmarkEnd w:id="59"/>
          </w:p>
          <w:p w14:paraId="1D7F9F53">
            <w:pPr>
              <w:adjustRightInd w:val="0"/>
              <w:snapToGrid w:val="0"/>
              <w:spacing w:line="360" w:lineRule="auto"/>
              <w:ind w:firstLine="480" w:firstLineChars="200"/>
              <w:outlineLvl w:val="2"/>
              <w:rPr>
                <w:rFonts w:hint="default" w:ascii="Times New Roman" w:hAnsi="Times New Roman" w:cs="Times New Roman"/>
                <w:color w:val="auto"/>
                <w:sz w:val="24"/>
              </w:rPr>
            </w:pPr>
            <w:bookmarkStart w:id="60" w:name="_Toc8251"/>
            <w:bookmarkStart w:id="61" w:name="_Toc13426"/>
            <w:r>
              <w:rPr>
                <w:rFonts w:hint="default" w:ascii="Times New Roman" w:hAnsi="Times New Roman" w:cs="Times New Roman"/>
                <w:color w:val="auto"/>
                <w:sz w:val="24"/>
              </w:rPr>
              <w:t>在室内近似为扩散声场时，按式4-3计算出靠近室外围护结构处的声压级：</w:t>
            </w:r>
            <w:bookmarkEnd w:id="60"/>
            <w:bookmarkEnd w:id="61"/>
          </w:p>
          <w:p w14:paraId="098609B0">
            <w:pPr>
              <w:adjustRightInd w:val="0"/>
              <w:snapToGrid w:val="0"/>
              <w:spacing w:line="360" w:lineRule="auto"/>
              <w:ind w:firstLine="2160" w:firstLineChars="900"/>
              <w:outlineLvl w:val="2"/>
              <w:rPr>
                <w:rFonts w:hint="default" w:ascii="Times New Roman" w:hAnsi="Times New Roman" w:cs="Times New Roman"/>
                <w:color w:val="auto"/>
                <w:sz w:val="24"/>
              </w:rPr>
            </w:pPr>
            <w:bookmarkStart w:id="62" w:name="_Toc18562"/>
            <w:bookmarkStart w:id="63" w:name="_Toc12506"/>
            <w:r>
              <w:rPr>
                <w:rFonts w:hint="default" w:ascii="Times New Roman" w:hAnsi="Times New Roman" w:cs="Times New Roman"/>
                <w:color w:val="auto"/>
                <w:sz w:val="24"/>
              </w:rPr>
              <w:t>LP2i(T)=LP1i(T)-（TLi+6）（式4-3）</w:t>
            </w:r>
            <w:bookmarkEnd w:id="62"/>
            <w:bookmarkEnd w:id="63"/>
          </w:p>
          <w:p w14:paraId="4C3F7B99">
            <w:pPr>
              <w:adjustRightInd w:val="0"/>
              <w:snapToGrid w:val="0"/>
              <w:spacing w:line="360" w:lineRule="auto"/>
              <w:ind w:firstLine="480" w:firstLineChars="200"/>
              <w:outlineLvl w:val="2"/>
              <w:rPr>
                <w:rFonts w:hint="default" w:ascii="Times New Roman" w:hAnsi="Times New Roman" w:cs="Times New Roman"/>
                <w:color w:val="auto"/>
                <w:sz w:val="24"/>
              </w:rPr>
            </w:pPr>
            <w:bookmarkStart w:id="64" w:name="_Toc13545"/>
            <w:bookmarkStart w:id="65" w:name="_Toc4554"/>
            <w:r>
              <w:rPr>
                <w:rFonts w:hint="default" w:ascii="Times New Roman" w:hAnsi="Times New Roman" w:cs="Times New Roman"/>
                <w:color w:val="auto"/>
                <w:sz w:val="24"/>
              </w:rPr>
              <w:t>式中：</w:t>
            </w:r>
            <w:bookmarkEnd w:id="64"/>
            <w:bookmarkEnd w:id="65"/>
          </w:p>
          <w:p w14:paraId="2A9E03CA">
            <w:pPr>
              <w:adjustRightInd w:val="0"/>
              <w:snapToGrid w:val="0"/>
              <w:spacing w:line="360" w:lineRule="auto"/>
              <w:ind w:firstLine="480" w:firstLineChars="200"/>
              <w:outlineLvl w:val="2"/>
              <w:rPr>
                <w:rFonts w:hint="default" w:ascii="Times New Roman" w:hAnsi="Times New Roman" w:cs="Times New Roman"/>
                <w:color w:val="auto"/>
                <w:sz w:val="24"/>
              </w:rPr>
            </w:pPr>
            <w:bookmarkStart w:id="66" w:name="_Toc30976"/>
            <w:bookmarkStart w:id="67" w:name="_Toc7265"/>
            <w:r>
              <w:rPr>
                <w:rFonts w:hint="default" w:ascii="Times New Roman" w:hAnsi="Times New Roman" w:cs="Times New Roman"/>
                <w:color w:val="auto"/>
                <w:sz w:val="24"/>
              </w:rPr>
              <w:t>LP2i(T)—靠近围护结构处室外N个声源i倍频带的叠加声压级，dB；</w:t>
            </w:r>
            <w:bookmarkEnd w:id="66"/>
            <w:bookmarkEnd w:id="67"/>
          </w:p>
          <w:p w14:paraId="3EAC73ED">
            <w:pPr>
              <w:adjustRightInd w:val="0"/>
              <w:snapToGrid w:val="0"/>
              <w:spacing w:line="360" w:lineRule="auto"/>
              <w:ind w:firstLine="480" w:firstLineChars="200"/>
              <w:outlineLvl w:val="2"/>
              <w:rPr>
                <w:rFonts w:hint="default" w:ascii="Times New Roman" w:hAnsi="Times New Roman" w:cs="Times New Roman"/>
                <w:color w:val="auto"/>
                <w:sz w:val="24"/>
              </w:rPr>
            </w:pPr>
            <w:bookmarkStart w:id="68" w:name="_Toc7675"/>
            <w:bookmarkStart w:id="69" w:name="_Toc11430"/>
            <w:r>
              <w:rPr>
                <w:rFonts w:hint="default" w:ascii="Times New Roman" w:hAnsi="Times New Roman" w:cs="Times New Roman"/>
                <w:color w:val="auto"/>
                <w:sz w:val="24"/>
              </w:rPr>
              <w:t>TLi—围护结构i倍频带的隔声量，dB。</w:t>
            </w:r>
            <w:bookmarkEnd w:id="68"/>
            <w:bookmarkEnd w:id="69"/>
          </w:p>
          <w:p w14:paraId="144CE11D">
            <w:pPr>
              <w:adjustRightInd w:val="0"/>
              <w:snapToGrid w:val="0"/>
              <w:spacing w:line="360" w:lineRule="auto"/>
              <w:ind w:firstLine="480" w:firstLineChars="200"/>
              <w:outlineLvl w:val="2"/>
              <w:rPr>
                <w:rFonts w:hint="default" w:ascii="Times New Roman" w:hAnsi="Times New Roman" w:cs="Times New Roman"/>
                <w:color w:val="auto"/>
                <w:sz w:val="24"/>
              </w:rPr>
            </w:pPr>
            <w:bookmarkStart w:id="70" w:name="_Toc444"/>
            <w:bookmarkStart w:id="71" w:name="_Toc29990"/>
            <w:r>
              <w:rPr>
                <w:rFonts w:hint="default" w:ascii="Times New Roman" w:hAnsi="Times New Roman" w:cs="Times New Roman"/>
                <w:color w:val="auto"/>
                <w:sz w:val="24"/>
              </w:rPr>
              <w:t>然后按式4-4将室外声源的声压级和透过面积换算成等效的室外声源，计算出中心位置位于透声面积（S）处的等效声源的倍频带声功率级。</w:t>
            </w:r>
            <w:bookmarkEnd w:id="70"/>
            <w:bookmarkEnd w:id="71"/>
          </w:p>
          <w:p w14:paraId="3236838E">
            <w:pPr>
              <w:adjustRightInd w:val="0"/>
              <w:snapToGrid w:val="0"/>
              <w:spacing w:line="360" w:lineRule="auto"/>
              <w:ind w:firstLine="2640" w:firstLineChars="1100"/>
              <w:outlineLvl w:val="2"/>
              <w:rPr>
                <w:rFonts w:hint="default" w:ascii="Times New Roman" w:hAnsi="Times New Roman" w:cs="Times New Roman"/>
                <w:color w:val="auto"/>
                <w:sz w:val="24"/>
              </w:rPr>
            </w:pPr>
            <w:bookmarkStart w:id="72" w:name="_Toc8951"/>
            <w:bookmarkStart w:id="73" w:name="_Toc23431"/>
            <w:r>
              <w:rPr>
                <w:rFonts w:hint="default" w:ascii="Times New Roman" w:hAnsi="Times New Roman" w:cs="Times New Roman"/>
                <w:color w:val="auto"/>
                <w:sz w:val="24"/>
              </w:rPr>
              <w:t>Lw=LP2(T)+10lgS（式4-4）</w:t>
            </w:r>
            <w:bookmarkEnd w:id="72"/>
            <w:bookmarkEnd w:id="73"/>
          </w:p>
          <w:p w14:paraId="1EC36519">
            <w:pPr>
              <w:adjustRightInd w:val="0"/>
              <w:snapToGrid w:val="0"/>
              <w:spacing w:line="360" w:lineRule="auto"/>
              <w:ind w:firstLine="480" w:firstLineChars="200"/>
              <w:outlineLvl w:val="2"/>
              <w:rPr>
                <w:rFonts w:hint="default" w:ascii="Times New Roman" w:hAnsi="Times New Roman" w:cs="Times New Roman"/>
                <w:color w:val="auto"/>
                <w:sz w:val="24"/>
              </w:rPr>
            </w:pPr>
            <w:bookmarkStart w:id="74" w:name="_Toc27178"/>
            <w:bookmarkStart w:id="75" w:name="_Toc1858"/>
            <w:r>
              <w:rPr>
                <w:rFonts w:hint="default" w:ascii="Times New Roman" w:hAnsi="Times New Roman" w:cs="Times New Roman"/>
                <w:color w:val="auto"/>
                <w:sz w:val="24"/>
              </w:rPr>
              <w:t>式中：</w:t>
            </w:r>
            <w:r>
              <w:rPr>
                <w:rFonts w:hint="default" w:ascii="Times New Roman" w:hAnsi="Times New Roman" w:cs="Times New Roman"/>
                <w:color w:val="auto"/>
                <w:sz w:val="24"/>
              </w:rPr>
              <w:object>
                <v:shape id="_x0000_i1031" o:spt="75" type="#_x0000_t75" style="height:17.25pt;width:72pt;" o:ole="t" filled="f" o:preferrelative="t" stroked="f" coordsize="21600,21600">
                  <v:path/>
                  <v:fill on="f" focussize="0,0"/>
                  <v:stroke on="f" joinstyle="miter"/>
                  <v:imagedata r:id="rId29" o:title=""/>
                  <o:lock v:ext="edit" aspectratio="t"/>
                  <w10:wrap type="none"/>
                  <w10:anchorlock/>
                </v:shape>
                <o:OLEObject Type="Embed" ProgID="Equation.3" ShapeID="_x0000_i1031" DrawAspect="Content" ObjectID="_1468075733" r:id="rId28">
                  <o:LockedField>false</o:LockedField>
                </o:OLEObject>
              </w:object>
            </w:r>
            <w:bookmarkEnd w:id="74"/>
            <w:bookmarkEnd w:id="75"/>
          </w:p>
          <w:p w14:paraId="43DDF5AD">
            <w:pPr>
              <w:adjustRightInd w:val="0"/>
              <w:snapToGrid w:val="0"/>
              <w:spacing w:line="360" w:lineRule="auto"/>
              <w:ind w:firstLine="480" w:firstLineChars="200"/>
              <w:outlineLvl w:val="2"/>
              <w:rPr>
                <w:rFonts w:hint="default" w:ascii="Times New Roman" w:hAnsi="Times New Roman" w:cs="Times New Roman"/>
                <w:color w:val="auto"/>
                <w:sz w:val="24"/>
              </w:rPr>
            </w:pPr>
            <w:bookmarkStart w:id="76" w:name="_Toc10392"/>
            <w:bookmarkStart w:id="77" w:name="_Toc17947"/>
            <w:r>
              <w:rPr>
                <w:rFonts w:hint="default" w:ascii="Times New Roman" w:hAnsi="Times New Roman" w:cs="Times New Roman"/>
                <w:color w:val="auto"/>
                <w:sz w:val="24"/>
              </w:rPr>
              <w:t>Lw—中心位置位于透声面积（S）处的等效声源的倍频带声功率级，dB；</w:t>
            </w:r>
            <w:bookmarkEnd w:id="76"/>
            <w:bookmarkEnd w:id="77"/>
          </w:p>
          <w:p w14:paraId="7AEF8194">
            <w:pPr>
              <w:adjustRightInd w:val="0"/>
              <w:snapToGrid w:val="0"/>
              <w:spacing w:line="360" w:lineRule="auto"/>
              <w:ind w:firstLine="480" w:firstLineChars="200"/>
              <w:outlineLvl w:val="2"/>
              <w:rPr>
                <w:rFonts w:hint="default" w:ascii="Times New Roman" w:hAnsi="Times New Roman" w:cs="Times New Roman"/>
                <w:color w:val="auto"/>
                <w:sz w:val="24"/>
              </w:rPr>
            </w:pPr>
            <w:bookmarkStart w:id="78" w:name="_Toc15189"/>
            <w:bookmarkStart w:id="79" w:name="_Toc24377"/>
            <w:r>
              <w:rPr>
                <w:rFonts w:hint="default" w:ascii="Times New Roman" w:hAnsi="Times New Roman" w:cs="Times New Roman"/>
                <w:color w:val="auto"/>
                <w:sz w:val="24"/>
              </w:rPr>
              <w:t>Lp2(T)—靠近围护结构处室外声源的声压级，dB；</w:t>
            </w:r>
            <w:bookmarkEnd w:id="78"/>
            <w:bookmarkEnd w:id="79"/>
          </w:p>
          <w:p w14:paraId="12077215">
            <w:pPr>
              <w:adjustRightInd w:val="0"/>
              <w:snapToGrid w:val="0"/>
              <w:spacing w:line="360" w:lineRule="auto"/>
              <w:ind w:firstLine="480" w:firstLineChars="200"/>
              <w:outlineLvl w:val="2"/>
              <w:rPr>
                <w:rFonts w:hint="default" w:ascii="Times New Roman" w:hAnsi="Times New Roman" w:cs="Times New Roman"/>
                <w:color w:val="auto"/>
                <w:sz w:val="24"/>
              </w:rPr>
            </w:pPr>
            <w:bookmarkStart w:id="80" w:name="_Toc10117"/>
            <w:bookmarkStart w:id="81" w:name="_Toc4809"/>
            <w:r>
              <w:rPr>
                <w:rFonts w:hint="default" w:ascii="Times New Roman" w:hAnsi="Times New Roman" w:cs="Times New Roman"/>
                <w:color w:val="auto"/>
                <w:sz w:val="24"/>
              </w:rPr>
              <w:t>S—透声面积，m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w:t>
            </w:r>
            <w:bookmarkEnd w:id="80"/>
            <w:bookmarkEnd w:id="81"/>
          </w:p>
          <w:p w14:paraId="138A6563">
            <w:pPr>
              <w:adjustRightInd w:val="0"/>
              <w:snapToGrid w:val="0"/>
              <w:spacing w:line="360" w:lineRule="auto"/>
              <w:ind w:firstLine="480" w:firstLineChars="200"/>
              <w:outlineLvl w:val="2"/>
              <w:rPr>
                <w:rFonts w:hint="default" w:ascii="Times New Roman" w:hAnsi="Times New Roman" w:cs="Times New Roman"/>
                <w:color w:val="auto"/>
                <w:sz w:val="24"/>
              </w:rPr>
            </w:pPr>
            <w:bookmarkStart w:id="82" w:name="_Toc10799"/>
            <w:bookmarkStart w:id="83" w:name="_Toc7118"/>
            <w:r>
              <w:rPr>
                <w:rFonts w:hint="default" w:ascii="Times New Roman" w:hAnsi="Times New Roman" w:cs="Times New Roman"/>
                <w:color w:val="auto"/>
                <w:sz w:val="24"/>
              </w:rPr>
              <w:t>然后按室外声源预测方法计算预测点处的A声级。</w:t>
            </w:r>
            <w:bookmarkEnd w:id="82"/>
            <w:bookmarkEnd w:id="83"/>
          </w:p>
          <w:p w14:paraId="687405AE">
            <w:pPr>
              <w:adjustRightInd w:val="0"/>
              <w:snapToGrid w:val="0"/>
              <w:spacing w:line="360" w:lineRule="auto"/>
              <w:ind w:firstLine="480" w:firstLineChars="200"/>
              <w:outlineLvl w:val="2"/>
              <w:rPr>
                <w:rFonts w:hint="default" w:ascii="Times New Roman" w:hAnsi="Times New Roman" w:cs="Times New Roman"/>
                <w:color w:val="auto"/>
                <w:sz w:val="24"/>
              </w:rPr>
            </w:pPr>
            <w:bookmarkStart w:id="84" w:name="_Toc32531"/>
            <w:bookmarkStart w:id="85" w:name="_Toc25706"/>
            <w:r>
              <w:rPr>
                <w:rFonts w:hint="default" w:ascii="Times New Roman" w:hAnsi="Times New Roman" w:cs="Times New Roman"/>
                <w:color w:val="auto"/>
                <w:sz w:val="24"/>
              </w:rPr>
              <w:t>2）室外声源在预测点产生的声级计算模型</w:t>
            </w:r>
            <w:bookmarkEnd w:id="84"/>
            <w:bookmarkEnd w:id="85"/>
          </w:p>
          <w:p w14:paraId="05EB9B62">
            <w:pPr>
              <w:adjustRightInd w:val="0"/>
              <w:snapToGrid w:val="0"/>
              <w:spacing w:line="360" w:lineRule="auto"/>
              <w:ind w:firstLine="480" w:firstLineChars="200"/>
              <w:outlineLvl w:val="2"/>
              <w:rPr>
                <w:rFonts w:hint="default" w:ascii="Times New Roman" w:hAnsi="Times New Roman" w:cs="Times New Roman"/>
                <w:color w:val="auto"/>
                <w:sz w:val="24"/>
              </w:rPr>
            </w:pPr>
            <w:bookmarkStart w:id="86" w:name="_Toc5334"/>
            <w:bookmarkStart w:id="87" w:name="_Toc12383"/>
            <w:r>
              <w:rPr>
                <w:rFonts w:hint="default" w:ascii="Times New Roman" w:hAnsi="Times New Roman" w:cs="Times New Roman"/>
                <w:color w:val="auto"/>
                <w:sz w:val="24"/>
              </w:rPr>
              <w:t>室外声源在预测点产生的声级计算模型见附录A。</w:t>
            </w:r>
            <w:bookmarkEnd w:id="86"/>
            <w:bookmarkEnd w:id="87"/>
          </w:p>
          <w:p w14:paraId="792723EF">
            <w:pPr>
              <w:adjustRightInd w:val="0"/>
              <w:snapToGrid w:val="0"/>
              <w:spacing w:line="360" w:lineRule="auto"/>
              <w:ind w:firstLine="480" w:firstLineChars="200"/>
              <w:outlineLvl w:val="2"/>
              <w:rPr>
                <w:rFonts w:hint="default" w:ascii="Times New Roman" w:hAnsi="Times New Roman" w:cs="Times New Roman"/>
                <w:color w:val="auto"/>
                <w:sz w:val="24"/>
              </w:rPr>
            </w:pPr>
            <w:bookmarkStart w:id="88" w:name="_Toc21767"/>
            <w:bookmarkStart w:id="89" w:name="_Toc10433"/>
            <w:r>
              <w:rPr>
                <w:rFonts w:hint="default" w:ascii="Times New Roman" w:hAnsi="Times New Roman" w:cs="Times New Roman"/>
                <w:color w:val="auto"/>
                <w:sz w:val="24"/>
              </w:rPr>
              <w:t>①在环境影响评价中，应根据声源声功率级或参考位置处的声压级、户外声传播衰减，计算预测点的声级，分别按式4-5或式4-6计算。</w:t>
            </w:r>
            <w:bookmarkEnd w:id="88"/>
            <w:bookmarkEnd w:id="89"/>
          </w:p>
          <w:p w14:paraId="0ABAAC3E">
            <w:pPr>
              <w:adjustRightInd w:val="0"/>
              <w:snapToGrid w:val="0"/>
              <w:spacing w:line="360" w:lineRule="auto"/>
              <w:ind w:firstLine="480" w:firstLineChars="200"/>
              <w:jc w:val="center"/>
              <w:outlineLvl w:val="2"/>
              <w:rPr>
                <w:rFonts w:hint="default" w:ascii="Times New Roman" w:hAnsi="Times New Roman" w:cs="Times New Roman"/>
                <w:color w:val="auto"/>
                <w:sz w:val="24"/>
              </w:rPr>
            </w:pPr>
            <w:bookmarkStart w:id="90" w:name="_Toc1609"/>
            <w:bookmarkStart w:id="91" w:name="_Toc3959"/>
            <w:r>
              <w:rPr>
                <w:rFonts w:hint="default" w:ascii="Times New Roman" w:hAnsi="Times New Roman" w:cs="Times New Roman"/>
                <w:color w:val="auto"/>
                <w:sz w:val="24"/>
              </w:rPr>
              <w:t>Lp(r)＝Lw+DC－(Adiv＋Aatm＋Agr＋Abar＋Amisc)（式4-5）</w:t>
            </w:r>
            <w:bookmarkEnd w:id="90"/>
            <w:bookmarkEnd w:id="91"/>
          </w:p>
          <w:p w14:paraId="43033474">
            <w:pPr>
              <w:adjustRightInd w:val="0"/>
              <w:snapToGrid w:val="0"/>
              <w:spacing w:line="360" w:lineRule="auto"/>
              <w:ind w:firstLine="480" w:firstLineChars="200"/>
              <w:outlineLvl w:val="2"/>
              <w:rPr>
                <w:rFonts w:hint="default" w:ascii="Times New Roman" w:hAnsi="Times New Roman" w:cs="Times New Roman"/>
                <w:color w:val="auto"/>
                <w:sz w:val="24"/>
              </w:rPr>
            </w:pPr>
            <w:bookmarkStart w:id="92" w:name="_Toc12491"/>
            <w:bookmarkStart w:id="93" w:name="_Toc18259"/>
            <w:r>
              <w:rPr>
                <w:rFonts w:hint="default" w:ascii="Times New Roman" w:hAnsi="Times New Roman" w:cs="Times New Roman"/>
                <w:color w:val="auto"/>
                <w:sz w:val="24"/>
              </w:rPr>
              <w:t>式中：</w:t>
            </w:r>
            <w:bookmarkEnd w:id="92"/>
            <w:bookmarkEnd w:id="93"/>
          </w:p>
          <w:p w14:paraId="3558EE13">
            <w:pPr>
              <w:adjustRightInd w:val="0"/>
              <w:snapToGrid w:val="0"/>
              <w:spacing w:line="360" w:lineRule="auto"/>
              <w:ind w:firstLine="480" w:firstLineChars="200"/>
              <w:outlineLvl w:val="2"/>
              <w:rPr>
                <w:rFonts w:hint="default" w:ascii="Times New Roman" w:hAnsi="Times New Roman" w:cs="Times New Roman"/>
                <w:color w:val="auto"/>
                <w:sz w:val="24"/>
              </w:rPr>
            </w:pPr>
            <w:bookmarkStart w:id="94" w:name="_Toc21977"/>
            <w:bookmarkStart w:id="95" w:name="_Toc11842"/>
            <w:r>
              <w:rPr>
                <w:rFonts w:hint="default" w:ascii="Times New Roman" w:hAnsi="Times New Roman" w:cs="Times New Roman"/>
                <w:color w:val="auto"/>
                <w:sz w:val="24"/>
              </w:rPr>
              <w:t>Lp(r)—预测点处声压级，dB；</w:t>
            </w:r>
            <w:bookmarkEnd w:id="94"/>
            <w:bookmarkEnd w:id="95"/>
          </w:p>
          <w:p w14:paraId="6AFCD584">
            <w:pPr>
              <w:adjustRightInd w:val="0"/>
              <w:snapToGrid w:val="0"/>
              <w:spacing w:line="360" w:lineRule="auto"/>
              <w:ind w:firstLine="480" w:firstLineChars="200"/>
              <w:outlineLvl w:val="2"/>
              <w:rPr>
                <w:rFonts w:hint="default" w:ascii="Times New Roman" w:hAnsi="Times New Roman" w:cs="Times New Roman"/>
                <w:color w:val="auto"/>
                <w:sz w:val="24"/>
              </w:rPr>
            </w:pPr>
            <w:bookmarkStart w:id="96" w:name="_Toc6847"/>
            <w:bookmarkStart w:id="97" w:name="_Toc5759"/>
            <w:r>
              <w:rPr>
                <w:rFonts w:hint="default" w:ascii="Times New Roman" w:hAnsi="Times New Roman" w:cs="Times New Roman"/>
                <w:color w:val="auto"/>
                <w:sz w:val="24"/>
              </w:rPr>
              <w:t>Lw—由点声源产生的声功率级（A计权或倍频带），dB；</w:t>
            </w:r>
            <w:bookmarkEnd w:id="96"/>
            <w:bookmarkEnd w:id="97"/>
          </w:p>
          <w:p w14:paraId="1D4D3630">
            <w:pPr>
              <w:adjustRightInd w:val="0"/>
              <w:snapToGrid w:val="0"/>
              <w:spacing w:line="360" w:lineRule="auto"/>
              <w:ind w:firstLine="480" w:firstLineChars="200"/>
              <w:outlineLvl w:val="2"/>
              <w:rPr>
                <w:rFonts w:hint="default" w:ascii="Times New Roman" w:hAnsi="Times New Roman" w:cs="Times New Roman"/>
                <w:color w:val="auto"/>
                <w:sz w:val="24"/>
              </w:rPr>
            </w:pPr>
            <w:bookmarkStart w:id="98" w:name="_Toc585"/>
            <w:bookmarkStart w:id="99" w:name="_Toc29981"/>
            <w:r>
              <w:rPr>
                <w:rFonts w:hint="default" w:ascii="Times New Roman" w:hAnsi="Times New Roman" w:cs="Times New Roman"/>
                <w:color w:val="auto"/>
                <w:sz w:val="24"/>
              </w:rPr>
              <w:t>DC—指向性校正，它描述点声源的等效连续声压级与产生声功率级Lw的全向点声源在规定方向的声级的偏差程度，dB；</w:t>
            </w:r>
            <w:bookmarkEnd w:id="98"/>
            <w:bookmarkEnd w:id="99"/>
          </w:p>
          <w:p w14:paraId="417E6240">
            <w:pPr>
              <w:adjustRightInd w:val="0"/>
              <w:snapToGrid w:val="0"/>
              <w:spacing w:line="360" w:lineRule="auto"/>
              <w:ind w:firstLine="480" w:firstLineChars="200"/>
              <w:outlineLvl w:val="2"/>
              <w:rPr>
                <w:rFonts w:hint="default" w:ascii="Times New Roman" w:hAnsi="Times New Roman" w:cs="Times New Roman"/>
                <w:color w:val="auto"/>
                <w:sz w:val="24"/>
              </w:rPr>
            </w:pPr>
            <w:bookmarkStart w:id="100" w:name="_Toc2035"/>
            <w:bookmarkStart w:id="101" w:name="_Toc29100"/>
            <w:r>
              <w:rPr>
                <w:rFonts w:hint="default" w:ascii="Times New Roman" w:hAnsi="Times New Roman" w:cs="Times New Roman"/>
                <w:color w:val="auto"/>
                <w:sz w:val="24"/>
              </w:rPr>
              <w:t>Adiv—几何发散引起的倍频带衰减，dB；</w:t>
            </w:r>
            <w:bookmarkEnd w:id="100"/>
            <w:bookmarkEnd w:id="101"/>
          </w:p>
          <w:p w14:paraId="3C623787">
            <w:pPr>
              <w:adjustRightInd w:val="0"/>
              <w:snapToGrid w:val="0"/>
              <w:spacing w:line="360" w:lineRule="auto"/>
              <w:ind w:firstLine="480" w:firstLineChars="200"/>
              <w:outlineLvl w:val="2"/>
              <w:rPr>
                <w:rFonts w:hint="default" w:ascii="Times New Roman" w:hAnsi="Times New Roman" w:cs="Times New Roman"/>
                <w:color w:val="auto"/>
                <w:sz w:val="24"/>
              </w:rPr>
            </w:pPr>
            <w:bookmarkStart w:id="102" w:name="_Toc9555"/>
            <w:bookmarkStart w:id="103" w:name="_Toc5999"/>
            <w:r>
              <w:rPr>
                <w:rFonts w:hint="default" w:ascii="Times New Roman" w:hAnsi="Times New Roman" w:cs="Times New Roman"/>
                <w:color w:val="auto"/>
                <w:sz w:val="24"/>
              </w:rPr>
              <w:t>Aatm—大气吸收引起的倍频带衰减，dB；</w:t>
            </w:r>
            <w:bookmarkEnd w:id="102"/>
            <w:bookmarkEnd w:id="103"/>
          </w:p>
          <w:p w14:paraId="36C3722A">
            <w:pPr>
              <w:adjustRightInd w:val="0"/>
              <w:snapToGrid w:val="0"/>
              <w:spacing w:line="360" w:lineRule="auto"/>
              <w:ind w:firstLine="480" w:firstLineChars="200"/>
              <w:outlineLvl w:val="2"/>
              <w:rPr>
                <w:rFonts w:hint="default" w:ascii="Times New Roman" w:hAnsi="Times New Roman" w:cs="Times New Roman"/>
                <w:color w:val="auto"/>
                <w:sz w:val="24"/>
              </w:rPr>
            </w:pPr>
            <w:bookmarkStart w:id="104" w:name="_Toc22669"/>
            <w:bookmarkStart w:id="105" w:name="_Toc26048"/>
            <w:r>
              <w:rPr>
                <w:rFonts w:hint="default" w:ascii="Times New Roman" w:hAnsi="Times New Roman" w:cs="Times New Roman"/>
                <w:color w:val="auto"/>
                <w:sz w:val="24"/>
              </w:rPr>
              <w:t>Agr—地面效应引起的倍频带衰减，dB；</w:t>
            </w:r>
            <w:bookmarkEnd w:id="104"/>
            <w:bookmarkEnd w:id="105"/>
          </w:p>
          <w:p w14:paraId="3450E9B7">
            <w:pPr>
              <w:adjustRightInd w:val="0"/>
              <w:snapToGrid w:val="0"/>
              <w:spacing w:line="360" w:lineRule="auto"/>
              <w:ind w:firstLine="480" w:firstLineChars="200"/>
              <w:outlineLvl w:val="2"/>
              <w:rPr>
                <w:rFonts w:hint="default" w:ascii="Times New Roman" w:hAnsi="Times New Roman" w:cs="Times New Roman"/>
                <w:color w:val="auto"/>
                <w:sz w:val="24"/>
              </w:rPr>
            </w:pPr>
            <w:bookmarkStart w:id="106" w:name="_Toc19520"/>
            <w:bookmarkStart w:id="107" w:name="_Toc4975"/>
            <w:r>
              <w:rPr>
                <w:rFonts w:hint="default" w:ascii="Times New Roman" w:hAnsi="Times New Roman" w:cs="Times New Roman"/>
                <w:color w:val="auto"/>
                <w:sz w:val="24"/>
              </w:rPr>
              <w:t>Abar—声屏障引起的倍频带衰减，dB；</w:t>
            </w:r>
            <w:bookmarkEnd w:id="106"/>
            <w:bookmarkEnd w:id="107"/>
          </w:p>
          <w:p w14:paraId="2AF06AAA">
            <w:pPr>
              <w:adjustRightInd w:val="0"/>
              <w:snapToGrid w:val="0"/>
              <w:spacing w:line="360" w:lineRule="auto"/>
              <w:ind w:firstLine="480" w:firstLineChars="200"/>
              <w:outlineLvl w:val="2"/>
              <w:rPr>
                <w:rFonts w:hint="default" w:ascii="Times New Roman" w:hAnsi="Times New Roman" w:cs="Times New Roman"/>
                <w:color w:val="auto"/>
                <w:sz w:val="24"/>
              </w:rPr>
            </w:pPr>
            <w:bookmarkStart w:id="108" w:name="_Toc3354"/>
            <w:bookmarkStart w:id="109" w:name="_Toc26565"/>
            <w:r>
              <w:rPr>
                <w:rFonts w:hint="default" w:ascii="Times New Roman" w:hAnsi="Times New Roman" w:cs="Times New Roman"/>
                <w:color w:val="auto"/>
                <w:sz w:val="24"/>
              </w:rPr>
              <w:t>Amisc—其他多方面效应引起的倍频带衰减，dB。</w:t>
            </w:r>
            <w:bookmarkEnd w:id="108"/>
            <w:bookmarkEnd w:id="109"/>
          </w:p>
          <w:p w14:paraId="53AA601B">
            <w:pPr>
              <w:adjustRightInd w:val="0"/>
              <w:snapToGrid w:val="0"/>
              <w:spacing w:line="360" w:lineRule="auto"/>
              <w:ind w:firstLine="480" w:firstLineChars="200"/>
              <w:jc w:val="center"/>
              <w:outlineLvl w:val="2"/>
              <w:rPr>
                <w:rFonts w:hint="default" w:ascii="Times New Roman" w:hAnsi="Times New Roman" w:cs="Times New Roman"/>
                <w:color w:val="auto"/>
                <w:sz w:val="24"/>
              </w:rPr>
            </w:pPr>
            <w:bookmarkStart w:id="110" w:name="_Toc7360"/>
            <w:bookmarkStart w:id="111" w:name="_Toc27243"/>
            <w:r>
              <w:rPr>
                <w:rFonts w:hint="default" w:ascii="Times New Roman" w:hAnsi="Times New Roman" w:cs="Times New Roman"/>
                <w:color w:val="auto"/>
                <w:sz w:val="24"/>
              </w:rPr>
              <w:t>Lp(r)＝Lp(r0)+DC－(Adiv＋Aatm＋Agr＋Abar＋Amisc)（式4-6）</w:t>
            </w:r>
            <w:bookmarkEnd w:id="110"/>
            <w:bookmarkEnd w:id="111"/>
          </w:p>
          <w:p w14:paraId="6B61DB67">
            <w:pPr>
              <w:adjustRightInd w:val="0"/>
              <w:snapToGrid w:val="0"/>
              <w:spacing w:line="360" w:lineRule="auto"/>
              <w:ind w:firstLine="480" w:firstLineChars="200"/>
              <w:outlineLvl w:val="2"/>
              <w:rPr>
                <w:rFonts w:hint="default" w:ascii="Times New Roman" w:hAnsi="Times New Roman" w:cs="Times New Roman"/>
                <w:color w:val="auto"/>
                <w:sz w:val="24"/>
              </w:rPr>
            </w:pPr>
            <w:bookmarkStart w:id="112" w:name="_Toc25864"/>
            <w:bookmarkStart w:id="113" w:name="_Toc15367"/>
            <w:r>
              <w:rPr>
                <w:rFonts w:hint="default" w:ascii="Times New Roman" w:hAnsi="Times New Roman" w:cs="Times New Roman"/>
                <w:color w:val="auto"/>
                <w:sz w:val="24"/>
              </w:rPr>
              <w:t>式中：</w:t>
            </w:r>
            <w:bookmarkEnd w:id="112"/>
            <w:bookmarkEnd w:id="113"/>
          </w:p>
          <w:p w14:paraId="51E6554C">
            <w:pPr>
              <w:adjustRightInd w:val="0"/>
              <w:snapToGrid w:val="0"/>
              <w:spacing w:line="360" w:lineRule="auto"/>
              <w:ind w:firstLine="480" w:firstLineChars="200"/>
              <w:outlineLvl w:val="2"/>
              <w:rPr>
                <w:rFonts w:hint="default" w:ascii="Times New Roman" w:hAnsi="Times New Roman" w:cs="Times New Roman"/>
                <w:color w:val="auto"/>
                <w:sz w:val="24"/>
              </w:rPr>
            </w:pPr>
            <w:bookmarkStart w:id="114" w:name="_Toc28409"/>
            <w:bookmarkStart w:id="115" w:name="_Toc7929"/>
            <w:r>
              <w:rPr>
                <w:rFonts w:hint="default" w:ascii="Times New Roman" w:hAnsi="Times New Roman" w:cs="Times New Roman"/>
                <w:color w:val="auto"/>
                <w:sz w:val="24"/>
              </w:rPr>
              <w:t>Lp(r)—预测点处声压级，dB；</w:t>
            </w:r>
            <w:bookmarkEnd w:id="114"/>
            <w:bookmarkEnd w:id="115"/>
          </w:p>
          <w:p w14:paraId="004BA880">
            <w:pPr>
              <w:adjustRightInd w:val="0"/>
              <w:snapToGrid w:val="0"/>
              <w:spacing w:line="360" w:lineRule="auto"/>
              <w:ind w:firstLine="480" w:firstLineChars="200"/>
              <w:outlineLvl w:val="2"/>
              <w:rPr>
                <w:rFonts w:hint="default" w:ascii="Times New Roman" w:hAnsi="Times New Roman" w:cs="Times New Roman"/>
                <w:color w:val="auto"/>
                <w:sz w:val="24"/>
              </w:rPr>
            </w:pPr>
            <w:bookmarkStart w:id="116" w:name="_Toc29059"/>
            <w:bookmarkStart w:id="117" w:name="_Toc8057"/>
            <w:r>
              <w:rPr>
                <w:rFonts w:hint="default" w:ascii="Times New Roman" w:hAnsi="Times New Roman" w:cs="Times New Roman"/>
                <w:color w:val="auto"/>
                <w:sz w:val="24"/>
              </w:rPr>
              <w:t>Lp(r0)—参考位置r0处的声压级，dB；</w:t>
            </w:r>
            <w:bookmarkEnd w:id="116"/>
            <w:bookmarkEnd w:id="117"/>
          </w:p>
          <w:p w14:paraId="65853BAD">
            <w:pPr>
              <w:adjustRightInd w:val="0"/>
              <w:snapToGrid w:val="0"/>
              <w:spacing w:line="360" w:lineRule="auto"/>
              <w:ind w:firstLine="480" w:firstLineChars="200"/>
              <w:outlineLvl w:val="2"/>
              <w:rPr>
                <w:rFonts w:hint="default" w:ascii="Times New Roman" w:hAnsi="Times New Roman" w:cs="Times New Roman"/>
                <w:color w:val="auto"/>
                <w:sz w:val="24"/>
              </w:rPr>
            </w:pPr>
            <w:bookmarkStart w:id="118" w:name="_Toc7921"/>
            <w:bookmarkStart w:id="119" w:name="_Toc8114"/>
            <w:r>
              <w:rPr>
                <w:rFonts w:hint="default" w:ascii="Times New Roman" w:hAnsi="Times New Roman" w:cs="Times New Roman"/>
                <w:color w:val="auto"/>
                <w:sz w:val="24"/>
              </w:rPr>
              <w:t>DC—指向性校正，它描述点声源的等效连续声压级与产生声功率级Lw的全向点声源在规定方向的声级的偏差程度，dB；</w:t>
            </w:r>
            <w:bookmarkEnd w:id="118"/>
            <w:bookmarkEnd w:id="119"/>
          </w:p>
          <w:p w14:paraId="39F59A6A">
            <w:pPr>
              <w:adjustRightInd w:val="0"/>
              <w:snapToGrid w:val="0"/>
              <w:spacing w:line="360" w:lineRule="auto"/>
              <w:ind w:firstLine="480" w:firstLineChars="200"/>
              <w:outlineLvl w:val="2"/>
              <w:rPr>
                <w:rFonts w:hint="default" w:ascii="Times New Roman" w:hAnsi="Times New Roman" w:cs="Times New Roman"/>
                <w:color w:val="auto"/>
                <w:sz w:val="24"/>
              </w:rPr>
            </w:pPr>
            <w:bookmarkStart w:id="120" w:name="_Toc7151"/>
            <w:bookmarkStart w:id="121" w:name="_Toc14797"/>
            <w:r>
              <w:rPr>
                <w:rFonts w:hint="default" w:ascii="Times New Roman" w:hAnsi="Times New Roman" w:cs="Times New Roman"/>
                <w:color w:val="auto"/>
                <w:sz w:val="24"/>
              </w:rPr>
              <w:t>Adiv—几何发散引起的衰减，dB；</w:t>
            </w:r>
            <w:bookmarkEnd w:id="120"/>
            <w:bookmarkEnd w:id="121"/>
          </w:p>
          <w:p w14:paraId="10018C6D">
            <w:pPr>
              <w:adjustRightInd w:val="0"/>
              <w:snapToGrid w:val="0"/>
              <w:spacing w:line="360" w:lineRule="auto"/>
              <w:ind w:firstLine="480" w:firstLineChars="200"/>
              <w:outlineLvl w:val="2"/>
              <w:rPr>
                <w:rFonts w:hint="default" w:ascii="Times New Roman" w:hAnsi="Times New Roman" w:cs="Times New Roman"/>
                <w:color w:val="auto"/>
                <w:sz w:val="24"/>
              </w:rPr>
            </w:pPr>
            <w:bookmarkStart w:id="122" w:name="_Toc2268"/>
            <w:bookmarkStart w:id="123" w:name="_Toc23113"/>
            <w:r>
              <w:rPr>
                <w:rFonts w:hint="default" w:ascii="Times New Roman" w:hAnsi="Times New Roman" w:cs="Times New Roman"/>
                <w:color w:val="auto"/>
                <w:sz w:val="24"/>
              </w:rPr>
              <w:t>Aatm—大气吸收引起的衰减，dB；</w:t>
            </w:r>
            <w:bookmarkEnd w:id="122"/>
            <w:bookmarkEnd w:id="123"/>
          </w:p>
          <w:p w14:paraId="4858A33F">
            <w:pPr>
              <w:adjustRightInd w:val="0"/>
              <w:snapToGrid w:val="0"/>
              <w:spacing w:line="360" w:lineRule="auto"/>
              <w:ind w:firstLine="480" w:firstLineChars="200"/>
              <w:outlineLvl w:val="2"/>
              <w:rPr>
                <w:rFonts w:hint="default" w:ascii="Times New Roman" w:hAnsi="Times New Roman" w:cs="Times New Roman"/>
                <w:color w:val="auto"/>
                <w:sz w:val="24"/>
              </w:rPr>
            </w:pPr>
            <w:bookmarkStart w:id="124" w:name="_Toc28607"/>
            <w:bookmarkStart w:id="125" w:name="_Toc14965"/>
            <w:r>
              <w:rPr>
                <w:rFonts w:hint="default" w:ascii="Times New Roman" w:hAnsi="Times New Roman" w:cs="Times New Roman"/>
                <w:color w:val="auto"/>
                <w:sz w:val="24"/>
              </w:rPr>
              <w:t>Agr—地面效应引起的衰减，dB；</w:t>
            </w:r>
            <w:bookmarkEnd w:id="124"/>
            <w:bookmarkEnd w:id="125"/>
          </w:p>
          <w:p w14:paraId="521FE90B">
            <w:pPr>
              <w:adjustRightInd w:val="0"/>
              <w:snapToGrid w:val="0"/>
              <w:spacing w:line="360" w:lineRule="auto"/>
              <w:ind w:firstLine="480" w:firstLineChars="200"/>
              <w:outlineLvl w:val="2"/>
              <w:rPr>
                <w:rFonts w:hint="default" w:ascii="Times New Roman" w:hAnsi="Times New Roman" w:cs="Times New Roman"/>
                <w:color w:val="auto"/>
                <w:sz w:val="24"/>
              </w:rPr>
            </w:pPr>
            <w:bookmarkStart w:id="126" w:name="_Toc16577"/>
            <w:bookmarkStart w:id="127" w:name="_Toc4171"/>
            <w:r>
              <w:rPr>
                <w:rFonts w:hint="default" w:ascii="Times New Roman" w:hAnsi="Times New Roman" w:cs="Times New Roman"/>
                <w:color w:val="auto"/>
                <w:sz w:val="24"/>
              </w:rPr>
              <w:t>Abar—障碍物屏蔽引起的衰减，dB；</w:t>
            </w:r>
            <w:bookmarkEnd w:id="126"/>
            <w:bookmarkEnd w:id="127"/>
          </w:p>
          <w:p w14:paraId="368B4C3F">
            <w:pPr>
              <w:adjustRightInd w:val="0"/>
              <w:snapToGrid w:val="0"/>
              <w:spacing w:line="360" w:lineRule="auto"/>
              <w:ind w:firstLine="480" w:firstLineChars="200"/>
              <w:outlineLvl w:val="2"/>
              <w:rPr>
                <w:rFonts w:hint="default" w:ascii="Times New Roman" w:hAnsi="Times New Roman" w:cs="Times New Roman"/>
                <w:color w:val="auto"/>
                <w:sz w:val="24"/>
              </w:rPr>
            </w:pPr>
            <w:bookmarkStart w:id="128" w:name="_Toc20671"/>
            <w:bookmarkStart w:id="129" w:name="_Toc14872"/>
            <w:r>
              <w:rPr>
                <w:rFonts w:hint="default" w:ascii="Times New Roman" w:hAnsi="Times New Roman" w:cs="Times New Roman"/>
                <w:color w:val="auto"/>
                <w:sz w:val="24"/>
              </w:rPr>
              <w:t>Amisc—其他多方面效应引起的衰减，dB。</w:t>
            </w:r>
            <w:bookmarkEnd w:id="128"/>
            <w:bookmarkEnd w:id="129"/>
          </w:p>
          <w:p w14:paraId="39E6C173">
            <w:pPr>
              <w:adjustRightInd w:val="0"/>
              <w:snapToGrid w:val="0"/>
              <w:spacing w:line="360" w:lineRule="auto"/>
              <w:ind w:firstLine="480" w:firstLineChars="200"/>
              <w:outlineLvl w:val="2"/>
              <w:rPr>
                <w:rFonts w:hint="default" w:ascii="Times New Roman" w:hAnsi="Times New Roman" w:cs="Times New Roman"/>
                <w:color w:val="auto"/>
                <w:sz w:val="24"/>
              </w:rPr>
            </w:pPr>
            <w:bookmarkStart w:id="130" w:name="_Toc14650"/>
            <w:bookmarkStart w:id="131" w:name="_Toc12840"/>
            <w:r>
              <w:rPr>
                <w:rFonts w:hint="default" w:ascii="Times New Roman" w:hAnsi="Times New Roman" w:cs="Times New Roman"/>
                <w:color w:val="auto"/>
                <w:sz w:val="24"/>
              </w:rPr>
              <w:t>②预测点的A声级LA(r)可按式4-7计算，即将8个倍频带声压级合成，计算出预测点的A声级[LA(r)]。</w:t>
            </w:r>
            <w:bookmarkEnd w:id="130"/>
            <w:bookmarkEnd w:id="131"/>
            <w:r>
              <w:rPr>
                <w:rFonts w:hint="default" w:ascii="Times New Roman" w:hAnsi="Times New Roman" w:cs="Times New Roman"/>
                <w:color w:val="auto"/>
                <w:sz w:val="24"/>
              </w:rPr>
              <w:tab/>
            </w:r>
          </w:p>
          <w:p w14:paraId="20E3A5BD">
            <w:pPr>
              <w:pStyle w:val="17"/>
              <w:rPr>
                <w:rFonts w:hint="default" w:ascii="Times New Roman" w:hAnsi="Times New Roman" w:cs="Times New Roman"/>
                <w:color w:val="auto"/>
                <w:sz w:val="24"/>
                <w:szCs w:val="24"/>
              </w:rPr>
            </w:pPr>
          </w:p>
          <w:p w14:paraId="797DDFAD">
            <w:pPr>
              <w:adjustRightInd w:val="0"/>
              <w:snapToGrid w:val="0"/>
              <w:spacing w:line="360" w:lineRule="auto"/>
              <w:ind w:firstLine="6000" w:firstLineChars="2500"/>
              <w:outlineLvl w:val="2"/>
              <w:rPr>
                <w:rFonts w:hint="default" w:ascii="Times New Roman" w:hAnsi="Times New Roman" w:cs="Times New Roman"/>
                <w:color w:val="auto"/>
                <w:sz w:val="24"/>
              </w:rPr>
            </w:pPr>
            <w:bookmarkStart w:id="132" w:name="_Toc2790"/>
            <w:bookmarkStart w:id="133" w:name="_Toc14851"/>
            <w:r>
              <w:rPr>
                <w:rFonts w:hint="default" w:ascii="Times New Roman" w:hAnsi="Times New Roman" w:cs="Times New Roman"/>
                <w:color w:val="auto"/>
                <w:sz w:val="24"/>
              </w:rPr>
              <w:pict>
                <v:shape id="Object 4" o:spid="_x0000_s1035" o:spt="75" type="#_x0000_t75" style="position:absolute;left:0pt;margin-left:96.1pt;margin-top:7.25pt;height:38.65pt;width:172.65pt;z-index:251660288;mso-width-relative:page;mso-height-relative:page;" o:ole="t" filled="f" o:preferrelative="t" stroked="f" coordsize="21600,21600">
                  <v:path/>
                  <v:fill on="f" focussize="0,0"/>
                  <v:stroke on="f" joinstyle="miter"/>
                  <v:imagedata r:id="rId31" o:title=""/>
                  <o:lock v:ext="edit" aspectratio="t"/>
                </v:shape>
                <o:OLEObject Type="Embed" ProgID="Equation.3" ShapeID="Object 4" DrawAspect="Content" ObjectID="_1468075734" r:id="rId30">
                  <o:LockedField>false</o:LockedField>
                </o:OLEObject>
              </w:pict>
            </w:r>
          </w:p>
          <w:p w14:paraId="2FC4F76F">
            <w:pPr>
              <w:adjustRightInd w:val="0"/>
              <w:snapToGrid w:val="0"/>
              <w:spacing w:line="360" w:lineRule="auto"/>
              <w:ind w:firstLine="6000" w:firstLineChars="2500"/>
              <w:outlineLvl w:val="2"/>
              <w:rPr>
                <w:rFonts w:hint="default" w:ascii="Times New Roman" w:hAnsi="Times New Roman" w:cs="Times New Roman"/>
                <w:color w:val="auto"/>
                <w:sz w:val="24"/>
              </w:rPr>
            </w:pPr>
            <w:r>
              <w:rPr>
                <w:rFonts w:hint="default" w:ascii="Times New Roman" w:hAnsi="Times New Roman" w:cs="Times New Roman"/>
                <w:color w:val="auto"/>
                <w:sz w:val="24"/>
              </w:rPr>
              <w:t>（式4-7）</w:t>
            </w:r>
            <w:bookmarkEnd w:id="132"/>
            <w:bookmarkEnd w:id="133"/>
          </w:p>
          <w:p w14:paraId="1154FDAC">
            <w:pPr>
              <w:tabs>
                <w:tab w:val="left" w:pos="624"/>
              </w:tabs>
              <w:adjustRightInd w:val="0"/>
              <w:snapToGrid w:val="0"/>
              <w:spacing w:line="360" w:lineRule="auto"/>
              <w:ind w:firstLine="480" w:firstLineChars="200"/>
              <w:outlineLvl w:val="2"/>
              <w:rPr>
                <w:rFonts w:hint="default" w:ascii="Times New Roman" w:hAnsi="Times New Roman" w:cs="Times New Roman"/>
                <w:color w:val="auto"/>
                <w:sz w:val="24"/>
              </w:rPr>
            </w:pPr>
            <w:bookmarkStart w:id="134" w:name="_Toc6809"/>
            <w:bookmarkStart w:id="135" w:name="_Toc14399"/>
            <w:r>
              <w:rPr>
                <w:rFonts w:hint="default" w:ascii="Times New Roman" w:hAnsi="Times New Roman" w:cs="Times New Roman"/>
                <w:color w:val="auto"/>
                <w:sz w:val="24"/>
              </w:rPr>
              <w:t>式中：</w:t>
            </w:r>
            <w:bookmarkEnd w:id="134"/>
            <w:bookmarkEnd w:id="135"/>
          </w:p>
          <w:p w14:paraId="764A6FF9">
            <w:pPr>
              <w:tabs>
                <w:tab w:val="left" w:pos="624"/>
              </w:tabs>
              <w:adjustRightInd w:val="0"/>
              <w:snapToGrid w:val="0"/>
              <w:spacing w:line="360" w:lineRule="auto"/>
              <w:ind w:firstLine="480" w:firstLineChars="200"/>
              <w:outlineLvl w:val="2"/>
              <w:rPr>
                <w:rFonts w:hint="default" w:ascii="Times New Roman" w:hAnsi="Times New Roman" w:cs="Times New Roman"/>
                <w:color w:val="auto"/>
                <w:sz w:val="24"/>
              </w:rPr>
            </w:pPr>
            <w:bookmarkStart w:id="136" w:name="_Toc13330"/>
            <w:bookmarkStart w:id="137" w:name="_Toc18321"/>
            <w:r>
              <w:rPr>
                <w:rFonts w:hint="default" w:ascii="Times New Roman" w:hAnsi="Times New Roman" w:cs="Times New Roman"/>
                <w:color w:val="auto"/>
                <w:sz w:val="24"/>
              </w:rPr>
              <w:t>LA(r)—距声源r处的A声级，dB(A)；</w:t>
            </w:r>
            <w:bookmarkEnd w:id="136"/>
            <w:bookmarkEnd w:id="137"/>
          </w:p>
          <w:p w14:paraId="5F7B4FD0">
            <w:pPr>
              <w:tabs>
                <w:tab w:val="left" w:pos="624"/>
              </w:tabs>
              <w:adjustRightInd w:val="0"/>
              <w:snapToGrid w:val="0"/>
              <w:spacing w:line="360" w:lineRule="auto"/>
              <w:ind w:firstLine="480" w:firstLineChars="200"/>
              <w:outlineLvl w:val="2"/>
              <w:rPr>
                <w:rFonts w:hint="default" w:ascii="Times New Roman" w:hAnsi="Times New Roman" w:cs="Times New Roman"/>
                <w:color w:val="auto"/>
                <w:sz w:val="24"/>
              </w:rPr>
            </w:pPr>
            <w:bookmarkStart w:id="138" w:name="_Toc11748"/>
            <w:bookmarkStart w:id="139" w:name="_Toc1206"/>
            <w:r>
              <w:rPr>
                <w:rFonts w:hint="default" w:ascii="Times New Roman" w:hAnsi="Times New Roman" w:cs="Times New Roman"/>
                <w:color w:val="auto"/>
                <w:sz w:val="24"/>
              </w:rPr>
              <w:t>Lpi(r)—预测点（r）处，第i倍频带声压级，dB；</w:t>
            </w:r>
            <w:bookmarkEnd w:id="138"/>
            <w:bookmarkEnd w:id="139"/>
          </w:p>
          <w:p w14:paraId="500AB867">
            <w:pPr>
              <w:tabs>
                <w:tab w:val="left" w:pos="624"/>
              </w:tabs>
              <w:adjustRightInd w:val="0"/>
              <w:snapToGrid w:val="0"/>
              <w:spacing w:line="360" w:lineRule="auto"/>
              <w:ind w:firstLine="480" w:firstLineChars="200"/>
              <w:outlineLvl w:val="2"/>
              <w:rPr>
                <w:rFonts w:hint="default" w:ascii="Times New Roman" w:hAnsi="Times New Roman" w:cs="Times New Roman"/>
                <w:color w:val="auto"/>
                <w:sz w:val="24"/>
              </w:rPr>
            </w:pPr>
            <w:bookmarkStart w:id="140" w:name="_Toc28392"/>
            <w:bookmarkStart w:id="141" w:name="_Toc3937"/>
            <w:r>
              <w:rPr>
                <w:rFonts w:hint="default" w:ascii="Times New Roman" w:hAnsi="Times New Roman" w:cs="Times New Roman"/>
                <w:color w:val="auto"/>
                <w:sz w:val="24"/>
              </w:rPr>
              <w:t>ΔLi—第i倍频带的A计权网络修正值，dB。</w:t>
            </w:r>
            <w:bookmarkEnd w:id="140"/>
            <w:bookmarkEnd w:id="141"/>
          </w:p>
          <w:p w14:paraId="1618DDD0">
            <w:pPr>
              <w:tabs>
                <w:tab w:val="left" w:pos="624"/>
              </w:tabs>
              <w:adjustRightInd w:val="0"/>
              <w:snapToGrid w:val="0"/>
              <w:spacing w:line="360" w:lineRule="auto"/>
              <w:ind w:firstLine="480" w:firstLineChars="200"/>
              <w:outlineLvl w:val="2"/>
              <w:rPr>
                <w:rFonts w:hint="default" w:ascii="Times New Roman" w:hAnsi="Times New Roman" w:cs="Times New Roman"/>
                <w:color w:val="auto"/>
                <w:sz w:val="24"/>
              </w:rPr>
            </w:pPr>
            <w:bookmarkStart w:id="142" w:name="_Toc24266"/>
            <w:bookmarkStart w:id="143" w:name="_Toc23761"/>
            <w:r>
              <w:rPr>
                <w:rFonts w:hint="default" w:ascii="Times New Roman" w:hAnsi="Times New Roman" w:cs="Times New Roman"/>
                <w:color w:val="auto"/>
                <w:sz w:val="24"/>
              </w:rPr>
              <w:t>③在只考虑几何发散衰减时，可按式4-8计算。</w:t>
            </w:r>
            <w:bookmarkEnd w:id="142"/>
            <w:bookmarkEnd w:id="143"/>
          </w:p>
          <w:p w14:paraId="6482259A">
            <w:pPr>
              <w:adjustRightInd w:val="0"/>
              <w:snapToGrid w:val="0"/>
              <w:spacing w:line="360" w:lineRule="auto"/>
              <w:ind w:firstLine="480" w:firstLineChars="200"/>
              <w:jc w:val="center"/>
              <w:outlineLvl w:val="2"/>
              <w:rPr>
                <w:rFonts w:hint="default" w:ascii="Times New Roman" w:hAnsi="Times New Roman" w:cs="Times New Roman"/>
                <w:color w:val="auto"/>
                <w:sz w:val="24"/>
              </w:rPr>
            </w:pPr>
            <w:bookmarkStart w:id="144" w:name="_Toc6504"/>
            <w:bookmarkStart w:id="145" w:name="_Toc12994"/>
            <w:r>
              <w:rPr>
                <w:rFonts w:hint="default" w:ascii="Times New Roman" w:hAnsi="Times New Roman" w:cs="Times New Roman"/>
                <w:color w:val="auto"/>
                <w:sz w:val="24"/>
              </w:rPr>
              <w:t>LA(r)＝LA(r0)－Adiv（式4-8）</w:t>
            </w:r>
            <w:bookmarkEnd w:id="144"/>
            <w:bookmarkEnd w:id="145"/>
          </w:p>
          <w:p w14:paraId="40C71C63">
            <w:pPr>
              <w:adjustRightInd w:val="0"/>
              <w:snapToGrid w:val="0"/>
              <w:spacing w:line="360" w:lineRule="auto"/>
              <w:ind w:firstLine="480" w:firstLineChars="200"/>
              <w:outlineLvl w:val="2"/>
              <w:rPr>
                <w:rFonts w:hint="default" w:ascii="Times New Roman" w:hAnsi="Times New Roman" w:cs="Times New Roman"/>
                <w:color w:val="auto"/>
                <w:sz w:val="24"/>
              </w:rPr>
            </w:pPr>
            <w:bookmarkStart w:id="146" w:name="_Toc32494"/>
            <w:bookmarkStart w:id="147" w:name="_Toc17694"/>
            <w:r>
              <w:rPr>
                <w:rFonts w:hint="default" w:ascii="Times New Roman" w:hAnsi="Times New Roman" w:cs="Times New Roman"/>
                <w:color w:val="auto"/>
                <w:sz w:val="24"/>
              </w:rPr>
              <w:t>④衰减项计算按《环境影响评价技术导则声环境》(HJ2.4-2021)中附录A.3中的模式计算。</w:t>
            </w:r>
            <w:bookmarkEnd w:id="146"/>
            <w:bookmarkEnd w:id="147"/>
          </w:p>
          <w:p w14:paraId="52256568">
            <w:pPr>
              <w:adjustRightInd w:val="0"/>
              <w:snapToGrid w:val="0"/>
              <w:spacing w:line="360" w:lineRule="auto"/>
              <w:ind w:firstLine="480" w:firstLineChars="200"/>
              <w:outlineLvl w:val="2"/>
              <w:rPr>
                <w:rFonts w:hint="default" w:ascii="Times New Roman" w:hAnsi="Times New Roman" w:cs="Times New Roman"/>
                <w:color w:val="auto"/>
                <w:sz w:val="24"/>
              </w:rPr>
            </w:pPr>
            <w:bookmarkStart w:id="148" w:name="_Toc22046"/>
            <w:bookmarkStart w:id="149" w:name="_Toc65"/>
            <w:r>
              <w:rPr>
                <w:rFonts w:hint="default" w:ascii="Times New Roman" w:hAnsi="Times New Roman" w:cs="Times New Roman"/>
                <w:color w:val="auto"/>
                <w:sz w:val="24"/>
              </w:rPr>
              <w:t>3）靠近声源处的预测点噪声预测模型</w:t>
            </w:r>
            <w:bookmarkEnd w:id="148"/>
            <w:bookmarkEnd w:id="149"/>
          </w:p>
          <w:p w14:paraId="63F7505B">
            <w:pPr>
              <w:adjustRightInd w:val="0"/>
              <w:snapToGrid w:val="0"/>
              <w:spacing w:line="360" w:lineRule="auto"/>
              <w:ind w:firstLine="480" w:firstLineChars="200"/>
              <w:outlineLvl w:val="2"/>
              <w:rPr>
                <w:rFonts w:hint="default" w:ascii="Times New Roman" w:hAnsi="Times New Roman" w:cs="Times New Roman"/>
                <w:color w:val="auto"/>
                <w:sz w:val="24"/>
              </w:rPr>
            </w:pPr>
            <w:bookmarkStart w:id="150" w:name="_Toc11255"/>
            <w:bookmarkStart w:id="151" w:name="_Toc8613"/>
            <w:r>
              <w:rPr>
                <w:rFonts w:hint="default" w:ascii="Times New Roman" w:hAnsi="Times New Roman" w:cs="Times New Roman"/>
                <w:color w:val="auto"/>
                <w:sz w:val="24"/>
              </w:rPr>
              <w:t>如预测点在靠近声源处，但不能满足点声源条件时，需按线声源或面声源模型计算。</w:t>
            </w:r>
            <w:bookmarkEnd w:id="150"/>
            <w:bookmarkEnd w:id="151"/>
          </w:p>
          <w:p w14:paraId="6EE2134B">
            <w:pPr>
              <w:adjustRightInd w:val="0"/>
              <w:snapToGrid w:val="0"/>
              <w:spacing w:line="360" w:lineRule="auto"/>
              <w:ind w:firstLine="480" w:firstLineChars="200"/>
              <w:outlineLvl w:val="2"/>
              <w:rPr>
                <w:rFonts w:hint="default" w:ascii="Times New Roman" w:hAnsi="Times New Roman" w:cs="Times New Roman"/>
                <w:color w:val="auto"/>
                <w:sz w:val="24"/>
              </w:rPr>
            </w:pPr>
            <w:bookmarkStart w:id="152" w:name="_Toc32574"/>
            <w:bookmarkStart w:id="153" w:name="_Toc2467"/>
            <w:r>
              <w:rPr>
                <w:rFonts w:hint="default" w:ascii="Times New Roman" w:hAnsi="Times New Roman" w:cs="Times New Roman"/>
                <w:color w:val="auto"/>
                <w:sz w:val="24"/>
              </w:rPr>
              <w:t>4）工业企业噪声计算</w:t>
            </w:r>
            <w:bookmarkEnd w:id="152"/>
            <w:bookmarkEnd w:id="153"/>
          </w:p>
          <w:p w14:paraId="60F2F24D">
            <w:pPr>
              <w:adjustRightInd w:val="0"/>
              <w:snapToGrid w:val="0"/>
              <w:spacing w:line="360" w:lineRule="auto"/>
              <w:ind w:firstLine="480" w:firstLineChars="200"/>
              <w:outlineLvl w:val="2"/>
              <w:rPr>
                <w:rFonts w:hint="default" w:ascii="Times New Roman" w:hAnsi="Times New Roman" w:cs="Times New Roman"/>
                <w:color w:val="auto"/>
                <w:sz w:val="24"/>
              </w:rPr>
            </w:pPr>
            <w:bookmarkStart w:id="154" w:name="_Toc19354"/>
            <w:bookmarkStart w:id="155" w:name="_Toc9634"/>
            <w:r>
              <w:rPr>
                <w:rFonts w:hint="default" w:ascii="Times New Roman" w:hAnsi="Times New Roman" w:cs="Times New Roman"/>
                <w:color w:val="auto"/>
                <w:sz w:val="24"/>
              </w:rPr>
              <w:t>设第i个室外声源在预测点产生的A声级为LAi，在T时间内该声源工作时间为ti；第j个等效室外声源在预测点产生的A声级为LAj，在T时间内该声源工作时间为tj，则拟建工程声源对预测点产生的贡献值（Leqg）为：</w:t>
            </w:r>
            <w:bookmarkEnd w:id="154"/>
            <w:bookmarkEnd w:id="155"/>
          </w:p>
          <w:p w14:paraId="7D365A0E">
            <w:pPr>
              <w:adjustRightInd w:val="0"/>
              <w:snapToGrid w:val="0"/>
              <w:spacing w:line="360" w:lineRule="auto"/>
              <w:ind w:firstLine="6480" w:firstLineChars="2700"/>
              <w:outlineLvl w:val="2"/>
              <w:rPr>
                <w:rFonts w:hint="default" w:ascii="Times New Roman" w:hAnsi="Times New Roman" w:cs="Times New Roman"/>
                <w:color w:val="auto"/>
                <w:sz w:val="24"/>
              </w:rPr>
            </w:pPr>
          </w:p>
          <w:p w14:paraId="5807CA4F">
            <w:pPr>
              <w:adjustRightInd w:val="0"/>
              <w:snapToGrid w:val="0"/>
              <w:spacing w:line="360" w:lineRule="auto"/>
              <w:ind w:firstLine="6480" w:firstLineChars="2700"/>
              <w:outlineLvl w:val="2"/>
              <w:rPr>
                <w:rFonts w:hint="default" w:ascii="Times New Roman" w:hAnsi="Times New Roman" w:cs="Times New Roman"/>
                <w:color w:val="auto"/>
                <w:sz w:val="24"/>
              </w:rPr>
            </w:pPr>
            <w:bookmarkStart w:id="156" w:name="_Toc23359"/>
            <w:bookmarkStart w:id="157" w:name="_Toc19343"/>
            <w:r>
              <w:rPr>
                <w:rFonts w:hint="default" w:ascii="Times New Roman" w:hAnsi="Times New Roman" w:cs="Times New Roman"/>
                <w:color w:val="auto"/>
                <w:sz w:val="24"/>
              </w:rPr>
              <w:pict>
                <v:shape id="Object 5" o:spid="_x0000_s1036" o:spt="75" type="#_x0000_t75" style="position:absolute;left:0pt;margin-left:77.95pt;margin-top:4.55pt;height:40pt;width:204pt;z-index:251659264;mso-width-relative:page;mso-height-relative:page;" o:ole="t" filled="f" o:preferrelative="t" stroked="f" coordsize="21600,21600">
                  <v:path/>
                  <v:fill on="f" focussize="0,0"/>
                  <v:stroke on="f" joinstyle="miter"/>
                  <v:imagedata r:id="rId33" o:title=""/>
                  <o:lock v:ext="edit" aspectratio="t"/>
                </v:shape>
                <o:OLEObject Type="Embed" ProgID="Equation.3" ShapeID="Object 5" DrawAspect="Content" ObjectID="_1468075735" r:id="rId32">
                  <o:LockedField>false</o:LockedField>
                </o:OLEObject>
              </w:pict>
            </w:r>
            <w:r>
              <w:rPr>
                <w:rFonts w:hint="default" w:ascii="Times New Roman" w:hAnsi="Times New Roman" w:cs="Times New Roman"/>
                <w:color w:val="auto"/>
                <w:sz w:val="24"/>
              </w:rPr>
              <w:t>（式4-9）</w:t>
            </w:r>
            <w:bookmarkEnd w:id="156"/>
            <w:bookmarkEnd w:id="157"/>
          </w:p>
          <w:p w14:paraId="18C6652D">
            <w:pPr>
              <w:adjustRightInd w:val="0"/>
              <w:snapToGrid w:val="0"/>
              <w:spacing w:line="360" w:lineRule="auto"/>
              <w:outlineLvl w:val="2"/>
              <w:rPr>
                <w:rFonts w:hint="default" w:ascii="Times New Roman" w:hAnsi="Times New Roman" w:cs="Times New Roman"/>
                <w:color w:val="auto"/>
                <w:sz w:val="24"/>
              </w:rPr>
            </w:pPr>
          </w:p>
          <w:p w14:paraId="7D04FFB7">
            <w:pPr>
              <w:adjustRightInd w:val="0"/>
              <w:snapToGrid w:val="0"/>
              <w:spacing w:line="360" w:lineRule="auto"/>
              <w:ind w:firstLine="480" w:firstLineChars="200"/>
              <w:outlineLvl w:val="2"/>
              <w:rPr>
                <w:rFonts w:hint="default" w:ascii="Times New Roman" w:hAnsi="Times New Roman" w:cs="Times New Roman"/>
                <w:color w:val="auto"/>
                <w:sz w:val="24"/>
              </w:rPr>
            </w:pPr>
            <w:bookmarkStart w:id="158" w:name="_Toc19639"/>
            <w:bookmarkStart w:id="159" w:name="_Toc25363"/>
            <w:r>
              <w:rPr>
                <w:rFonts w:hint="default" w:ascii="Times New Roman" w:hAnsi="Times New Roman" w:cs="Times New Roman"/>
                <w:color w:val="auto"/>
                <w:sz w:val="24"/>
              </w:rPr>
              <w:t>式中：</w:t>
            </w:r>
            <w:bookmarkEnd w:id="158"/>
            <w:bookmarkEnd w:id="159"/>
          </w:p>
          <w:p w14:paraId="238450AC">
            <w:pPr>
              <w:adjustRightInd w:val="0"/>
              <w:snapToGrid w:val="0"/>
              <w:spacing w:line="360" w:lineRule="auto"/>
              <w:ind w:firstLine="480" w:firstLineChars="200"/>
              <w:outlineLvl w:val="2"/>
              <w:rPr>
                <w:rFonts w:hint="default" w:ascii="Times New Roman" w:hAnsi="Times New Roman" w:cs="Times New Roman"/>
                <w:color w:val="auto"/>
                <w:sz w:val="24"/>
              </w:rPr>
            </w:pPr>
            <w:bookmarkStart w:id="160" w:name="_Toc20636"/>
            <w:bookmarkStart w:id="161" w:name="_Toc26599"/>
            <w:r>
              <w:rPr>
                <w:rFonts w:hint="default" w:ascii="Times New Roman" w:hAnsi="Times New Roman" w:cs="Times New Roman"/>
                <w:color w:val="auto"/>
                <w:sz w:val="24"/>
              </w:rPr>
              <w:t>Leqg—建设项目声源在预测点产生的噪声贡献值，dB；</w:t>
            </w:r>
            <w:bookmarkEnd w:id="160"/>
            <w:bookmarkEnd w:id="161"/>
          </w:p>
          <w:p w14:paraId="22596BA0">
            <w:pPr>
              <w:adjustRightInd w:val="0"/>
              <w:snapToGrid w:val="0"/>
              <w:spacing w:line="360" w:lineRule="auto"/>
              <w:ind w:firstLine="480" w:firstLineChars="200"/>
              <w:outlineLvl w:val="2"/>
              <w:rPr>
                <w:rFonts w:hint="default" w:ascii="Times New Roman" w:hAnsi="Times New Roman" w:cs="Times New Roman"/>
                <w:color w:val="auto"/>
                <w:sz w:val="24"/>
              </w:rPr>
            </w:pPr>
            <w:bookmarkStart w:id="162" w:name="_Toc26032"/>
            <w:bookmarkStart w:id="163" w:name="_Toc2111"/>
            <w:r>
              <w:rPr>
                <w:rFonts w:hint="default" w:ascii="Times New Roman" w:hAnsi="Times New Roman" w:cs="Times New Roman"/>
                <w:color w:val="auto"/>
                <w:sz w:val="24"/>
              </w:rPr>
              <w:t>T—用于计算等效声级的时间，s；</w:t>
            </w:r>
            <w:bookmarkEnd w:id="162"/>
            <w:bookmarkEnd w:id="163"/>
          </w:p>
          <w:p w14:paraId="166C4543">
            <w:pPr>
              <w:adjustRightInd w:val="0"/>
              <w:snapToGrid w:val="0"/>
              <w:spacing w:line="360" w:lineRule="auto"/>
              <w:ind w:firstLine="480" w:firstLineChars="200"/>
              <w:outlineLvl w:val="2"/>
              <w:rPr>
                <w:rFonts w:hint="default" w:ascii="Times New Roman" w:hAnsi="Times New Roman" w:cs="Times New Roman"/>
                <w:color w:val="auto"/>
                <w:sz w:val="24"/>
              </w:rPr>
            </w:pPr>
            <w:bookmarkStart w:id="164" w:name="_Toc24473"/>
            <w:bookmarkStart w:id="165" w:name="_Toc20338"/>
            <w:r>
              <w:rPr>
                <w:rFonts w:hint="default" w:ascii="Times New Roman" w:hAnsi="Times New Roman" w:cs="Times New Roman"/>
                <w:color w:val="auto"/>
                <w:sz w:val="24"/>
              </w:rPr>
              <w:t>N—室外声源个数；</w:t>
            </w:r>
            <w:bookmarkEnd w:id="164"/>
            <w:bookmarkEnd w:id="165"/>
          </w:p>
          <w:p w14:paraId="63EDB851">
            <w:pPr>
              <w:adjustRightInd w:val="0"/>
              <w:snapToGrid w:val="0"/>
              <w:spacing w:line="360" w:lineRule="auto"/>
              <w:ind w:firstLine="480" w:firstLineChars="200"/>
              <w:outlineLvl w:val="2"/>
              <w:rPr>
                <w:rFonts w:hint="default" w:ascii="Times New Roman" w:hAnsi="Times New Roman" w:cs="Times New Roman"/>
                <w:color w:val="auto"/>
                <w:sz w:val="24"/>
              </w:rPr>
            </w:pPr>
            <w:bookmarkStart w:id="166" w:name="_Toc18262"/>
            <w:bookmarkStart w:id="167" w:name="_Toc4066"/>
            <w:r>
              <w:rPr>
                <w:rFonts w:hint="default" w:ascii="Times New Roman" w:hAnsi="Times New Roman" w:cs="Times New Roman"/>
                <w:color w:val="auto"/>
                <w:sz w:val="24"/>
              </w:rPr>
              <w:t>ti—在T时间内i声源工作时间，s；</w:t>
            </w:r>
            <w:bookmarkEnd w:id="166"/>
            <w:bookmarkEnd w:id="167"/>
          </w:p>
          <w:p w14:paraId="33ACC61C">
            <w:pPr>
              <w:adjustRightInd w:val="0"/>
              <w:snapToGrid w:val="0"/>
              <w:spacing w:line="360" w:lineRule="auto"/>
              <w:ind w:firstLine="480" w:firstLineChars="200"/>
              <w:outlineLvl w:val="2"/>
              <w:rPr>
                <w:rFonts w:hint="default" w:ascii="Times New Roman" w:hAnsi="Times New Roman" w:cs="Times New Roman"/>
                <w:color w:val="auto"/>
                <w:sz w:val="24"/>
              </w:rPr>
            </w:pPr>
            <w:bookmarkStart w:id="168" w:name="_Toc2217"/>
            <w:bookmarkStart w:id="169" w:name="_Toc25762"/>
            <w:r>
              <w:rPr>
                <w:rFonts w:hint="default" w:ascii="Times New Roman" w:hAnsi="Times New Roman" w:cs="Times New Roman"/>
                <w:color w:val="auto"/>
                <w:sz w:val="24"/>
              </w:rPr>
              <w:t>M—等效室外声源个数；</w:t>
            </w:r>
            <w:bookmarkEnd w:id="168"/>
            <w:bookmarkEnd w:id="169"/>
          </w:p>
          <w:p w14:paraId="7EF6443E">
            <w:pPr>
              <w:adjustRightInd w:val="0"/>
              <w:snapToGrid w:val="0"/>
              <w:spacing w:line="360" w:lineRule="auto"/>
              <w:ind w:firstLine="480" w:firstLineChars="200"/>
              <w:outlineLvl w:val="2"/>
              <w:rPr>
                <w:rFonts w:hint="default" w:ascii="Times New Roman" w:hAnsi="Times New Roman" w:cs="Times New Roman"/>
                <w:color w:val="auto"/>
                <w:sz w:val="24"/>
              </w:rPr>
            </w:pPr>
            <w:bookmarkStart w:id="170" w:name="_Toc5731"/>
            <w:bookmarkStart w:id="171" w:name="_Toc30080"/>
            <w:r>
              <w:rPr>
                <w:rFonts w:hint="default" w:ascii="Times New Roman" w:hAnsi="Times New Roman" w:cs="Times New Roman"/>
                <w:color w:val="auto"/>
                <w:sz w:val="24"/>
              </w:rPr>
              <w:t>tj—在T时间内j声源工作时间，s。</w:t>
            </w:r>
            <w:bookmarkEnd w:id="170"/>
            <w:bookmarkEnd w:id="171"/>
          </w:p>
          <w:p w14:paraId="58992821">
            <w:pPr>
              <w:adjustRightInd w:val="0"/>
              <w:snapToGrid w:val="0"/>
              <w:spacing w:line="360" w:lineRule="auto"/>
              <w:ind w:firstLine="480" w:firstLineChars="200"/>
              <w:outlineLvl w:val="2"/>
              <w:rPr>
                <w:rFonts w:hint="default" w:ascii="Times New Roman" w:hAnsi="Times New Roman" w:cs="Times New Roman"/>
                <w:color w:val="auto"/>
                <w:sz w:val="24"/>
              </w:rPr>
            </w:pPr>
            <w:bookmarkStart w:id="172" w:name="_Toc1592"/>
            <w:bookmarkStart w:id="173" w:name="_Toc24978"/>
            <w:r>
              <w:rPr>
                <w:rFonts w:hint="default" w:ascii="Times New Roman" w:hAnsi="Times New Roman" w:cs="Times New Roman"/>
                <w:color w:val="auto"/>
                <w:sz w:val="24"/>
              </w:rPr>
              <w:t>E、预测值计算</w:t>
            </w:r>
            <w:bookmarkEnd w:id="172"/>
            <w:bookmarkEnd w:id="173"/>
          </w:p>
          <w:p w14:paraId="31DAA4E7">
            <w:pPr>
              <w:adjustRightInd w:val="0"/>
              <w:snapToGrid w:val="0"/>
              <w:spacing w:line="360" w:lineRule="auto"/>
              <w:ind w:firstLine="2640" w:firstLineChars="1100"/>
              <w:outlineLvl w:val="2"/>
              <w:rPr>
                <w:rFonts w:hint="default" w:ascii="Times New Roman" w:hAnsi="Times New Roman" w:cs="Times New Roman"/>
                <w:color w:val="auto"/>
                <w:sz w:val="24"/>
              </w:rPr>
            </w:pPr>
            <w:bookmarkStart w:id="174" w:name="_Toc30345"/>
            <w:bookmarkStart w:id="175" w:name="_Toc10267"/>
            <w:r>
              <w:rPr>
                <w:rFonts w:hint="default" w:ascii="Times New Roman" w:hAnsi="Times New Roman" w:cs="Times New Roman"/>
                <w:color w:val="auto"/>
                <w:sz w:val="24"/>
              </w:rPr>
              <w:object>
                <v:shape id="_x0000_i1032" o:spt="75" type="#_x0000_t75" style="height:23.25pt;width:174pt;" o:ole="t" filled="f" o:preferrelative="t" stroked="f" coordsize="21600,21600">
                  <v:path/>
                  <v:fill on="f" focussize="0,0"/>
                  <v:stroke on="f" joinstyle="miter"/>
                  <v:imagedata r:id="rId35" o:title=""/>
                  <o:lock v:ext="edit" aspectratio="t"/>
                  <w10:wrap type="none"/>
                  <w10:anchorlock/>
                </v:shape>
                <o:OLEObject Type="Embed" ProgID="Equation.3" ShapeID="_x0000_i1032" DrawAspect="Content" ObjectID="_1468075736" r:id="rId34">
                  <o:LockedField>false</o:LockedField>
                </o:OLEObject>
              </w:object>
            </w:r>
            <w:r>
              <w:rPr>
                <w:rFonts w:hint="default" w:ascii="Times New Roman" w:hAnsi="Times New Roman" w:cs="Times New Roman"/>
                <w:color w:val="auto"/>
                <w:sz w:val="24"/>
              </w:rPr>
              <w:t>（式4-10）</w:t>
            </w:r>
            <w:bookmarkEnd w:id="174"/>
            <w:bookmarkEnd w:id="175"/>
          </w:p>
          <w:p w14:paraId="08E9EFFA">
            <w:pPr>
              <w:adjustRightInd w:val="0"/>
              <w:snapToGrid w:val="0"/>
              <w:spacing w:line="360" w:lineRule="auto"/>
              <w:ind w:firstLine="480" w:firstLineChars="200"/>
              <w:outlineLvl w:val="2"/>
              <w:rPr>
                <w:rFonts w:hint="default" w:ascii="Times New Roman" w:hAnsi="Times New Roman" w:cs="Times New Roman"/>
                <w:color w:val="auto"/>
                <w:sz w:val="24"/>
              </w:rPr>
            </w:pPr>
            <w:bookmarkStart w:id="176" w:name="_Toc30969"/>
            <w:bookmarkStart w:id="177" w:name="_Toc19598"/>
            <w:r>
              <w:rPr>
                <w:rFonts w:hint="default" w:ascii="Times New Roman" w:hAnsi="Times New Roman" w:cs="Times New Roman"/>
                <w:color w:val="auto"/>
                <w:sz w:val="24"/>
              </w:rPr>
              <w:t>式中：</w:t>
            </w:r>
            <w:bookmarkEnd w:id="176"/>
            <w:bookmarkEnd w:id="177"/>
          </w:p>
          <w:p w14:paraId="07C667ED">
            <w:pPr>
              <w:adjustRightInd w:val="0"/>
              <w:snapToGrid w:val="0"/>
              <w:spacing w:line="360" w:lineRule="auto"/>
              <w:ind w:firstLine="480" w:firstLineChars="200"/>
              <w:outlineLvl w:val="2"/>
              <w:rPr>
                <w:rFonts w:hint="default" w:ascii="Times New Roman" w:hAnsi="Times New Roman" w:cs="Times New Roman"/>
                <w:color w:val="auto"/>
                <w:sz w:val="24"/>
              </w:rPr>
            </w:pPr>
            <w:bookmarkStart w:id="178" w:name="_Toc27255"/>
            <w:bookmarkStart w:id="179" w:name="_Toc698"/>
            <w:r>
              <w:rPr>
                <w:rFonts w:hint="default" w:ascii="Times New Roman" w:hAnsi="Times New Roman" w:cs="Times New Roman"/>
                <w:color w:val="auto"/>
                <w:sz w:val="24"/>
              </w:rPr>
              <w:t>Leq—预测点的噪声预测值，dB；</w:t>
            </w:r>
            <w:bookmarkEnd w:id="178"/>
            <w:bookmarkEnd w:id="179"/>
          </w:p>
          <w:p w14:paraId="0B015C79">
            <w:pPr>
              <w:adjustRightInd w:val="0"/>
              <w:snapToGrid w:val="0"/>
              <w:spacing w:line="360" w:lineRule="auto"/>
              <w:ind w:firstLine="480" w:firstLineChars="200"/>
              <w:outlineLvl w:val="2"/>
              <w:rPr>
                <w:rFonts w:hint="default" w:ascii="Times New Roman" w:hAnsi="Times New Roman" w:cs="Times New Roman"/>
                <w:color w:val="auto"/>
                <w:sz w:val="24"/>
              </w:rPr>
            </w:pPr>
            <w:bookmarkStart w:id="180" w:name="_Toc21697"/>
            <w:bookmarkStart w:id="181" w:name="_Toc20633"/>
            <w:r>
              <w:rPr>
                <w:rFonts w:hint="default" w:ascii="Times New Roman" w:hAnsi="Times New Roman" w:cs="Times New Roman"/>
                <w:color w:val="auto"/>
                <w:sz w:val="24"/>
              </w:rPr>
              <w:t>Leqg—建设项目声源在预测点产生的噪声贡献值，dB；</w:t>
            </w:r>
            <w:bookmarkEnd w:id="180"/>
            <w:bookmarkEnd w:id="181"/>
          </w:p>
          <w:p w14:paraId="53C15A9D">
            <w:pPr>
              <w:widowControl/>
              <w:tabs>
                <w:tab w:val="left" w:pos="896"/>
              </w:tabs>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Leqb—预测点的背景噪声值，dB。</w:t>
            </w:r>
          </w:p>
          <w:p w14:paraId="3DC25360">
            <w:pPr>
              <w:widowControl/>
              <w:tabs>
                <w:tab w:val="left" w:pos="896"/>
              </w:tabs>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2、预测参数选取</w:t>
            </w:r>
          </w:p>
          <w:p w14:paraId="5DC3D4BD">
            <w:pPr>
              <w:widowControl/>
              <w:tabs>
                <w:tab w:val="left" w:pos="896"/>
              </w:tabs>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本项目主要噪声设备及噪声源强见项目源强分析。</w:t>
            </w:r>
          </w:p>
          <w:p w14:paraId="4FE99780">
            <w:pPr>
              <w:widowControl/>
              <w:tabs>
                <w:tab w:val="left" w:pos="896"/>
              </w:tabs>
              <w:adjustRightInd w:val="0"/>
              <w:snapToGrid w:val="0"/>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3、预测计算结果</w:t>
            </w:r>
          </w:p>
          <w:p w14:paraId="37642D5A">
            <w:pPr>
              <w:widowControl/>
              <w:tabs>
                <w:tab w:val="left" w:pos="896"/>
              </w:tabs>
              <w:adjustRightInd w:val="0"/>
              <w:snapToGrid w:val="0"/>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rPr>
              <w:t>本项目运行后厂区噪声预测结果见下表。</w:t>
            </w:r>
          </w:p>
          <w:p w14:paraId="4F1321D2">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表4.2.6-1  噪声预测结果与达标分析表单位：dB（A）</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7"/>
              <w:gridCol w:w="1164"/>
              <w:gridCol w:w="1215"/>
              <w:gridCol w:w="1185"/>
              <w:gridCol w:w="1170"/>
              <w:gridCol w:w="1555"/>
            </w:tblGrid>
            <w:tr w14:paraId="68B72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1647" w:type="dxa"/>
                  <w:vMerge w:val="restart"/>
                  <w:vAlign w:val="center"/>
                </w:tcPr>
                <w:p w14:paraId="77C72042">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预测点</w:t>
                  </w:r>
                </w:p>
              </w:tc>
              <w:tc>
                <w:tcPr>
                  <w:tcW w:w="2379" w:type="dxa"/>
                  <w:gridSpan w:val="2"/>
                  <w:vAlign w:val="center"/>
                </w:tcPr>
                <w:p w14:paraId="32E19FD7">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贡献值</w:t>
                  </w:r>
                </w:p>
              </w:tc>
              <w:tc>
                <w:tcPr>
                  <w:tcW w:w="2355" w:type="dxa"/>
                  <w:gridSpan w:val="2"/>
                  <w:vAlign w:val="center"/>
                </w:tcPr>
                <w:p w14:paraId="21FBDE23">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限值</w:t>
                  </w:r>
                </w:p>
              </w:tc>
              <w:tc>
                <w:tcPr>
                  <w:tcW w:w="1555" w:type="dxa"/>
                  <w:vMerge w:val="restart"/>
                  <w:vAlign w:val="center"/>
                </w:tcPr>
                <w:p w14:paraId="4C13271E">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达标情况</w:t>
                  </w:r>
                </w:p>
              </w:tc>
            </w:tr>
            <w:tr w14:paraId="16D3D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647" w:type="dxa"/>
                  <w:vMerge w:val="continue"/>
                  <w:vAlign w:val="center"/>
                </w:tcPr>
                <w:p w14:paraId="12BF1CC7">
                  <w:pPr>
                    <w:pStyle w:val="17"/>
                    <w:jc w:val="center"/>
                    <w:rPr>
                      <w:rFonts w:hint="default" w:ascii="Times New Roman" w:hAnsi="Times New Roman" w:cs="Times New Roman"/>
                      <w:b/>
                      <w:bCs/>
                      <w:color w:val="auto"/>
                      <w:sz w:val="18"/>
                      <w:szCs w:val="18"/>
                    </w:rPr>
                  </w:pPr>
                </w:p>
              </w:tc>
              <w:tc>
                <w:tcPr>
                  <w:tcW w:w="1164" w:type="dxa"/>
                  <w:vAlign w:val="center"/>
                </w:tcPr>
                <w:p w14:paraId="334A8CC3">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昼间</w:t>
                  </w:r>
                </w:p>
              </w:tc>
              <w:tc>
                <w:tcPr>
                  <w:tcW w:w="1215" w:type="dxa"/>
                  <w:vAlign w:val="center"/>
                </w:tcPr>
                <w:p w14:paraId="6B8B6841">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夜间</w:t>
                  </w:r>
                </w:p>
              </w:tc>
              <w:tc>
                <w:tcPr>
                  <w:tcW w:w="1185" w:type="dxa"/>
                  <w:vAlign w:val="center"/>
                </w:tcPr>
                <w:p w14:paraId="72874F78">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昼间</w:t>
                  </w:r>
                </w:p>
              </w:tc>
              <w:tc>
                <w:tcPr>
                  <w:tcW w:w="1170" w:type="dxa"/>
                  <w:vAlign w:val="center"/>
                </w:tcPr>
                <w:p w14:paraId="559EDEAF">
                  <w:pPr>
                    <w:pStyle w:val="17"/>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夜间</w:t>
                  </w:r>
                </w:p>
              </w:tc>
              <w:tc>
                <w:tcPr>
                  <w:tcW w:w="1555" w:type="dxa"/>
                  <w:vMerge w:val="continue"/>
                  <w:vAlign w:val="center"/>
                </w:tcPr>
                <w:p w14:paraId="2A2F0E43">
                  <w:pPr>
                    <w:pStyle w:val="17"/>
                    <w:jc w:val="center"/>
                    <w:rPr>
                      <w:rFonts w:hint="default" w:ascii="Times New Roman" w:hAnsi="Times New Roman" w:cs="Times New Roman"/>
                      <w:b/>
                      <w:bCs/>
                      <w:color w:val="auto"/>
                      <w:sz w:val="18"/>
                      <w:szCs w:val="18"/>
                    </w:rPr>
                  </w:pPr>
                </w:p>
              </w:tc>
            </w:tr>
            <w:tr w14:paraId="2743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47" w:type="dxa"/>
                  <w:vAlign w:val="center"/>
                </w:tcPr>
                <w:p w14:paraId="33BA4358">
                  <w:pPr>
                    <w:pStyle w:val="17"/>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东侧</w:t>
                  </w:r>
                </w:p>
              </w:tc>
              <w:tc>
                <w:tcPr>
                  <w:tcW w:w="1164" w:type="dxa"/>
                  <w:vAlign w:val="center"/>
                </w:tcPr>
                <w:p w14:paraId="52608162">
                  <w:pPr>
                    <w:jc w:val="center"/>
                    <w:rPr>
                      <w:rFonts w:hint="eastAsia"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48.</w:t>
                  </w:r>
                  <w:r>
                    <w:rPr>
                      <w:rFonts w:hint="eastAsia" w:cs="Times New Roman"/>
                      <w:color w:val="auto"/>
                      <w:sz w:val="18"/>
                      <w:szCs w:val="18"/>
                      <w:lang w:val="en-US" w:eastAsia="zh-CN"/>
                    </w:rPr>
                    <w:t>8</w:t>
                  </w:r>
                </w:p>
              </w:tc>
              <w:tc>
                <w:tcPr>
                  <w:tcW w:w="1215" w:type="dxa"/>
                  <w:vAlign w:val="center"/>
                </w:tcPr>
                <w:p w14:paraId="22795978">
                  <w:pPr>
                    <w:jc w:val="center"/>
                    <w:rPr>
                      <w:rFonts w:hint="eastAsia"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48.</w:t>
                  </w:r>
                  <w:r>
                    <w:rPr>
                      <w:rFonts w:hint="eastAsia" w:cs="Times New Roman"/>
                      <w:color w:val="auto"/>
                      <w:sz w:val="18"/>
                      <w:szCs w:val="18"/>
                      <w:lang w:val="en-US" w:eastAsia="zh-CN"/>
                    </w:rPr>
                    <w:t>8</w:t>
                  </w:r>
                </w:p>
              </w:tc>
              <w:tc>
                <w:tcPr>
                  <w:tcW w:w="1185" w:type="dxa"/>
                  <w:vAlign w:val="center"/>
                </w:tcPr>
                <w:p w14:paraId="4BB1041A">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65</w:t>
                  </w:r>
                </w:p>
              </w:tc>
              <w:tc>
                <w:tcPr>
                  <w:tcW w:w="1170" w:type="dxa"/>
                  <w:vAlign w:val="center"/>
                </w:tcPr>
                <w:p w14:paraId="764B2EE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w:t>
                  </w:r>
                </w:p>
              </w:tc>
              <w:tc>
                <w:tcPr>
                  <w:tcW w:w="1555" w:type="dxa"/>
                  <w:vAlign w:val="center"/>
                </w:tcPr>
                <w:p w14:paraId="372EDC23">
                  <w:pPr>
                    <w:pStyle w:val="17"/>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5D113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7" w:type="dxa"/>
                  <w:vAlign w:val="center"/>
                </w:tcPr>
                <w:p w14:paraId="163B5A06">
                  <w:pPr>
                    <w:pStyle w:val="17"/>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南侧</w:t>
                  </w:r>
                </w:p>
              </w:tc>
              <w:tc>
                <w:tcPr>
                  <w:tcW w:w="1164" w:type="dxa"/>
                  <w:vAlign w:val="center"/>
                </w:tcPr>
                <w:p w14:paraId="20953066">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53.5</w:t>
                  </w:r>
                </w:p>
              </w:tc>
              <w:tc>
                <w:tcPr>
                  <w:tcW w:w="1215" w:type="dxa"/>
                  <w:vAlign w:val="center"/>
                </w:tcPr>
                <w:p w14:paraId="267734B2">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53.5</w:t>
                  </w:r>
                </w:p>
              </w:tc>
              <w:tc>
                <w:tcPr>
                  <w:tcW w:w="1185" w:type="dxa"/>
                  <w:vAlign w:val="center"/>
                </w:tcPr>
                <w:p w14:paraId="4FB97723">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65</w:t>
                  </w:r>
                </w:p>
              </w:tc>
              <w:tc>
                <w:tcPr>
                  <w:tcW w:w="1170" w:type="dxa"/>
                  <w:vAlign w:val="center"/>
                </w:tcPr>
                <w:p w14:paraId="7FEDD339">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w:t>
                  </w:r>
                </w:p>
              </w:tc>
              <w:tc>
                <w:tcPr>
                  <w:tcW w:w="1555" w:type="dxa"/>
                  <w:vAlign w:val="center"/>
                </w:tcPr>
                <w:p w14:paraId="62612AA2">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46D6C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1647" w:type="dxa"/>
                  <w:vAlign w:val="center"/>
                </w:tcPr>
                <w:p w14:paraId="7AD74C97">
                  <w:pPr>
                    <w:pStyle w:val="17"/>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西侧</w:t>
                  </w:r>
                </w:p>
              </w:tc>
              <w:tc>
                <w:tcPr>
                  <w:tcW w:w="1164" w:type="dxa"/>
                  <w:vAlign w:val="center"/>
                </w:tcPr>
                <w:p w14:paraId="51E1790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54.1</w:t>
                  </w:r>
                </w:p>
              </w:tc>
              <w:tc>
                <w:tcPr>
                  <w:tcW w:w="1215" w:type="dxa"/>
                  <w:vAlign w:val="center"/>
                </w:tcPr>
                <w:p w14:paraId="6A671FB2">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54.1</w:t>
                  </w:r>
                </w:p>
              </w:tc>
              <w:tc>
                <w:tcPr>
                  <w:tcW w:w="1185" w:type="dxa"/>
                  <w:vAlign w:val="center"/>
                </w:tcPr>
                <w:p w14:paraId="1703530C">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65</w:t>
                  </w:r>
                </w:p>
              </w:tc>
              <w:tc>
                <w:tcPr>
                  <w:tcW w:w="1170" w:type="dxa"/>
                  <w:vAlign w:val="center"/>
                </w:tcPr>
                <w:p w14:paraId="469758CE">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w:t>
                  </w:r>
                </w:p>
              </w:tc>
              <w:tc>
                <w:tcPr>
                  <w:tcW w:w="1555" w:type="dxa"/>
                  <w:vAlign w:val="center"/>
                </w:tcPr>
                <w:p w14:paraId="066C93A4">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28F86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1647" w:type="dxa"/>
                  <w:vAlign w:val="center"/>
                </w:tcPr>
                <w:p w14:paraId="107AF151">
                  <w:pPr>
                    <w:pStyle w:val="17"/>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北侧</w:t>
                  </w:r>
                </w:p>
              </w:tc>
              <w:tc>
                <w:tcPr>
                  <w:tcW w:w="1164" w:type="dxa"/>
                  <w:vAlign w:val="center"/>
                </w:tcPr>
                <w:p w14:paraId="51ABA3A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51.5</w:t>
                  </w:r>
                </w:p>
              </w:tc>
              <w:tc>
                <w:tcPr>
                  <w:tcW w:w="1215" w:type="dxa"/>
                  <w:vAlign w:val="center"/>
                </w:tcPr>
                <w:p w14:paraId="758D156D">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51.5</w:t>
                  </w:r>
                </w:p>
              </w:tc>
              <w:tc>
                <w:tcPr>
                  <w:tcW w:w="1185" w:type="dxa"/>
                  <w:vAlign w:val="center"/>
                </w:tcPr>
                <w:p w14:paraId="3A1E071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65</w:t>
                  </w:r>
                </w:p>
              </w:tc>
              <w:tc>
                <w:tcPr>
                  <w:tcW w:w="1170" w:type="dxa"/>
                  <w:vAlign w:val="center"/>
                </w:tcPr>
                <w:p w14:paraId="75B46C7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w:t>
                  </w:r>
                </w:p>
              </w:tc>
              <w:tc>
                <w:tcPr>
                  <w:tcW w:w="1555" w:type="dxa"/>
                  <w:vAlign w:val="center"/>
                </w:tcPr>
                <w:p w14:paraId="45D41093">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bl>
          <w:p w14:paraId="185F1C3D">
            <w:pPr>
              <w:spacing w:line="360" w:lineRule="auto"/>
              <w:ind w:firstLine="480" w:firstLineChars="200"/>
              <w:rPr>
                <w:rFonts w:hint="default" w:ascii="Times New Roman" w:hAnsi="Times New Roman" w:cs="Times New Roman"/>
                <w:b/>
                <w:color w:val="auto"/>
                <w:sz w:val="24"/>
              </w:rPr>
            </w:pPr>
            <w:r>
              <w:rPr>
                <w:rFonts w:hint="default" w:ascii="Times New Roman" w:hAnsi="Times New Roman" w:cs="Times New Roman"/>
                <w:color w:val="auto"/>
                <w:sz w:val="24"/>
              </w:rPr>
              <w:t>预测结果表明，本项目投产后，项目厂界四周昼夜预测值能满足《工业企业厂界环境噪声排放标准》(GB12348-2008)的3类标准。</w:t>
            </w:r>
            <w:r>
              <w:rPr>
                <w:rFonts w:hint="default" w:ascii="Times New Roman" w:hAnsi="Times New Roman" w:cs="Times New Roman"/>
                <w:b/>
                <w:color w:val="auto"/>
                <w:sz w:val="24"/>
              </w:rPr>
              <w:t>因此，项目噪声对环境影响较小。</w:t>
            </w:r>
          </w:p>
          <w:p w14:paraId="0D12B4F4">
            <w:pPr>
              <w:pStyle w:val="17"/>
              <w:spacing w:line="360" w:lineRule="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4.2.7自行监测计划</w:t>
            </w:r>
          </w:p>
          <w:p w14:paraId="6D6B33D0">
            <w:pPr>
              <w:tabs>
                <w:tab w:val="left" w:pos="6171"/>
              </w:tabs>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参考《排污许可证申请与核发技术规范 石墨及其他非金属矿物制品制造》（HJ1119-2020）自行监测要求及《排污单位自行监测技术指南总则》（HJ819-2017）中的厂界噪声监测要求，本项目投产后，企业噪声监测计划内容详见下表。</w:t>
            </w:r>
          </w:p>
          <w:p w14:paraId="52C6EBA8">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表4.2.7-1 本项目噪声监测计划</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5"/>
              <w:gridCol w:w="1757"/>
              <w:gridCol w:w="1968"/>
              <w:gridCol w:w="2743"/>
            </w:tblGrid>
            <w:tr w14:paraId="217B0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3" w:type="pct"/>
                  <w:vAlign w:val="center"/>
                </w:tcPr>
                <w:p w14:paraId="4FBBF1B0">
                  <w:pPr>
                    <w:pStyle w:val="129"/>
                    <w:widowControl w:val="0"/>
                    <w:snapToGrid w:val="0"/>
                    <w:rPr>
                      <w:rFonts w:hint="default" w:ascii="Times New Roman" w:hAnsi="Times New Roman" w:cs="Times New Roman"/>
                      <w:b/>
                      <w:bCs/>
                      <w:color w:val="auto"/>
                      <w:sz w:val="18"/>
                      <w:szCs w:val="18"/>
                      <w:lang w:eastAsia="zh-CN"/>
                    </w:rPr>
                  </w:pPr>
                  <w:r>
                    <w:rPr>
                      <w:rFonts w:hint="default" w:ascii="Times New Roman" w:hAnsi="Times New Roman" w:cs="Times New Roman"/>
                      <w:b/>
                      <w:bCs/>
                      <w:color w:val="auto"/>
                      <w:sz w:val="18"/>
                      <w:szCs w:val="18"/>
                      <w:lang w:eastAsia="zh-CN"/>
                    </w:rPr>
                    <w:t>监测位置</w:t>
                  </w:r>
                </w:p>
              </w:tc>
              <w:tc>
                <w:tcPr>
                  <w:tcW w:w="1107" w:type="pct"/>
                  <w:vAlign w:val="center"/>
                </w:tcPr>
                <w:p w14:paraId="57DF2E02">
                  <w:pPr>
                    <w:pStyle w:val="129"/>
                    <w:widowControl w:val="0"/>
                    <w:snapToGrid w:val="0"/>
                    <w:rPr>
                      <w:rFonts w:hint="default" w:ascii="Times New Roman" w:hAnsi="Times New Roman" w:cs="Times New Roman"/>
                      <w:b/>
                      <w:bCs/>
                      <w:color w:val="auto"/>
                      <w:sz w:val="18"/>
                      <w:szCs w:val="18"/>
                      <w:lang w:eastAsia="zh-CN"/>
                    </w:rPr>
                  </w:pPr>
                  <w:r>
                    <w:rPr>
                      <w:rFonts w:hint="default" w:ascii="Times New Roman" w:hAnsi="Times New Roman" w:cs="Times New Roman"/>
                      <w:b/>
                      <w:bCs/>
                      <w:color w:val="auto"/>
                      <w:sz w:val="18"/>
                      <w:szCs w:val="18"/>
                      <w:lang w:eastAsia="zh-CN"/>
                    </w:rPr>
                    <w:t>监测项目</w:t>
                  </w:r>
                </w:p>
              </w:tc>
              <w:tc>
                <w:tcPr>
                  <w:tcW w:w="1240" w:type="pct"/>
                  <w:vAlign w:val="center"/>
                </w:tcPr>
                <w:p w14:paraId="0CF09375">
                  <w:pPr>
                    <w:pStyle w:val="129"/>
                    <w:widowControl w:val="0"/>
                    <w:snapToGrid w:val="0"/>
                    <w:rPr>
                      <w:rFonts w:hint="default" w:ascii="Times New Roman" w:hAnsi="Times New Roman" w:cs="Times New Roman"/>
                      <w:b/>
                      <w:bCs/>
                      <w:color w:val="auto"/>
                      <w:sz w:val="18"/>
                      <w:szCs w:val="18"/>
                      <w:lang w:eastAsia="zh-CN"/>
                    </w:rPr>
                  </w:pPr>
                  <w:r>
                    <w:rPr>
                      <w:rFonts w:hint="default" w:ascii="Times New Roman" w:hAnsi="Times New Roman" w:cs="Times New Roman"/>
                      <w:b/>
                      <w:bCs/>
                      <w:color w:val="auto"/>
                      <w:sz w:val="18"/>
                      <w:szCs w:val="18"/>
                      <w:lang w:eastAsia="zh-CN"/>
                    </w:rPr>
                    <w:t>监测频率</w:t>
                  </w:r>
                </w:p>
              </w:tc>
              <w:tc>
                <w:tcPr>
                  <w:tcW w:w="1728" w:type="pct"/>
                  <w:vAlign w:val="center"/>
                </w:tcPr>
                <w:p w14:paraId="473A7230">
                  <w:pPr>
                    <w:pStyle w:val="129"/>
                    <w:widowControl w:val="0"/>
                    <w:snapToGrid w:val="0"/>
                    <w:rPr>
                      <w:rFonts w:hint="default" w:ascii="Times New Roman" w:hAnsi="Times New Roman" w:cs="Times New Roman"/>
                      <w:b/>
                      <w:bCs/>
                      <w:color w:val="auto"/>
                      <w:sz w:val="18"/>
                      <w:szCs w:val="18"/>
                      <w:lang w:eastAsia="zh-CN"/>
                    </w:rPr>
                  </w:pPr>
                  <w:r>
                    <w:rPr>
                      <w:rFonts w:hint="default" w:ascii="Times New Roman" w:hAnsi="Times New Roman" w:cs="Times New Roman"/>
                      <w:b/>
                      <w:bCs/>
                      <w:color w:val="auto"/>
                      <w:sz w:val="18"/>
                      <w:szCs w:val="18"/>
                      <w:lang w:eastAsia="zh-CN"/>
                    </w:rPr>
                    <w:t>执行标准</w:t>
                  </w:r>
                </w:p>
              </w:tc>
            </w:tr>
            <w:tr w14:paraId="3FF33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3" w:type="pct"/>
                  <w:vAlign w:val="center"/>
                </w:tcPr>
                <w:p w14:paraId="2538B009">
                  <w:pPr>
                    <w:pStyle w:val="129"/>
                    <w:widowControl w:val="0"/>
                    <w:snapToGrid w:val="0"/>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厂界四周</w:t>
                  </w:r>
                </w:p>
              </w:tc>
              <w:tc>
                <w:tcPr>
                  <w:tcW w:w="1107" w:type="pct"/>
                  <w:vAlign w:val="center"/>
                </w:tcPr>
                <w:p w14:paraId="1F072284">
                  <w:pPr>
                    <w:pStyle w:val="129"/>
                    <w:widowControl w:val="0"/>
                    <w:snapToGrid w:val="0"/>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等效连续A声级</w:t>
                  </w:r>
                </w:p>
              </w:tc>
              <w:tc>
                <w:tcPr>
                  <w:tcW w:w="1240" w:type="pct"/>
                  <w:vAlign w:val="center"/>
                </w:tcPr>
                <w:p w14:paraId="0943F88C">
                  <w:pPr>
                    <w:pStyle w:val="129"/>
                    <w:widowControl w:val="0"/>
                    <w:snapToGrid w:val="0"/>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1次/季度</w:t>
                  </w:r>
                </w:p>
              </w:tc>
              <w:tc>
                <w:tcPr>
                  <w:tcW w:w="1728" w:type="pct"/>
                  <w:vAlign w:val="center"/>
                </w:tcPr>
                <w:p w14:paraId="38129951">
                  <w:pPr>
                    <w:pStyle w:val="129"/>
                    <w:widowControl w:val="0"/>
                    <w:snapToGrid w:val="0"/>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eastAsia="zh-CN"/>
                    </w:rPr>
                    <w:t>《工业企业厂界环境噪声排放标准》（GB12348-2008）3类标准</w:t>
                  </w:r>
                </w:p>
              </w:tc>
            </w:tr>
          </w:tbl>
          <w:p w14:paraId="63D70AF4">
            <w:pPr>
              <w:pStyle w:val="109"/>
              <w:adjustRightInd/>
              <w:snapToGrid/>
              <w:spacing w:line="360" w:lineRule="auto"/>
              <w:ind w:firstLine="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4.2.8固废</w:t>
            </w:r>
          </w:p>
          <w:p w14:paraId="5E7CAC10">
            <w:pPr>
              <w:spacing w:line="360" w:lineRule="auto"/>
              <w:ind w:firstLine="480"/>
              <w:jc w:val="left"/>
              <w:rPr>
                <w:rFonts w:hint="default" w:ascii="Times New Roman" w:hAnsi="Times New Roman" w:cs="Times New Roman"/>
                <w:color w:val="auto"/>
                <w:sz w:val="24"/>
              </w:rPr>
            </w:pPr>
            <w:bookmarkStart w:id="182" w:name="_Toc486332626"/>
            <w:r>
              <w:rPr>
                <w:rFonts w:hint="default" w:ascii="Times New Roman" w:hAnsi="Times New Roman" w:cs="Times New Roman"/>
                <w:color w:val="auto"/>
                <w:sz w:val="24"/>
              </w:rPr>
              <w:t>1、固废源强</w:t>
            </w:r>
          </w:p>
          <w:p w14:paraId="7DA28CE9">
            <w:pPr>
              <w:widowControl/>
              <w:spacing w:line="360" w:lineRule="auto"/>
              <w:ind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w:t>项目固废主要有：废矿石S1、废渣S2、废矿砂S4、磁性物料S3、S5、废酸S6、废活性炭、废石英砂、废膜、收集的粉尘及布袋、废液压油、废润滑油、污泥、过滤材料、废包装材料、</w:t>
            </w:r>
            <w:r>
              <w:rPr>
                <w:rFonts w:hint="eastAsia" w:cs="Times New Roman"/>
                <w:color w:val="auto"/>
                <w:sz w:val="24"/>
                <w:lang w:val="en-US" w:eastAsia="zh-CN"/>
              </w:rPr>
              <w:t>再生废液、</w:t>
            </w:r>
            <w:r>
              <w:rPr>
                <w:rFonts w:hint="default" w:ascii="Times New Roman" w:hAnsi="Times New Roman" w:cs="Times New Roman"/>
                <w:color w:val="auto"/>
                <w:sz w:val="24"/>
              </w:rPr>
              <w:t>生活垃圾。</w:t>
            </w:r>
          </w:p>
          <w:p w14:paraId="3DB8567F">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（1）生活垃圾</w:t>
            </w:r>
          </w:p>
          <w:p w14:paraId="7B443330">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项目劳动定员3</w:t>
            </w:r>
            <w:r>
              <w:rPr>
                <w:rFonts w:hint="eastAsia" w:cs="Times New Roman"/>
                <w:color w:val="auto"/>
                <w:sz w:val="24"/>
                <w:lang w:val="en-US" w:eastAsia="zh-CN"/>
              </w:rPr>
              <w:t>9</w:t>
            </w:r>
            <w:r>
              <w:rPr>
                <w:rFonts w:hint="default" w:ascii="Times New Roman" w:hAnsi="Times New Roman" w:cs="Times New Roman"/>
                <w:color w:val="auto"/>
                <w:sz w:val="24"/>
              </w:rPr>
              <w:t>人，生活垃圾产生量按每人0.5kg/d计算，项目生活垃圾产生量为5.</w:t>
            </w:r>
            <w:r>
              <w:rPr>
                <w:rFonts w:hint="eastAsia" w:cs="Times New Roman"/>
                <w:color w:val="auto"/>
                <w:sz w:val="24"/>
                <w:lang w:val="en-US" w:eastAsia="zh-CN"/>
              </w:rPr>
              <w:t>85</w:t>
            </w:r>
            <w:r>
              <w:rPr>
                <w:rFonts w:hint="default" w:ascii="Times New Roman" w:hAnsi="Times New Roman" w:cs="Times New Roman"/>
                <w:color w:val="auto"/>
                <w:sz w:val="24"/>
              </w:rPr>
              <w:t>t/a，收集后交由环卫部门处置。</w:t>
            </w:r>
          </w:p>
          <w:p w14:paraId="32797561">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（2）废包装材料</w:t>
            </w:r>
          </w:p>
          <w:p w14:paraId="7DBAA7AF">
            <w:pPr>
              <w:spacing w:line="360" w:lineRule="auto"/>
              <w:ind w:firstLine="480"/>
              <w:jc w:val="both"/>
              <w:rPr>
                <w:rFonts w:hint="default" w:ascii="Times New Roman" w:hAnsi="Times New Roman" w:cs="Times New Roman"/>
                <w:color w:val="auto"/>
                <w:sz w:val="24"/>
              </w:rPr>
            </w:pPr>
            <w:r>
              <w:rPr>
                <w:rFonts w:hint="default" w:ascii="Times New Roman" w:hAnsi="Times New Roman" w:cs="Times New Roman"/>
                <w:color w:val="auto"/>
                <w:sz w:val="24"/>
              </w:rPr>
              <w:t>废包装材料主要来源于项目浮洗剂包装袋</w:t>
            </w:r>
            <w:r>
              <w:rPr>
                <w:rFonts w:hint="eastAsia" w:cs="Times New Roman"/>
                <w:color w:val="auto"/>
                <w:sz w:val="24"/>
                <w:lang w:eastAsia="zh-CN"/>
              </w:rPr>
              <w:t>、</w:t>
            </w:r>
            <w:r>
              <w:rPr>
                <w:rFonts w:hint="default" w:ascii="Times New Roman" w:hAnsi="Times New Roman" w:cs="Times New Roman"/>
                <w:color w:val="auto"/>
                <w:sz w:val="24"/>
              </w:rPr>
              <w:t>氯化氢气罐</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润滑油、液压油桶</w:t>
            </w:r>
            <w:r>
              <w:rPr>
                <w:rFonts w:hint="default" w:ascii="Times New Roman" w:hAnsi="Times New Roman" w:cs="Times New Roman"/>
                <w:color w:val="auto"/>
                <w:sz w:val="24"/>
              </w:rPr>
              <w:t>等包装物，氯化氢气罐由原料生产商回收，根据《固体废物鉴别标准 通则》（GB34330-2017）：任何不需要修复及加工即可用于其原始用途的物质不作为固体废物管理，氢氟酸、盐酸储罐储存，其他废包装材料属于危险废物，其产生量约为0.1t/a，另润滑油、液压油拆包产生的废油桶产生量约0.05t/a，属于危险废物，在危废间暂存后委托有资质单位进行安全处置。</w:t>
            </w:r>
          </w:p>
          <w:p w14:paraId="1E2E760C">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（3）过滤材料</w:t>
            </w:r>
          </w:p>
          <w:p w14:paraId="0F10484B">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项目废水拟经过过滤处理，过滤采用纤维、活性氧化铝等过滤方式，纤维过滤定期更换，根据企业提供设计内容，废纤维约产生0.5t/a，活性氧化铝再生后重复利用，为确保废水达标排放，拟每年更换部分氧化铝约0.5t/a，故过滤材料约产生1t/a，在危废间暂存后委托有资质单位进行安全处置。</w:t>
            </w:r>
          </w:p>
          <w:p w14:paraId="7FFD4223">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（4）污泥</w:t>
            </w:r>
          </w:p>
          <w:p w14:paraId="6C85BEA5">
            <w:pPr>
              <w:pStyle w:val="116"/>
              <w:spacing w:line="360" w:lineRule="auto"/>
              <w:ind w:firstLine="480" w:firstLineChars="200"/>
              <w:rPr>
                <w:rFonts w:hint="default" w:ascii="Times New Roman" w:hAnsi="Times New Roman" w:cs="Times New Roman"/>
                <w:color w:val="auto"/>
                <w:spacing w:val="-2"/>
                <w:kern w:val="0"/>
                <w:lang w:eastAsia="zh-CN"/>
              </w:rPr>
            </w:pPr>
            <w:r>
              <w:rPr>
                <w:rFonts w:hint="default" w:ascii="Times New Roman" w:hAnsi="Times New Roman" w:cs="Times New Roman"/>
                <w:color w:val="auto"/>
                <w:kern w:val="0"/>
                <w:lang w:eastAsia="zh-CN"/>
              </w:rPr>
              <w:t>项目拟建1座污水处理站，废水经处理后产生</w:t>
            </w:r>
            <w:r>
              <w:rPr>
                <w:rFonts w:hint="default" w:ascii="Times New Roman" w:hAnsi="Times New Roman" w:cs="Times New Roman"/>
                <w:color w:val="auto"/>
                <w:lang w:eastAsia="zh-CN"/>
              </w:rPr>
              <w:t>污泥，</w:t>
            </w:r>
            <w:r>
              <w:rPr>
                <w:rFonts w:hint="default" w:ascii="Times New Roman" w:hAnsi="Times New Roman" w:cs="Times New Roman"/>
                <w:color w:val="auto"/>
                <w:kern w:val="0"/>
                <w:lang w:eastAsia="zh-CN"/>
              </w:rPr>
              <w:t>污泥经过压滤机脱水，根据建设单位提供的资料，脱水后的污泥（含水率约为</w:t>
            </w:r>
            <w:r>
              <w:rPr>
                <w:rFonts w:hint="default" w:ascii="Times New Roman" w:hAnsi="Times New Roman" w:cs="Times New Roman"/>
                <w:color w:val="auto"/>
                <w:kern w:val="0"/>
                <w:lang w:val="en-US" w:eastAsia="zh-CN"/>
              </w:rPr>
              <w:t>6</w:t>
            </w:r>
            <w:r>
              <w:rPr>
                <w:rFonts w:hint="default" w:ascii="Times New Roman" w:hAnsi="Times New Roman" w:cs="Times New Roman"/>
                <w:color w:val="auto"/>
                <w:kern w:val="0"/>
                <w:lang w:eastAsia="zh-CN"/>
              </w:rPr>
              <w:t>0%）产生量约为</w:t>
            </w:r>
            <w:r>
              <w:rPr>
                <w:rFonts w:hint="eastAsia" w:ascii="Times New Roman" w:hAnsi="Times New Roman" w:cs="Times New Roman"/>
                <w:color w:val="auto"/>
                <w:kern w:val="0"/>
                <w:lang w:val="en-US" w:eastAsia="zh-CN"/>
              </w:rPr>
              <w:t>150</w:t>
            </w:r>
            <w:r>
              <w:rPr>
                <w:rFonts w:hint="default" w:ascii="Times New Roman" w:hAnsi="Times New Roman" w:cs="Times New Roman"/>
                <w:color w:val="auto"/>
                <w:kern w:val="0"/>
                <w:lang w:eastAsia="zh-CN"/>
              </w:rPr>
              <w:t>t/a，在危废间暂存后委托有资质单位进行安全处置。</w:t>
            </w:r>
          </w:p>
          <w:p w14:paraId="4194C455">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（5）废润滑油</w:t>
            </w:r>
          </w:p>
          <w:p w14:paraId="32F2F334">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正常运行过程中可能产生的少量设备维修固废，例如废润滑油等，产生量0.5t/a，属危险废物，在危废间暂存后委托有资质单位进行安全处置。</w:t>
            </w:r>
          </w:p>
          <w:p w14:paraId="6A3DF139">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（6）废液压油</w:t>
            </w:r>
          </w:p>
          <w:p w14:paraId="29CCEDF1">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正常运行过程中可能产生的少量设备维修固废，例如废液压油等，产生量0.5t/a，属危险废物，在危废间暂存后委托有资质单位进行安全处置。</w:t>
            </w:r>
          </w:p>
          <w:p w14:paraId="7BE4532B">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（7）收集的粉尘及布袋</w:t>
            </w:r>
          </w:p>
          <w:p w14:paraId="29AA9ECB">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项目布袋收集的粉尘约</w:t>
            </w:r>
            <w:r>
              <w:rPr>
                <w:rFonts w:hint="eastAsia" w:cs="Times New Roman"/>
                <w:color w:val="auto"/>
                <w:sz w:val="24"/>
                <w:lang w:val="en-US" w:eastAsia="zh-CN"/>
              </w:rPr>
              <w:t>0.574</w:t>
            </w:r>
            <w:r>
              <w:rPr>
                <w:rFonts w:hint="default" w:ascii="Times New Roman" w:hAnsi="Times New Roman" w:cs="Times New Roman"/>
                <w:color w:val="auto"/>
                <w:sz w:val="24"/>
              </w:rPr>
              <w:t>t/a，布袋除尘产生的废布袋约</w:t>
            </w:r>
            <w:r>
              <w:rPr>
                <w:rFonts w:hint="eastAsia" w:cs="Times New Roman"/>
                <w:color w:val="auto"/>
                <w:sz w:val="24"/>
                <w:lang w:val="en-US" w:eastAsia="zh-CN"/>
              </w:rPr>
              <w:t>0.016</w:t>
            </w:r>
            <w:r>
              <w:rPr>
                <w:rFonts w:hint="default" w:ascii="Times New Roman" w:hAnsi="Times New Roman" w:cs="Times New Roman"/>
                <w:color w:val="auto"/>
                <w:sz w:val="24"/>
              </w:rPr>
              <w:t>t/a，粉尘及收集的布袋合计产生</w:t>
            </w:r>
            <w:r>
              <w:rPr>
                <w:rFonts w:hint="eastAsia" w:cs="Times New Roman"/>
                <w:color w:val="auto"/>
                <w:sz w:val="24"/>
                <w:lang w:val="en-US" w:eastAsia="zh-CN"/>
              </w:rPr>
              <w:t>0.59</w:t>
            </w:r>
            <w:r>
              <w:rPr>
                <w:rFonts w:hint="default" w:ascii="Times New Roman" w:hAnsi="Times New Roman" w:cs="Times New Roman"/>
                <w:color w:val="auto"/>
                <w:sz w:val="24"/>
              </w:rPr>
              <w:t>t/a，该固废属于一般工业固体废物，收集后外售综合利用。</w:t>
            </w:r>
          </w:p>
          <w:p w14:paraId="124D2E0C">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（8）废膜、废石英砂、废活性炭</w:t>
            </w:r>
          </w:p>
          <w:p w14:paraId="05B70538">
            <w:pPr>
              <w:pStyle w:val="116"/>
              <w:spacing w:line="360" w:lineRule="auto"/>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lang w:eastAsia="zh-CN"/>
              </w:rPr>
              <w:t>项目水处理净化系统以自来水作为原水，经净化处理后得到纯水，本项目水处理净化系统产生的废石英砂、废膜、废活性炭均未被纳入《国家危险废物名录》（2025 版），因此不属于危险废物。水处理净化系统产生的废石英砂、废膜、废活性炭平均每年产生量约50kg、200kg、100kg。</w:t>
            </w:r>
          </w:p>
          <w:p w14:paraId="4DBD5218">
            <w:pPr>
              <w:spacing w:line="360" w:lineRule="auto"/>
              <w:ind w:firstLine="480"/>
              <w:jc w:val="left"/>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rPr>
              <w:t>）再生</w:t>
            </w:r>
            <w:r>
              <w:rPr>
                <w:rFonts w:hint="eastAsia" w:ascii="Times New Roman" w:hAnsi="Times New Roman" w:eastAsia="宋体" w:cs="Times New Roman"/>
                <w:color w:val="auto"/>
                <w:sz w:val="24"/>
                <w:lang w:val="en-US" w:eastAsia="zh-CN"/>
              </w:rPr>
              <w:t>废液</w:t>
            </w:r>
          </w:p>
          <w:p w14:paraId="698A716B">
            <w:pPr>
              <w:spacing w:line="360" w:lineRule="auto"/>
              <w:ind w:firstLine="480"/>
              <w:jc w:val="left"/>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项目废水处理使用到活性铝过滤，需要定期用</w:t>
            </w:r>
            <w:r>
              <w:rPr>
                <w:rFonts w:hint="eastAsia" w:ascii="Times New Roman" w:hAnsi="Times New Roman" w:eastAsia="宋体" w:cs="Times New Roman"/>
                <w:color w:val="auto"/>
                <w:sz w:val="24"/>
                <w:lang w:val="en-US" w:eastAsia="zh-CN"/>
              </w:rPr>
              <w:t>氢氧化钠溶液</w:t>
            </w:r>
            <w:r>
              <w:rPr>
                <w:rFonts w:hint="default" w:ascii="Times New Roman" w:hAnsi="Times New Roman" w:eastAsia="宋体" w:cs="Times New Roman"/>
                <w:color w:val="auto"/>
                <w:sz w:val="24"/>
              </w:rPr>
              <w:t>对活性铝滤料进行</w:t>
            </w:r>
            <w:r>
              <w:rPr>
                <w:rFonts w:hint="eastAsia" w:ascii="Times New Roman" w:hAnsi="Times New Roman" w:eastAsia="宋体" w:cs="Times New Roman"/>
                <w:color w:val="auto"/>
                <w:sz w:val="24"/>
                <w:lang w:val="en-US" w:eastAsia="zh-CN"/>
              </w:rPr>
              <w:t>浸泡</w:t>
            </w:r>
            <w:r>
              <w:rPr>
                <w:rFonts w:hint="default" w:ascii="Times New Roman" w:hAnsi="Times New Roman" w:eastAsia="宋体" w:cs="Times New Roman"/>
                <w:color w:val="auto"/>
                <w:sz w:val="24"/>
              </w:rPr>
              <w:t>，恢复其吸附能力。</w:t>
            </w:r>
            <w:r>
              <w:rPr>
                <w:rFonts w:hint="eastAsia" w:ascii="Times New Roman" w:hAnsi="Times New Roman" w:eastAsia="宋体" w:cs="Times New Roman"/>
                <w:color w:val="auto"/>
                <w:sz w:val="24"/>
                <w:lang w:val="en-US" w:eastAsia="zh-CN"/>
              </w:rPr>
              <w:t>单次需200L，全年约再生5次，则</w:t>
            </w:r>
            <w:r>
              <w:rPr>
                <w:rFonts w:hint="default" w:ascii="Times New Roman" w:hAnsi="Times New Roman" w:eastAsia="宋体" w:cs="Times New Roman"/>
                <w:color w:val="auto"/>
                <w:sz w:val="24"/>
              </w:rPr>
              <w:t>再生</w:t>
            </w:r>
            <w:r>
              <w:rPr>
                <w:rFonts w:hint="eastAsia" w:ascii="Times New Roman" w:hAnsi="Times New Roman" w:eastAsia="宋体" w:cs="Times New Roman"/>
                <w:color w:val="auto"/>
                <w:sz w:val="24"/>
                <w:lang w:val="en-US" w:eastAsia="zh-CN"/>
              </w:rPr>
              <w:t>废液约1</w:t>
            </w:r>
            <w:r>
              <w:rPr>
                <w:rFonts w:hint="default" w:ascii="Times New Roman" w:hAnsi="Times New Roman" w:eastAsia="宋体" w:cs="Times New Roman"/>
                <w:color w:val="auto"/>
                <w:sz w:val="24"/>
              </w:rPr>
              <w:t>t/a</w:t>
            </w:r>
            <w:r>
              <w:rPr>
                <w:rFonts w:hint="eastAsia" w:cs="Times New Roman"/>
                <w:color w:val="auto"/>
                <w:sz w:val="24"/>
                <w:lang w:eastAsia="zh-CN"/>
              </w:rPr>
              <w:t>。</w:t>
            </w:r>
          </w:p>
          <w:p w14:paraId="3B025501">
            <w:pPr>
              <w:spacing w:line="360" w:lineRule="auto"/>
              <w:ind w:firstLine="480"/>
              <w:jc w:val="left"/>
              <w:rPr>
                <w:rFonts w:hint="eastAsia" w:ascii="Times New Roman" w:hAnsi="Times New Roman" w:eastAsia="宋体" w:cs="Times New Roman"/>
                <w:color w:val="auto"/>
                <w:sz w:val="24"/>
                <w:lang w:eastAsia="zh-CN"/>
              </w:rPr>
            </w:pPr>
            <w:r>
              <w:rPr>
                <w:rFonts w:hint="default" w:ascii="Times New Roman" w:hAnsi="Times New Roman" w:cs="Times New Roman"/>
                <w:color w:val="auto"/>
                <w:sz w:val="24"/>
              </w:rPr>
              <w:t>（</w:t>
            </w:r>
            <w:r>
              <w:rPr>
                <w:rFonts w:hint="eastAsia" w:cs="Times New Roman"/>
                <w:color w:val="auto"/>
                <w:sz w:val="24"/>
                <w:lang w:val="en-US" w:eastAsia="zh-CN"/>
              </w:rPr>
              <w:t>10</w:t>
            </w:r>
            <w:r>
              <w:rPr>
                <w:rFonts w:hint="default" w:ascii="Times New Roman" w:hAnsi="Times New Roman" w:cs="Times New Roman"/>
                <w:color w:val="auto"/>
                <w:sz w:val="24"/>
              </w:rPr>
              <w:t>）废酸S</w:t>
            </w:r>
            <w:r>
              <w:rPr>
                <w:rFonts w:hint="eastAsia" w:cs="Times New Roman"/>
                <w:color w:val="auto"/>
                <w:sz w:val="24"/>
                <w:lang w:val="en-US" w:eastAsia="zh-CN"/>
              </w:rPr>
              <w:t>7</w:t>
            </w:r>
          </w:p>
          <w:p w14:paraId="49DFE46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本项目酸洗工序产生一定量的废酸，根据</w:t>
            </w:r>
            <w:r>
              <w:rPr>
                <w:rFonts w:hint="default" w:ascii="Times New Roman" w:hAnsi="Times New Roman" w:cs="Times New Roman"/>
                <w:color w:val="auto"/>
                <w:sz w:val="24"/>
                <w:lang w:val="en-US" w:eastAsia="zh-CN"/>
              </w:rPr>
              <w:t>物料平衡</w:t>
            </w:r>
            <w:r>
              <w:rPr>
                <w:rFonts w:hint="default" w:ascii="Times New Roman" w:hAnsi="Times New Roman" w:cs="Times New Roman"/>
                <w:color w:val="auto"/>
                <w:sz w:val="24"/>
              </w:rPr>
              <w:t>可知，本项目废酸产生量约为</w:t>
            </w:r>
            <w:r>
              <w:rPr>
                <w:rFonts w:hint="eastAsia" w:cs="Times New Roman"/>
                <w:color w:val="auto"/>
                <w:sz w:val="24"/>
                <w:lang w:val="en-US" w:eastAsia="zh-CN"/>
              </w:rPr>
              <w:t>928</w:t>
            </w:r>
            <w:r>
              <w:rPr>
                <w:rFonts w:hint="default" w:ascii="Times New Roman" w:hAnsi="Times New Roman" w:cs="Times New Roman"/>
                <w:color w:val="auto"/>
                <w:sz w:val="24"/>
              </w:rPr>
              <w:t>t/a（含废酸及少量水、杂质等）。废酸统一暂存于废酸回收罐内。对照《国家危险废物名录》（2025年版），废酸属于危险废物，暂存后委托有资质单位进行安全处置。</w:t>
            </w:r>
          </w:p>
          <w:p w14:paraId="3F862623">
            <w:pPr>
              <w:spacing w:line="360" w:lineRule="auto"/>
              <w:ind w:firstLine="480" w:firstLineChars="200"/>
              <w:rPr>
                <w:rFonts w:hint="eastAsia" w:ascii="Times New Roman" w:hAnsi="Times New Roman" w:eastAsia="宋体" w:cs="Times New Roman"/>
                <w:color w:val="auto"/>
                <w:sz w:val="24"/>
                <w:lang w:eastAsia="zh-CN"/>
              </w:rPr>
            </w:pPr>
            <w:r>
              <w:rPr>
                <w:rFonts w:hint="default" w:ascii="Times New Roman" w:hAnsi="Times New Roman" w:cs="Times New Roman"/>
                <w:color w:val="auto"/>
                <w:sz w:val="24"/>
              </w:rPr>
              <w:t>（1</w:t>
            </w:r>
            <w:r>
              <w:rPr>
                <w:rFonts w:hint="eastAsia" w:cs="Times New Roman"/>
                <w:color w:val="auto"/>
                <w:sz w:val="24"/>
                <w:lang w:val="en-US" w:eastAsia="zh-CN"/>
              </w:rPr>
              <w:t>1</w:t>
            </w:r>
            <w:r>
              <w:rPr>
                <w:rFonts w:hint="default" w:ascii="Times New Roman" w:hAnsi="Times New Roman" w:cs="Times New Roman"/>
                <w:color w:val="auto"/>
                <w:sz w:val="24"/>
              </w:rPr>
              <w:t>）废酸渣S</w:t>
            </w:r>
            <w:r>
              <w:rPr>
                <w:rFonts w:hint="eastAsia" w:cs="Times New Roman"/>
                <w:color w:val="auto"/>
                <w:sz w:val="24"/>
                <w:lang w:val="en-US" w:eastAsia="zh-CN"/>
              </w:rPr>
              <w:t>8</w:t>
            </w:r>
          </w:p>
          <w:p w14:paraId="2EF161D5">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本项目酸洗过程会生成酸渣沉淀，根据</w:t>
            </w:r>
            <w:r>
              <w:rPr>
                <w:rFonts w:hint="default" w:ascii="Times New Roman" w:hAnsi="Times New Roman" w:cs="Times New Roman"/>
                <w:color w:val="auto"/>
                <w:sz w:val="24"/>
                <w:lang w:val="en-US" w:eastAsia="zh-CN"/>
              </w:rPr>
              <w:t>物料平衡</w:t>
            </w:r>
            <w:r>
              <w:rPr>
                <w:rFonts w:hint="default" w:ascii="Times New Roman" w:hAnsi="Times New Roman" w:cs="Times New Roman"/>
                <w:color w:val="auto"/>
                <w:sz w:val="24"/>
              </w:rPr>
              <w:t>考虑含水率以及其他杂质，结合建设单位经验，酸渣产生量约为</w:t>
            </w:r>
            <w:r>
              <w:rPr>
                <w:rFonts w:hint="eastAsia" w:cs="Times New Roman"/>
                <w:color w:val="auto"/>
                <w:sz w:val="24"/>
                <w:lang w:val="en-US" w:eastAsia="zh-CN"/>
              </w:rPr>
              <w:t>15</w:t>
            </w:r>
            <w:r>
              <w:rPr>
                <w:rFonts w:hint="default" w:ascii="Times New Roman" w:hAnsi="Times New Roman" w:cs="Times New Roman"/>
                <w:color w:val="auto"/>
                <w:sz w:val="24"/>
              </w:rPr>
              <w:t>t/a，收集后存放在桶中密封。对照《国家危险废物名录》（2025年版），废酸属于危险废物，暂存后委托有资质单位进行安全处置。</w:t>
            </w:r>
          </w:p>
          <w:p w14:paraId="1368A55E">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rPr>
              <w:t>（1</w:t>
            </w:r>
            <w:r>
              <w:rPr>
                <w:rFonts w:hint="eastAsia" w:cs="Times New Roman"/>
                <w:color w:val="auto"/>
                <w:sz w:val="24"/>
                <w:lang w:val="en-US" w:eastAsia="zh-CN"/>
              </w:rPr>
              <w:t>2</w:t>
            </w:r>
            <w:r>
              <w:rPr>
                <w:rFonts w:hint="default" w:ascii="Times New Roman" w:hAnsi="Times New Roman" w:cs="Times New Roman"/>
                <w:color w:val="auto"/>
                <w:sz w:val="24"/>
              </w:rPr>
              <w:t>）磁性物料S</w:t>
            </w:r>
            <w:r>
              <w:rPr>
                <w:rFonts w:hint="eastAsia" w:cs="Times New Roman"/>
                <w:color w:val="auto"/>
                <w:sz w:val="24"/>
                <w:lang w:val="en-US" w:eastAsia="zh-CN"/>
              </w:rPr>
              <w:t>9</w:t>
            </w:r>
            <w:r>
              <w:rPr>
                <w:rFonts w:hint="default" w:ascii="Times New Roman" w:hAnsi="Times New Roman" w:cs="Times New Roman"/>
                <w:color w:val="auto"/>
                <w:sz w:val="24"/>
              </w:rPr>
              <w:t>、磁性物料S3</w:t>
            </w:r>
          </w:p>
          <w:p w14:paraId="38AF3D66">
            <w:pPr>
              <w:pStyle w:val="116"/>
              <w:spacing w:line="360" w:lineRule="auto"/>
              <w:ind w:firstLine="480" w:firstLineChars="200"/>
              <w:rPr>
                <w:rFonts w:hint="default" w:ascii="Times New Roman" w:hAnsi="Times New Roman" w:cs="Times New Roman"/>
                <w:color w:val="auto"/>
                <w:spacing w:val="-2"/>
                <w:kern w:val="0"/>
                <w:lang w:eastAsia="zh-CN"/>
              </w:rPr>
            </w:pPr>
            <w:r>
              <w:rPr>
                <w:rFonts w:hint="default" w:ascii="Times New Roman" w:hAnsi="Times New Roman" w:cs="Times New Roman"/>
                <w:color w:val="auto"/>
                <w:sz w:val="24"/>
              </w:rPr>
              <w:t>根据</w:t>
            </w:r>
            <w:r>
              <w:rPr>
                <w:rFonts w:hint="default" w:ascii="Times New Roman" w:hAnsi="Times New Roman" w:cs="Times New Roman"/>
                <w:color w:val="auto"/>
                <w:sz w:val="24"/>
                <w:lang w:val="en-US" w:eastAsia="zh-CN"/>
              </w:rPr>
              <w:t>物料平衡结合</w:t>
            </w:r>
            <w:r>
              <w:rPr>
                <w:rFonts w:hint="default" w:ascii="Times New Roman" w:hAnsi="Times New Roman" w:cs="Times New Roman"/>
                <w:color w:val="auto"/>
                <w:spacing w:val="-2"/>
                <w:kern w:val="0"/>
                <w:lang w:eastAsia="zh-CN"/>
              </w:rPr>
              <w:t>石英砂成分组成情况，石英砂原料金属杂质约占原料的万分之一~万分之二，经提纯处理后产品中基本无金属杂质，磁选杂质产生量约为0.4t/a，经收集后外售综合利用。</w:t>
            </w:r>
          </w:p>
          <w:p w14:paraId="4361D51B">
            <w:pPr>
              <w:spacing w:line="360" w:lineRule="auto"/>
              <w:ind w:firstLine="480"/>
              <w:jc w:val="left"/>
              <w:rPr>
                <w:rFonts w:hint="eastAsia" w:ascii="Times New Roman" w:hAnsi="Times New Roman" w:eastAsia="宋体" w:cs="Times New Roman"/>
                <w:color w:val="auto"/>
                <w:sz w:val="24"/>
                <w:lang w:eastAsia="zh-CN"/>
              </w:rPr>
            </w:pPr>
            <w:r>
              <w:rPr>
                <w:rFonts w:hint="default" w:ascii="Times New Roman" w:hAnsi="Times New Roman" w:cs="Times New Roman"/>
                <w:color w:val="auto"/>
                <w:sz w:val="24"/>
              </w:rPr>
              <w:t>（13）废矿砂S</w:t>
            </w:r>
            <w:r>
              <w:rPr>
                <w:rFonts w:hint="eastAsia" w:cs="Times New Roman"/>
                <w:color w:val="auto"/>
                <w:sz w:val="24"/>
                <w:lang w:val="en-US" w:eastAsia="zh-CN"/>
              </w:rPr>
              <w:t>5</w:t>
            </w:r>
          </w:p>
          <w:p w14:paraId="42D2A83D">
            <w:pPr>
              <w:pStyle w:val="116"/>
              <w:spacing w:line="360" w:lineRule="auto"/>
              <w:ind w:firstLine="480" w:firstLineChars="200"/>
              <w:rPr>
                <w:rFonts w:hint="default" w:ascii="Times New Roman" w:hAnsi="Times New Roman" w:cs="Times New Roman"/>
                <w:color w:val="auto"/>
                <w:lang w:eastAsia="zh-CN"/>
              </w:rPr>
            </w:pPr>
            <w:r>
              <w:rPr>
                <w:rFonts w:hint="default" w:ascii="Times New Roman" w:hAnsi="Times New Roman" w:cs="Times New Roman"/>
                <w:color w:val="auto"/>
                <w:lang w:eastAsia="zh-CN"/>
              </w:rPr>
              <w:t>项目浮洗过程中会产生废矿砂，</w:t>
            </w:r>
            <w:r>
              <w:rPr>
                <w:rFonts w:hint="default" w:ascii="Times New Roman" w:hAnsi="Times New Roman" w:cs="Times New Roman"/>
                <w:color w:val="auto"/>
                <w:sz w:val="24"/>
              </w:rPr>
              <w:t>根据</w:t>
            </w:r>
            <w:r>
              <w:rPr>
                <w:rFonts w:hint="default" w:ascii="Times New Roman" w:hAnsi="Times New Roman" w:cs="Times New Roman"/>
                <w:color w:val="auto"/>
                <w:sz w:val="24"/>
                <w:lang w:val="en-US" w:eastAsia="zh-CN"/>
              </w:rPr>
              <w:t>物料平衡</w:t>
            </w:r>
            <w:r>
              <w:rPr>
                <w:rFonts w:hint="default" w:ascii="Times New Roman" w:hAnsi="Times New Roman" w:cs="Times New Roman"/>
                <w:color w:val="auto"/>
                <w:lang w:eastAsia="zh-CN"/>
              </w:rPr>
              <w:t>产生量约20t/a，该部分废矿砂主要成份为石英砂，经清洗后浮洗剂等均进入水相，故废矿砂属于一般工业固体废物，</w:t>
            </w:r>
            <w:r>
              <w:rPr>
                <w:rFonts w:hint="default" w:ascii="Times New Roman" w:hAnsi="Times New Roman" w:cs="Times New Roman"/>
                <w:color w:val="auto"/>
                <w:spacing w:val="-2"/>
                <w:kern w:val="0"/>
                <w:lang w:eastAsia="zh-CN"/>
              </w:rPr>
              <w:t>经收集后外售综合利用。</w:t>
            </w:r>
          </w:p>
          <w:p w14:paraId="551711FE">
            <w:pPr>
              <w:spacing w:line="360" w:lineRule="auto"/>
              <w:ind w:firstLine="480"/>
              <w:jc w:val="left"/>
              <w:rPr>
                <w:rFonts w:hint="eastAsia" w:ascii="Times New Roman" w:hAnsi="Times New Roman" w:eastAsia="宋体" w:cs="Times New Roman"/>
                <w:color w:val="auto"/>
                <w:sz w:val="24"/>
                <w:lang w:val="en-US" w:eastAsia="zh-CN"/>
              </w:rPr>
            </w:pPr>
            <w:r>
              <w:rPr>
                <w:rFonts w:hint="default" w:ascii="Times New Roman" w:hAnsi="Times New Roman" w:cs="Times New Roman"/>
                <w:color w:val="auto"/>
                <w:sz w:val="24"/>
              </w:rPr>
              <w:t>（14）</w:t>
            </w:r>
            <w:r>
              <w:rPr>
                <w:rFonts w:hint="eastAsia" w:cs="Times New Roman"/>
                <w:color w:val="auto"/>
                <w:sz w:val="24"/>
                <w:lang w:val="en-US" w:eastAsia="zh-CN"/>
              </w:rPr>
              <w:t>废渣</w:t>
            </w:r>
            <w:r>
              <w:rPr>
                <w:rFonts w:hint="default" w:ascii="Times New Roman" w:hAnsi="Times New Roman" w:cs="Times New Roman"/>
                <w:color w:val="auto"/>
                <w:sz w:val="24"/>
              </w:rPr>
              <w:t>S1</w:t>
            </w:r>
            <w:r>
              <w:rPr>
                <w:rFonts w:hint="eastAsia" w:cs="Times New Roman"/>
                <w:color w:val="auto"/>
                <w:sz w:val="24"/>
                <w:lang w:eastAsia="zh-CN"/>
              </w:rPr>
              <w:t>、</w:t>
            </w:r>
            <w:r>
              <w:rPr>
                <w:rFonts w:hint="default" w:ascii="Times New Roman" w:hAnsi="Times New Roman" w:cs="Times New Roman"/>
                <w:color w:val="auto"/>
                <w:sz w:val="24"/>
              </w:rPr>
              <w:t>废渣S2</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废渣S</w:t>
            </w:r>
            <w:r>
              <w:rPr>
                <w:rFonts w:hint="eastAsia" w:ascii="Times New Roman" w:hAnsi="Times New Roman" w:cs="Times New Roman"/>
                <w:color w:val="auto"/>
                <w:sz w:val="24"/>
                <w:lang w:val="en-US" w:eastAsia="zh-CN"/>
              </w:rPr>
              <w:t>4、</w:t>
            </w:r>
            <w:r>
              <w:rPr>
                <w:rFonts w:hint="default" w:ascii="Times New Roman" w:hAnsi="Times New Roman" w:cs="Times New Roman"/>
                <w:color w:val="auto"/>
                <w:sz w:val="24"/>
              </w:rPr>
              <w:t>废渣S</w:t>
            </w:r>
            <w:r>
              <w:rPr>
                <w:rFonts w:hint="eastAsia" w:ascii="Times New Roman" w:hAnsi="Times New Roman" w:cs="Times New Roman"/>
                <w:color w:val="auto"/>
                <w:sz w:val="24"/>
                <w:lang w:val="en-US" w:eastAsia="zh-CN"/>
              </w:rPr>
              <w:t>6</w:t>
            </w:r>
          </w:p>
          <w:p w14:paraId="33656E9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项目</w:t>
            </w:r>
            <w:r>
              <w:rPr>
                <w:rFonts w:hint="eastAsia" w:ascii="Times New Roman" w:hAnsi="Times New Roman" w:eastAsia="宋体" w:cs="Times New Roman"/>
                <w:color w:val="auto"/>
                <w:sz w:val="24"/>
                <w:lang w:val="en-US" w:eastAsia="zh-CN"/>
              </w:rPr>
              <w:t>废渣主要产生过程为水淬捞渣、湿法制砂捞渣、水洗捞渣。各自产生量根据物料平衡估算，分别为10</w:t>
            </w:r>
            <w:r>
              <w:rPr>
                <w:rFonts w:hint="default"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20</w:t>
            </w:r>
            <w:r>
              <w:rPr>
                <w:rFonts w:hint="default"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合计</w:t>
            </w:r>
            <w:r>
              <w:rPr>
                <w:rFonts w:hint="eastAsia" w:cs="Times New Roman"/>
                <w:color w:val="auto"/>
                <w:sz w:val="24"/>
                <w:lang w:val="en-US" w:eastAsia="zh-CN"/>
              </w:rPr>
              <w:t>7</w:t>
            </w:r>
            <w:r>
              <w:rPr>
                <w:rFonts w:hint="eastAsia" w:ascii="Times New Roman" w:hAnsi="Times New Roman" w:eastAsia="宋体" w:cs="Times New Roman"/>
                <w:color w:val="auto"/>
                <w:sz w:val="24"/>
                <w:lang w:val="en-US" w:eastAsia="zh-CN"/>
              </w:rPr>
              <w:t>0t/a，</w:t>
            </w:r>
            <w:r>
              <w:rPr>
                <w:rFonts w:hint="default" w:ascii="Times New Roman" w:hAnsi="Times New Roman" w:eastAsia="宋体" w:cs="Times New Roman"/>
                <w:color w:val="auto"/>
                <w:sz w:val="24"/>
              </w:rPr>
              <w:t>属于一般工业固体废物，经收集后外售综合利用。</w:t>
            </w:r>
          </w:p>
          <w:p w14:paraId="00B203B6">
            <w:pPr>
              <w:spacing w:line="360" w:lineRule="auto"/>
              <w:ind w:firstLine="480"/>
              <w:jc w:val="left"/>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（1</w:t>
            </w:r>
            <w:r>
              <w:rPr>
                <w:rFonts w:hint="eastAsia" w:cs="Times New Roman"/>
                <w:color w:val="auto"/>
                <w:sz w:val="24"/>
                <w:lang w:val="en-US" w:eastAsia="zh-CN"/>
              </w:rPr>
              <w:t>5</w:t>
            </w:r>
            <w:r>
              <w:rPr>
                <w:rFonts w:hint="default" w:ascii="Times New Roman" w:hAnsi="Times New Roman" w:cs="Times New Roman"/>
                <w:color w:val="auto"/>
                <w:sz w:val="24"/>
              </w:rPr>
              <w:t>）</w:t>
            </w:r>
            <w:r>
              <w:rPr>
                <w:rFonts w:hint="eastAsia" w:cs="Times New Roman"/>
                <w:color w:val="auto"/>
                <w:sz w:val="24"/>
                <w:lang w:val="en-US" w:eastAsia="zh-CN"/>
              </w:rPr>
              <w:t>废滤材</w:t>
            </w:r>
          </w:p>
          <w:p w14:paraId="1C0AE951">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项目</w:t>
            </w:r>
            <w:r>
              <w:rPr>
                <w:rFonts w:hint="eastAsia" w:eastAsia="宋体" w:cs="Times New Roman"/>
                <w:color w:val="auto"/>
                <w:sz w:val="24"/>
                <w:lang w:val="en-US" w:eastAsia="zh-CN"/>
              </w:rPr>
              <w:t>磁选区、烤砂区、纯化区、成品暂存区设置洁净车间，洁净车间</w:t>
            </w:r>
            <w:r>
              <w:rPr>
                <w:rFonts w:hint="eastAsia" w:cs="Times New Roman"/>
                <w:color w:val="auto"/>
                <w:sz w:val="24"/>
                <w:lang w:val="en-US" w:eastAsia="zh-CN"/>
              </w:rPr>
              <w:t>净化空气</w:t>
            </w:r>
            <w:r>
              <w:rPr>
                <w:rFonts w:hint="eastAsia" w:eastAsia="宋体" w:cs="Times New Roman"/>
                <w:color w:val="auto"/>
                <w:sz w:val="24"/>
                <w:lang w:val="en-US" w:eastAsia="zh-CN"/>
              </w:rPr>
              <w:t>，空气单向导流</w:t>
            </w:r>
            <w:r>
              <w:rPr>
                <w:rFonts w:hint="eastAsia" w:ascii="Times New Roman" w:hAnsi="Times New Roman" w:eastAsia="宋体" w:cs="Times New Roman"/>
                <w:color w:val="auto"/>
                <w:sz w:val="24"/>
                <w:lang w:val="en-US" w:eastAsia="zh-CN"/>
              </w:rPr>
              <w:t>，</w:t>
            </w:r>
            <w:r>
              <w:rPr>
                <w:rFonts w:hint="eastAsia" w:eastAsia="宋体" w:cs="Times New Roman"/>
                <w:color w:val="auto"/>
                <w:sz w:val="24"/>
                <w:lang w:val="en-US" w:eastAsia="zh-CN"/>
              </w:rPr>
              <w:t>采用过滤方式净化空气（分为初、中、高效过滤），过滤采取HEPA材质过滤材料，收集效率以90%计，故废滤材产生量为4</w:t>
            </w:r>
            <w:r>
              <w:rPr>
                <w:rFonts w:hint="default" w:ascii="Times New Roman" w:hAnsi="Times New Roman" w:eastAsia="宋体" w:cs="Times New Roman"/>
                <w:color w:val="auto"/>
                <w:sz w:val="24"/>
              </w:rPr>
              <w:t>t/a</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属于一般工业固体废物，经收集后外售综合利用。</w:t>
            </w:r>
          </w:p>
          <w:bookmarkEnd w:id="182"/>
          <w:p w14:paraId="6C4F47EB">
            <w:pPr>
              <w:spacing w:line="360" w:lineRule="auto"/>
              <w:ind w:firstLine="480" w:firstLineChars="200"/>
              <w:rPr>
                <w:rFonts w:hint="default" w:ascii="Times New Roman" w:hAnsi="Times New Roman" w:cs="Times New Roman"/>
                <w:b/>
                <w:color w:val="auto"/>
                <w:sz w:val="18"/>
                <w:szCs w:val="18"/>
              </w:rPr>
            </w:pPr>
            <w:r>
              <w:rPr>
                <w:rFonts w:hint="default" w:ascii="Times New Roman" w:hAnsi="Times New Roman" w:cs="Times New Roman"/>
                <w:color w:val="auto"/>
                <w:sz w:val="24"/>
              </w:rPr>
              <w:t>根据《固体废物鉴别标准—通则》(GB34330-2017)，判断是否属于固体废物，判断结果见下表。</w:t>
            </w:r>
          </w:p>
          <w:p w14:paraId="5DF60350">
            <w:pPr>
              <w:snapToGrid w:val="0"/>
              <w:spacing w:line="400" w:lineRule="exact"/>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表4.2.8-1 项目固废产生及判定情况表   单位t/a</w:t>
            </w:r>
          </w:p>
          <w:tbl>
            <w:tblPr>
              <w:tblStyle w:val="32"/>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7"/>
              <w:gridCol w:w="1371"/>
              <w:gridCol w:w="1185"/>
              <w:gridCol w:w="536"/>
              <w:gridCol w:w="1191"/>
              <w:gridCol w:w="833"/>
              <w:gridCol w:w="1500"/>
              <w:gridCol w:w="804"/>
            </w:tblGrid>
            <w:tr w14:paraId="1EEE6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0F78E0F4">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来源</w:t>
                  </w:r>
                </w:p>
              </w:tc>
              <w:tc>
                <w:tcPr>
                  <w:tcW w:w="1371" w:type="dxa"/>
                  <w:tcBorders>
                    <w:top w:val="single" w:color="auto" w:sz="4" w:space="0"/>
                    <w:left w:val="single" w:color="auto" w:sz="4" w:space="0"/>
                    <w:bottom w:val="single" w:color="auto" w:sz="4" w:space="0"/>
                    <w:right w:val="single" w:color="auto" w:sz="4" w:space="0"/>
                  </w:tcBorders>
                  <w:vAlign w:val="center"/>
                </w:tcPr>
                <w:p w14:paraId="45BA0BF0">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固废名称</w:t>
                  </w:r>
                </w:p>
              </w:tc>
              <w:tc>
                <w:tcPr>
                  <w:tcW w:w="1185" w:type="dxa"/>
                  <w:tcBorders>
                    <w:top w:val="single" w:color="auto" w:sz="4" w:space="0"/>
                    <w:left w:val="single" w:color="auto" w:sz="4" w:space="0"/>
                    <w:bottom w:val="single" w:color="auto" w:sz="4" w:space="0"/>
                    <w:right w:val="single" w:color="auto" w:sz="4" w:space="0"/>
                  </w:tcBorders>
                  <w:vAlign w:val="center"/>
                </w:tcPr>
                <w:p w14:paraId="670AD574">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产生工序</w:t>
                  </w:r>
                </w:p>
              </w:tc>
              <w:tc>
                <w:tcPr>
                  <w:tcW w:w="536" w:type="dxa"/>
                  <w:tcBorders>
                    <w:top w:val="single" w:color="auto" w:sz="4" w:space="0"/>
                    <w:left w:val="single" w:color="auto" w:sz="4" w:space="0"/>
                    <w:bottom w:val="single" w:color="auto" w:sz="4" w:space="0"/>
                    <w:right w:val="single" w:color="auto" w:sz="4" w:space="0"/>
                  </w:tcBorders>
                  <w:vAlign w:val="center"/>
                </w:tcPr>
                <w:p w14:paraId="43B3CCAB">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形态</w:t>
                  </w:r>
                </w:p>
              </w:tc>
              <w:tc>
                <w:tcPr>
                  <w:tcW w:w="1191" w:type="dxa"/>
                  <w:tcBorders>
                    <w:top w:val="single" w:color="auto" w:sz="4" w:space="0"/>
                    <w:left w:val="single" w:color="auto" w:sz="4" w:space="0"/>
                    <w:bottom w:val="single" w:color="auto" w:sz="4" w:space="0"/>
                    <w:right w:val="single" w:color="auto" w:sz="4" w:space="0"/>
                  </w:tcBorders>
                  <w:vAlign w:val="center"/>
                </w:tcPr>
                <w:p w14:paraId="7AE4C287">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主要成分</w:t>
                  </w:r>
                </w:p>
              </w:tc>
              <w:tc>
                <w:tcPr>
                  <w:tcW w:w="833" w:type="dxa"/>
                  <w:tcBorders>
                    <w:top w:val="single" w:color="auto" w:sz="4" w:space="0"/>
                    <w:left w:val="single" w:color="auto" w:sz="4" w:space="0"/>
                    <w:bottom w:val="single" w:color="auto" w:sz="4" w:space="0"/>
                    <w:right w:val="single" w:color="auto" w:sz="4" w:space="0"/>
                  </w:tcBorders>
                  <w:vAlign w:val="center"/>
                </w:tcPr>
                <w:p w14:paraId="0C71CD6E">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产生量</w:t>
                  </w:r>
                </w:p>
              </w:tc>
              <w:tc>
                <w:tcPr>
                  <w:tcW w:w="1500" w:type="dxa"/>
                  <w:tcBorders>
                    <w:top w:val="single" w:color="auto" w:sz="4" w:space="0"/>
                    <w:left w:val="single" w:color="auto" w:sz="4" w:space="0"/>
                    <w:bottom w:val="single" w:color="auto" w:sz="4" w:space="0"/>
                    <w:right w:val="single" w:color="auto" w:sz="4" w:space="0"/>
                  </w:tcBorders>
                  <w:vAlign w:val="center"/>
                </w:tcPr>
                <w:p w14:paraId="584DCDF7">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是否属固体废物</w:t>
                  </w:r>
                </w:p>
              </w:tc>
              <w:tc>
                <w:tcPr>
                  <w:tcW w:w="804" w:type="dxa"/>
                  <w:tcBorders>
                    <w:top w:val="single" w:color="auto" w:sz="4" w:space="0"/>
                    <w:left w:val="single" w:color="auto" w:sz="4" w:space="0"/>
                    <w:bottom w:val="single" w:color="auto" w:sz="4" w:space="0"/>
                    <w:right w:val="single" w:color="auto" w:sz="4" w:space="0"/>
                  </w:tcBorders>
                  <w:vAlign w:val="center"/>
                </w:tcPr>
                <w:p w14:paraId="597070C3">
                  <w:pPr>
                    <w:pStyle w:val="125"/>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判定依据</w:t>
                  </w:r>
                </w:p>
              </w:tc>
            </w:tr>
            <w:tr w14:paraId="635F3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6502AD8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1371" w:type="dxa"/>
                  <w:tcBorders>
                    <w:top w:val="single" w:color="auto" w:sz="4" w:space="0"/>
                    <w:left w:val="single" w:color="auto" w:sz="4" w:space="0"/>
                    <w:bottom w:val="single" w:color="auto" w:sz="4" w:space="0"/>
                    <w:right w:val="single" w:color="auto" w:sz="4" w:space="0"/>
                  </w:tcBorders>
                  <w:vAlign w:val="center"/>
                </w:tcPr>
                <w:p w14:paraId="6202278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废包装材料</w:t>
                  </w:r>
                </w:p>
              </w:tc>
              <w:tc>
                <w:tcPr>
                  <w:tcW w:w="1185" w:type="dxa"/>
                  <w:tcBorders>
                    <w:top w:val="single" w:color="auto" w:sz="4" w:space="0"/>
                    <w:left w:val="single" w:color="auto" w:sz="4" w:space="0"/>
                    <w:bottom w:val="single" w:color="auto" w:sz="4" w:space="0"/>
                    <w:right w:val="single" w:color="auto" w:sz="4" w:space="0"/>
                  </w:tcBorders>
                  <w:vAlign w:val="center"/>
                </w:tcPr>
                <w:p w14:paraId="50B65B7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536" w:type="dxa"/>
                  <w:tcBorders>
                    <w:top w:val="single" w:color="auto" w:sz="4" w:space="0"/>
                    <w:left w:val="single" w:color="auto" w:sz="4" w:space="0"/>
                    <w:bottom w:val="single" w:color="auto" w:sz="4" w:space="0"/>
                    <w:right w:val="single" w:color="auto" w:sz="4" w:space="0"/>
                  </w:tcBorders>
                  <w:vAlign w:val="center"/>
                </w:tcPr>
                <w:p w14:paraId="4BFD5DC8">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63EEF727">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塑料等</w:t>
                  </w:r>
                </w:p>
              </w:tc>
              <w:tc>
                <w:tcPr>
                  <w:tcW w:w="833" w:type="dxa"/>
                  <w:tcBorders>
                    <w:top w:val="single" w:color="auto" w:sz="4" w:space="0"/>
                    <w:left w:val="single" w:color="auto" w:sz="4" w:space="0"/>
                    <w:bottom w:val="single" w:color="auto" w:sz="4" w:space="0"/>
                    <w:right w:val="single" w:color="auto" w:sz="4" w:space="0"/>
                  </w:tcBorders>
                  <w:vAlign w:val="center"/>
                </w:tcPr>
                <w:p w14:paraId="18AB9A4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0.1</w:t>
                  </w:r>
                </w:p>
              </w:tc>
              <w:tc>
                <w:tcPr>
                  <w:tcW w:w="1500" w:type="dxa"/>
                  <w:tcBorders>
                    <w:top w:val="single" w:color="auto" w:sz="4" w:space="0"/>
                    <w:left w:val="single" w:color="auto" w:sz="4" w:space="0"/>
                    <w:bottom w:val="single" w:color="auto" w:sz="4" w:space="0"/>
                    <w:right w:val="single" w:color="auto" w:sz="4" w:space="0"/>
                  </w:tcBorders>
                  <w:vAlign w:val="center"/>
                </w:tcPr>
                <w:p w14:paraId="211728E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5EB66B91">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22BDC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436A15E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1371" w:type="dxa"/>
                  <w:tcBorders>
                    <w:top w:val="single" w:color="auto" w:sz="4" w:space="0"/>
                    <w:left w:val="single" w:color="auto" w:sz="4" w:space="0"/>
                    <w:bottom w:val="single" w:color="auto" w:sz="4" w:space="0"/>
                    <w:right w:val="single" w:color="auto" w:sz="4" w:space="0"/>
                  </w:tcBorders>
                  <w:vAlign w:val="center"/>
                </w:tcPr>
                <w:p w14:paraId="72BC315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废油桶</w:t>
                  </w:r>
                </w:p>
              </w:tc>
              <w:tc>
                <w:tcPr>
                  <w:tcW w:w="1185" w:type="dxa"/>
                  <w:tcBorders>
                    <w:top w:val="single" w:color="auto" w:sz="4" w:space="0"/>
                    <w:left w:val="single" w:color="auto" w:sz="4" w:space="0"/>
                    <w:bottom w:val="single" w:color="auto" w:sz="4" w:space="0"/>
                    <w:right w:val="single" w:color="auto" w:sz="4" w:space="0"/>
                  </w:tcBorders>
                  <w:vAlign w:val="center"/>
                </w:tcPr>
                <w:p w14:paraId="33E5B9A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536" w:type="dxa"/>
                  <w:tcBorders>
                    <w:top w:val="single" w:color="auto" w:sz="4" w:space="0"/>
                    <w:left w:val="single" w:color="auto" w:sz="4" w:space="0"/>
                    <w:bottom w:val="single" w:color="auto" w:sz="4" w:space="0"/>
                    <w:right w:val="single" w:color="auto" w:sz="4" w:space="0"/>
                  </w:tcBorders>
                  <w:vAlign w:val="center"/>
                </w:tcPr>
                <w:p w14:paraId="4A36FA33">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0639B0CB">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包装桶</w:t>
                  </w:r>
                </w:p>
              </w:tc>
              <w:tc>
                <w:tcPr>
                  <w:tcW w:w="833" w:type="dxa"/>
                  <w:tcBorders>
                    <w:top w:val="single" w:color="auto" w:sz="4" w:space="0"/>
                    <w:left w:val="single" w:color="auto" w:sz="4" w:space="0"/>
                    <w:bottom w:val="single" w:color="auto" w:sz="4" w:space="0"/>
                    <w:right w:val="single" w:color="auto" w:sz="4" w:space="0"/>
                  </w:tcBorders>
                  <w:vAlign w:val="center"/>
                </w:tcPr>
                <w:p w14:paraId="3CD07C7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0.05</w:t>
                  </w:r>
                </w:p>
              </w:tc>
              <w:tc>
                <w:tcPr>
                  <w:tcW w:w="1500" w:type="dxa"/>
                  <w:tcBorders>
                    <w:top w:val="single" w:color="auto" w:sz="4" w:space="0"/>
                    <w:left w:val="single" w:color="auto" w:sz="4" w:space="0"/>
                    <w:bottom w:val="single" w:color="auto" w:sz="4" w:space="0"/>
                    <w:right w:val="single" w:color="auto" w:sz="4" w:space="0"/>
                  </w:tcBorders>
                  <w:vAlign w:val="center"/>
                </w:tcPr>
                <w:p w14:paraId="465167B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58FEFE5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4CD7A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1A581CB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1371" w:type="dxa"/>
                  <w:tcBorders>
                    <w:top w:val="single" w:color="auto" w:sz="4" w:space="0"/>
                    <w:left w:val="single" w:color="auto" w:sz="4" w:space="0"/>
                    <w:bottom w:val="single" w:color="auto" w:sz="4" w:space="0"/>
                    <w:right w:val="single" w:color="auto" w:sz="4" w:space="0"/>
                  </w:tcBorders>
                  <w:vAlign w:val="center"/>
                </w:tcPr>
                <w:p w14:paraId="39644EE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过滤材料</w:t>
                  </w:r>
                </w:p>
              </w:tc>
              <w:tc>
                <w:tcPr>
                  <w:tcW w:w="1185" w:type="dxa"/>
                  <w:tcBorders>
                    <w:top w:val="single" w:color="auto" w:sz="4" w:space="0"/>
                    <w:left w:val="single" w:color="auto" w:sz="4" w:space="0"/>
                    <w:bottom w:val="single" w:color="auto" w:sz="4" w:space="0"/>
                    <w:right w:val="single" w:color="auto" w:sz="4" w:space="0"/>
                  </w:tcBorders>
                  <w:vAlign w:val="center"/>
                </w:tcPr>
                <w:p w14:paraId="1ECA24C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536" w:type="dxa"/>
                  <w:tcBorders>
                    <w:top w:val="single" w:color="auto" w:sz="4" w:space="0"/>
                    <w:left w:val="single" w:color="auto" w:sz="4" w:space="0"/>
                    <w:bottom w:val="single" w:color="auto" w:sz="4" w:space="0"/>
                    <w:right w:val="single" w:color="auto" w:sz="4" w:space="0"/>
                  </w:tcBorders>
                  <w:vAlign w:val="center"/>
                </w:tcPr>
                <w:p w14:paraId="4D742998">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7462597E">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氧化铝、杂质等</w:t>
                  </w:r>
                </w:p>
              </w:tc>
              <w:tc>
                <w:tcPr>
                  <w:tcW w:w="833" w:type="dxa"/>
                  <w:tcBorders>
                    <w:top w:val="single" w:color="auto" w:sz="4" w:space="0"/>
                    <w:left w:val="single" w:color="auto" w:sz="4" w:space="0"/>
                    <w:bottom w:val="single" w:color="auto" w:sz="4" w:space="0"/>
                    <w:right w:val="single" w:color="auto" w:sz="4" w:space="0"/>
                  </w:tcBorders>
                  <w:vAlign w:val="center"/>
                </w:tcPr>
                <w:p w14:paraId="0CE4AE8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1500" w:type="dxa"/>
                  <w:tcBorders>
                    <w:top w:val="single" w:color="auto" w:sz="4" w:space="0"/>
                    <w:left w:val="single" w:color="auto" w:sz="4" w:space="0"/>
                    <w:bottom w:val="single" w:color="auto" w:sz="4" w:space="0"/>
                    <w:right w:val="single" w:color="auto" w:sz="4" w:space="0"/>
                  </w:tcBorders>
                  <w:vAlign w:val="center"/>
                </w:tcPr>
                <w:p w14:paraId="4C2B3C3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738A229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4F50C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4FF6529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1371" w:type="dxa"/>
                  <w:tcBorders>
                    <w:top w:val="single" w:color="auto" w:sz="4" w:space="0"/>
                    <w:left w:val="single" w:color="auto" w:sz="4" w:space="0"/>
                    <w:bottom w:val="single" w:color="auto" w:sz="4" w:space="0"/>
                    <w:right w:val="single" w:color="auto" w:sz="4" w:space="0"/>
                  </w:tcBorders>
                  <w:vAlign w:val="center"/>
                </w:tcPr>
                <w:p w14:paraId="0A596BE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1185" w:type="dxa"/>
                  <w:tcBorders>
                    <w:top w:val="single" w:color="auto" w:sz="4" w:space="0"/>
                    <w:left w:val="single" w:color="auto" w:sz="4" w:space="0"/>
                    <w:bottom w:val="single" w:color="auto" w:sz="4" w:space="0"/>
                    <w:right w:val="single" w:color="auto" w:sz="4" w:space="0"/>
                  </w:tcBorders>
                  <w:vAlign w:val="center"/>
                </w:tcPr>
                <w:p w14:paraId="058BC8A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536" w:type="dxa"/>
                  <w:tcBorders>
                    <w:top w:val="single" w:color="auto" w:sz="4" w:space="0"/>
                    <w:left w:val="single" w:color="auto" w:sz="4" w:space="0"/>
                    <w:bottom w:val="single" w:color="auto" w:sz="4" w:space="0"/>
                    <w:right w:val="single" w:color="auto" w:sz="4" w:space="0"/>
                  </w:tcBorders>
                  <w:vAlign w:val="center"/>
                </w:tcPr>
                <w:p w14:paraId="3C97EAC6">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052689CA">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833" w:type="dxa"/>
                  <w:tcBorders>
                    <w:top w:val="single" w:color="auto" w:sz="4" w:space="0"/>
                    <w:left w:val="single" w:color="auto" w:sz="4" w:space="0"/>
                    <w:bottom w:val="single" w:color="auto" w:sz="4" w:space="0"/>
                    <w:right w:val="single" w:color="auto" w:sz="4" w:space="0"/>
                  </w:tcBorders>
                  <w:vAlign w:val="center"/>
                </w:tcPr>
                <w:p w14:paraId="4371B089">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150</w:t>
                  </w:r>
                </w:p>
              </w:tc>
              <w:tc>
                <w:tcPr>
                  <w:tcW w:w="1500" w:type="dxa"/>
                  <w:tcBorders>
                    <w:top w:val="single" w:color="auto" w:sz="4" w:space="0"/>
                    <w:left w:val="single" w:color="auto" w:sz="4" w:space="0"/>
                    <w:bottom w:val="single" w:color="auto" w:sz="4" w:space="0"/>
                    <w:right w:val="single" w:color="auto" w:sz="4" w:space="0"/>
                  </w:tcBorders>
                  <w:vAlign w:val="center"/>
                </w:tcPr>
                <w:p w14:paraId="3C5EBB1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709A5BE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4.3e</w:t>
                  </w:r>
                </w:p>
              </w:tc>
            </w:tr>
            <w:tr w14:paraId="2ED30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70CF570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371" w:type="dxa"/>
                  <w:tcBorders>
                    <w:top w:val="single" w:color="auto" w:sz="4" w:space="0"/>
                    <w:left w:val="single" w:color="auto" w:sz="4" w:space="0"/>
                    <w:bottom w:val="single" w:color="auto" w:sz="4" w:space="0"/>
                    <w:right w:val="single" w:color="auto" w:sz="4" w:space="0"/>
                  </w:tcBorders>
                  <w:vAlign w:val="center"/>
                </w:tcPr>
                <w:p w14:paraId="7501A51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废润滑油</w:t>
                  </w:r>
                </w:p>
              </w:tc>
              <w:tc>
                <w:tcPr>
                  <w:tcW w:w="1185" w:type="dxa"/>
                  <w:tcBorders>
                    <w:top w:val="single" w:color="auto" w:sz="4" w:space="0"/>
                    <w:left w:val="single" w:color="auto" w:sz="4" w:space="0"/>
                    <w:bottom w:val="single" w:color="auto" w:sz="4" w:space="0"/>
                    <w:right w:val="single" w:color="auto" w:sz="4" w:space="0"/>
                  </w:tcBorders>
                  <w:vAlign w:val="center"/>
                </w:tcPr>
                <w:p w14:paraId="1DFE922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536" w:type="dxa"/>
                  <w:tcBorders>
                    <w:top w:val="single" w:color="auto" w:sz="4" w:space="0"/>
                    <w:left w:val="single" w:color="auto" w:sz="4" w:space="0"/>
                    <w:bottom w:val="single" w:color="auto" w:sz="4" w:space="0"/>
                    <w:right w:val="single" w:color="auto" w:sz="4" w:space="0"/>
                  </w:tcBorders>
                  <w:vAlign w:val="center"/>
                </w:tcPr>
                <w:p w14:paraId="7E56B13B">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sz w:val="18"/>
                      <w:szCs w:val="18"/>
                    </w:rPr>
                  </w:pPr>
                  <w:r>
                    <w:rPr>
                      <w:rFonts w:hint="default" w:ascii="Times New Roman" w:hAnsi="Times New Roman" w:cs="Times New Roman"/>
                      <w:color w:val="auto"/>
                      <w:kern w:val="2"/>
                      <w:sz w:val="18"/>
                      <w:szCs w:val="18"/>
                    </w:rPr>
                    <w:t>液态</w:t>
                  </w:r>
                </w:p>
              </w:tc>
              <w:tc>
                <w:tcPr>
                  <w:tcW w:w="1191" w:type="dxa"/>
                  <w:tcBorders>
                    <w:top w:val="single" w:color="auto" w:sz="4" w:space="0"/>
                    <w:left w:val="single" w:color="auto" w:sz="4" w:space="0"/>
                    <w:bottom w:val="single" w:color="auto" w:sz="4" w:space="0"/>
                    <w:right w:val="single" w:color="auto" w:sz="4" w:space="0"/>
                  </w:tcBorders>
                  <w:vAlign w:val="center"/>
                </w:tcPr>
                <w:p w14:paraId="644C1B6C">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油类物质</w:t>
                  </w:r>
                </w:p>
              </w:tc>
              <w:tc>
                <w:tcPr>
                  <w:tcW w:w="833" w:type="dxa"/>
                  <w:tcBorders>
                    <w:top w:val="single" w:color="auto" w:sz="4" w:space="0"/>
                    <w:left w:val="single" w:color="auto" w:sz="4" w:space="0"/>
                    <w:bottom w:val="single" w:color="auto" w:sz="4" w:space="0"/>
                    <w:right w:val="single" w:color="auto" w:sz="4" w:space="0"/>
                  </w:tcBorders>
                  <w:vAlign w:val="center"/>
                </w:tcPr>
                <w:p w14:paraId="56336E87">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0.5</w:t>
                  </w:r>
                </w:p>
              </w:tc>
              <w:tc>
                <w:tcPr>
                  <w:tcW w:w="1500" w:type="dxa"/>
                  <w:tcBorders>
                    <w:top w:val="single" w:color="auto" w:sz="4" w:space="0"/>
                    <w:left w:val="single" w:color="auto" w:sz="4" w:space="0"/>
                    <w:bottom w:val="single" w:color="auto" w:sz="4" w:space="0"/>
                    <w:right w:val="single" w:color="auto" w:sz="4" w:space="0"/>
                  </w:tcBorders>
                  <w:vAlign w:val="center"/>
                </w:tcPr>
                <w:p w14:paraId="0ED82B8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37075A9C">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4.1h</w:t>
                  </w:r>
                </w:p>
              </w:tc>
            </w:tr>
            <w:tr w14:paraId="3219D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3917CD0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w:t>
                  </w:r>
                </w:p>
              </w:tc>
              <w:tc>
                <w:tcPr>
                  <w:tcW w:w="1371" w:type="dxa"/>
                  <w:tcBorders>
                    <w:top w:val="single" w:color="auto" w:sz="4" w:space="0"/>
                    <w:left w:val="single" w:color="auto" w:sz="4" w:space="0"/>
                    <w:bottom w:val="single" w:color="auto" w:sz="4" w:space="0"/>
                    <w:right w:val="single" w:color="auto" w:sz="4" w:space="0"/>
                  </w:tcBorders>
                  <w:vAlign w:val="center"/>
                </w:tcPr>
                <w:p w14:paraId="466A9FF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废液压油</w:t>
                  </w:r>
                </w:p>
              </w:tc>
              <w:tc>
                <w:tcPr>
                  <w:tcW w:w="1185" w:type="dxa"/>
                  <w:tcBorders>
                    <w:top w:val="single" w:color="auto" w:sz="4" w:space="0"/>
                    <w:left w:val="single" w:color="auto" w:sz="4" w:space="0"/>
                    <w:bottom w:val="single" w:color="auto" w:sz="4" w:space="0"/>
                    <w:right w:val="single" w:color="auto" w:sz="4" w:space="0"/>
                  </w:tcBorders>
                  <w:vAlign w:val="center"/>
                </w:tcPr>
                <w:p w14:paraId="3B9FA03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536" w:type="dxa"/>
                  <w:tcBorders>
                    <w:top w:val="single" w:color="auto" w:sz="4" w:space="0"/>
                    <w:left w:val="single" w:color="auto" w:sz="4" w:space="0"/>
                    <w:bottom w:val="single" w:color="auto" w:sz="4" w:space="0"/>
                    <w:right w:val="single" w:color="auto" w:sz="4" w:space="0"/>
                  </w:tcBorders>
                  <w:vAlign w:val="center"/>
                </w:tcPr>
                <w:p w14:paraId="056DC35D">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sz w:val="18"/>
                      <w:szCs w:val="18"/>
                    </w:rPr>
                  </w:pPr>
                  <w:r>
                    <w:rPr>
                      <w:rFonts w:hint="default" w:ascii="Times New Roman" w:hAnsi="Times New Roman" w:cs="Times New Roman"/>
                      <w:color w:val="auto"/>
                      <w:kern w:val="2"/>
                      <w:sz w:val="18"/>
                      <w:szCs w:val="18"/>
                    </w:rPr>
                    <w:t>液态</w:t>
                  </w:r>
                </w:p>
              </w:tc>
              <w:tc>
                <w:tcPr>
                  <w:tcW w:w="1191" w:type="dxa"/>
                  <w:tcBorders>
                    <w:top w:val="single" w:color="auto" w:sz="4" w:space="0"/>
                    <w:left w:val="single" w:color="auto" w:sz="4" w:space="0"/>
                    <w:bottom w:val="single" w:color="auto" w:sz="4" w:space="0"/>
                    <w:right w:val="single" w:color="auto" w:sz="4" w:space="0"/>
                  </w:tcBorders>
                  <w:vAlign w:val="center"/>
                </w:tcPr>
                <w:p w14:paraId="2A7A1432">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油类物质</w:t>
                  </w:r>
                </w:p>
              </w:tc>
              <w:tc>
                <w:tcPr>
                  <w:tcW w:w="833" w:type="dxa"/>
                  <w:tcBorders>
                    <w:top w:val="single" w:color="auto" w:sz="4" w:space="0"/>
                    <w:left w:val="single" w:color="auto" w:sz="4" w:space="0"/>
                    <w:bottom w:val="single" w:color="auto" w:sz="4" w:space="0"/>
                    <w:right w:val="single" w:color="auto" w:sz="4" w:space="0"/>
                  </w:tcBorders>
                  <w:vAlign w:val="center"/>
                </w:tcPr>
                <w:p w14:paraId="52E18EDB">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0.5</w:t>
                  </w:r>
                </w:p>
              </w:tc>
              <w:tc>
                <w:tcPr>
                  <w:tcW w:w="1500" w:type="dxa"/>
                  <w:tcBorders>
                    <w:top w:val="single" w:color="auto" w:sz="4" w:space="0"/>
                    <w:left w:val="single" w:color="auto" w:sz="4" w:space="0"/>
                    <w:bottom w:val="single" w:color="auto" w:sz="4" w:space="0"/>
                    <w:right w:val="single" w:color="auto" w:sz="4" w:space="0"/>
                  </w:tcBorders>
                  <w:vAlign w:val="center"/>
                </w:tcPr>
                <w:p w14:paraId="2D3F0E81">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43B829FD">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4.1h</w:t>
                  </w:r>
                </w:p>
              </w:tc>
            </w:tr>
            <w:tr w14:paraId="55E22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1E8889E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c>
                <w:tcPr>
                  <w:tcW w:w="1371" w:type="dxa"/>
                  <w:tcBorders>
                    <w:top w:val="single" w:color="auto" w:sz="4" w:space="0"/>
                    <w:left w:val="single" w:color="auto" w:sz="4" w:space="0"/>
                    <w:bottom w:val="single" w:color="auto" w:sz="4" w:space="0"/>
                    <w:right w:val="single" w:color="auto" w:sz="4" w:space="0"/>
                  </w:tcBorders>
                  <w:vAlign w:val="center"/>
                </w:tcPr>
                <w:p w14:paraId="0321188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w:t>
                  </w:r>
                </w:p>
              </w:tc>
              <w:tc>
                <w:tcPr>
                  <w:tcW w:w="1185" w:type="dxa"/>
                  <w:tcBorders>
                    <w:top w:val="single" w:color="auto" w:sz="4" w:space="0"/>
                    <w:left w:val="single" w:color="auto" w:sz="4" w:space="0"/>
                    <w:bottom w:val="single" w:color="auto" w:sz="4" w:space="0"/>
                    <w:right w:val="single" w:color="auto" w:sz="4" w:space="0"/>
                  </w:tcBorders>
                  <w:vAlign w:val="center"/>
                </w:tcPr>
                <w:p w14:paraId="53D5EEB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536" w:type="dxa"/>
                  <w:tcBorders>
                    <w:top w:val="single" w:color="auto" w:sz="4" w:space="0"/>
                    <w:left w:val="single" w:color="auto" w:sz="4" w:space="0"/>
                    <w:bottom w:val="single" w:color="auto" w:sz="4" w:space="0"/>
                    <w:right w:val="single" w:color="auto" w:sz="4" w:space="0"/>
                  </w:tcBorders>
                  <w:vAlign w:val="center"/>
                </w:tcPr>
                <w:p w14:paraId="64DE5223">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液态</w:t>
                  </w:r>
                </w:p>
              </w:tc>
              <w:tc>
                <w:tcPr>
                  <w:tcW w:w="1191" w:type="dxa"/>
                  <w:tcBorders>
                    <w:top w:val="single" w:color="auto" w:sz="4" w:space="0"/>
                    <w:left w:val="single" w:color="auto" w:sz="4" w:space="0"/>
                    <w:bottom w:val="single" w:color="auto" w:sz="4" w:space="0"/>
                    <w:right w:val="single" w:color="auto" w:sz="4" w:space="0"/>
                  </w:tcBorders>
                  <w:vAlign w:val="center"/>
                </w:tcPr>
                <w:p w14:paraId="3C97BFAF">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氯化氢、氟化氢</w:t>
                  </w:r>
                </w:p>
              </w:tc>
              <w:tc>
                <w:tcPr>
                  <w:tcW w:w="833" w:type="dxa"/>
                  <w:tcBorders>
                    <w:top w:val="single" w:color="auto" w:sz="4" w:space="0"/>
                    <w:left w:val="single" w:color="auto" w:sz="4" w:space="0"/>
                    <w:bottom w:val="single" w:color="auto" w:sz="4" w:space="0"/>
                    <w:right w:val="single" w:color="auto" w:sz="4" w:space="0"/>
                  </w:tcBorders>
                  <w:vAlign w:val="center"/>
                </w:tcPr>
                <w:p w14:paraId="0E528236">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928</w:t>
                  </w:r>
                </w:p>
              </w:tc>
              <w:tc>
                <w:tcPr>
                  <w:tcW w:w="1500" w:type="dxa"/>
                  <w:tcBorders>
                    <w:top w:val="single" w:color="auto" w:sz="4" w:space="0"/>
                    <w:left w:val="single" w:color="auto" w:sz="4" w:space="0"/>
                    <w:bottom w:val="single" w:color="auto" w:sz="4" w:space="0"/>
                    <w:right w:val="single" w:color="auto" w:sz="4" w:space="0"/>
                  </w:tcBorders>
                  <w:vAlign w:val="center"/>
                </w:tcPr>
                <w:p w14:paraId="13281222">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29E130C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64F9F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5E8A7ED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371" w:type="dxa"/>
                  <w:tcBorders>
                    <w:top w:val="single" w:color="auto" w:sz="4" w:space="0"/>
                    <w:left w:val="single" w:color="auto" w:sz="4" w:space="0"/>
                    <w:bottom w:val="single" w:color="auto" w:sz="4" w:space="0"/>
                    <w:right w:val="single" w:color="auto" w:sz="4" w:space="0"/>
                  </w:tcBorders>
                  <w:vAlign w:val="center"/>
                </w:tcPr>
                <w:p w14:paraId="1CA071C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废酸渣</w:t>
                  </w:r>
                </w:p>
              </w:tc>
              <w:tc>
                <w:tcPr>
                  <w:tcW w:w="1185" w:type="dxa"/>
                  <w:tcBorders>
                    <w:top w:val="single" w:color="auto" w:sz="4" w:space="0"/>
                    <w:left w:val="single" w:color="auto" w:sz="4" w:space="0"/>
                    <w:bottom w:val="single" w:color="auto" w:sz="4" w:space="0"/>
                    <w:right w:val="single" w:color="auto" w:sz="4" w:space="0"/>
                  </w:tcBorders>
                  <w:vAlign w:val="center"/>
                </w:tcPr>
                <w:p w14:paraId="0CA35BA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536" w:type="dxa"/>
                  <w:tcBorders>
                    <w:top w:val="single" w:color="auto" w:sz="4" w:space="0"/>
                    <w:left w:val="single" w:color="auto" w:sz="4" w:space="0"/>
                    <w:bottom w:val="single" w:color="auto" w:sz="4" w:space="0"/>
                    <w:right w:val="single" w:color="auto" w:sz="4" w:space="0"/>
                  </w:tcBorders>
                  <w:vAlign w:val="center"/>
                </w:tcPr>
                <w:p w14:paraId="6AB663B9">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3C9AED9A">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氯化物杂质</w:t>
                  </w:r>
                </w:p>
              </w:tc>
              <w:tc>
                <w:tcPr>
                  <w:tcW w:w="833" w:type="dxa"/>
                  <w:tcBorders>
                    <w:top w:val="single" w:color="auto" w:sz="4" w:space="0"/>
                    <w:left w:val="single" w:color="auto" w:sz="4" w:space="0"/>
                    <w:bottom w:val="single" w:color="auto" w:sz="4" w:space="0"/>
                    <w:right w:val="single" w:color="auto" w:sz="4" w:space="0"/>
                  </w:tcBorders>
                  <w:vAlign w:val="center"/>
                </w:tcPr>
                <w:p w14:paraId="028F512A">
                  <w:pPr>
                    <w:pStyle w:val="125"/>
                    <w:spacing w:line="240" w:lineRule="auto"/>
                    <w:rPr>
                      <w:rFonts w:hint="eastAsia"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2</w:t>
                  </w:r>
                  <w:r>
                    <w:rPr>
                      <w:rFonts w:hint="eastAsia" w:cs="Times New Roman"/>
                      <w:color w:val="auto"/>
                      <w:sz w:val="18"/>
                      <w:szCs w:val="18"/>
                      <w:lang w:val="en-US" w:eastAsia="zh-CN"/>
                    </w:rPr>
                    <w:t>0</w:t>
                  </w:r>
                </w:p>
              </w:tc>
              <w:tc>
                <w:tcPr>
                  <w:tcW w:w="1500" w:type="dxa"/>
                  <w:tcBorders>
                    <w:top w:val="single" w:color="auto" w:sz="4" w:space="0"/>
                    <w:left w:val="single" w:color="auto" w:sz="4" w:space="0"/>
                    <w:bottom w:val="single" w:color="auto" w:sz="4" w:space="0"/>
                    <w:right w:val="single" w:color="auto" w:sz="4" w:space="0"/>
                  </w:tcBorders>
                  <w:vAlign w:val="center"/>
                </w:tcPr>
                <w:p w14:paraId="4210E3C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7EFA43A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0F629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367ED13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w:t>
                  </w:r>
                </w:p>
              </w:tc>
              <w:tc>
                <w:tcPr>
                  <w:tcW w:w="1371" w:type="dxa"/>
                  <w:tcBorders>
                    <w:top w:val="single" w:color="auto" w:sz="4" w:space="0"/>
                    <w:left w:val="single" w:color="auto" w:sz="4" w:space="0"/>
                    <w:bottom w:val="single" w:color="auto" w:sz="4" w:space="0"/>
                    <w:right w:val="single" w:color="auto" w:sz="4" w:space="0"/>
                  </w:tcBorders>
                  <w:vAlign w:val="center"/>
                </w:tcPr>
                <w:p w14:paraId="5718E30B">
                  <w:pPr>
                    <w:pStyle w:val="125"/>
                    <w:spacing w:line="240" w:lineRule="auto"/>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收集的粉尘及布袋</w:t>
                  </w:r>
                </w:p>
              </w:tc>
              <w:tc>
                <w:tcPr>
                  <w:tcW w:w="1185" w:type="dxa"/>
                  <w:tcBorders>
                    <w:top w:val="single" w:color="auto" w:sz="4" w:space="0"/>
                    <w:left w:val="single" w:color="auto" w:sz="4" w:space="0"/>
                    <w:bottom w:val="single" w:color="auto" w:sz="4" w:space="0"/>
                    <w:right w:val="single" w:color="auto" w:sz="4" w:space="0"/>
                  </w:tcBorders>
                  <w:vAlign w:val="center"/>
                </w:tcPr>
                <w:p w14:paraId="4C607E8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废气处理</w:t>
                  </w:r>
                </w:p>
              </w:tc>
              <w:tc>
                <w:tcPr>
                  <w:tcW w:w="536" w:type="dxa"/>
                  <w:tcBorders>
                    <w:top w:val="single" w:color="auto" w:sz="4" w:space="0"/>
                    <w:left w:val="single" w:color="auto" w:sz="4" w:space="0"/>
                    <w:bottom w:val="single" w:color="auto" w:sz="4" w:space="0"/>
                    <w:right w:val="single" w:color="auto" w:sz="4" w:space="0"/>
                  </w:tcBorders>
                  <w:vAlign w:val="center"/>
                </w:tcPr>
                <w:p w14:paraId="0FF664AD">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22429B5B">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粉尘、布袋</w:t>
                  </w:r>
                </w:p>
              </w:tc>
              <w:tc>
                <w:tcPr>
                  <w:tcW w:w="833" w:type="dxa"/>
                  <w:tcBorders>
                    <w:top w:val="single" w:color="auto" w:sz="4" w:space="0"/>
                    <w:left w:val="single" w:color="auto" w:sz="4" w:space="0"/>
                    <w:bottom w:val="single" w:color="auto" w:sz="4" w:space="0"/>
                    <w:right w:val="single" w:color="auto" w:sz="4" w:space="0"/>
                  </w:tcBorders>
                  <w:vAlign w:val="center"/>
                </w:tcPr>
                <w:p w14:paraId="19C4F7C0">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0.59</w:t>
                  </w:r>
                </w:p>
              </w:tc>
              <w:tc>
                <w:tcPr>
                  <w:tcW w:w="1500" w:type="dxa"/>
                  <w:tcBorders>
                    <w:top w:val="single" w:color="auto" w:sz="4" w:space="0"/>
                    <w:left w:val="single" w:color="auto" w:sz="4" w:space="0"/>
                    <w:bottom w:val="single" w:color="auto" w:sz="4" w:space="0"/>
                    <w:right w:val="single" w:color="auto" w:sz="4" w:space="0"/>
                  </w:tcBorders>
                  <w:vAlign w:val="center"/>
                </w:tcPr>
                <w:p w14:paraId="06192B2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6F704DE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4.3a</w:t>
                  </w:r>
                </w:p>
              </w:tc>
            </w:tr>
            <w:tr w14:paraId="0C7C6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3E802A9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371" w:type="dxa"/>
                  <w:tcBorders>
                    <w:top w:val="single" w:color="auto" w:sz="4" w:space="0"/>
                    <w:left w:val="single" w:color="auto" w:sz="4" w:space="0"/>
                    <w:bottom w:val="single" w:color="auto" w:sz="4" w:space="0"/>
                    <w:right w:val="single" w:color="auto" w:sz="4" w:space="0"/>
                  </w:tcBorders>
                  <w:vAlign w:val="center"/>
                </w:tcPr>
                <w:p w14:paraId="507CBF9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废膜</w:t>
                  </w:r>
                </w:p>
              </w:tc>
              <w:tc>
                <w:tcPr>
                  <w:tcW w:w="1185" w:type="dxa"/>
                  <w:tcBorders>
                    <w:top w:val="single" w:color="auto" w:sz="4" w:space="0"/>
                    <w:left w:val="single" w:color="auto" w:sz="4" w:space="0"/>
                    <w:bottom w:val="single" w:color="auto" w:sz="4" w:space="0"/>
                    <w:right w:val="single" w:color="auto" w:sz="4" w:space="0"/>
                  </w:tcBorders>
                  <w:vAlign w:val="center"/>
                </w:tcPr>
                <w:p w14:paraId="4739034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536" w:type="dxa"/>
                  <w:tcBorders>
                    <w:top w:val="single" w:color="auto" w:sz="4" w:space="0"/>
                    <w:left w:val="single" w:color="auto" w:sz="4" w:space="0"/>
                    <w:bottom w:val="single" w:color="auto" w:sz="4" w:space="0"/>
                    <w:right w:val="single" w:color="auto" w:sz="4" w:space="0"/>
                  </w:tcBorders>
                  <w:vAlign w:val="center"/>
                </w:tcPr>
                <w:p w14:paraId="00F48C31">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18233EC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废膜</w:t>
                  </w:r>
                </w:p>
              </w:tc>
              <w:tc>
                <w:tcPr>
                  <w:tcW w:w="833" w:type="dxa"/>
                  <w:tcBorders>
                    <w:top w:val="single" w:color="auto" w:sz="4" w:space="0"/>
                    <w:left w:val="single" w:color="auto" w:sz="4" w:space="0"/>
                    <w:bottom w:val="single" w:color="auto" w:sz="4" w:space="0"/>
                    <w:right w:val="single" w:color="auto" w:sz="4" w:space="0"/>
                  </w:tcBorders>
                  <w:vAlign w:val="center"/>
                </w:tcPr>
                <w:p w14:paraId="5EE107E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0.05</w:t>
                  </w:r>
                </w:p>
              </w:tc>
              <w:tc>
                <w:tcPr>
                  <w:tcW w:w="1500" w:type="dxa"/>
                  <w:tcBorders>
                    <w:top w:val="single" w:color="auto" w:sz="4" w:space="0"/>
                    <w:left w:val="single" w:color="auto" w:sz="4" w:space="0"/>
                    <w:bottom w:val="single" w:color="auto" w:sz="4" w:space="0"/>
                    <w:right w:val="single" w:color="auto" w:sz="4" w:space="0"/>
                  </w:tcBorders>
                  <w:vAlign w:val="center"/>
                </w:tcPr>
                <w:p w14:paraId="35D2E29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534F0A9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4.3e</w:t>
                  </w:r>
                </w:p>
              </w:tc>
            </w:tr>
            <w:tr w14:paraId="47A07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1121EF7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11</w:t>
                  </w:r>
                </w:p>
              </w:tc>
              <w:tc>
                <w:tcPr>
                  <w:tcW w:w="1371" w:type="dxa"/>
                  <w:tcBorders>
                    <w:top w:val="single" w:color="auto" w:sz="4" w:space="0"/>
                    <w:left w:val="single" w:color="auto" w:sz="4" w:space="0"/>
                    <w:bottom w:val="single" w:color="auto" w:sz="4" w:space="0"/>
                    <w:right w:val="single" w:color="auto" w:sz="4" w:space="0"/>
                  </w:tcBorders>
                  <w:vAlign w:val="center"/>
                </w:tcPr>
                <w:p w14:paraId="513D95B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废石英砂</w:t>
                  </w:r>
                </w:p>
              </w:tc>
              <w:tc>
                <w:tcPr>
                  <w:tcW w:w="1185" w:type="dxa"/>
                  <w:tcBorders>
                    <w:top w:val="single" w:color="auto" w:sz="4" w:space="0"/>
                    <w:left w:val="single" w:color="auto" w:sz="4" w:space="0"/>
                    <w:bottom w:val="single" w:color="auto" w:sz="4" w:space="0"/>
                    <w:right w:val="single" w:color="auto" w:sz="4" w:space="0"/>
                  </w:tcBorders>
                  <w:vAlign w:val="center"/>
                </w:tcPr>
                <w:p w14:paraId="7EFF206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536" w:type="dxa"/>
                  <w:tcBorders>
                    <w:top w:val="single" w:color="auto" w:sz="4" w:space="0"/>
                    <w:left w:val="single" w:color="auto" w:sz="4" w:space="0"/>
                    <w:bottom w:val="single" w:color="auto" w:sz="4" w:space="0"/>
                    <w:right w:val="single" w:color="auto" w:sz="4" w:space="0"/>
                  </w:tcBorders>
                  <w:vAlign w:val="center"/>
                </w:tcPr>
                <w:p w14:paraId="1324B4E7">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62197FB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废石英砂</w:t>
                  </w:r>
                </w:p>
              </w:tc>
              <w:tc>
                <w:tcPr>
                  <w:tcW w:w="833" w:type="dxa"/>
                  <w:tcBorders>
                    <w:top w:val="single" w:color="auto" w:sz="4" w:space="0"/>
                    <w:left w:val="single" w:color="auto" w:sz="4" w:space="0"/>
                    <w:bottom w:val="single" w:color="auto" w:sz="4" w:space="0"/>
                    <w:right w:val="single" w:color="auto" w:sz="4" w:space="0"/>
                  </w:tcBorders>
                  <w:vAlign w:val="center"/>
                </w:tcPr>
                <w:p w14:paraId="5302708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w:t>
                  </w:r>
                </w:p>
              </w:tc>
              <w:tc>
                <w:tcPr>
                  <w:tcW w:w="1500" w:type="dxa"/>
                  <w:tcBorders>
                    <w:top w:val="single" w:color="auto" w:sz="4" w:space="0"/>
                    <w:left w:val="single" w:color="auto" w:sz="4" w:space="0"/>
                    <w:bottom w:val="single" w:color="auto" w:sz="4" w:space="0"/>
                    <w:right w:val="single" w:color="auto" w:sz="4" w:space="0"/>
                  </w:tcBorders>
                  <w:vAlign w:val="center"/>
                </w:tcPr>
                <w:p w14:paraId="68CF1C3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43E7895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4.3e</w:t>
                  </w:r>
                </w:p>
              </w:tc>
            </w:tr>
            <w:tr w14:paraId="41ADA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0131342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w:t>
                  </w:r>
                </w:p>
              </w:tc>
              <w:tc>
                <w:tcPr>
                  <w:tcW w:w="1371" w:type="dxa"/>
                  <w:tcBorders>
                    <w:top w:val="single" w:color="auto" w:sz="4" w:space="0"/>
                    <w:left w:val="single" w:color="auto" w:sz="4" w:space="0"/>
                    <w:bottom w:val="single" w:color="auto" w:sz="4" w:space="0"/>
                    <w:right w:val="single" w:color="auto" w:sz="4" w:space="0"/>
                  </w:tcBorders>
                  <w:vAlign w:val="center"/>
                </w:tcPr>
                <w:p w14:paraId="4DF7EC3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废活性炭</w:t>
                  </w:r>
                </w:p>
              </w:tc>
              <w:tc>
                <w:tcPr>
                  <w:tcW w:w="1185" w:type="dxa"/>
                  <w:tcBorders>
                    <w:top w:val="single" w:color="auto" w:sz="4" w:space="0"/>
                    <w:left w:val="single" w:color="auto" w:sz="4" w:space="0"/>
                    <w:bottom w:val="single" w:color="auto" w:sz="4" w:space="0"/>
                    <w:right w:val="single" w:color="auto" w:sz="4" w:space="0"/>
                  </w:tcBorders>
                  <w:vAlign w:val="center"/>
                </w:tcPr>
                <w:p w14:paraId="239F738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536" w:type="dxa"/>
                  <w:tcBorders>
                    <w:top w:val="single" w:color="auto" w:sz="4" w:space="0"/>
                    <w:left w:val="single" w:color="auto" w:sz="4" w:space="0"/>
                    <w:bottom w:val="single" w:color="auto" w:sz="4" w:space="0"/>
                    <w:right w:val="single" w:color="auto" w:sz="4" w:space="0"/>
                  </w:tcBorders>
                  <w:vAlign w:val="center"/>
                </w:tcPr>
                <w:p w14:paraId="181A2CE6">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75CB8AD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废活性炭</w:t>
                  </w:r>
                </w:p>
              </w:tc>
              <w:tc>
                <w:tcPr>
                  <w:tcW w:w="833" w:type="dxa"/>
                  <w:tcBorders>
                    <w:top w:val="single" w:color="auto" w:sz="4" w:space="0"/>
                    <w:left w:val="single" w:color="auto" w:sz="4" w:space="0"/>
                    <w:bottom w:val="single" w:color="auto" w:sz="4" w:space="0"/>
                    <w:right w:val="single" w:color="auto" w:sz="4" w:space="0"/>
                  </w:tcBorders>
                  <w:vAlign w:val="center"/>
                </w:tcPr>
                <w:p w14:paraId="48EE9ED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0.1</w:t>
                  </w:r>
                </w:p>
              </w:tc>
              <w:tc>
                <w:tcPr>
                  <w:tcW w:w="1500" w:type="dxa"/>
                  <w:tcBorders>
                    <w:top w:val="single" w:color="auto" w:sz="4" w:space="0"/>
                    <w:left w:val="single" w:color="auto" w:sz="4" w:space="0"/>
                    <w:bottom w:val="single" w:color="auto" w:sz="4" w:space="0"/>
                    <w:right w:val="single" w:color="auto" w:sz="4" w:space="0"/>
                  </w:tcBorders>
                  <w:vAlign w:val="center"/>
                </w:tcPr>
                <w:p w14:paraId="2BBC460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5974325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4.3e</w:t>
                  </w:r>
                </w:p>
              </w:tc>
            </w:tr>
            <w:tr w14:paraId="69350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3E65F37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1371" w:type="dxa"/>
                  <w:tcBorders>
                    <w:top w:val="single" w:color="auto" w:sz="4" w:space="0"/>
                    <w:left w:val="single" w:color="auto" w:sz="4" w:space="0"/>
                    <w:bottom w:val="single" w:color="auto" w:sz="4" w:space="0"/>
                    <w:right w:val="single" w:color="auto" w:sz="4" w:space="0"/>
                  </w:tcBorders>
                  <w:vAlign w:val="center"/>
                </w:tcPr>
                <w:p w14:paraId="3F70DBB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磁性物料</w:t>
                  </w:r>
                </w:p>
              </w:tc>
              <w:tc>
                <w:tcPr>
                  <w:tcW w:w="1185" w:type="dxa"/>
                  <w:tcBorders>
                    <w:top w:val="single" w:color="auto" w:sz="4" w:space="0"/>
                    <w:left w:val="single" w:color="auto" w:sz="4" w:space="0"/>
                    <w:bottom w:val="single" w:color="auto" w:sz="4" w:space="0"/>
                    <w:right w:val="single" w:color="auto" w:sz="4" w:space="0"/>
                  </w:tcBorders>
                  <w:vAlign w:val="center"/>
                </w:tcPr>
                <w:p w14:paraId="1071AB8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磁选</w:t>
                  </w:r>
                </w:p>
              </w:tc>
              <w:tc>
                <w:tcPr>
                  <w:tcW w:w="536" w:type="dxa"/>
                  <w:tcBorders>
                    <w:top w:val="single" w:color="auto" w:sz="4" w:space="0"/>
                    <w:left w:val="single" w:color="auto" w:sz="4" w:space="0"/>
                    <w:bottom w:val="single" w:color="auto" w:sz="4" w:space="0"/>
                    <w:right w:val="single" w:color="auto" w:sz="4" w:space="0"/>
                  </w:tcBorders>
                  <w:vAlign w:val="center"/>
                </w:tcPr>
                <w:p w14:paraId="4643247C">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229BBB8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磁性物料</w:t>
                  </w:r>
                </w:p>
              </w:tc>
              <w:tc>
                <w:tcPr>
                  <w:tcW w:w="833" w:type="dxa"/>
                  <w:tcBorders>
                    <w:top w:val="single" w:color="auto" w:sz="4" w:space="0"/>
                    <w:left w:val="single" w:color="auto" w:sz="4" w:space="0"/>
                    <w:bottom w:val="single" w:color="auto" w:sz="4" w:space="0"/>
                    <w:right w:val="single" w:color="auto" w:sz="4" w:space="0"/>
                  </w:tcBorders>
                  <w:vAlign w:val="center"/>
                </w:tcPr>
                <w:p w14:paraId="16EB0D5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0.4</w:t>
                  </w:r>
                </w:p>
              </w:tc>
              <w:tc>
                <w:tcPr>
                  <w:tcW w:w="1500" w:type="dxa"/>
                  <w:tcBorders>
                    <w:top w:val="single" w:color="auto" w:sz="4" w:space="0"/>
                    <w:left w:val="single" w:color="auto" w:sz="4" w:space="0"/>
                    <w:bottom w:val="single" w:color="auto" w:sz="4" w:space="0"/>
                    <w:right w:val="single" w:color="auto" w:sz="4" w:space="0"/>
                  </w:tcBorders>
                  <w:vAlign w:val="center"/>
                </w:tcPr>
                <w:p w14:paraId="3D448FA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0FEEDE9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6CFAE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47B6804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14</w:t>
                  </w:r>
                </w:p>
              </w:tc>
              <w:tc>
                <w:tcPr>
                  <w:tcW w:w="1371" w:type="dxa"/>
                  <w:tcBorders>
                    <w:top w:val="single" w:color="auto" w:sz="4" w:space="0"/>
                    <w:left w:val="single" w:color="auto" w:sz="4" w:space="0"/>
                    <w:bottom w:val="single" w:color="auto" w:sz="4" w:space="0"/>
                    <w:right w:val="single" w:color="auto" w:sz="4" w:space="0"/>
                  </w:tcBorders>
                  <w:vAlign w:val="center"/>
                </w:tcPr>
                <w:p w14:paraId="288C6FF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1185" w:type="dxa"/>
                  <w:tcBorders>
                    <w:top w:val="single" w:color="auto" w:sz="4" w:space="0"/>
                    <w:left w:val="single" w:color="auto" w:sz="4" w:space="0"/>
                    <w:bottom w:val="single" w:color="auto" w:sz="4" w:space="0"/>
                    <w:right w:val="single" w:color="auto" w:sz="4" w:space="0"/>
                  </w:tcBorders>
                  <w:vAlign w:val="center"/>
                </w:tcPr>
                <w:p w14:paraId="3F85D57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浮洗</w:t>
                  </w:r>
                </w:p>
              </w:tc>
              <w:tc>
                <w:tcPr>
                  <w:tcW w:w="536" w:type="dxa"/>
                  <w:tcBorders>
                    <w:top w:val="single" w:color="auto" w:sz="4" w:space="0"/>
                    <w:left w:val="single" w:color="auto" w:sz="4" w:space="0"/>
                    <w:bottom w:val="single" w:color="auto" w:sz="4" w:space="0"/>
                    <w:right w:val="single" w:color="auto" w:sz="4" w:space="0"/>
                  </w:tcBorders>
                  <w:vAlign w:val="center"/>
                </w:tcPr>
                <w:p w14:paraId="24526249">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49FDDA2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833" w:type="dxa"/>
                  <w:tcBorders>
                    <w:top w:val="single" w:color="auto" w:sz="4" w:space="0"/>
                    <w:left w:val="single" w:color="auto" w:sz="4" w:space="0"/>
                    <w:bottom w:val="single" w:color="auto" w:sz="4" w:space="0"/>
                    <w:right w:val="single" w:color="auto" w:sz="4" w:space="0"/>
                  </w:tcBorders>
                  <w:vAlign w:val="center"/>
                </w:tcPr>
                <w:p w14:paraId="2F96A06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1500" w:type="dxa"/>
                  <w:tcBorders>
                    <w:top w:val="single" w:color="auto" w:sz="4" w:space="0"/>
                    <w:left w:val="single" w:color="auto" w:sz="4" w:space="0"/>
                    <w:bottom w:val="single" w:color="auto" w:sz="4" w:space="0"/>
                    <w:right w:val="single" w:color="auto" w:sz="4" w:space="0"/>
                  </w:tcBorders>
                  <w:vAlign w:val="center"/>
                </w:tcPr>
                <w:p w14:paraId="1345B51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73EC2351">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3C75D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231B1FF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1371" w:type="dxa"/>
                  <w:tcBorders>
                    <w:top w:val="single" w:color="auto" w:sz="4" w:space="0"/>
                    <w:left w:val="single" w:color="auto" w:sz="4" w:space="0"/>
                    <w:bottom w:val="single" w:color="auto" w:sz="4" w:space="0"/>
                    <w:right w:val="single" w:color="auto" w:sz="4" w:space="0"/>
                  </w:tcBorders>
                  <w:vAlign w:val="center"/>
                </w:tcPr>
                <w:p w14:paraId="36547BFF">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再生废液</w:t>
                  </w:r>
                </w:p>
              </w:tc>
              <w:tc>
                <w:tcPr>
                  <w:tcW w:w="1185" w:type="dxa"/>
                  <w:tcBorders>
                    <w:top w:val="single" w:color="auto" w:sz="4" w:space="0"/>
                    <w:left w:val="single" w:color="auto" w:sz="4" w:space="0"/>
                    <w:bottom w:val="single" w:color="auto" w:sz="4" w:space="0"/>
                    <w:right w:val="single" w:color="auto" w:sz="4" w:space="0"/>
                  </w:tcBorders>
                  <w:vAlign w:val="center"/>
                </w:tcPr>
                <w:p w14:paraId="66739614">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废水处理</w:t>
                  </w:r>
                </w:p>
              </w:tc>
              <w:tc>
                <w:tcPr>
                  <w:tcW w:w="536" w:type="dxa"/>
                  <w:tcBorders>
                    <w:top w:val="single" w:color="auto" w:sz="4" w:space="0"/>
                    <w:left w:val="single" w:color="auto" w:sz="4" w:space="0"/>
                    <w:bottom w:val="single" w:color="auto" w:sz="4" w:space="0"/>
                    <w:right w:val="single" w:color="auto" w:sz="4" w:space="0"/>
                  </w:tcBorders>
                  <w:vAlign w:val="center"/>
                </w:tcPr>
                <w:p w14:paraId="6D4FD09E">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液态</w:t>
                  </w:r>
                </w:p>
              </w:tc>
              <w:tc>
                <w:tcPr>
                  <w:tcW w:w="1191" w:type="dxa"/>
                  <w:tcBorders>
                    <w:top w:val="single" w:color="auto" w:sz="4" w:space="0"/>
                    <w:left w:val="single" w:color="auto" w:sz="4" w:space="0"/>
                    <w:bottom w:val="single" w:color="auto" w:sz="4" w:space="0"/>
                    <w:right w:val="single" w:color="auto" w:sz="4" w:space="0"/>
                  </w:tcBorders>
                  <w:vAlign w:val="center"/>
                </w:tcPr>
                <w:p w14:paraId="4938C20C">
                  <w:pPr>
                    <w:pStyle w:val="125"/>
                    <w:spacing w:line="240" w:lineRule="auto"/>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氢氧化钠等</w:t>
                  </w:r>
                </w:p>
              </w:tc>
              <w:tc>
                <w:tcPr>
                  <w:tcW w:w="833" w:type="dxa"/>
                  <w:tcBorders>
                    <w:top w:val="single" w:color="auto" w:sz="4" w:space="0"/>
                    <w:left w:val="single" w:color="auto" w:sz="4" w:space="0"/>
                    <w:bottom w:val="single" w:color="auto" w:sz="4" w:space="0"/>
                    <w:right w:val="single" w:color="auto" w:sz="4" w:space="0"/>
                  </w:tcBorders>
                  <w:vAlign w:val="center"/>
                </w:tcPr>
                <w:p w14:paraId="76A46EC9">
                  <w:pPr>
                    <w:pStyle w:val="125"/>
                    <w:spacing w:line="240" w:lineRule="auto"/>
                    <w:rPr>
                      <w:rFonts w:hint="eastAsia" w:ascii="Times New Roman" w:hAnsi="Times New Roman" w:eastAsia="宋体" w:cs="Times New Roman"/>
                      <w:color w:val="auto"/>
                      <w:sz w:val="18"/>
                      <w:szCs w:val="18"/>
                      <w:lang w:eastAsia="zh-CN"/>
                    </w:rPr>
                  </w:pPr>
                  <w:r>
                    <w:rPr>
                      <w:rFonts w:hint="eastAsia" w:cs="Times New Roman"/>
                      <w:color w:val="auto"/>
                      <w:sz w:val="18"/>
                      <w:szCs w:val="18"/>
                      <w:lang w:val="en-US" w:eastAsia="zh-CN"/>
                    </w:rPr>
                    <w:t>1</w:t>
                  </w:r>
                </w:p>
              </w:tc>
              <w:tc>
                <w:tcPr>
                  <w:tcW w:w="1500" w:type="dxa"/>
                  <w:tcBorders>
                    <w:top w:val="single" w:color="auto" w:sz="4" w:space="0"/>
                    <w:left w:val="single" w:color="auto" w:sz="4" w:space="0"/>
                    <w:bottom w:val="single" w:color="auto" w:sz="4" w:space="0"/>
                    <w:right w:val="single" w:color="auto" w:sz="4" w:space="0"/>
                  </w:tcBorders>
                  <w:vAlign w:val="center"/>
                </w:tcPr>
                <w:p w14:paraId="2DAA582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035C4A0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440B1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6" w:hRule="atLeast"/>
                <w:jc w:val="center"/>
              </w:trPr>
              <w:tc>
                <w:tcPr>
                  <w:tcW w:w="517" w:type="dxa"/>
                  <w:tcBorders>
                    <w:top w:val="single" w:color="auto" w:sz="4" w:space="0"/>
                    <w:left w:val="single" w:color="auto" w:sz="4" w:space="0"/>
                    <w:bottom w:val="single" w:color="auto" w:sz="4" w:space="0"/>
                    <w:right w:val="single" w:color="auto" w:sz="4" w:space="0"/>
                  </w:tcBorders>
                  <w:vAlign w:val="center"/>
                </w:tcPr>
                <w:p w14:paraId="5F21F50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w:t>
                  </w:r>
                </w:p>
              </w:tc>
              <w:tc>
                <w:tcPr>
                  <w:tcW w:w="1371" w:type="dxa"/>
                  <w:tcBorders>
                    <w:top w:val="single" w:color="auto" w:sz="4" w:space="0"/>
                    <w:left w:val="single" w:color="auto" w:sz="4" w:space="0"/>
                    <w:bottom w:val="single" w:color="auto" w:sz="4" w:space="0"/>
                    <w:right w:val="single" w:color="auto" w:sz="4" w:space="0"/>
                  </w:tcBorders>
                  <w:vAlign w:val="center"/>
                </w:tcPr>
                <w:p w14:paraId="715A3F8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废渣</w:t>
                  </w:r>
                </w:p>
              </w:tc>
              <w:tc>
                <w:tcPr>
                  <w:tcW w:w="1185" w:type="dxa"/>
                  <w:tcBorders>
                    <w:top w:val="single" w:color="auto" w:sz="4" w:space="0"/>
                    <w:left w:val="single" w:color="auto" w:sz="4" w:space="0"/>
                    <w:bottom w:val="single" w:color="auto" w:sz="4" w:space="0"/>
                    <w:right w:val="single" w:color="auto" w:sz="4" w:space="0"/>
                  </w:tcBorders>
                  <w:vAlign w:val="center"/>
                </w:tcPr>
                <w:p w14:paraId="59DB9B8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水淬</w:t>
                  </w:r>
                </w:p>
              </w:tc>
              <w:tc>
                <w:tcPr>
                  <w:tcW w:w="536" w:type="dxa"/>
                  <w:tcBorders>
                    <w:top w:val="single" w:color="auto" w:sz="4" w:space="0"/>
                    <w:left w:val="single" w:color="auto" w:sz="4" w:space="0"/>
                    <w:bottom w:val="single" w:color="auto" w:sz="4" w:space="0"/>
                    <w:right w:val="single" w:color="auto" w:sz="4" w:space="0"/>
                  </w:tcBorders>
                  <w:vAlign w:val="center"/>
                </w:tcPr>
                <w:p w14:paraId="2F136632">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1189A27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833" w:type="dxa"/>
                  <w:tcBorders>
                    <w:top w:val="single" w:color="auto" w:sz="4" w:space="0"/>
                    <w:left w:val="single" w:color="auto" w:sz="4" w:space="0"/>
                    <w:bottom w:val="single" w:color="auto" w:sz="4" w:space="0"/>
                    <w:right w:val="single" w:color="auto" w:sz="4" w:space="0"/>
                  </w:tcBorders>
                  <w:vAlign w:val="center"/>
                </w:tcPr>
                <w:p w14:paraId="3EA1ACD1">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70</w:t>
                  </w:r>
                </w:p>
              </w:tc>
              <w:tc>
                <w:tcPr>
                  <w:tcW w:w="1500" w:type="dxa"/>
                  <w:tcBorders>
                    <w:top w:val="single" w:color="auto" w:sz="4" w:space="0"/>
                    <w:left w:val="single" w:color="auto" w:sz="4" w:space="0"/>
                    <w:bottom w:val="single" w:color="auto" w:sz="4" w:space="0"/>
                    <w:right w:val="single" w:color="auto" w:sz="4" w:space="0"/>
                  </w:tcBorders>
                  <w:vAlign w:val="center"/>
                </w:tcPr>
                <w:p w14:paraId="6F17C24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6D047712">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4.1h</w:t>
                  </w:r>
                </w:p>
              </w:tc>
            </w:tr>
            <w:tr w14:paraId="127DE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6" w:hRule="atLeast"/>
                <w:jc w:val="center"/>
              </w:trPr>
              <w:tc>
                <w:tcPr>
                  <w:tcW w:w="517" w:type="dxa"/>
                  <w:tcBorders>
                    <w:top w:val="single" w:color="auto" w:sz="4" w:space="0"/>
                    <w:left w:val="single" w:color="auto" w:sz="4" w:space="0"/>
                    <w:bottom w:val="single" w:color="auto" w:sz="4" w:space="0"/>
                    <w:right w:val="single" w:color="auto" w:sz="4" w:space="0"/>
                  </w:tcBorders>
                  <w:vAlign w:val="center"/>
                </w:tcPr>
                <w:p w14:paraId="125063F7">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17</w:t>
                  </w:r>
                </w:p>
              </w:tc>
              <w:tc>
                <w:tcPr>
                  <w:tcW w:w="1371" w:type="dxa"/>
                  <w:tcBorders>
                    <w:top w:val="single" w:color="auto" w:sz="4" w:space="0"/>
                    <w:left w:val="single" w:color="auto" w:sz="4" w:space="0"/>
                    <w:bottom w:val="single" w:color="auto" w:sz="4" w:space="0"/>
                    <w:right w:val="single" w:color="auto" w:sz="4" w:space="0"/>
                  </w:tcBorders>
                  <w:vAlign w:val="center"/>
                </w:tcPr>
                <w:p w14:paraId="08754593">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废滤材</w:t>
                  </w:r>
                </w:p>
              </w:tc>
              <w:tc>
                <w:tcPr>
                  <w:tcW w:w="1185" w:type="dxa"/>
                  <w:tcBorders>
                    <w:top w:val="single" w:color="auto" w:sz="4" w:space="0"/>
                    <w:left w:val="single" w:color="auto" w:sz="4" w:space="0"/>
                    <w:bottom w:val="single" w:color="auto" w:sz="4" w:space="0"/>
                    <w:right w:val="single" w:color="auto" w:sz="4" w:space="0"/>
                  </w:tcBorders>
                  <w:vAlign w:val="center"/>
                </w:tcPr>
                <w:p w14:paraId="4B14BFB9">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过滤</w:t>
                  </w:r>
                </w:p>
              </w:tc>
              <w:tc>
                <w:tcPr>
                  <w:tcW w:w="536" w:type="dxa"/>
                  <w:tcBorders>
                    <w:top w:val="single" w:color="auto" w:sz="4" w:space="0"/>
                    <w:left w:val="single" w:color="auto" w:sz="4" w:space="0"/>
                    <w:bottom w:val="single" w:color="auto" w:sz="4" w:space="0"/>
                    <w:right w:val="single" w:color="auto" w:sz="4" w:space="0"/>
                  </w:tcBorders>
                  <w:vAlign w:val="center"/>
                </w:tcPr>
                <w:p w14:paraId="421A5186">
                  <w:pPr>
                    <w:pStyle w:val="126"/>
                    <w:widowControl w:val="0"/>
                    <w:pBdr>
                      <w:bottom w:val="none" w:color="auto" w:sz="0" w:space="0"/>
                      <w:right w:val="none" w:color="auto" w:sz="0" w:space="0"/>
                    </w:pBdr>
                    <w:adjustRightInd w:val="0"/>
                    <w:snapToGrid w:val="0"/>
                    <w:spacing w:before="0" w:beforeAutospacing="0" w:after="0" w:afterAutospacing="0"/>
                    <w:rPr>
                      <w:rFonts w:hint="eastAsia" w:ascii="Times New Roman" w:hAnsi="Times New Roman" w:eastAsia="宋体" w:cs="Times New Roman"/>
                      <w:color w:val="auto"/>
                      <w:kern w:val="2"/>
                      <w:sz w:val="18"/>
                      <w:szCs w:val="18"/>
                      <w:lang w:val="en-US" w:eastAsia="zh-CN"/>
                    </w:rPr>
                  </w:pPr>
                  <w:r>
                    <w:rPr>
                      <w:rFonts w:hint="eastAsia" w:ascii="Times New Roman" w:hAnsi="Times New Roman" w:cs="Times New Roman"/>
                      <w:color w:val="auto"/>
                      <w:kern w:val="2"/>
                      <w:sz w:val="18"/>
                      <w:szCs w:val="18"/>
                      <w:lang w:val="en-US" w:eastAsia="zh-CN"/>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74BA0D61">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HEPA、石英砂</w:t>
                  </w:r>
                </w:p>
              </w:tc>
              <w:tc>
                <w:tcPr>
                  <w:tcW w:w="833" w:type="dxa"/>
                  <w:tcBorders>
                    <w:top w:val="single" w:color="auto" w:sz="4" w:space="0"/>
                    <w:left w:val="single" w:color="auto" w:sz="4" w:space="0"/>
                    <w:bottom w:val="single" w:color="auto" w:sz="4" w:space="0"/>
                    <w:right w:val="single" w:color="auto" w:sz="4" w:space="0"/>
                  </w:tcBorders>
                  <w:vAlign w:val="center"/>
                </w:tcPr>
                <w:p w14:paraId="62CB4B5C">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1500" w:type="dxa"/>
                  <w:tcBorders>
                    <w:top w:val="single" w:color="auto" w:sz="4" w:space="0"/>
                    <w:left w:val="single" w:color="auto" w:sz="4" w:space="0"/>
                    <w:bottom w:val="single" w:color="auto" w:sz="4" w:space="0"/>
                    <w:right w:val="single" w:color="auto" w:sz="4" w:space="0"/>
                  </w:tcBorders>
                  <w:vAlign w:val="center"/>
                </w:tcPr>
                <w:p w14:paraId="58621313">
                  <w:pPr>
                    <w:pStyle w:val="125"/>
                    <w:spacing w:line="240" w:lineRule="auto"/>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是</w:t>
                  </w:r>
                </w:p>
              </w:tc>
              <w:tc>
                <w:tcPr>
                  <w:tcW w:w="804" w:type="dxa"/>
                  <w:tcBorders>
                    <w:top w:val="single" w:color="auto" w:sz="4" w:space="0"/>
                    <w:left w:val="single" w:color="auto" w:sz="4" w:space="0"/>
                    <w:bottom w:val="single" w:color="auto" w:sz="4" w:space="0"/>
                    <w:right w:val="single" w:color="auto" w:sz="4" w:space="0"/>
                  </w:tcBorders>
                  <w:vAlign w:val="center"/>
                </w:tcPr>
                <w:p w14:paraId="4E48191B">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4.1h</w:t>
                  </w:r>
                </w:p>
              </w:tc>
            </w:tr>
            <w:tr w14:paraId="45A4B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17" w:type="dxa"/>
                  <w:tcBorders>
                    <w:top w:val="single" w:color="auto" w:sz="4" w:space="0"/>
                    <w:left w:val="single" w:color="auto" w:sz="4" w:space="0"/>
                    <w:bottom w:val="single" w:color="auto" w:sz="4" w:space="0"/>
                    <w:right w:val="single" w:color="auto" w:sz="4" w:space="0"/>
                  </w:tcBorders>
                  <w:vAlign w:val="center"/>
                </w:tcPr>
                <w:p w14:paraId="5117EA1A">
                  <w:pPr>
                    <w:pStyle w:val="125"/>
                    <w:spacing w:line="240" w:lineRule="auto"/>
                    <w:rPr>
                      <w:rFonts w:hint="eastAsia"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1</w:t>
                  </w:r>
                  <w:r>
                    <w:rPr>
                      <w:rFonts w:hint="eastAsia" w:cs="Times New Roman"/>
                      <w:color w:val="auto"/>
                      <w:sz w:val="18"/>
                      <w:szCs w:val="18"/>
                      <w:lang w:val="en-US" w:eastAsia="zh-CN"/>
                    </w:rPr>
                    <w:t>8</w:t>
                  </w:r>
                </w:p>
              </w:tc>
              <w:tc>
                <w:tcPr>
                  <w:tcW w:w="1371" w:type="dxa"/>
                  <w:tcBorders>
                    <w:top w:val="single" w:color="auto" w:sz="4" w:space="0"/>
                    <w:left w:val="single" w:color="auto" w:sz="4" w:space="0"/>
                    <w:bottom w:val="single" w:color="auto" w:sz="4" w:space="0"/>
                    <w:right w:val="single" w:color="auto" w:sz="4" w:space="0"/>
                  </w:tcBorders>
                  <w:vAlign w:val="center"/>
                </w:tcPr>
                <w:p w14:paraId="65EEEB5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生活垃圾</w:t>
                  </w:r>
                </w:p>
              </w:tc>
              <w:tc>
                <w:tcPr>
                  <w:tcW w:w="1185" w:type="dxa"/>
                  <w:tcBorders>
                    <w:top w:val="single" w:color="auto" w:sz="4" w:space="0"/>
                    <w:left w:val="single" w:color="auto" w:sz="4" w:space="0"/>
                    <w:bottom w:val="single" w:color="auto" w:sz="4" w:space="0"/>
                    <w:right w:val="single" w:color="auto" w:sz="4" w:space="0"/>
                  </w:tcBorders>
                  <w:vAlign w:val="center"/>
                </w:tcPr>
                <w:p w14:paraId="47B4086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职工生活</w:t>
                  </w:r>
                </w:p>
              </w:tc>
              <w:tc>
                <w:tcPr>
                  <w:tcW w:w="536" w:type="dxa"/>
                  <w:tcBorders>
                    <w:top w:val="single" w:color="auto" w:sz="4" w:space="0"/>
                    <w:left w:val="single" w:color="auto" w:sz="4" w:space="0"/>
                    <w:bottom w:val="single" w:color="auto" w:sz="4" w:space="0"/>
                    <w:right w:val="single" w:color="auto" w:sz="4" w:space="0"/>
                  </w:tcBorders>
                  <w:vAlign w:val="center"/>
                </w:tcPr>
                <w:p w14:paraId="7137881D">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1191" w:type="dxa"/>
                  <w:tcBorders>
                    <w:top w:val="single" w:color="auto" w:sz="4" w:space="0"/>
                    <w:left w:val="single" w:color="auto" w:sz="4" w:space="0"/>
                    <w:bottom w:val="single" w:color="auto" w:sz="4" w:space="0"/>
                    <w:right w:val="single" w:color="auto" w:sz="4" w:space="0"/>
                  </w:tcBorders>
                  <w:vAlign w:val="center"/>
                </w:tcPr>
                <w:p w14:paraId="4A66DD23">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生活垃圾</w:t>
                  </w:r>
                </w:p>
              </w:tc>
              <w:tc>
                <w:tcPr>
                  <w:tcW w:w="833" w:type="dxa"/>
                  <w:tcBorders>
                    <w:top w:val="single" w:color="auto" w:sz="4" w:space="0"/>
                    <w:left w:val="single" w:color="auto" w:sz="4" w:space="0"/>
                    <w:bottom w:val="single" w:color="auto" w:sz="4" w:space="0"/>
                    <w:right w:val="single" w:color="auto" w:sz="4" w:space="0"/>
                  </w:tcBorders>
                  <w:vAlign w:val="center"/>
                </w:tcPr>
                <w:p w14:paraId="5190B590">
                  <w:pPr>
                    <w:pStyle w:val="125"/>
                    <w:spacing w:line="240" w:lineRule="auto"/>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5.85</w:t>
                  </w:r>
                </w:p>
              </w:tc>
              <w:tc>
                <w:tcPr>
                  <w:tcW w:w="1500" w:type="dxa"/>
                  <w:tcBorders>
                    <w:top w:val="single" w:color="auto" w:sz="4" w:space="0"/>
                    <w:left w:val="single" w:color="auto" w:sz="4" w:space="0"/>
                    <w:bottom w:val="single" w:color="auto" w:sz="4" w:space="0"/>
                    <w:right w:val="single" w:color="auto" w:sz="4" w:space="0"/>
                  </w:tcBorders>
                  <w:vAlign w:val="center"/>
                </w:tcPr>
                <w:p w14:paraId="741C1A5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c>
                <w:tcPr>
                  <w:tcW w:w="804" w:type="dxa"/>
                  <w:tcBorders>
                    <w:top w:val="single" w:color="auto" w:sz="4" w:space="0"/>
                    <w:left w:val="single" w:color="auto" w:sz="4" w:space="0"/>
                    <w:bottom w:val="single" w:color="auto" w:sz="4" w:space="0"/>
                    <w:right w:val="single" w:color="auto" w:sz="4" w:space="0"/>
                  </w:tcBorders>
                  <w:vAlign w:val="center"/>
                </w:tcPr>
                <w:p w14:paraId="240B030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bl>
          <w:p w14:paraId="0C7530FE">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根据《国家危险废物名录》、《危险废物鉴别标准》，判定该固体废物是否属于危险废物，判断结果见下表。</w:t>
            </w:r>
          </w:p>
          <w:p w14:paraId="2B0E2E17">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表4.2.8-2  项目危险废物属性判断</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38"/>
              <w:gridCol w:w="1690"/>
              <w:gridCol w:w="1881"/>
              <w:gridCol w:w="1905"/>
              <w:gridCol w:w="1622"/>
            </w:tblGrid>
            <w:tr w14:paraId="6CC8E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02FB9132">
                  <w:pPr>
                    <w:pStyle w:val="125"/>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序号</w:t>
                  </w:r>
                </w:p>
              </w:tc>
              <w:tc>
                <w:tcPr>
                  <w:tcW w:w="1690" w:type="dxa"/>
                  <w:tcBorders>
                    <w:top w:val="single" w:color="auto" w:sz="4" w:space="0"/>
                    <w:left w:val="single" w:color="auto" w:sz="4" w:space="0"/>
                    <w:bottom w:val="single" w:color="auto" w:sz="4" w:space="0"/>
                    <w:right w:val="single" w:color="auto" w:sz="4" w:space="0"/>
                  </w:tcBorders>
                  <w:vAlign w:val="center"/>
                </w:tcPr>
                <w:p w14:paraId="26614407">
                  <w:pPr>
                    <w:pStyle w:val="125"/>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固体废物名称</w:t>
                  </w:r>
                </w:p>
              </w:tc>
              <w:tc>
                <w:tcPr>
                  <w:tcW w:w="1881" w:type="dxa"/>
                  <w:tcBorders>
                    <w:top w:val="single" w:color="auto" w:sz="4" w:space="0"/>
                    <w:left w:val="single" w:color="auto" w:sz="4" w:space="0"/>
                    <w:bottom w:val="single" w:color="auto" w:sz="4" w:space="0"/>
                    <w:right w:val="single" w:color="auto" w:sz="4" w:space="0"/>
                  </w:tcBorders>
                  <w:vAlign w:val="center"/>
                </w:tcPr>
                <w:p w14:paraId="5772A820">
                  <w:pPr>
                    <w:pStyle w:val="125"/>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产生工序</w:t>
                  </w:r>
                </w:p>
              </w:tc>
              <w:tc>
                <w:tcPr>
                  <w:tcW w:w="1905" w:type="dxa"/>
                  <w:tcBorders>
                    <w:top w:val="single" w:color="auto" w:sz="4" w:space="0"/>
                    <w:left w:val="single" w:color="auto" w:sz="4" w:space="0"/>
                    <w:bottom w:val="single" w:color="auto" w:sz="4" w:space="0"/>
                    <w:right w:val="single" w:color="auto" w:sz="4" w:space="0"/>
                  </w:tcBorders>
                  <w:vAlign w:val="center"/>
                </w:tcPr>
                <w:p w14:paraId="7277FFBE">
                  <w:pPr>
                    <w:pStyle w:val="125"/>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是否属于危险废物</w:t>
                  </w:r>
                </w:p>
              </w:tc>
              <w:tc>
                <w:tcPr>
                  <w:tcW w:w="1622" w:type="dxa"/>
                  <w:tcBorders>
                    <w:top w:val="single" w:color="auto" w:sz="4" w:space="0"/>
                    <w:left w:val="single" w:color="auto" w:sz="4" w:space="0"/>
                    <w:bottom w:val="single" w:color="auto" w:sz="4" w:space="0"/>
                    <w:right w:val="single" w:color="auto" w:sz="4" w:space="0"/>
                  </w:tcBorders>
                  <w:vAlign w:val="center"/>
                </w:tcPr>
                <w:p w14:paraId="0186B981">
                  <w:pPr>
                    <w:pStyle w:val="125"/>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废物代码</w:t>
                  </w:r>
                </w:p>
              </w:tc>
            </w:tr>
            <w:tr w14:paraId="2B2C7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6AA8F70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1690" w:type="dxa"/>
                  <w:tcBorders>
                    <w:top w:val="single" w:color="auto" w:sz="4" w:space="0"/>
                    <w:left w:val="single" w:color="auto" w:sz="4" w:space="0"/>
                    <w:bottom w:val="single" w:color="auto" w:sz="4" w:space="0"/>
                    <w:right w:val="single" w:color="auto" w:sz="4" w:space="0"/>
                  </w:tcBorders>
                  <w:vAlign w:val="center"/>
                </w:tcPr>
                <w:p w14:paraId="4E9418B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废包装材料</w:t>
                  </w:r>
                </w:p>
              </w:tc>
              <w:tc>
                <w:tcPr>
                  <w:tcW w:w="1881" w:type="dxa"/>
                  <w:tcBorders>
                    <w:top w:val="single" w:color="auto" w:sz="4" w:space="0"/>
                    <w:left w:val="single" w:color="auto" w:sz="4" w:space="0"/>
                    <w:bottom w:val="single" w:color="auto" w:sz="4" w:space="0"/>
                    <w:right w:val="single" w:color="auto" w:sz="4" w:space="0"/>
                  </w:tcBorders>
                  <w:vAlign w:val="center"/>
                </w:tcPr>
                <w:p w14:paraId="4E8372B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1905" w:type="dxa"/>
                  <w:tcBorders>
                    <w:top w:val="single" w:color="auto" w:sz="4" w:space="0"/>
                    <w:left w:val="single" w:color="auto" w:sz="4" w:space="0"/>
                    <w:bottom w:val="single" w:color="auto" w:sz="4" w:space="0"/>
                    <w:right w:val="single" w:color="auto" w:sz="4" w:space="0"/>
                  </w:tcBorders>
                  <w:vAlign w:val="center"/>
                </w:tcPr>
                <w:p w14:paraId="49378DB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36C5D32D">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900-041-49</w:t>
                  </w:r>
                </w:p>
              </w:tc>
            </w:tr>
            <w:tr w14:paraId="5D5B9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30FDFB8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1690" w:type="dxa"/>
                  <w:tcBorders>
                    <w:top w:val="single" w:color="auto" w:sz="4" w:space="0"/>
                    <w:left w:val="single" w:color="auto" w:sz="4" w:space="0"/>
                    <w:bottom w:val="single" w:color="auto" w:sz="4" w:space="0"/>
                    <w:right w:val="single" w:color="auto" w:sz="4" w:space="0"/>
                  </w:tcBorders>
                  <w:vAlign w:val="center"/>
                </w:tcPr>
                <w:p w14:paraId="0187D69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废油桶</w:t>
                  </w:r>
                </w:p>
              </w:tc>
              <w:tc>
                <w:tcPr>
                  <w:tcW w:w="1881" w:type="dxa"/>
                  <w:tcBorders>
                    <w:top w:val="single" w:color="auto" w:sz="4" w:space="0"/>
                    <w:left w:val="single" w:color="auto" w:sz="4" w:space="0"/>
                    <w:bottom w:val="single" w:color="auto" w:sz="4" w:space="0"/>
                    <w:right w:val="single" w:color="auto" w:sz="4" w:space="0"/>
                  </w:tcBorders>
                  <w:vAlign w:val="center"/>
                </w:tcPr>
                <w:p w14:paraId="43F5A6D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1905" w:type="dxa"/>
                  <w:tcBorders>
                    <w:top w:val="single" w:color="auto" w:sz="4" w:space="0"/>
                    <w:left w:val="single" w:color="auto" w:sz="4" w:space="0"/>
                    <w:bottom w:val="single" w:color="auto" w:sz="4" w:space="0"/>
                    <w:right w:val="single" w:color="auto" w:sz="4" w:space="0"/>
                  </w:tcBorders>
                  <w:vAlign w:val="center"/>
                </w:tcPr>
                <w:p w14:paraId="5A10A71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27397DD4">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900-249-08</w:t>
                  </w:r>
                </w:p>
              </w:tc>
            </w:tr>
            <w:tr w14:paraId="07E1C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6F652D8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1690" w:type="dxa"/>
                  <w:tcBorders>
                    <w:top w:val="single" w:color="auto" w:sz="4" w:space="0"/>
                    <w:left w:val="single" w:color="auto" w:sz="4" w:space="0"/>
                    <w:bottom w:val="single" w:color="auto" w:sz="4" w:space="0"/>
                    <w:right w:val="single" w:color="auto" w:sz="4" w:space="0"/>
                  </w:tcBorders>
                  <w:vAlign w:val="center"/>
                </w:tcPr>
                <w:p w14:paraId="6315CD7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过滤材料</w:t>
                  </w:r>
                </w:p>
              </w:tc>
              <w:tc>
                <w:tcPr>
                  <w:tcW w:w="1881" w:type="dxa"/>
                  <w:tcBorders>
                    <w:top w:val="single" w:color="auto" w:sz="4" w:space="0"/>
                    <w:left w:val="single" w:color="auto" w:sz="4" w:space="0"/>
                    <w:bottom w:val="single" w:color="auto" w:sz="4" w:space="0"/>
                    <w:right w:val="single" w:color="auto" w:sz="4" w:space="0"/>
                  </w:tcBorders>
                  <w:vAlign w:val="center"/>
                </w:tcPr>
                <w:p w14:paraId="34F7490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1905" w:type="dxa"/>
                  <w:tcBorders>
                    <w:top w:val="single" w:color="auto" w:sz="4" w:space="0"/>
                    <w:left w:val="single" w:color="auto" w:sz="4" w:space="0"/>
                    <w:bottom w:val="single" w:color="auto" w:sz="4" w:space="0"/>
                    <w:right w:val="single" w:color="auto" w:sz="4" w:space="0"/>
                  </w:tcBorders>
                  <w:vAlign w:val="center"/>
                </w:tcPr>
                <w:p w14:paraId="17A4CEBE">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4E4BE8B3">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900-041-49</w:t>
                  </w:r>
                </w:p>
              </w:tc>
            </w:tr>
            <w:tr w14:paraId="26F3C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347A603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1690" w:type="dxa"/>
                  <w:tcBorders>
                    <w:top w:val="single" w:color="auto" w:sz="4" w:space="0"/>
                    <w:left w:val="single" w:color="auto" w:sz="4" w:space="0"/>
                    <w:bottom w:val="single" w:color="auto" w:sz="4" w:space="0"/>
                    <w:right w:val="single" w:color="auto" w:sz="4" w:space="0"/>
                  </w:tcBorders>
                  <w:vAlign w:val="center"/>
                </w:tcPr>
                <w:p w14:paraId="47FE0AF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1881" w:type="dxa"/>
                  <w:tcBorders>
                    <w:top w:val="single" w:color="auto" w:sz="4" w:space="0"/>
                    <w:left w:val="single" w:color="auto" w:sz="4" w:space="0"/>
                    <w:bottom w:val="single" w:color="auto" w:sz="4" w:space="0"/>
                    <w:right w:val="single" w:color="auto" w:sz="4" w:space="0"/>
                  </w:tcBorders>
                  <w:vAlign w:val="center"/>
                </w:tcPr>
                <w:p w14:paraId="3A63767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1905" w:type="dxa"/>
                  <w:tcBorders>
                    <w:top w:val="single" w:color="auto" w:sz="4" w:space="0"/>
                    <w:left w:val="single" w:color="auto" w:sz="4" w:space="0"/>
                    <w:bottom w:val="single" w:color="auto" w:sz="4" w:space="0"/>
                    <w:right w:val="single" w:color="auto" w:sz="4" w:space="0"/>
                  </w:tcBorders>
                  <w:vAlign w:val="center"/>
                </w:tcPr>
                <w:p w14:paraId="240F3434">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523D316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772-006-49</w:t>
                  </w:r>
                </w:p>
              </w:tc>
            </w:tr>
            <w:tr w14:paraId="26316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590AAC9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690" w:type="dxa"/>
                  <w:tcBorders>
                    <w:top w:val="single" w:color="auto" w:sz="4" w:space="0"/>
                    <w:left w:val="single" w:color="auto" w:sz="4" w:space="0"/>
                    <w:bottom w:val="single" w:color="auto" w:sz="4" w:space="0"/>
                    <w:right w:val="single" w:color="auto" w:sz="4" w:space="0"/>
                  </w:tcBorders>
                  <w:vAlign w:val="center"/>
                </w:tcPr>
                <w:p w14:paraId="19D270C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废润滑油</w:t>
                  </w:r>
                </w:p>
              </w:tc>
              <w:tc>
                <w:tcPr>
                  <w:tcW w:w="1881" w:type="dxa"/>
                  <w:tcBorders>
                    <w:top w:val="single" w:color="auto" w:sz="4" w:space="0"/>
                    <w:left w:val="single" w:color="auto" w:sz="4" w:space="0"/>
                    <w:bottom w:val="single" w:color="auto" w:sz="4" w:space="0"/>
                    <w:right w:val="single" w:color="auto" w:sz="4" w:space="0"/>
                  </w:tcBorders>
                  <w:vAlign w:val="center"/>
                </w:tcPr>
                <w:p w14:paraId="6349895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1905" w:type="dxa"/>
                  <w:tcBorders>
                    <w:top w:val="single" w:color="auto" w:sz="4" w:space="0"/>
                    <w:left w:val="single" w:color="auto" w:sz="4" w:space="0"/>
                    <w:bottom w:val="single" w:color="auto" w:sz="4" w:space="0"/>
                    <w:right w:val="single" w:color="auto" w:sz="4" w:space="0"/>
                  </w:tcBorders>
                  <w:vAlign w:val="center"/>
                </w:tcPr>
                <w:p w14:paraId="7F41A311">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296E0624">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900-217-08</w:t>
                  </w:r>
                </w:p>
              </w:tc>
            </w:tr>
            <w:tr w14:paraId="144B6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67A48F0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w:t>
                  </w:r>
                </w:p>
              </w:tc>
              <w:tc>
                <w:tcPr>
                  <w:tcW w:w="1690" w:type="dxa"/>
                  <w:tcBorders>
                    <w:top w:val="single" w:color="auto" w:sz="4" w:space="0"/>
                    <w:left w:val="single" w:color="auto" w:sz="4" w:space="0"/>
                    <w:bottom w:val="single" w:color="auto" w:sz="4" w:space="0"/>
                    <w:right w:val="single" w:color="auto" w:sz="4" w:space="0"/>
                  </w:tcBorders>
                  <w:vAlign w:val="center"/>
                </w:tcPr>
                <w:p w14:paraId="6EF725C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废液压油</w:t>
                  </w:r>
                </w:p>
              </w:tc>
              <w:tc>
                <w:tcPr>
                  <w:tcW w:w="1881" w:type="dxa"/>
                  <w:tcBorders>
                    <w:top w:val="single" w:color="auto" w:sz="4" w:space="0"/>
                    <w:left w:val="single" w:color="auto" w:sz="4" w:space="0"/>
                    <w:bottom w:val="single" w:color="auto" w:sz="4" w:space="0"/>
                    <w:right w:val="single" w:color="auto" w:sz="4" w:space="0"/>
                  </w:tcBorders>
                  <w:vAlign w:val="center"/>
                </w:tcPr>
                <w:p w14:paraId="056558C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1905" w:type="dxa"/>
                  <w:tcBorders>
                    <w:top w:val="single" w:color="auto" w:sz="4" w:space="0"/>
                    <w:left w:val="single" w:color="auto" w:sz="4" w:space="0"/>
                    <w:bottom w:val="single" w:color="auto" w:sz="4" w:space="0"/>
                    <w:right w:val="single" w:color="auto" w:sz="4" w:space="0"/>
                  </w:tcBorders>
                  <w:vAlign w:val="center"/>
                </w:tcPr>
                <w:p w14:paraId="063AAE7D">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57E4862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900-218-08</w:t>
                  </w:r>
                </w:p>
              </w:tc>
            </w:tr>
            <w:tr w14:paraId="6C958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0696BD8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c>
                <w:tcPr>
                  <w:tcW w:w="1690" w:type="dxa"/>
                  <w:tcBorders>
                    <w:top w:val="single" w:color="auto" w:sz="4" w:space="0"/>
                    <w:left w:val="single" w:color="auto" w:sz="4" w:space="0"/>
                    <w:bottom w:val="single" w:color="auto" w:sz="4" w:space="0"/>
                    <w:right w:val="single" w:color="auto" w:sz="4" w:space="0"/>
                  </w:tcBorders>
                  <w:vAlign w:val="center"/>
                </w:tcPr>
                <w:p w14:paraId="77AAABA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w:t>
                  </w:r>
                </w:p>
              </w:tc>
              <w:tc>
                <w:tcPr>
                  <w:tcW w:w="1881" w:type="dxa"/>
                  <w:tcBorders>
                    <w:top w:val="single" w:color="auto" w:sz="4" w:space="0"/>
                    <w:left w:val="single" w:color="auto" w:sz="4" w:space="0"/>
                    <w:bottom w:val="single" w:color="auto" w:sz="4" w:space="0"/>
                    <w:right w:val="single" w:color="auto" w:sz="4" w:space="0"/>
                  </w:tcBorders>
                  <w:vAlign w:val="center"/>
                </w:tcPr>
                <w:p w14:paraId="15139BE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1905" w:type="dxa"/>
                  <w:tcBorders>
                    <w:top w:val="single" w:color="auto" w:sz="4" w:space="0"/>
                    <w:left w:val="single" w:color="auto" w:sz="4" w:space="0"/>
                    <w:bottom w:val="single" w:color="auto" w:sz="4" w:space="0"/>
                    <w:right w:val="single" w:color="auto" w:sz="4" w:space="0"/>
                  </w:tcBorders>
                  <w:vAlign w:val="center"/>
                </w:tcPr>
                <w:p w14:paraId="351345EE">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07F48B9B">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900-300-34</w:t>
                  </w:r>
                </w:p>
              </w:tc>
            </w:tr>
            <w:tr w14:paraId="0711D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tcBorders>
                    <w:top w:val="single" w:color="auto" w:sz="4" w:space="0"/>
                    <w:left w:val="single" w:color="auto" w:sz="4" w:space="0"/>
                    <w:bottom w:val="single" w:color="auto" w:sz="4" w:space="0"/>
                    <w:right w:val="single" w:color="auto" w:sz="4" w:space="0"/>
                  </w:tcBorders>
                  <w:vAlign w:val="center"/>
                </w:tcPr>
                <w:p w14:paraId="2795136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690" w:type="dxa"/>
                  <w:tcBorders>
                    <w:top w:val="single" w:color="auto" w:sz="4" w:space="0"/>
                    <w:left w:val="single" w:color="auto" w:sz="4" w:space="0"/>
                    <w:bottom w:val="single" w:color="auto" w:sz="4" w:space="0"/>
                    <w:right w:val="single" w:color="auto" w:sz="4" w:space="0"/>
                  </w:tcBorders>
                  <w:vAlign w:val="center"/>
                </w:tcPr>
                <w:p w14:paraId="5761E72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废酸渣</w:t>
                  </w:r>
                </w:p>
              </w:tc>
              <w:tc>
                <w:tcPr>
                  <w:tcW w:w="1881" w:type="dxa"/>
                  <w:tcBorders>
                    <w:top w:val="single" w:color="auto" w:sz="4" w:space="0"/>
                    <w:left w:val="single" w:color="auto" w:sz="4" w:space="0"/>
                    <w:bottom w:val="single" w:color="auto" w:sz="4" w:space="0"/>
                    <w:right w:val="single" w:color="auto" w:sz="4" w:space="0"/>
                  </w:tcBorders>
                  <w:vAlign w:val="center"/>
                </w:tcPr>
                <w:p w14:paraId="7037778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1905" w:type="dxa"/>
                  <w:tcBorders>
                    <w:top w:val="single" w:color="auto" w:sz="4" w:space="0"/>
                    <w:left w:val="single" w:color="auto" w:sz="4" w:space="0"/>
                    <w:bottom w:val="single" w:color="auto" w:sz="4" w:space="0"/>
                    <w:right w:val="single" w:color="auto" w:sz="4" w:space="0"/>
                  </w:tcBorders>
                  <w:vAlign w:val="center"/>
                </w:tcPr>
                <w:p w14:paraId="74276D5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snapToGrid w:val="0"/>
                      <w:color w:val="auto"/>
                      <w:sz w:val="18"/>
                      <w:szCs w:val="18"/>
                    </w:rPr>
                    <w:t>是</w:t>
                  </w:r>
                </w:p>
              </w:tc>
              <w:tc>
                <w:tcPr>
                  <w:tcW w:w="1622" w:type="dxa"/>
                  <w:tcBorders>
                    <w:top w:val="single" w:color="auto" w:sz="4" w:space="0"/>
                    <w:left w:val="single" w:color="auto" w:sz="4" w:space="0"/>
                    <w:bottom w:val="single" w:color="auto" w:sz="4" w:space="0"/>
                    <w:right w:val="single" w:color="auto" w:sz="4" w:space="0"/>
                  </w:tcBorders>
                  <w:vAlign w:val="center"/>
                </w:tcPr>
                <w:p w14:paraId="19DF8E1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900-349-34</w:t>
                  </w:r>
                </w:p>
              </w:tc>
            </w:tr>
            <w:tr w14:paraId="4C91A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3A83E7D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w:t>
                  </w:r>
                </w:p>
              </w:tc>
              <w:tc>
                <w:tcPr>
                  <w:tcW w:w="1690" w:type="dxa"/>
                  <w:shd w:val="clear" w:color="auto" w:fill="auto"/>
                  <w:vAlign w:val="center"/>
                </w:tcPr>
                <w:p w14:paraId="62F596DE">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再生废液</w:t>
                  </w:r>
                </w:p>
              </w:tc>
              <w:tc>
                <w:tcPr>
                  <w:tcW w:w="1881" w:type="dxa"/>
                  <w:shd w:val="clear" w:color="auto" w:fill="auto"/>
                  <w:vAlign w:val="center"/>
                </w:tcPr>
                <w:p w14:paraId="17E0EC63">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废水处理</w:t>
                  </w:r>
                </w:p>
              </w:tc>
              <w:tc>
                <w:tcPr>
                  <w:tcW w:w="1905" w:type="dxa"/>
                </w:tcPr>
                <w:p w14:paraId="4B49194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snapToGrid w:val="0"/>
                      <w:color w:val="auto"/>
                      <w:sz w:val="18"/>
                      <w:szCs w:val="18"/>
                    </w:rPr>
                    <w:t>是</w:t>
                  </w:r>
                </w:p>
              </w:tc>
              <w:tc>
                <w:tcPr>
                  <w:tcW w:w="1622" w:type="dxa"/>
                </w:tcPr>
                <w:p w14:paraId="1806E779">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900-352-35</w:t>
                  </w:r>
                </w:p>
              </w:tc>
            </w:tr>
            <w:tr w14:paraId="6F078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489CB2D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690" w:type="dxa"/>
                  <w:shd w:val="clear" w:color="auto" w:fill="auto"/>
                  <w:vAlign w:val="center"/>
                </w:tcPr>
                <w:p w14:paraId="2B2268C3">
                  <w:pPr>
                    <w:pStyle w:val="125"/>
                    <w:spacing w:line="240" w:lineRule="auto"/>
                    <w:rPr>
                      <w:rFonts w:hint="eastAsia" w:ascii="Times New Roman" w:hAnsi="Times New Roman" w:eastAsia="宋体" w:cs="Times New Roman"/>
                      <w:color w:val="auto"/>
                      <w:kern w:val="0"/>
                      <w:sz w:val="18"/>
                      <w:szCs w:val="18"/>
                      <w:lang w:val="en-US" w:eastAsia="zh-CN" w:bidi="ar-SA"/>
                    </w:rPr>
                  </w:pPr>
                  <w:r>
                    <w:rPr>
                      <w:rFonts w:hint="eastAsia" w:cs="Times New Roman"/>
                      <w:color w:val="auto"/>
                      <w:sz w:val="18"/>
                      <w:szCs w:val="18"/>
                      <w:lang w:eastAsia="zh-CN"/>
                    </w:rPr>
                    <w:t>收集的粉尘及布袋</w:t>
                  </w:r>
                </w:p>
              </w:tc>
              <w:tc>
                <w:tcPr>
                  <w:tcW w:w="1881" w:type="dxa"/>
                  <w:shd w:val="clear" w:color="auto" w:fill="auto"/>
                  <w:vAlign w:val="center"/>
                </w:tcPr>
                <w:p w14:paraId="0175669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废气处理</w:t>
                  </w:r>
                </w:p>
              </w:tc>
              <w:tc>
                <w:tcPr>
                  <w:tcW w:w="1905" w:type="dxa"/>
                  <w:shd w:val="clear" w:color="auto" w:fill="auto"/>
                  <w:vAlign w:val="top"/>
                </w:tcPr>
                <w:p w14:paraId="64B9D85B">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否</w:t>
                  </w:r>
                </w:p>
              </w:tc>
              <w:tc>
                <w:tcPr>
                  <w:tcW w:w="1622" w:type="dxa"/>
                  <w:shd w:val="clear" w:color="auto" w:fill="auto"/>
                  <w:vAlign w:val="top"/>
                </w:tcPr>
                <w:p w14:paraId="0433FC3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w:t>
                  </w:r>
                </w:p>
              </w:tc>
            </w:tr>
            <w:tr w14:paraId="7BAB4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10A428C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11</w:t>
                  </w:r>
                </w:p>
              </w:tc>
              <w:tc>
                <w:tcPr>
                  <w:tcW w:w="1690" w:type="dxa"/>
                  <w:shd w:val="clear" w:color="auto" w:fill="auto"/>
                  <w:vAlign w:val="center"/>
                </w:tcPr>
                <w:p w14:paraId="57D98559">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废膜</w:t>
                  </w:r>
                </w:p>
              </w:tc>
              <w:tc>
                <w:tcPr>
                  <w:tcW w:w="1881" w:type="dxa"/>
                  <w:shd w:val="clear" w:color="auto" w:fill="auto"/>
                  <w:vAlign w:val="center"/>
                </w:tcPr>
                <w:p w14:paraId="587A7BD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纯水制备</w:t>
                  </w:r>
                </w:p>
              </w:tc>
              <w:tc>
                <w:tcPr>
                  <w:tcW w:w="1905" w:type="dxa"/>
                  <w:shd w:val="clear" w:color="auto" w:fill="auto"/>
                  <w:vAlign w:val="top"/>
                </w:tcPr>
                <w:p w14:paraId="0F36284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否</w:t>
                  </w:r>
                </w:p>
              </w:tc>
              <w:tc>
                <w:tcPr>
                  <w:tcW w:w="1622" w:type="dxa"/>
                  <w:shd w:val="clear" w:color="auto" w:fill="auto"/>
                  <w:vAlign w:val="top"/>
                </w:tcPr>
                <w:p w14:paraId="2DAA306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w:t>
                  </w:r>
                </w:p>
              </w:tc>
            </w:tr>
            <w:tr w14:paraId="7C0D7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6CB9854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w:t>
                  </w:r>
                </w:p>
              </w:tc>
              <w:tc>
                <w:tcPr>
                  <w:tcW w:w="1690" w:type="dxa"/>
                  <w:shd w:val="clear" w:color="auto" w:fill="auto"/>
                  <w:vAlign w:val="center"/>
                </w:tcPr>
                <w:p w14:paraId="7323A7AF">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废石英砂</w:t>
                  </w:r>
                </w:p>
              </w:tc>
              <w:tc>
                <w:tcPr>
                  <w:tcW w:w="1881" w:type="dxa"/>
                  <w:shd w:val="clear" w:color="auto" w:fill="auto"/>
                  <w:vAlign w:val="center"/>
                </w:tcPr>
                <w:p w14:paraId="237E5CD4">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纯水制备</w:t>
                  </w:r>
                </w:p>
              </w:tc>
              <w:tc>
                <w:tcPr>
                  <w:tcW w:w="1905" w:type="dxa"/>
                  <w:shd w:val="clear" w:color="auto" w:fill="auto"/>
                  <w:vAlign w:val="top"/>
                </w:tcPr>
                <w:p w14:paraId="2B825AE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否</w:t>
                  </w:r>
                </w:p>
              </w:tc>
              <w:tc>
                <w:tcPr>
                  <w:tcW w:w="1622" w:type="dxa"/>
                  <w:shd w:val="clear" w:color="auto" w:fill="auto"/>
                  <w:vAlign w:val="top"/>
                </w:tcPr>
                <w:p w14:paraId="4CEDDA9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w:t>
                  </w:r>
                </w:p>
              </w:tc>
            </w:tr>
            <w:tr w14:paraId="6E153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61282DB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1690" w:type="dxa"/>
                  <w:shd w:val="clear" w:color="auto" w:fill="auto"/>
                  <w:vAlign w:val="center"/>
                </w:tcPr>
                <w:p w14:paraId="4A75884C">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废活性炭</w:t>
                  </w:r>
                </w:p>
              </w:tc>
              <w:tc>
                <w:tcPr>
                  <w:tcW w:w="1881" w:type="dxa"/>
                  <w:shd w:val="clear" w:color="auto" w:fill="auto"/>
                  <w:vAlign w:val="center"/>
                </w:tcPr>
                <w:p w14:paraId="5C1D728C">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纯水制备</w:t>
                  </w:r>
                </w:p>
              </w:tc>
              <w:tc>
                <w:tcPr>
                  <w:tcW w:w="1905" w:type="dxa"/>
                  <w:shd w:val="clear" w:color="auto" w:fill="auto"/>
                  <w:vAlign w:val="top"/>
                </w:tcPr>
                <w:p w14:paraId="1C5FD45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否</w:t>
                  </w:r>
                </w:p>
              </w:tc>
              <w:tc>
                <w:tcPr>
                  <w:tcW w:w="1622" w:type="dxa"/>
                  <w:shd w:val="clear" w:color="auto" w:fill="auto"/>
                  <w:vAlign w:val="top"/>
                </w:tcPr>
                <w:p w14:paraId="55D15D8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w:t>
                  </w:r>
                </w:p>
              </w:tc>
            </w:tr>
            <w:tr w14:paraId="7DF23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7705E2D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14</w:t>
                  </w:r>
                </w:p>
              </w:tc>
              <w:tc>
                <w:tcPr>
                  <w:tcW w:w="1690" w:type="dxa"/>
                  <w:shd w:val="clear" w:color="auto" w:fill="auto"/>
                  <w:vAlign w:val="center"/>
                </w:tcPr>
                <w:p w14:paraId="6E7336F6">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磁性物料</w:t>
                  </w:r>
                </w:p>
              </w:tc>
              <w:tc>
                <w:tcPr>
                  <w:tcW w:w="1881" w:type="dxa"/>
                  <w:shd w:val="clear" w:color="auto" w:fill="auto"/>
                  <w:vAlign w:val="center"/>
                </w:tcPr>
                <w:p w14:paraId="332ACFF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磁选</w:t>
                  </w:r>
                </w:p>
              </w:tc>
              <w:tc>
                <w:tcPr>
                  <w:tcW w:w="1905" w:type="dxa"/>
                  <w:shd w:val="clear" w:color="auto" w:fill="auto"/>
                  <w:vAlign w:val="top"/>
                </w:tcPr>
                <w:p w14:paraId="0577FE8B">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否</w:t>
                  </w:r>
                </w:p>
              </w:tc>
              <w:tc>
                <w:tcPr>
                  <w:tcW w:w="1622" w:type="dxa"/>
                  <w:shd w:val="clear" w:color="auto" w:fill="auto"/>
                  <w:vAlign w:val="top"/>
                </w:tcPr>
                <w:p w14:paraId="3F9D676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w:t>
                  </w:r>
                </w:p>
              </w:tc>
            </w:tr>
            <w:tr w14:paraId="584CE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3CCB6A4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1690" w:type="dxa"/>
                  <w:shd w:val="clear" w:color="auto" w:fill="auto"/>
                  <w:vAlign w:val="center"/>
                </w:tcPr>
                <w:p w14:paraId="7C670B03">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废矿砂</w:t>
                  </w:r>
                </w:p>
              </w:tc>
              <w:tc>
                <w:tcPr>
                  <w:tcW w:w="1881" w:type="dxa"/>
                  <w:shd w:val="clear" w:color="auto" w:fill="auto"/>
                  <w:vAlign w:val="center"/>
                </w:tcPr>
                <w:p w14:paraId="3A6631A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浮洗</w:t>
                  </w:r>
                </w:p>
              </w:tc>
              <w:tc>
                <w:tcPr>
                  <w:tcW w:w="1905" w:type="dxa"/>
                  <w:shd w:val="clear" w:color="auto" w:fill="auto"/>
                  <w:vAlign w:val="top"/>
                </w:tcPr>
                <w:p w14:paraId="39391DE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否</w:t>
                  </w:r>
                </w:p>
              </w:tc>
              <w:tc>
                <w:tcPr>
                  <w:tcW w:w="1622" w:type="dxa"/>
                  <w:shd w:val="clear" w:color="auto" w:fill="auto"/>
                  <w:vAlign w:val="top"/>
                </w:tcPr>
                <w:p w14:paraId="3BB3029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w:t>
                  </w:r>
                </w:p>
              </w:tc>
            </w:tr>
            <w:tr w14:paraId="377F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6A136D9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w:t>
                  </w:r>
                </w:p>
              </w:tc>
              <w:tc>
                <w:tcPr>
                  <w:tcW w:w="1690" w:type="dxa"/>
                  <w:vAlign w:val="center"/>
                </w:tcPr>
                <w:p w14:paraId="0CD1944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废渣</w:t>
                  </w:r>
                </w:p>
              </w:tc>
              <w:tc>
                <w:tcPr>
                  <w:tcW w:w="1881" w:type="dxa"/>
                  <w:vAlign w:val="center"/>
                </w:tcPr>
                <w:p w14:paraId="63D8093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水淬</w:t>
                  </w:r>
                </w:p>
              </w:tc>
              <w:tc>
                <w:tcPr>
                  <w:tcW w:w="1905" w:type="dxa"/>
                </w:tcPr>
                <w:p w14:paraId="7C96C98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snapToGrid w:val="0"/>
                      <w:color w:val="auto"/>
                      <w:sz w:val="18"/>
                      <w:szCs w:val="18"/>
                    </w:rPr>
                    <w:t>否</w:t>
                  </w:r>
                </w:p>
              </w:tc>
              <w:tc>
                <w:tcPr>
                  <w:tcW w:w="1622" w:type="dxa"/>
                </w:tcPr>
                <w:p w14:paraId="4FFB58F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snapToGrid w:val="0"/>
                      <w:color w:val="auto"/>
                      <w:sz w:val="18"/>
                      <w:szCs w:val="18"/>
                    </w:rPr>
                    <w:t>/</w:t>
                  </w:r>
                </w:p>
              </w:tc>
            </w:tr>
            <w:tr w14:paraId="6CA88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838" w:type="dxa"/>
                  <w:vAlign w:val="center"/>
                </w:tcPr>
                <w:p w14:paraId="40BB5AB2">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17</w:t>
                  </w:r>
                </w:p>
              </w:tc>
              <w:tc>
                <w:tcPr>
                  <w:tcW w:w="1690" w:type="dxa"/>
                  <w:shd w:val="clear" w:color="auto" w:fill="auto"/>
                  <w:vAlign w:val="center"/>
                </w:tcPr>
                <w:p w14:paraId="415E55D5">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废滤材</w:t>
                  </w:r>
                </w:p>
              </w:tc>
              <w:tc>
                <w:tcPr>
                  <w:tcW w:w="1881" w:type="dxa"/>
                  <w:shd w:val="clear" w:color="auto" w:fill="auto"/>
                  <w:vAlign w:val="center"/>
                </w:tcPr>
                <w:p w14:paraId="6B51C17E">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过滤</w:t>
                  </w:r>
                </w:p>
              </w:tc>
              <w:tc>
                <w:tcPr>
                  <w:tcW w:w="1905" w:type="dxa"/>
                  <w:shd w:val="clear" w:color="auto" w:fill="auto"/>
                  <w:vAlign w:val="center"/>
                </w:tcPr>
                <w:p w14:paraId="63105C1D">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否</w:t>
                  </w:r>
                </w:p>
              </w:tc>
              <w:tc>
                <w:tcPr>
                  <w:tcW w:w="1622" w:type="dxa"/>
                  <w:shd w:val="clear" w:color="auto" w:fill="auto"/>
                  <w:vAlign w:val="center"/>
                </w:tcPr>
                <w:p w14:paraId="66278A68">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eastAsia="宋体" w:cs="Times New Roman"/>
                      <w:color w:val="auto"/>
                      <w:kern w:val="0"/>
                      <w:sz w:val="18"/>
                      <w:szCs w:val="18"/>
                      <w:lang w:val="en-US" w:eastAsia="zh-CN" w:bidi="ar-SA"/>
                    </w:rPr>
                    <w:t>/</w:t>
                  </w:r>
                </w:p>
              </w:tc>
            </w:tr>
          </w:tbl>
          <w:p w14:paraId="3B8E9F35">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表4.2.8-3  项目固废产生及处置情况  单位：t/a</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4"/>
              <w:gridCol w:w="872"/>
              <w:gridCol w:w="567"/>
              <w:gridCol w:w="767"/>
              <w:gridCol w:w="868"/>
              <w:gridCol w:w="996"/>
              <w:gridCol w:w="486"/>
              <w:gridCol w:w="609"/>
              <w:gridCol w:w="887"/>
              <w:gridCol w:w="1130"/>
            </w:tblGrid>
            <w:tr w14:paraId="6C3D8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vAlign w:val="center"/>
                </w:tcPr>
                <w:p w14:paraId="7C7051FA">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固体废物名称</w:t>
                  </w:r>
                </w:p>
              </w:tc>
              <w:tc>
                <w:tcPr>
                  <w:tcW w:w="872" w:type="dxa"/>
                  <w:vAlign w:val="center"/>
                </w:tcPr>
                <w:p w14:paraId="68F5A00D">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产生工序</w:t>
                  </w:r>
                </w:p>
              </w:tc>
              <w:tc>
                <w:tcPr>
                  <w:tcW w:w="567" w:type="dxa"/>
                  <w:vAlign w:val="center"/>
                </w:tcPr>
                <w:p w14:paraId="2AB0856E">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形态</w:t>
                  </w:r>
                </w:p>
              </w:tc>
              <w:tc>
                <w:tcPr>
                  <w:tcW w:w="767" w:type="dxa"/>
                  <w:vAlign w:val="center"/>
                </w:tcPr>
                <w:p w14:paraId="3D541068">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主要成分</w:t>
                  </w:r>
                </w:p>
              </w:tc>
              <w:tc>
                <w:tcPr>
                  <w:tcW w:w="868" w:type="dxa"/>
                  <w:vAlign w:val="center"/>
                </w:tcPr>
                <w:p w14:paraId="50873066">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属性</w:t>
                  </w:r>
                </w:p>
              </w:tc>
              <w:tc>
                <w:tcPr>
                  <w:tcW w:w="996" w:type="dxa"/>
                  <w:vAlign w:val="center"/>
                </w:tcPr>
                <w:p w14:paraId="2752B58D">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废物代码</w:t>
                  </w:r>
                </w:p>
              </w:tc>
              <w:tc>
                <w:tcPr>
                  <w:tcW w:w="486" w:type="dxa"/>
                  <w:vAlign w:val="center"/>
                </w:tcPr>
                <w:p w14:paraId="70202C33">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危险特性</w:t>
                  </w:r>
                </w:p>
              </w:tc>
              <w:tc>
                <w:tcPr>
                  <w:tcW w:w="609" w:type="dxa"/>
                  <w:vAlign w:val="center"/>
                </w:tcPr>
                <w:p w14:paraId="5DA953AA">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预测产生量(t/a)</w:t>
                  </w:r>
                </w:p>
              </w:tc>
              <w:tc>
                <w:tcPr>
                  <w:tcW w:w="887" w:type="dxa"/>
                  <w:vAlign w:val="center"/>
                </w:tcPr>
                <w:p w14:paraId="1C075E01">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产废周期</w:t>
                  </w:r>
                </w:p>
              </w:tc>
              <w:tc>
                <w:tcPr>
                  <w:tcW w:w="1130" w:type="dxa"/>
                  <w:vAlign w:val="center"/>
                </w:tcPr>
                <w:p w14:paraId="7720EE05">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去向</w:t>
                  </w:r>
                </w:p>
              </w:tc>
            </w:tr>
            <w:tr w14:paraId="158F3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vAlign w:val="center"/>
                </w:tcPr>
                <w:p w14:paraId="34227371">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废包装材料</w:t>
                  </w:r>
                </w:p>
              </w:tc>
              <w:tc>
                <w:tcPr>
                  <w:tcW w:w="872" w:type="dxa"/>
                  <w:vAlign w:val="center"/>
                </w:tcPr>
                <w:p w14:paraId="5AA24FB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567" w:type="dxa"/>
                  <w:vAlign w:val="center"/>
                </w:tcPr>
                <w:p w14:paraId="6B590709">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0F68B72F">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塑料等</w:t>
                  </w:r>
                </w:p>
              </w:tc>
              <w:tc>
                <w:tcPr>
                  <w:tcW w:w="868" w:type="dxa"/>
                  <w:vMerge w:val="restart"/>
                  <w:vAlign w:val="center"/>
                </w:tcPr>
                <w:p w14:paraId="49B4781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危险固废</w:t>
                  </w:r>
                </w:p>
              </w:tc>
              <w:tc>
                <w:tcPr>
                  <w:tcW w:w="996" w:type="dxa"/>
                  <w:vAlign w:val="center"/>
                </w:tcPr>
                <w:p w14:paraId="0058CC82">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900-041-49</w:t>
                  </w:r>
                </w:p>
              </w:tc>
              <w:tc>
                <w:tcPr>
                  <w:tcW w:w="486" w:type="dxa"/>
                  <w:vAlign w:val="center"/>
                </w:tcPr>
                <w:p w14:paraId="1B5CEF8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T/In</w:t>
                  </w:r>
                </w:p>
              </w:tc>
              <w:tc>
                <w:tcPr>
                  <w:tcW w:w="609" w:type="dxa"/>
                  <w:vAlign w:val="center"/>
                </w:tcPr>
                <w:p w14:paraId="7AAD6E0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0.1</w:t>
                  </w:r>
                </w:p>
              </w:tc>
              <w:tc>
                <w:tcPr>
                  <w:tcW w:w="887" w:type="dxa"/>
                  <w:vAlign w:val="center"/>
                </w:tcPr>
                <w:p w14:paraId="0BD0889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restart"/>
                  <w:vAlign w:val="center"/>
                </w:tcPr>
                <w:p w14:paraId="4A9184B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委托有资质单位处置</w:t>
                  </w:r>
                </w:p>
              </w:tc>
            </w:tr>
            <w:tr w14:paraId="3B7F9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vAlign w:val="center"/>
                </w:tcPr>
                <w:p w14:paraId="1664A14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废油桶</w:t>
                  </w:r>
                </w:p>
              </w:tc>
              <w:tc>
                <w:tcPr>
                  <w:tcW w:w="872" w:type="dxa"/>
                  <w:vAlign w:val="center"/>
                </w:tcPr>
                <w:p w14:paraId="74483C9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567" w:type="dxa"/>
                  <w:vAlign w:val="center"/>
                </w:tcPr>
                <w:p w14:paraId="3D52FB32">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57A6DC3C">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包装桶</w:t>
                  </w:r>
                </w:p>
              </w:tc>
              <w:tc>
                <w:tcPr>
                  <w:tcW w:w="868" w:type="dxa"/>
                  <w:vMerge w:val="continue"/>
                  <w:vAlign w:val="center"/>
                </w:tcPr>
                <w:p w14:paraId="26A1F6F5">
                  <w:pPr>
                    <w:adjustRightInd w:val="0"/>
                    <w:snapToGrid w:val="0"/>
                    <w:jc w:val="center"/>
                    <w:rPr>
                      <w:rFonts w:hint="default" w:ascii="Times New Roman" w:hAnsi="Times New Roman" w:cs="Times New Roman"/>
                      <w:color w:val="auto"/>
                      <w:sz w:val="18"/>
                      <w:szCs w:val="18"/>
                    </w:rPr>
                  </w:pPr>
                </w:p>
              </w:tc>
              <w:tc>
                <w:tcPr>
                  <w:tcW w:w="996" w:type="dxa"/>
                  <w:vAlign w:val="center"/>
                </w:tcPr>
                <w:p w14:paraId="299982EF">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900-249-08</w:t>
                  </w:r>
                </w:p>
              </w:tc>
              <w:tc>
                <w:tcPr>
                  <w:tcW w:w="486" w:type="dxa"/>
                  <w:vAlign w:val="center"/>
                </w:tcPr>
                <w:p w14:paraId="4171F5E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T,I</w:t>
                  </w:r>
                </w:p>
              </w:tc>
              <w:tc>
                <w:tcPr>
                  <w:tcW w:w="609" w:type="dxa"/>
                  <w:vAlign w:val="center"/>
                </w:tcPr>
                <w:p w14:paraId="7A1D875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0.05</w:t>
                  </w:r>
                </w:p>
              </w:tc>
              <w:tc>
                <w:tcPr>
                  <w:tcW w:w="887" w:type="dxa"/>
                  <w:vAlign w:val="center"/>
                </w:tcPr>
                <w:p w14:paraId="07CCB34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维修时</w:t>
                  </w:r>
                </w:p>
              </w:tc>
              <w:tc>
                <w:tcPr>
                  <w:tcW w:w="1130" w:type="dxa"/>
                  <w:vMerge w:val="continue"/>
                  <w:vAlign w:val="center"/>
                </w:tcPr>
                <w:p w14:paraId="1C5A82AC">
                  <w:pPr>
                    <w:adjustRightInd w:val="0"/>
                    <w:snapToGrid w:val="0"/>
                    <w:jc w:val="center"/>
                    <w:rPr>
                      <w:rFonts w:hint="default" w:ascii="Times New Roman" w:hAnsi="Times New Roman" w:cs="Times New Roman"/>
                      <w:color w:val="auto"/>
                      <w:sz w:val="18"/>
                      <w:szCs w:val="18"/>
                    </w:rPr>
                  </w:pPr>
                </w:p>
              </w:tc>
            </w:tr>
            <w:tr w14:paraId="2E350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vAlign w:val="center"/>
                </w:tcPr>
                <w:p w14:paraId="7B66B3F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过滤材料</w:t>
                  </w:r>
                </w:p>
              </w:tc>
              <w:tc>
                <w:tcPr>
                  <w:tcW w:w="872" w:type="dxa"/>
                  <w:vAlign w:val="center"/>
                </w:tcPr>
                <w:p w14:paraId="297D601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567" w:type="dxa"/>
                  <w:vAlign w:val="center"/>
                </w:tcPr>
                <w:p w14:paraId="19579FB7">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450E8B48">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氧化铝、杂质等</w:t>
                  </w:r>
                </w:p>
              </w:tc>
              <w:tc>
                <w:tcPr>
                  <w:tcW w:w="868" w:type="dxa"/>
                  <w:vMerge w:val="continue"/>
                  <w:vAlign w:val="center"/>
                </w:tcPr>
                <w:p w14:paraId="1D8DB392">
                  <w:pPr>
                    <w:adjustRightInd w:val="0"/>
                    <w:snapToGrid w:val="0"/>
                    <w:jc w:val="center"/>
                    <w:rPr>
                      <w:rFonts w:hint="default" w:ascii="Times New Roman" w:hAnsi="Times New Roman" w:cs="Times New Roman"/>
                      <w:color w:val="auto"/>
                      <w:sz w:val="18"/>
                      <w:szCs w:val="18"/>
                    </w:rPr>
                  </w:pPr>
                </w:p>
              </w:tc>
              <w:tc>
                <w:tcPr>
                  <w:tcW w:w="996" w:type="dxa"/>
                  <w:vAlign w:val="center"/>
                </w:tcPr>
                <w:p w14:paraId="47DF93D9">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900-041-49</w:t>
                  </w:r>
                </w:p>
              </w:tc>
              <w:tc>
                <w:tcPr>
                  <w:tcW w:w="486" w:type="dxa"/>
                  <w:vAlign w:val="center"/>
                </w:tcPr>
                <w:p w14:paraId="78CF1D9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T/In</w:t>
                  </w:r>
                </w:p>
              </w:tc>
              <w:tc>
                <w:tcPr>
                  <w:tcW w:w="609" w:type="dxa"/>
                  <w:vAlign w:val="center"/>
                </w:tcPr>
                <w:p w14:paraId="3034B18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887" w:type="dxa"/>
                  <w:vAlign w:val="center"/>
                </w:tcPr>
                <w:p w14:paraId="3E373CE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每年产生</w:t>
                  </w:r>
                </w:p>
              </w:tc>
              <w:tc>
                <w:tcPr>
                  <w:tcW w:w="1130" w:type="dxa"/>
                  <w:vMerge w:val="continue"/>
                  <w:vAlign w:val="center"/>
                </w:tcPr>
                <w:p w14:paraId="7AD7A881">
                  <w:pPr>
                    <w:adjustRightInd w:val="0"/>
                    <w:snapToGrid w:val="0"/>
                    <w:jc w:val="center"/>
                    <w:rPr>
                      <w:rFonts w:hint="default" w:ascii="Times New Roman" w:hAnsi="Times New Roman" w:cs="Times New Roman"/>
                      <w:color w:val="auto"/>
                      <w:sz w:val="18"/>
                      <w:szCs w:val="18"/>
                    </w:rPr>
                  </w:pPr>
                </w:p>
              </w:tc>
            </w:tr>
            <w:tr w14:paraId="30440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vAlign w:val="center"/>
                </w:tcPr>
                <w:p w14:paraId="0DCEFB3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872" w:type="dxa"/>
                  <w:vAlign w:val="center"/>
                </w:tcPr>
                <w:p w14:paraId="01E908D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567" w:type="dxa"/>
                  <w:vAlign w:val="center"/>
                </w:tcPr>
                <w:p w14:paraId="45295F55">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36CD0318">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868" w:type="dxa"/>
                  <w:vMerge w:val="continue"/>
                  <w:vAlign w:val="center"/>
                </w:tcPr>
                <w:p w14:paraId="73829FED">
                  <w:pPr>
                    <w:adjustRightInd w:val="0"/>
                    <w:snapToGrid w:val="0"/>
                    <w:jc w:val="center"/>
                    <w:rPr>
                      <w:rFonts w:hint="default" w:ascii="Times New Roman" w:hAnsi="Times New Roman" w:cs="Times New Roman"/>
                      <w:color w:val="auto"/>
                      <w:sz w:val="18"/>
                      <w:szCs w:val="18"/>
                    </w:rPr>
                  </w:pPr>
                </w:p>
              </w:tc>
              <w:tc>
                <w:tcPr>
                  <w:tcW w:w="996" w:type="dxa"/>
                  <w:vAlign w:val="center"/>
                </w:tcPr>
                <w:p w14:paraId="21EDE89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772-006-49</w:t>
                  </w:r>
                </w:p>
              </w:tc>
              <w:tc>
                <w:tcPr>
                  <w:tcW w:w="486" w:type="dxa"/>
                  <w:vAlign w:val="center"/>
                </w:tcPr>
                <w:p w14:paraId="1E82BD9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T/In</w:t>
                  </w:r>
                </w:p>
              </w:tc>
              <w:tc>
                <w:tcPr>
                  <w:tcW w:w="609" w:type="dxa"/>
                  <w:vAlign w:val="center"/>
                </w:tcPr>
                <w:p w14:paraId="727D3702">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150</w:t>
                  </w:r>
                </w:p>
              </w:tc>
              <w:tc>
                <w:tcPr>
                  <w:tcW w:w="887" w:type="dxa"/>
                  <w:vAlign w:val="center"/>
                </w:tcPr>
                <w:p w14:paraId="70710E1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continue"/>
                  <w:vAlign w:val="center"/>
                </w:tcPr>
                <w:p w14:paraId="43A16FA7">
                  <w:pPr>
                    <w:adjustRightInd w:val="0"/>
                    <w:snapToGrid w:val="0"/>
                    <w:jc w:val="center"/>
                    <w:rPr>
                      <w:rFonts w:hint="default" w:ascii="Times New Roman" w:hAnsi="Times New Roman" w:cs="Times New Roman"/>
                      <w:color w:val="auto"/>
                      <w:sz w:val="18"/>
                      <w:szCs w:val="18"/>
                    </w:rPr>
                  </w:pPr>
                </w:p>
              </w:tc>
            </w:tr>
            <w:tr w14:paraId="3554A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vAlign w:val="center"/>
                </w:tcPr>
                <w:p w14:paraId="4DB58DD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废润滑油</w:t>
                  </w:r>
                </w:p>
              </w:tc>
              <w:tc>
                <w:tcPr>
                  <w:tcW w:w="872" w:type="dxa"/>
                  <w:vAlign w:val="center"/>
                </w:tcPr>
                <w:p w14:paraId="029889D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567" w:type="dxa"/>
                  <w:vAlign w:val="center"/>
                </w:tcPr>
                <w:p w14:paraId="79709706">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sz w:val="18"/>
                      <w:szCs w:val="18"/>
                    </w:rPr>
                  </w:pPr>
                  <w:r>
                    <w:rPr>
                      <w:rFonts w:hint="default" w:ascii="Times New Roman" w:hAnsi="Times New Roman" w:cs="Times New Roman"/>
                      <w:color w:val="auto"/>
                      <w:kern w:val="2"/>
                      <w:sz w:val="18"/>
                      <w:szCs w:val="18"/>
                    </w:rPr>
                    <w:t>液态</w:t>
                  </w:r>
                </w:p>
              </w:tc>
              <w:tc>
                <w:tcPr>
                  <w:tcW w:w="767" w:type="dxa"/>
                  <w:vAlign w:val="center"/>
                </w:tcPr>
                <w:p w14:paraId="696AA707">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油类物质</w:t>
                  </w:r>
                </w:p>
              </w:tc>
              <w:tc>
                <w:tcPr>
                  <w:tcW w:w="868" w:type="dxa"/>
                  <w:vMerge w:val="continue"/>
                  <w:vAlign w:val="center"/>
                </w:tcPr>
                <w:p w14:paraId="144D53EE">
                  <w:pPr>
                    <w:adjustRightInd w:val="0"/>
                    <w:snapToGrid w:val="0"/>
                    <w:jc w:val="center"/>
                    <w:rPr>
                      <w:rFonts w:hint="default" w:ascii="Times New Roman" w:hAnsi="Times New Roman" w:cs="Times New Roman"/>
                      <w:color w:val="auto"/>
                      <w:sz w:val="18"/>
                      <w:szCs w:val="18"/>
                    </w:rPr>
                  </w:pPr>
                </w:p>
              </w:tc>
              <w:tc>
                <w:tcPr>
                  <w:tcW w:w="996" w:type="dxa"/>
                  <w:vAlign w:val="center"/>
                </w:tcPr>
                <w:p w14:paraId="156D07AB">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900-217-08</w:t>
                  </w:r>
                </w:p>
              </w:tc>
              <w:tc>
                <w:tcPr>
                  <w:tcW w:w="486" w:type="dxa"/>
                  <w:vAlign w:val="center"/>
                </w:tcPr>
                <w:p w14:paraId="34E5AA7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T,I</w:t>
                  </w:r>
                </w:p>
              </w:tc>
              <w:tc>
                <w:tcPr>
                  <w:tcW w:w="609" w:type="dxa"/>
                  <w:vAlign w:val="center"/>
                </w:tcPr>
                <w:p w14:paraId="75BF617B">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0.5</w:t>
                  </w:r>
                </w:p>
              </w:tc>
              <w:tc>
                <w:tcPr>
                  <w:tcW w:w="887" w:type="dxa"/>
                  <w:vAlign w:val="center"/>
                </w:tcPr>
                <w:p w14:paraId="64AF513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维修时</w:t>
                  </w:r>
                </w:p>
              </w:tc>
              <w:tc>
                <w:tcPr>
                  <w:tcW w:w="1130" w:type="dxa"/>
                  <w:vMerge w:val="continue"/>
                  <w:vAlign w:val="center"/>
                </w:tcPr>
                <w:p w14:paraId="40BA3B3B">
                  <w:pPr>
                    <w:adjustRightInd w:val="0"/>
                    <w:snapToGrid w:val="0"/>
                    <w:jc w:val="center"/>
                    <w:rPr>
                      <w:rFonts w:hint="default" w:ascii="Times New Roman" w:hAnsi="Times New Roman" w:cs="Times New Roman"/>
                      <w:color w:val="auto"/>
                      <w:sz w:val="18"/>
                      <w:szCs w:val="18"/>
                    </w:rPr>
                  </w:pPr>
                </w:p>
              </w:tc>
            </w:tr>
            <w:tr w14:paraId="38071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54" w:type="dxa"/>
                  <w:vAlign w:val="center"/>
                </w:tcPr>
                <w:p w14:paraId="2566020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废液压油</w:t>
                  </w:r>
                </w:p>
              </w:tc>
              <w:tc>
                <w:tcPr>
                  <w:tcW w:w="872" w:type="dxa"/>
                  <w:vAlign w:val="center"/>
                </w:tcPr>
                <w:p w14:paraId="135BC25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567" w:type="dxa"/>
                  <w:vAlign w:val="center"/>
                </w:tcPr>
                <w:p w14:paraId="43BD32E4">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sz w:val="18"/>
                      <w:szCs w:val="18"/>
                    </w:rPr>
                  </w:pPr>
                  <w:r>
                    <w:rPr>
                      <w:rFonts w:hint="default" w:ascii="Times New Roman" w:hAnsi="Times New Roman" w:cs="Times New Roman"/>
                      <w:color w:val="auto"/>
                      <w:kern w:val="2"/>
                      <w:sz w:val="18"/>
                      <w:szCs w:val="18"/>
                    </w:rPr>
                    <w:t>液态</w:t>
                  </w:r>
                </w:p>
              </w:tc>
              <w:tc>
                <w:tcPr>
                  <w:tcW w:w="767" w:type="dxa"/>
                  <w:vAlign w:val="center"/>
                </w:tcPr>
                <w:p w14:paraId="242D6B4D">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油类物质</w:t>
                  </w:r>
                </w:p>
              </w:tc>
              <w:tc>
                <w:tcPr>
                  <w:tcW w:w="868" w:type="dxa"/>
                  <w:vMerge w:val="continue"/>
                  <w:vAlign w:val="center"/>
                </w:tcPr>
                <w:p w14:paraId="2C9A4037">
                  <w:pPr>
                    <w:adjustRightInd w:val="0"/>
                    <w:snapToGrid w:val="0"/>
                    <w:jc w:val="center"/>
                    <w:rPr>
                      <w:rFonts w:hint="default" w:ascii="Times New Roman" w:hAnsi="Times New Roman" w:cs="Times New Roman"/>
                      <w:color w:val="auto"/>
                      <w:sz w:val="18"/>
                      <w:szCs w:val="18"/>
                    </w:rPr>
                  </w:pPr>
                </w:p>
              </w:tc>
              <w:tc>
                <w:tcPr>
                  <w:tcW w:w="996" w:type="dxa"/>
                  <w:vAlign w:val="center"/>
                </w:tcPr>
                <w:p w14:paraId="47E6702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900-218-08</w:t>
                  </w:r>
                </w:p>
              </w:tc>
              <w:tc>
                <w:tcPr>
                  <w:tcW w:w="486" w:type="dxa"/>
                  <w:vAlign w:val="center"/>
                </w:tcPr>
                <w:p w14:paraId="7D55A71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T,I</w:t>
                  </w:r>
                </w:p>
              </w:tc>
              <w:tc>
                <w:tcPr>
                  <w:tcW w:w="609" w:type="dxa"/>
                  <w:vAlign w:val="center"/>
                </w:tcPr>
                <w:p w14:paraId="47B174C4">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0.5</w:t>
                  </w:r>
                </w:p>
              </w:tc>
              <w:tc>
                <w:tcPr>
                  <w:tcW w:w="887" w:type="dxa"/>
                  <w:vAlign w:val="center"/>
                </w:tcPr>
                <w:p w14:paraId="5F2FD89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维修时</w:t>
                  </w:r>
                </w:p>
              </w:tc>
              <w:tc>
                <w:tcPr>
                  <w:tcW w:w="1130" w:type="dxa"/>
                  <w:vMerge w:val="continue"/>
                  <w:vAlign w:val="center"/>
                </w:tcPr>
                <w:p w14:paraId="53D21B60">
                  <w:pPr>
                    <w:adjustRightInd w:val="0"/>
                    <w:snapToGrid w:val="0"/>
                    <w:jc w:val="center"/>
                    <w:rPr>
                      <w:rFonts w:hint="default" w:ascii="Times New Roman" w:hAnsi="Times New Roman" w:cs="Times New Roman"/>
                      <w:color w:val="auto"/>
                      <w:sz w:val="18"/>
                      <w:szCs w:val="18"/>
                    </w:rPr>
                  </w:pPr>
                </w:p>
              </w:tc>
            </w:tr>
            <w:tr w14:paraId="34835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4" w:type="dxa"/>
                  <w:vAlign w:val="center"/>
                </w:tcPr>
                <w:p w14:paraId="5CA59DA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w:t>
                  </w:r>
                </w:p>
              </w:tc>
              <w:tc>
                <w:tcPr>
                  <w:tcW w:w="872" w:type="dxa"/>
                  <w:vAlign w:val="center"/>
                </w:tcPr>
                <w:p w14:paraId="16CD360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567" w:type="dxa"/>
                  <w:vAlign w:val="center"/>
                </w:tcPr>
                <w:p w14:paraId="3336A8E9">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液态</w:t>
                  </w:r>
                </w:p>
              </w:tc>
              <w:tc>
                <w:tcPr>
                  <w:tcW w:w="767" w:type="dxa"/>
                  <w:vAlign w:val="center"/>
                </w:tcPr>
                <w:p w14:paraId="2474C982">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氯化氢、氟化氢</w:t>
                  </w:r>
                </w:p>
              </w:tc>
              <w:tc>
                <w:tcPr>
                  <w:tcW w:w="868" w:type="dxa"/>
                  <w:vMerge w:val="continue"/>
                  <w:vAlign w:val="center"/>
                </w:tcPr>
                <w:p w14:paraId="1174F3BB">
                  <w:pPr>
                    <w:adjustRightInd w:val="0"/>
                    <w:snapToGrid w:val="0"/>
                    <w:jc w:val="center"/>
                    <w:rPr>
                      <w:rFonts w:hint="default" w:ascii="Times New Roman" w:hAnsi="Times New Roman" w:cs="Times New Roman"/>
                      <w:color w:val="auto"/>
                      <w:sz w:val="18"/>
                      <w:szCs w:val="18"/>
                    </w:rPr>
                  </w:pPr>
                </w:p>
              </w:tc>
              <w:tc>
                <w:tcPr>
                  <w:tcW w:w="996" w:type="dxa"/>
                  <w:vAlign w:val="center"/>
                </w:tcPr>
                <w:p w14:paraId="5AA24357">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900-300-34</w:t>
                  </w:r>
                </w:p>
              </w:tc>
              <w:tc>
                <w:tcPr>
                  <w:tcW w:w="486" w:type="dxa"/>
                  <w:vAlign w:val="center"/>
                </w:tcPr>
                <w:p w14:paraId="4481C22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C,T</w:t>
                  </w:r>
                </w:p>
              </w:tc>
              <w:tc>
                <w:tcPr>
                  <w:tcW w:w="609" w:type="dxa"/>
                  <w:vAlign w:val="center"/>
                </w:tcPr>
                <w:p w14:paraId="09968ECC">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928</w:t>
                  </w:r>
                </w:p>
              </w:tc>
              <w:tc>
                <w:tcPr>
                  <w:tcW w:w="887" w:type="dxa"/>
                  <w:vAlign w:val="center"/>
                </w:tcPr>
                <w:p w14:paraId="0DA2ECA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continue"/>
                  <w:vAlign w:val="center"/>
                </w:tcPr>
                <w:p w14:paraId="7EAA4391">
                  <w:pPr>
                    <w:adjustRightInd w:val="0"/>
                    <w:snapToGrid w:val="0"/>
                    <w:jc w:val="center"/>
                    <w:rPr>
                      <w:rFonts w:hint="default" w:ascii="Times New Roman" w:hAnsi="Times New Roman" w:cs="Times New Roman"/>
                      <w:color w:val="auto"/>
                      <w:sz w:val="18"/>
                      <w:szCs w:val="18"/>
                    </w:rPr>
                  </w:pPr>
                </w:p>
              </w:tc>
            </w:tr>
            <w:tr w14:paraId="7F93C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4" w:type="dxa"/>
                  <w:vAlign w:val="center"/>
                </w:tcPr>
                <w:p w14:paraId="04AB690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废酸渣</w:t>
                  </w:r>
                </w:p>
              </w:tc>
              <w:tc>
                <w:tcPr>
                  <w:tcW w:w="872" w:type="dxa"/>
                  <w:vAlign w:val="center"/>
                </w:tcPr>
                <w:p w14:paraId="3AD24E4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567" w:type="dxa"/>
                  <w:vAlign w:val="center"/>
                </w:tcPr>
                <w:p w14:paraId="039153E1">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6FE60235">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氯化物杂质</w:t>
                  </w:r>
                </w:p>
              </w:tc>
              <w:tc>
                <w:tcPr>
                  <w:tcW w:w="868" w:type="dxa"/>
                  <w:vMerge w:val="continue"/>
                  <w:vAlign w:val="center"/>
                </w:tcPr>
                <w:p w14:paraId="51E53C85">
                  <w:pPr>
                    <w:adjustRightInd w:val="0"/>
                    <w:snapToGrid w:val="0"/>
                    <w:jc w:val="center"/>
                    <w:rPr>
                      <w:rFonts w:hint="default" w:ascii="Times New Roman" w:hAnsi="Times New Roman" w:cs="Times New Roman"/>
                      <w:color w:val="auto"/>
                      <w:sz w:val="18"/>
                      <w:szCs w:val="18"/>
                    </w:rPr>
                  </w:pPr>
                </w:p>
              </w:tc>
              <w:tc>
                <w:tcPr>
                  <w:tcW w:w="996" w:type="dxa"/>
                  <w:vAlign w:val="center"/>
                </w:tcPr>
                <w:p w14:paraId="155F479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900-349-34</w:t>
                  </w:r>
                </w:p>
              </w:tc>
              <w:tc>
                <w:tcPr>
                  <w:tcW w:w="486" w:type="dxa"/>
                  <w:vAlign w:val="center"/>
                </w:tcPr>
                <w:p w14:paraId="6D5A445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C,T</w:t>
                  </w:r>
                </w:p>
              </w:tc>
              <w:tc>
                <w:tcPr>
                  <w:tcW w:w="609" w:type="dxa"/>
                  <w:vAlign w:val="center"/>
                </w:tcPr>
                <w:p w14:paraId="0D6CEDFE">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20</w:t>
                  </w:r>
                </w:p>
              </w:tc>
              <w:tc>
                <w:tcPr>
                  <w:tcW w:w="887" w:type="dxa"/>
                  <w:vAlign w:val="center"/>
                </w:tcPr>
                <w:p w14:paraId="77C1B4B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continue"/>
                  <w:vAlign w:val="center"/>
                </w:tcPr>
                <w:p w14:paraId="30EE30E1">
                  <w:pPr>
                    <w:adjustRightInd w:val="0"/>
                    <w:snapToGrid w:val="0"/>
                    <w:jc w:val="center"/>
                    <w:rPr>
                      <w:rFonts w:hint="default" w:ascii="Times New Roman" w:hAnsi="Times New Roman" w:cs="Times New Roman"/>
                      <w:color w:val="auto"/>
                      <w:sz w:val="18"/>
                      <w:szCs w:val="18"/>
                    </w:rPr>
                  </w:pPr>
                </w:p>
              </w:tc>
            </w:tr>
            <w:tr w14:paraId="11D56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54" w:type="dxa"/>
                  <w:shd w:val="clear" w:color="auto" w:fill="auto"/>
                  <w:vAlign w:val="center"/>
                </w:tcPr>
                <w:p w14:paraId="1E9F68EC">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再生废液</w:t>
                  </w:r>
                </w:p>
              </w:tc>
              <w:tc>
                <w:tcPr>
                  <w:tcW w:w="872" w:type="dxa"/>
                  <w:shd w:val="clear" w:color="auto" w:fill="auto"/>
                  <w:vAlign w:val="center"/>
                </w:tcPr>
                <w:p w14:paraId="50556F07">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废水处理</w:t>
                  </w:r>
                </w:p>
              </w:tc>
              <w:tc>
                <w:tcPr>
                  <w:tcW w:w="567" w:type="dxa"/>
                  <w:shd w:val="clear" w:color="auto" w:fill="auto"/>
                  <w:vAlign w:val="center"/>
                </w:tcPr>
                <w:p w14:paraId="1E7699C0">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rPr>
                    <w:t>固态</w:t>
                  </w:r>
                </w:p>
              </w:tc>
              <w:tc>
                <w:tcPr>
                  <w:tcW w:w="767" w:type="dxa"/>
                  <w:shd w:val="clear" w:color="auto" w:fill="auto"/>
                  <w:vAlign w:val="center"/>
                </w:tcPr>
                <w:p w14:paraId="0224E0AC">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氢氧化钠等</w:t>
                  </w:r>
                </w:p>
              </w:tc>
              <w:tc>
                <w:tcPr>
                  <w:tcW w:w="868" w:type="dxa"/>
                  <w:vMerge w:val="continue"/>
                  <w:vAlign w:val="center"/>
                </w:tcPr>
                <w:p w14:paraId="08888155">
                  <w:pPr>
                    <w:adjustRightInd w:val="0"/>
                    <w:snapToGrid w:val="0"/>
                    <w:jc w:val="center"/>
                    <w:rPr>
                      <w:rFonts w:hint="default" w:ascii="Times New Roman" w:hAnsi="Times New Roman" w:cs="Times New Roman"/>
                      <w:color w:val="auto"/>
                      <w:sz w:val="18"/>
                      <w:szCs w:val="18"/>
                    </w:rPr>
                  </w:pPr>
                </w:p>
              </w:tc>
              <w:tc>
                <w:tcPr>
                  <w:tcW w:w="996" w:type="dxa"/>
                  <w:vAlign w:val="center"/>
                </w:tcPr>
                <w:p w14:paraId="323FA58A">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900-352-35</w:t>
                  </w:r>
                </w:p>
              </w:tc>
              <w:tc>
                <w:tcPr>
                  <w:tcW w:w="486" w:type="dxa"/>
                  <w:vAlign w:val="center"/>
                </w:tcPr>
                <w:p w14:paraId="0BE4901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C,T</w:t>
                  </w:r>
                </w:p>
              </w:tc>
              <w:tc>
                <w:tcPr>
                  <w:tcW w:w="609" w:type="dxa"/>
                  <w:vAlign w:val="center"/>
                </w:tcPr>
                <w:p w14:paraId="3D4EC607">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887" w:type="dxa"/>
                  <w:vAlign w:val="center"/>
                </w:tcPr>
                <w:p w14:paraId="023BC3D4">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使用时产生</w:t>
                  </w:r>
                </w:p>
              </w:tc>
              <w:tc>
                <w:tcPr>
                  <w:tcW w:w="1130" w:type="dxa"/>
                  <w:vMerge w:val="continue"/>
                  <w:vAlign w:val="center"/>
                </w:tcPr>
                <w:p w14:paraId="4AC62C06">
                  <w:pPr>
                    <w:adjustRightInd w:val="0"/>
                    <w:snapToGrid w:val="0"/>
                    <w:jc w:val="center"/>
                    <w:rPr>
                      <w:rFonts w:hint="default" w:ascii="Times New Roman" w:hAnsi="Times New Roman" w:cs="Times New Roman"/>
                      <w:color w:val="auto"/>
                      <w:sz w:val="18"/>
                      <w:szCs w:val="18"/>
                    </w:rPr>
                  </w:pPr>
                </w:p>
              </w:tc>
            </w:tr>
            <w:tr w14:paraId="1AC51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jc w:val="center"/>
              </w:trPr>
              <w:tc>
                <w:tcPr>
                  <w:tcW w:w="754" w:type="dxa"/>
                  <w:vAlign w:val="center"/>
                </w:tcPr>
                <w:p w14:paraId="5AF63E04">
                  <w:pPr>
                    <w:pStyle w:val="125"/>
                    <w:spacing w:line="240" w:lineRule="auto"/>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收集的粉尘及布袋</w:t>
                  </w:r>
                </w:p>
              </w:tc>
              <w:tc>
                <w:tcPr>
                  <w:tcW w:w="872" w:type="dxa"/>
                  <w:vAlign w:val="center"/>
                </w:tcPr>
                <w:p w14:paraId="0EAD371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废气处理</w:t>
                  </w:r>
                </w:p>
              </w:tc>
              <w:tc>
                <w:tcPr>
                  <w:tcW w:w="567" w:type="dxa"/>
                  <w:vAlign w:val="center"/>
                </w:tcPr>
                <w:p w14:paraId="27571CD8">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283FCB6D">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粉尘、布袋</w:t>
                  </w:r>
                </w:p>
              </w:tc>
              <w:tc>
                <w:tcPr>
                  <w:tcW w:w="868" w:type="dxa"/>
                  <w:vMerge w:val="restart"/>
                  <w:vAlign w:val="center"/>
                </w:tcPr>
                <w:p w14:paraId="2BABC20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一般工业固体废物</w:t>
                  </w:r>
                </w:p>
              </w:tc>
              <w:tc>
                <w:tcPr>
                  <w:tcW w:w="996" w:type="dxa"/>
                  <w:vAlign w:val="center"/>
                </w:tcPr>
                <w:p w14:paraId="524A0DFE">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309-001-66</w:t>
                  </w:r>
                </w:p>
              </w:tc>
              <w:tc>
                <w:tcPr>
                  <w:tcW w:w="486" w:type="dxa"/>
                  <w:vAlign w:val="center"/>
                </w:tcPr>
                <w:p w14:paraId="194948A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19964715">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0.59</w:t>
                  </w:r>
                </w:p>
              </w:tc>
              <w:tc>
                <w:tcPr>
                  <w:tcW w:w="887" w:type="dxa"/>
                  <w:vAlign w:val="center"/>
                </w:tcPr>
                <w:p w14:paraId="2390FBB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restart"/>
                  <w:vAlign w:val="center"/>
                </w:tcPr>
                <w:p w14:paraId="10CFBF2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外售综合利用</w:t>
                  </w:r>
                </w:p>
              </w:tc>
            </w:tr>
            <w:tr w14:paraId="637ED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jc w:val="center"/>
              </w:trPr>
              <w:tc>
                <w:tcPr>
                  <w:tcW w:w="754" w:type="dxa"/>
                  <w:vAlign w:val="center"/>
                </w:tcPr>
                <w:p w14:paraId="70C1112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废膜</w:t>
                  </w:r>
                </w:p>
              </w:tc>
              <w:tc>
                <w:tcPr>
                  <w:tcW w:w="872" w:type="dxa"/>
                  <w:vAlign w:val="center"/>
                </w:tcPr>
                <w:p w14:paraId="3035F90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567" w:type="dxa"/>
                  <w:vAlign w:val="center"/>
                </w:tcPr>
                <w:p w14:paraId="291673C9">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4B84CF0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废膜</w:t>
                  </w:r>
                </w:p>
              </w:tc>
              <w:tc>
                <w:tcPr>
                  <w:tcW w:w="868" w:type="dxa"/>
                  <w:vMerge w:val="continue"/>
                  <w:vAlign w:val="center"/>
                </w:tcPr>
                <w:p w14:paraId="2CC527E7">
                  <w:pPr>
                    <w:adjustRightInd w:val="0"/>
                    <w:snapToGrid w:val="0"/>
                    <w:jc w:val="center"/>
                    <w:rPr>
                      <w:rFonts w:hint="default" w:ascii="Times New Roman" w:hAnsi="Times New Roman" w:cs="Times New Roman"/>
                      <w:color w:val="auto"/>
                      <w:sz w:val="18"/>
                      <w:szCs w:val="18"/>
                    </w:rPr>
                  </w:pPr>
                </w:p>
              </w:tc>
              <w:tc>
                <w:tcPr>
                  <w:tcW w:w="996" w:type="dxa"/>
                  <w:vAlign w:val="center"/>
                </w:tcPr>
                <w:p w14:paraId="663C122B">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900-999-99</w:t>
                  </w:r>
                </w:p>
              </w:tc>
              <w:tc>
                <w:tcPr>
                  <w:tcW w:w="486" w:type="dxa"/>
                  <w:vAlign w:val="center"/>
                </w:tcPr>
                <w:p w14:paraId="6B9D5CF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40B25A7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0.05</w:t>
                  </w:r>
                </w:p>
              </w:tc>
              <w:tc>
                <w:tcPr>
                  <w:tcW w:w="887" w:type="dxa"/>
                  <w:vAlign w:val="center"/>
                </w:tcPr>
                <w:p w14:paraId="246EBC2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每年产生</w:t>
                  </w:r>
                </w:p>
              </w:tc>
              <w:tc>
                <w:tcPr>
                  <w:tcW w:w="1130" w:type="dxa"/>
                  <w:vMerge w:val="continue"/>
                  <w:vAlign w:val="center"/>
                </w:tcPr>
                <w:p w14:paraId="7F6EF1AE">
                  <w:pPr>
                    <w:adjustRightInd w:val="0"/>
                    <w:snapToGrid w:val="0"/>
                    <w:jc w:val="center"/>
                    <w:rPr>
                      <w:rFonts w:hint="default" w:ascii="Times New Roman" w:hAnsi="Times New Roman" w:cs="Times New Roman"/>
                      <w:color w:val="auto"/>
                      <w:sz w:val="18"/>
                      <w:szCs w:val="18"/>
                    </w:rPr>
                  </w:pPr>
                </w:p>
              </w:tc>
            </w:tr>
            <w:tr w14:paraId="3F2A2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jc w:val="center"/>
              </w:trPr>
              <w:tc>
                <w:tcPr>
                  <w:tcW w:w="754" w:type="dxa"/>
                  <w:vAlign w:val="center"/>
                </w:tcPr>
                <w:p w14:paraId="24E4F95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废石英砂</w:t>
                  </w:r>
                </w:p>
              </w:tc>
              <w:tc>
                <w:tcPr>
                  <w:tcW w:w="872" w:type="dxa"/>
                  <w:vAlign w:val="center"/>
                </w:tcPr>
                <w:p w14:paraId="594C94C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567" w:type="dxa"/>
                  <w:vAlign w:val="center"/>
                </w:tcPr>
                <w:p w14:paraId="44AC0992">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677A4B9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废石英砂</w:t>
                  </w:r>
                </w:p>
              </w:tc>
              <w:tc>
                <w:tcPr>
                  <w:tcW w:w="868" w:type="dxa"/>
                  <w:vMerge w:val="continue"/>
                  <w:vAlign w:val="center"/>
                </w:tcPr>
                <w:p w14:paraId="55B6CBCE">
                  <w:pPr>
                    <w:adjustRightInd w:val="0"/>
                    <w:snapToGrid w:val="0"/>
                    <w:jc w:val="center"/>
                    <w:rPr>
                      <w:rFonts w:hint="default" w:ascii="Times New Roman" w:hAnsi="Times New Roman" w:cs="Times New Roman"/>
                      <w:color w:val="auto"/>
                      <w:sz w:val="18"/>
                      <w:szCs w:val="18"/>
                    </w:rPr>
                  </w:pPr>
                </w:p>
              </w:tc>
              <w:tc>
                <w:tcPr>
                  <w:tcW w:w="996" w:type="dxa"/>
                  <w:vAlign w:val="center"/>
                </w:tcPr>
                <w:p w14:paraId="507A1323">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309-002-49</w:t>
                  </w:r>
                </w:p>
              </w:tc>
              <w:tc>
                <w:tcPr>
                  <w:tcW w:w="486" w:type="dxa"/>
                  <w:vAlign w:val="center"/>
                </w:tcPr>
                <w:p w14:paraId="38F7016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577ED77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w:t>
                  </w:r>
                </w:p>
              </w:tc>
              <w:tc>
                <w:tcPr>
                  <w:tcW w:w="887" w:type="dxa"/>
                  <w:vAlign w:val="center"/>
                </w:tcPr>
                <w:p w14:paraId="5621967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每年产生</w:t>
                  </w:r>
                </w:p>
              </w:tc>
              <w:tc>
                <w:tcPr>
                  <w:tcW w:w="1130" w:type="dxa"/>
                  <w:vMerge w:val="continue"/>
                  <w:vAlign w:val="center"/>
                </w:tcPr>
                <w:p w14:paraId="30BB6528">
                  <w:pPr>
                    <w:adjustRightInd w:val="0"/>
                    <w:snapToGrid w:val="0"/>
                    <w:jc w:val="center"/>
                    <w:rPr>
                      <w:rFonts w:hint="default" w:ascii="Times New Roman" w:hAnsi="Times New Roman" w:cs="Times New Roman"/>
                      <w:color w:val="auto"/>
                      <w:sz w:val="18"/>
                      <w:szCs w:val="18"/>
                    </w:rPr>
                  </w:pPr>
                </w:p>
              </w:tc>
            </w:tr>
            <w:tr w14:paraId="44DAC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jc w:val="center"/>
              </w:trPr>
              <w:tc>
                <w:tcPr>
                  <w:tcW w:w="754" w:type="dxa"/>
                  <w:vAlign w:val="center"/>
                </w:tcPr>
                <w:p w14:paraId="1C845FA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废活性炭</w:t>
                  </w:r>
                </w:p>
              </w:tc>
              <w:tc>
                <w:tcPr>
                  <w:tcW w:w="872" w:type="dxa"/>
                  <w:vAlign w:val="center"/>
                </w:tcPr>
                <w:p w14:paraId="366046F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567" w:type="dxa"/>
                  <w:vAlign w:val="center"/>
                </w:tcPr>
                <w:p w14:paraId="38374C4B">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13A36D2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废活性炭</w:t>
                  </w:r>
                </w:p>
              </w:tc>
              <w:tc>
                <w:tcPr>
                  <w:tcW w:w="868" w:type="dxa"/>
                  <w:vMerge w:val="continue"/>
                  <w:vAlign w:val="center"/>
                </w:tcPr>
                <w:p w14:paraId="7A1CB2AA">
                  <w:pPr>
                    <w:adjustRightInd w:val="0"/>
                    <w:snapToGrid w:val="0"/>
                    <w:jc w:val="center"/>
                    <w:rPr>
                      <w:rFonts w:hint="default" w:ascii="Times New Roman" w:hAnsi="Times New Roman" w:cs="Times New Roman"/>
                      <w:color w:val="auto"/>
                      <w:sz w:val="18"/>
                      <w:szCs w:val="18"/>
                    </w:rPr>
                  </w:pPr>
                </w:p>
              </w:tc>
              <w:tc>
                <w:tcPr>
                  <w:tcW w:w="996" w:type="dxa"/>
                  <w:vAlign w:val="center"/>
                </w:tcPr>
                <w:p w14:paraId="3A6ADE16">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309-003-49</w:t>
                  </w:r>
                </w:p>
              </w:tc>
              <w:tc>
                <w:tcPr>
                  <w:tcW w:w="486" w:type="dxa"/>
                  <w:vAlign w:val="center"/>
                </w:tcPr>
                <w:p w14:paraId="71F483B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0608B7C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0.1</w:t>
                  </w:r>
                </w:p>
              </w:tc>
              <w:tc>
                <w:tcPr>
                  <w:tcW w:w="887" w:type="dxa"/>
                  <w:vAlign w:val="center"/>
                </w:tcPr>
                <w:p w14:paraId="310A739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每年产生</w:t>
                  </w:r>
                </w:p>
              </w:tc>
              <w:tc>
                <w:tcPr>
                  <w:tcW w:w="1130" w:type="dxa"/>
                  <w:vMerge w:val="continue"/>
                  <w:vAlign w:val="center"/>
                </w:tcPr>
                <w:p w14:paraId="45F86AA3">
                  <w:pPr>
                    <w:adjustRightInd w:val="0"/>
                    <w:snapToGrid w:val="0"/>
                    <w:jc w:val="center"/>
                    <w:rPr>
                      <w:rFonts w:hint="default" w:ascii="Times New Roman" w:hAnsi="Times New Roman" w:cs="Times New Roman"/>
                      <w:color w:val="auto"/>
                      <w:sz w:val="18"/>
                      <w:szCs w:val="18"/>
                    </w:rPr>
                  </w:pPr>
                </w:p>
              </w:tc>
            </w:tr>
            <w:tr w14:paraId="52B57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jc w:val="center"/>
              </w:trPr>
              <w:tc>
                <w:tcPr>
                  <w:tcW w:w="754" w:type="dxa"/>
                  <w:vAlign w:val="center"/>
                </w:tcPr>
                <w:p w14:paraId="04FB549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磁性物料</w:t>
                  </w:r>
                </w:p>
              </w:tc>
              <w:tc>
                <w:tcPr>
                  <w:tcW w:w="872" w:type="dxa"/>
                  <w:vAlign w:val="center"/>
                </w:tcPr>
                <w:p w14:paraId="691456F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磁选</w:t>
                  </w:r>
                </w:p>
              </w:tc>
              <w:tc>
                <w:tcPr>
                  <w:tcW w:w="567" w:type="dxa"/>
                  <w:vAlign w:val="center"/>
                </w:tcPr>
                <w:p w14:paraId="6CCF1C16">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271760C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磁性物料</w:t>
                  </w:r>
                </w:p>
              </w:tc>
              <w:tc>
                <w:tcPr>
                  <w:tcW w:w="868" w:type="dxa"/>
                  <w:vMerge w:val="continue"/>
                  <w:vAlign w:val="center"/>
                </w:tcPr>
                <w:p w14:paraId="65FD94CC">
                  <w:pPr>
                    <w:adjustRightInd w:val="0"/>
                    <w:snapToGrid w:val="0"/>
                    <w:jc w:val="center"/>
                    <w:rPr>
                      <w:rFonts w:hint="default" w:ascii="Times New Roman" w:hAnsi="Times New Roman" w:cs="Times New Roman"/>
                      <w:color w:val="auto"/>
                      <w:sz w:val="18"/>
                      <w:szCs w:val="18"/>
                    </w:rPr>
                  </w:pPr>
                </w:p>
              </w:tc>
              <w:tc>
                <w:tcPr>
                  <w:tcW w:w="996" w:type="dxa"/>
                  <w:vAlign w:val="center"/>
                </w:tcPr>
                <w:p w14:paraId="325A3AA2">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309-004-49</w:t>
                  </w:r>
                </w:p>
              </w:tc>
              <w:tc>
                <w:tcPr>
                  <w:tcW w:w="486" w:type="dxa"/>
                  <w:vAlign w:val="center"/>
                </w:tcPr>
                <w:p w14:paraId="472708B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7BDC13D2">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0.4</w:t>
                  </w:r>
                </w:p>
              </w:tc>
              <w:tc>
                <w:tcPr>
                  <w:tcW w:w="887" w:type="dxa"/>
                  <w:vAlign w:val="center"/>
                </w:tcPr>
                <w:p w14:paraId="23E5A6A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continue"/>
                  <w:vAlign w:val="center"/>
                </w:tcPr>
                <w:p w14:paraId="44E1838E">
                  <w:pPr>
                    <w:adjustRightInd w:val="0"/>
                    <w:snapToGrid w:val="0"/>
                    <w:jc w:val="center"/>
                    <w:rPr>
                      <w:rFonts w:hint="default" w:ascii="Times New Roman" w:hAnsi="Times New Roman" w:cs="Times New Roman"/>
                      <w:color w:val="auto"/>
                      <w:sz w:val="18"/>
                      <w:szCs w:val="18"/>
                    </w:rPr>
                  </w:pPr>
                </w:p>
              </w:tc>
            </w:tr>
            <w:tr w14:paraId="65A9F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 w:hRule="atLeast"/>
                <w:jc w:val="center"/>
              </w:trPr>
              <w:tc>
                <w:tcPr>
                  <w:tcW w:w="754" w:type="dxa"/>
                  <w:vAlign w:val="center"/>
                </w:tcPr>
                <w:p w14:paraId="650EE03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872" w:type="dxa"/>
                  <w:vAlign w:val="center"/>
                </w:tcPr>
                <w:p w14:paraId="6A98AC2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浮洗</w:t>
                  </w:r>
                </w:p>
              </w:tc>
              <w:tc>
                <w:tcPr>
                  <w:tcW w:w="567" w:type="dxa"/>
                  <w:vAlign w:val="center"/>
                </w:tcPr>
                <w:p w14:paraId="5B2B818B">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77D4D76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868" w:type="dxa"/>
                  <w:vMerge w:val="continue"/>
                  <w:vAlign w:val="center"/>
                </w:tcPr>
                <w:p w14:paraId="599980E3">
                  <w:pPr>
                    <w:adjustRightInd w:val="0"/>
                    <w:snapToGrid w:val="0"/>
                    <w:jc w:val="center"/>
                    <w:rPr>
                      <w:rFonts w:hint="default" w:ascii="Times New Roman" w:hAnsi="Times New Roman" w:cs="Times New Roman"/>
                      <w:color w:val="auto"/>
                      <w:sz w:val="18"/>
                      <w:szCs w:val="18"/>
                    </w:rPr>
                  </w:pPr>
                </w:p>
              </w:tc>
              <w:tc>
                <w:tcPr>
                  <w:tcW w:w="996" w:type="dxa"/>
                  <w:vAlign w:val="center"/>
                </w:tcPr>
                <w:p w14:paraId="732DBBE7">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309-005-49</w:t>
                  </w:r>
                </w:p>
              </w:tc>
              <w:tc>
                <w:tcPr>
                  <w:tcW w:w="486" w:type="dxa"/>
                  <w:vAlign w:val="center"/>
                </w:tcPr>
                <w:p w14:paraId="04172A9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0F0568D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887" w:type="dxa"/>
                  <w:vAlign w:val="center"/>
                </w:tcPr>
                <w:p w14:paraId="1A62552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continue"/>
                  <w:vAlign w:val="center"/>
                </w:tcPr>
                <w:p w14:paraId="4D8CAF7A">
                  <w:pPr>
                    <w:adjustRightInd w:val="0"/>
                    <w:snapToGrid w:val="0"/>
                    <w:jc w:val="center"/>
                    <w:rPr>
                      <w:rFonts w:hint="default" w:ascii="Times New Roman" w:hAnsi="Times New Roman" w:cs="Times New Roman"/>
                      <w:color w:val="auto"/>
                      <w:sz w:val="18"/>
                      <w:szCs w:val="18"/>
                    </w:rPr>
                  </w:pPr>
                </w:p>
              </w:tc>
            </w:tr>
            <w:tr w14:paraId="455CF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 w:hRule="atLeast"/>
                <w:jc w:val="center"/>
              </w:trPr>
              <w:tc>
                <w:tcPr>
                  <w:tcW w:w="754" w:type="dxa"/>
                  <w:vAlign w:val="center"/>
                </w:tcPr>
                <w:p w14:paraId="6C680AE1">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废渣</w:t>
                  </w:r>
                </w:p>
              </w:tc>
              <w:tc>
                <w:tcPr>
                  <w:tcW w:w="872" w:type="dxa"/>
                  <w:vAlign w:val="center"/>
                </w:tcPr>
                <w:p w14:paraId="6740848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水淬</w:t>
                  </w:r>
                </w:p>
              </w:tc>
              <w:tc>
                <w:tcPr>
                  <w:tcW w:w="567" w:type="dxa"/>
                  <w:vAlign w:val="center"/>
                </w:tcPr>
                <w:p w14:paraId="502F2560">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0B3B982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868" w:type="dxa"/>
                  <w:vMerge w:val="continue"/>
                  <w:vAlign w:val="center"/>
                </w:tcPr>
                <w:p w14:paraId="4CA2D193">
                  <w:pPr>
                    <w:pStyle w:val="125"/>
                    <w:spacing w:line="240" w:lineRule="auto"/>
                    <w:rPr>
                      <w:rFonts w:hint="default" w:ascii="Times New Roman" w:hAnsi="Times New Roman" w:cs="Times New Roman"/>
                      <w:color w:val="auto"/>
                      <w:sz w:val="18"/>
                      <w:szCs w:val="18"/>
                    </w:rPr>
                  </w:pPr>
                </w:p>
              </w:tc>
              <w:tc>
                <w:tcPr>
                  <w:tcW w:w="996" w:type="dxa"/>
                  <w:vAlign w:val="center"/>
                </w:tcPr>
                <w:p w14:paraId="53B93CA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snapToGrid w:val="0"/>
                      <w:color w:val="auto"/>
                      <w:sz w:val="18"/>
                      <w:szCs w:val="18"/>
                    </w:rPr>
                    <w:t>309-00</w:t>
                  </w:r>
                  <w:r>
                    <w:rPr>
                      <w:rFonts w:hint="eastAsia" w:cs="Times New Roman"/>
                      <w:snapToGrid w:val="0"/>
                      <w:color w:val="auto"/>
                      <w:sz w:val="18"/>
                      <w:szCs w:val="18"/>
                      <w:lang w:val="en-US" w:eastAsia="zh-CN"/>
                    </w:rPr>
                    <w:t>6</w:t>
                  </w:r>
                  <w:r>
                    <w:rPr>
                      <w:rFonts w:hint="default" w:ascii="Times New Roman" w:hAnsi="Times New Roman" w:cs="Times New Roman"/>
                      <w:snapToGrid w:val="0"/>
                      <w:color w:val="auto"/>
                      <w:sz w:val="18"/>
                      <w:szCs w:val="18"/>
                    </w:rPr>
                    <w:t>-49</w:t>
                  </w:r>
                </w:p>
              </w:tc>
              <w:tc>
                <w:tcPr>
                  <w:tcW w:w="486" w:type="dxa"/>
                  <w:vAlign w:val="center"/>
                </w:tcPr>
                <w:p w14:paraId="6F6E8F8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652BE572">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70</w:t>
                  </w:r>
                </w:p>
              </w:tc>
              <w:tc>
                <w:tcPr>
                  <w:tcW w:w="887" w:type="dxa"/>
                  <w:vAlign w:val="center"/>
                </w:tcPr>
                <w:p w14:paraId="31A86EA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Merge w:val="continue"/>
                  <w:vAlign w:val="center"/>
                </w:tcPr>
                <w:p w14:paraId="1FD53272">
                  <w:pPr>
                    <w:adjustRightInd w:val="0"/>
                    <w:snapToGrid w:val="0"/>
                    <w:jc w:val="center"/>
                    <w:rPr>
                      <w:rFonts w:hint="default" w:ascii="Times New Roman" w:hAnsi="Times New Roman" w:cs="Times New Roman"/>
                      <w:color w:val="auto"/>
                      <w:sz w:val="18"/>
                      <w:szCs w:val="18"/>
                    </w:rPr>
                  </w:pPr>
                </w:p>
              </w:tc>
            </w:tr>
            <w:tr w14:paraId="49790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 w:hRule="atLeast"/>
                <w:jc w:val="center"/>
              </w:trPr>
              <w:tc>
                <w:tcPr>
                  <w:tcW w:w="754" w:type="dxa"/>
                  <w:shd w:val="clear" w:color="auto" w:fill="auto"/>
                  <w:vAlign w:val="center"/>
                </w:tcPr>
                <w:p w14:paraId="3BBC29B8">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废滤材</w:t>
                  </w:r>
                </w:p>
              </w:tc>
              <w:tc>
                <w:tcPr>
                  <w:tcW w:w="872" w:type="dxa"/>
                  <w:shd w:val="clear" w:color="auto" w:fill="auto"/>
                  <w:vAlign w:val="center"/>
                </w:tcPr>
                <w:p w14:paraId="528D8C58">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过滤</w:t>
                  </w:r>
                </w:p>
              </w:tc>
              <w:tc>
                <w:tcPr>
                  <w:tcW w:w="567" w:type="dxa"/>
                  <w:shd w:val="clear" w:color="auto" w:fill="auto"/>
                  <w:vAlign w:val="center"/>
                </w:tcPr>
                <w:p w14:paraId="465E85D8">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rPr>
                    <w:t>固态</w:t>
                  </w:r>
                </w:p>
              </w:tc>
              <w:tc>
                <w:tcPr>
                  <w:tcW w:w="767" w:type="dxa"/>
                  <w:shd w:val="clear" w:color="auto" w:fill="auto"/>
                  <w:vAlign w:val="center"/>
                </w:tcPr>
                <w:p w14:paraId="7D7F7D89">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HEPA、石英砂</w:t>
                  </w:r>
                </w:p>
              </w:tc>
              <w:tc>
                <w:tcPr>
                  <w:tcW w:w="868" w:type="dxa"/>
                  <w:vMerge w:val="continue"/>
                  <w:vAlign w:val="center"/>
                </w:tcPr>
                <w:p w14:paraId="3E3B63B9">
                  <w:pPr>
                    <w:pStyle w:val="125"/>
                    <w:spacing w:line="240" w:lineRule="auto"/>
                    <w:rPr>
                      <w:rFonts w:hint="default" w:ascii="Times New Roman" w:hAnsi="Times New Roman" w:cs="Times New Roman"/>
                      <w:color w:val="auto"/>
                      <w:sz w:val="18"/>
                      <w:szCs w:val="18"/>
                    </w:rPr>
                  </w:pPr>
                </w:p>
              </w:tc>
              <w:tc>
                <w:tcPr>
                  <w:tcW w:w="996" w:type="dxa"/>
                  <w:shd w:val="clear" w:color="auto" w:fill="auto"/>
                  <w:vAlign w:val="center"/>
                </w:tcPr>
                <w:p w14:paraId="58B1237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snapToGrid w:val="0"/>
                      <w:color w:val="auto"/>
                      <w:sz w:val="18"/>
                      <w:szCs w:val="18"/>
                    </w:rPr>
                    <w:t>309-00</w:t>
                  </w:r>
                  <w:r>
                    <w:rPr>
                      <w:rFonts w:hint="eastAsia" w:cs="Times New Roman"/>
                      <w:snapToGrid w:val="0"/>
                      <w:color w:val="auto"/>
                      <w:sz w:val="18"/>
                      <w:szCs w:val="18"/>
                      <w:lang w:val="en-US" w:eastAsia="zh-CN"/>
                    </w:rPr>
                    <w:t>7</w:t>
                  </w:r>
                  <w:r>
                    <w:rPr>
                      <w:rFonts w:hint="default" w:ascii="Times New Roman" w:hAnsi="Times New Roman" w:cs="Times New Roman"/>
                      <w:snapToGrid w:val="0"/>
                      <w:color w:val="auto"/>
                      <w:sz w:val="18"/>
                      <w:szCs w:val="18"/>
                    </w:rPr>
                    <w:t>-49</w:t>
                  </w:r>
                </w:p>
              </w:tc>
              <w:tc>
                <w:tcPr>
                  <w:tcW w:w="486" w:type="dxa"/>
                  <w:vAlign w:val="center"/>
                </w:tcPr>
                <w:p w14:paraId="4FE9B204">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w:t>
                  </w:r>
                </w:p>
              </w:tc>
              <w:tc>
                <w:tcPr>
                  <w:tcW w:w="609" w:type="dxa"/>
                  <w:vAlign w:val="center"/>
                </w:tcPr>
                <w:p w14:paraId="0CE156F6">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887" w:type="dxa"/>
                  <w:vAlign w:val="center"/>
                </w:tcPr>
                <w:p w14:paraId="7939D1B8">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更换产生</w:t>
                  </w:r>
                </w:p>
              </w:tc>
              <w:tc>
                <w:tcPr>
                  <w:tcW w:w="1130" w:type="dxa"/>
                  <w:vMerge w:val="continue"/>
                  <w:vAlign w:val="center"/>
                </w:tcPr>
                <w:p w14:paraId="005B49DD">
                  <w:pPr>
                    <w:adjustRightInd w:val="0"/>
                    <w:snapToGrid w:val="0"/>
                    <w:jc w:val="center"/>
                    <w:rPr>
                      <w:rFonts w:hint="default" w:ascii="Times New Roman" w:hAnsi="Times New Roman" w:cs="Times New Roman"/>
                      <w:color w:val="auto"/>
                      <w:sz w:val="18"/>
                      <w:szCs w:val="18"/>
                    </w:rPr>
                  </w:pPr>
                </w:p>
              </w:tc>
            </w:tr>
            <w:tr w14:paraId="2BA5F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 w:hRule="atLeast"/>
                <w:jc w:val="center"/>
              </w:trPr>
              <w:tc>
                <w:tcPr>
                  <w:tcW w:w="754" w:type="dxa"/>
                  <w:vAlign w:val="center"/>
                </w:tcPr>
                <w:p w14:paraId="06431FC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生活垃圾</w:t>
                  </w:r>
                </w:p>
              </w:tc>
              <w:tc>
                <w:tcPr>
                  <w:tcW w:w="872" w:type="dxa"/>
                  <w:vAlign w:val="center"/>
                </w:tcPr>
                <w:p w14:paraId="79FCCB8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职工生活</w:t>
                  </w:r>
                </w:p>
              </w:tc>
              <w:tc>
                <w:tcPr>
                  <w:tcW w:w="567" w:type="dxa"/>
                  <w:vAlign w:val="center"/>
                </w:tcPr>
                <w:p w14:paraId="44544B54">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固态</w:t>
                  </w:r>
                </w:p>
              </w:tc>
              <w:tc>
                <w:tcPr>
                  <w:tcW w:w="767" w:type="dxa"/>
                  <w:vAlign w:val="center"/>
                </w:tcPr>
                <w:p w14:paraId="4FA5A71B">
                  <w:pPr>
                    <w:widowControl/>
                    <w:adjustRightInd w:val="0"/>
                    <w:snapToGrid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生活垃圾</w:t>
                  </w:r>
                </w:p>
              </w:tc>
              <w:tc>
                <w:tcPr>
                  <w:tcW w:w="868" w:type="dxa"/>
                  <w:vAlign w:val="center"/>
                </w:tcPr>
                <w:p w14:paraId="67C1AA3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996" w:type="dxa"/>
                  <w:vAlign w:val="center"/>
                </w:tcPr>
                <w:p w14:paraId="01FAD0A8">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w:t>
                  </w:r>
                </w:p>
              </w:tc>
              <w:tc>
                <w:tcPr>
                  <w:tcW w:w="486" w:type="dxa"/>
                  <w:vAlign w:val="center"/>
                </w:tcPr>
                <w:p w14:paraId="7E8B148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09" w:type="dxa"/>
                  <w:vAlign w:val="center"/>
                </w:tcPr>
                <w:p w14:paraId="5F6C3472">
                  <w:pPr>
                    <w:pStyle w:val="125"/>
                    <w:spacing w:line="240" w:lineRule="auto"/>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5.85</w:t>
                  </w:r>
                </w:p>
              </w:tc>
              <w:tc>
                <w:tcPr>
                  <w:tcW w:w="887" w:type="dxa"/>
                  <w:vAlign w:val="center"/>
                </w:tcPr>
                <w:p w14:paraId="7A2A457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每天产生</w:t>
                  </w:r>
                </w:p>
              </w:tc>
              <w:tc>
                <w:tcPr>
                  <w:tcW w:w="1130" w:type="dxa"/>
                  <w:vAlign w:val="center"/>
                </w:tcPr>
                <w:p w14:paraId="79BCC57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环卫部门清运</w:t>
                  </w:r>
                </w:p>
              </w:tc>
            </w:tr>
          </w:tbl>
          <w:p w14:paraId="09572DA4">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表4.2.8-4 项目固废污染源源强核算结果及相关参数一览表</w:t>
            </w:r>
          </w:p>
          <w:tbl>
            <w:tblPr>
              <w:tblStyle w:val="32"/>
              <w:tblW w:w="79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803"/>
              <w:gridCol w:w="851"/>
              <w:gridCol w:w="625"/>
              <w:gridCol w:w="700"/>
              <w:gridCol w:w="1006"/>
              <w:gridCol w:w="1003"/>
              <w:gridCol w:w="1027"/>
              <w:gridCol w:w="1156"/>
            </w:tblGrid>
            <w:tr w14:paraId="6A9DF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restart"/>
                  <w:vAlign w:val="center"/>
                </w:tcPr>
                <w:p w14:paraId="4A9D6435">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kern w:val="0"/>
                      <w:sz w:val="18"/>
                      <w:szCs w:val="18"/>
                    </w:rPr>
                    <w:t>工序/生产线</w:t>
                  </w:r>
                </w:p>
              </w:tc>
              <w:tc>
                <w:tcPr>
                  <w:tcW w:w="803" w:type="dxa"/>
                  <w:vMerge w:val="restart"/>
                  <w:vAlign w:val="center"/>
                </w:tcPr>
                <w:p w14:paraId="4799E086">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kern w:val="0"/>
                      <w:sz w:val="18"/>
                      <w:szCs w:val="18"/>
                    </w:rPr>
                    <w:t>装置</w:t>
                  </w:r>
                </w:p>
              </w:tc>
              <w:tc>
                <w:tcPr>
                  <w:tcW w:w="851" w:type="dxa"/>
                  <w:vMerge w:val="restart"/>
                  <w:vAlign w:val="center"/>
                </w:tcPr>
                <w:p w14:paraId="774CC077">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固体废物名称</w:t>
                  </w:r>
                </w:p>
              </w:tc>
              <w:tc>
                <w:tcPr>
                  <w:tcW w:w="625" w:type="dxa"/>
                  <w:vMerge w:val="restart"/>
                  <w:vAlign w:val="center"/>
                </w:tcPr>
                <w:p w14:paraId="035FBE33">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固废属性</w:t>
                  </w:r>
                </w:p>
              </w:tc>
              <w:tc>
                <w:tcPr>
                  <w:tcW w:w="1706" w:type="dxa"/>
                  <w:gridSpan w:val="2"/>
                  <w:vAlign w:val="center"/>
                </w:tcPr>
                <w:p w14:paraId="6EEC5058">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产生情况</w:t>
                  </w:r>
                </w:p>
              </w:tc>
              <w:tc>
                <w:tcPr>
                  <w:tcW w:w="2030" w:type="dxa"/>
                  <w:gridSpan w:val="2"/>
                  <w:vAlign w:val="center"/>
                </w:tcPr>
                <w:p w14:paraId="596797CA">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处置措施</w:t>
                  </w:r>
                </w:p>
              </w:tc>
              <w:tc>
                <w:tcPr>
                  <w:tcW w:w="1156" w:type="dxa"/>
                  <w:vMerge w:val="restart"/>
                  <w:vAlign w:val="center"/>
                </w:tcPr>
                <w:p w14:paraId="73DAC5C5">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最终去向</w:t>
                  </w:r>
                </w:p>
              </w:tc>
            </w:tr>
            <w:tr w14:paraId="6E29C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vAlign w:val="center"/>
                </w:tcPr>
                <w:p w14:paraId="0A346140">
                  <w:pPr>
                    <w:autoSpaceDE w:val="0"/>
                    <w:autoSpaceDN w:val="0"/>
                    <w:adjustRightInd w:val="0"/>
                    <w:snapToGrid w:val="0"/>
                    <w:jc w:val="center"/>
                    <w:rPr>
                      <w:rFonts w:hint="default" w:ascii="Times New Roman" w:hAnsi="Times New Roman" w:cs="Times New Roman"/>
                      <w:b/>
                      <w:bCs/>
                      <w:color w:val="auto"/>
                      <w:sz w:val="18"/>
                      <w:szCs w:val="18"/>
                    </w:rPr>
                  </w:pPr>
                </w:p>
              </w:tc>
              <w:tc>
                <w:tcPr>
                  <w:tcW w:w="803" w:type="dxa"/>
                  <w:vMerge w:val="continue"/>
                  <w:vAlign w:val="center"/>
                </w:tcPr>
                <w:p w14:paraId="3F71F674">
                  <w:pPr>
                    <w:autoSpaceDE w:val="0"/>
                    <w:autoSpaceDN w:val="0"/>
                    <w:adjustRightInd w:val="0"/>
                    <w:snapToGrid w:val="0"/>
                    <w:jc w:val="center"/>
                    <w:rPr>
                      <w:rFonts w:hint="default" w:ascii="Times New Roman" w:hAnsi="Times New Roman" w:cs="Times New Roman"/>
                      <w:b/>
                      <w:bCs/>
                      <w:color w:val="auto"/>
                      <w:sz w:val="18"/>
                      <w:szCs w:val="18"/>
                    </w:rPr>
                  </w:pPr>
                </w:p>
              </w:tc>
              <w:tc>
                <w:tcPr>
                  <w:tcW w:w="851" w:type="dxa"/>
                  <w:vMerge w:val="continue"/>
                  <w:vAlign w:val="center"/>
                </w:tcPr>
                <w:p w14:paraId="3AD37A8C">
                  <w:pPr>
                    <w:autoSpaceDE w:val="0"/>
                    <w:autoSpaceDN w:val="0"/>
                    <w:adjustRightInd w:val="0"/>
                    <w:snapToGrid w:val="0"/>
                    <w:jc w:val="center"/>
                    <w:rPr>
                      <w:rFonts w:hint="default" w:ascii="Times New Roman" w:hAnsi="Times New Roman" w:cs="Times New Roman"/>
                      <w:b/>
                      <w:bCs/>
                      <w:color w:val="auto"/>
                      <w:sz w:val="18"/>
                      <w:szCs w:val="18"/>
                    </w:rPr>
                  </w:pPr>
                </w:p>
              </w:tc>
              <w:tc>
                <w:tcPr>
                  <w:tcW w:w="625" w:type="dxa"/>
                  <w:vMerge w:val="continue"/>
                  <w:vAlign w:val="center"/>
                </w:tcPr>
                <w:p w14:paraId="704C0873">
                  <w:pPr>
                    <w:autoSpaceDE w:val="0"/>
                    <w:autoSpaceDN w:val="0"/>
                    <w:adjustRightInd w:val="0"/>
                    <w:snapToGrid w:val="0"/>
                    <w:jc w:val="center"/>
                    <w:rPr>
                      <w:rFonts w:hint="default" w:ascii="Times New Roman" w:hAnsi="Times New Roman" w:cs="Times New Roman"/>
                      <w:b/>
                      <w:bCs/>
                      <w:color w:val="auto"/>
                      <w:sz w:val="18"/>
                      <w:szCs w:val="18"/>
                    </w:rPr>
                  </w:pPr>
                </w:p>
              </w:tc>
              <w:tc>
                <w:tcPr>
                  <w:tcW w:w="700" w:type="dxa"/>
                  <w:vAlign w:val="center"/>
                </w:tcPr>
                <w:p w14:paraId="1E323E8B">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核算方法</w:t>
                  </w:r>
                </w:p>
              </w:tc>
              <w:tc>
                <w:tcPr>
                  <w:tcW w:w="1006" w:type="dxa"/>
                  <w:vAlign w:val="center"/>
                </w:tcPr>
                <w:p w14:paraId="4A05F013">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产生量（t/a）</w:t>
                  </w:r>
                </w:p>
              </w:tc>
              <w:tc>
                <w:tcPr>
                  <w:tcW w:w="1003" w:type="dxa"/>
                  <w:vAlign w:val="center"/>
                </w:tcPr>
                <w:p w14:paraId="37F9E108">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处置措施</w:t>
                  </w:r>
                </w:p>
              </w:tc>
              <w:tc>
                <w:tcPr>
                  <w:tcW w:w="1027" w:type="dxa"/>
                  <w:vAlign w:val="center"/>
                </w:tcPr>
                <w:p w14:paraId="04B434EC">
                  <w:pPr>
                    <w:autoSpaceDE w:val="0"/>
                    <w:autoSpaceDN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处置量/（t/a）</w:t>
                  </w:r>
                </w:p>
              </w:tc>
              <w:tc>
                <w:tcPr>
                  <w:tcW w:w="1156" w:type="dxa"/>
                  <w:vMerge w:val="continue"/>
                  <w:vAlign w:val="center"/>
                </w:tcPr>
                <w:p w14:paraId="4F47E650">
                  <w:pPr>
                    <w:autoSpaceDE w:val="0"/>
                    <w:autoSpaceDN w:val="0"/>
                    <w:adjustRightInd w:val="0"/>
                    <w:snapToGrid w:val="0"/>
                    <w:jc w:val="center"/>
                    <w:rPr>
                      <w:rFonts w:hint="default" w:ascii="Times New Roman" w:hAnsi="Times New Roman" w:cs="Times New Roman"/>
                      <w:b/>
                      <w:bCs/>
                      <w:color w:val="auto"/>
                      <w:sz w:val="18"/>
                      <w:szCs w:val="18"/>
                    </w:rPr>
                  </w:pPr>
                </w:p>
              </w:tc>
            </w:tr>
            <w:tr w14:paraId="1D7CF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776" w:type="dxa"/>
                  <w:vAlign w:val="center"/>
                </w:tcPr>
                <w:p w14:paraId="006AC67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803" w:type="dxa"/>
                  <w:vAlign w:val="center"/>
                </w:tcPr>
                <w:p w14:paraId="2758A9F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原料拆包</w:t>
                  </w:r>
                </w:p>
              </w:tc>
              <w:tc>
                <w:tcPr>
                  <w:tcW w:w="851" w:type="dxa"/>
                  <w:vAlign w:val="center"/>
                </w:tcPr>
                <w:p w14:paraId="6EEF53B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废包装材料</w:t>
                  </w:r>
                </w:p>
              </w:tc>
              <w:tc>
                <w:tcPr>
                  <w:tcW w:w="625" w:type="dxa"/>
                  <w:vMerge w:val="restart"/>
                  <w:vAlign w:val="center"/>
                </w:tcPr>
                <w:p w14:paraId="76CF0D04">
                  <w:pPr>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危险固废</w:t>
                  </w:r>
                </w:p>
              </w:tc>
              <w:tc>
                <w:tcPr>
                  <w:tcW w:w="700" w:type="dxa"/>
                  <w:vMerge w:val="restart"/>
                  <w:vAlign w:val="center"/>
                </w:tcPr>
                <w:p w14:paraId="4AEEF2DA">
                  <w:pPr>
                    <w:autoSpaceDE w:val="0"/>
                    <w:autoSpaceDN w:val="0"/>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物料平衡法</w:t>
                  </w:r>
                </w:p>
              </w:tc>
              <w:tc>
                <w:tcPr>
                  <w:tcW w:w="1006" w:type="dxa"/>
                  <w:shd w:val="clear" w:color="auto" w:fill="auto"/>
                  <w:vAlign w:val="center"/>
                </w:tcPr>
                <w:p w14:paraId="6D2D698B">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0.1</w:t>
                  </w:r>
                </w:p>
              </w:tc>
              <w:tc>
                <w:tcPr>
                  <w:tcW w:w="1003" w:type="dxa"/>
                  <w:vMerge w:val="restart"/>
                  <w:vAlign w:val="center"/>
                </w:tcPr>
                <w:p w14:paraId="655F4B5B">
                  <w:pPr>
                    <w:autoSpaceDE w:val="0"/>
                    <w:autoSpaceDN w:val="0"/>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委托有资质单位处置</w:t>
                  </w:r>
                </w:p>
              </w:tc>
              <w:tc>
                <w:tcPr>
                  <w:tcW w:w="1027" w:type="dxa"/>
                  <w:shd w:val="clear" w:color="auto" w:fill="auto"/>
                  <w:vAlign w:val="center"/>
                </w:tcPr>
                <w:p w14:paraId="088C772F">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0.1</w:t>
                  </w:r>
                </w:p>
              </w:tc>
              <w:tc>
                <w:tcPr>
                  <w:tcW w:w="1156" w:type="dxa"/>
                  <w:vMerge w:val="restart"/>
                  <w:shd w:val="clear" w:color="auto" w:fill="auto"/>
                  <w:vAlign w:val="center"/>
                </w:tcPr>
                <w:p w14:paraId="3D126BD3">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委托有资质单位处置</w:t>
                  </w:r>
                </w:p>
              </w:tc>
            </w:tr>
            <w:tr w14:paraId="4116C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5E16228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803" w:type="dxa"/>
                  <w:vAlign w:val="center"/>
                </w:tcPr>
                <w:p w14:paraId="6AF2AC6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原料拆包</w:t>
                  </w:r>
                </w:p>
              </w:tc>
              <w:tc>
                <w:tcPr>
                  <w:tcW w:w="851" w:type="dxa"/>
                  <w:vAlign w:val="center"/>
                </w:tcPr>
                <w:p w14:paraId="6045B75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废油桶</w:t>
                  </w:r>
                </w:p>
              </w:tc>
              <w:tc>
                <w:tcPr>
                  <w:tcW w:w="625" w:type="dxa"/>
                  <w:vMerge w:val="continue"/>
                  <w:vAlign w:val="center"/>
                </w:tcPr>
                <w:p w14:paraId="45B0BDCF">
                  <w:pPr>
                    <w:adjustRightInd w:val="0"/>
                    <w:snapToGrid w:val="0"/>
                    <w:jc w:val="center"/>
                    <w:rPr>
                      <w:rFonts w:hint="default" w:ascii="Times New Roman" w:hAnsi="Times New Roman" w:cs="Times New Roman"/>
                      <w:color w:val="auto"/>
                      <w:kern w:val="0"/>
                      <w:sz w:val="18"/>
                      <w:szCs w:val="18"/>
                    </w:rPr>
                  </w:pPr>
                </w:p>
              </w:tc>
              <w:tc>
                <w:tcPr>
                  <w:tcW w:w="700" w:type="dxa"/>
                  <w:vMerge w:val="continue"/>
                  <w:vAlign w:val="center"/>
                </w:tcPr>
                <w:p w14:paraId="53C05683">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5078038F">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0.05</w:t>
                  </w:r>
                </w:p>
              </w:tc>
              <w:tc>
                <w:tcPr>
                  <w:tcW w:w="1003" w:type="dxa"/>
                  <w:vMerge w:val="continue"/>
                  <w:vAlign w:val="center"/>
                </w:tcPr>
                <w:p w14:paraId="62E007A4">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1346A29B">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0.05</w:t>
                  </w:r>
                </w:p>
              </w:tc>
              <w:tc>
                <w:tcPr>
                  <w:tcW w:w="1156" w:type="dxa"/>
                  <w:vMerge w:val="continue"/>
                  <w:vAlign w:val="center"/>
                </w:tcPr>
                <w:p w14:paraId="3B5FE5F1">
                  <w:pPr>
                    <w:autoSpaceDE w:val="0"/>
                    <w:autoSpaceDN w:val="0"/>
                    <w:adjustRightInd w:val="0"/>
                    <w:snapToGrid w:val="0"/>
                    <w:jc w:val="center"/>
                    <w:rPr>
                      <w:rFonts w:hint="default" w:ascii="Times New Roman" w:hAnsi="Times New Roman" w:cs="Times New Roman"/>
                      <w:color w:val="auto"/>
                      <w:kern w:val="0"/>
                      <w:sz w:val="18"/>
                      <w:szCs w:val="18"/>
                    </w:rPr>
                  </w:pPr>
                </w:p>
              </w:tc>
            </w:tr>
            <w:tr w14:paraId="682D1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3A2C8DD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803" w:type="dxa"/>
                  <w:vAlign w:val="center"/>
                </w:tcPr>
                <w:p w14:paraId="5722074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污水站</w:t>
                  </w:r>
                </w:p>
              </w:tc>
              <w:tc>
                <w:tcPr>
                  <w:tcW w:w="851" w:type="dxa"/>
                  <w:vAlign w:val="center"/>
                </w:tcPr>
                <w:p w14:paraId="38FBEA6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过滤材料</w:t>
                  </w:r>
                </w:p>
              </w:tc>
              <w:tc>
                <w:tcPr>
                  <w:tcW w:w="625" w:type="dxa"/>
                  <w:vMerge w:val="continue"/>
                  <w:vAlign w:val="center"/>
                </w:tcPr>
                <w:p w14:paraId="64216AED">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08C3D082">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3FBB3C5B">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1</w:t>
                  </w:r>
                </w:p>
              </w:tc>
              <w:tc>
                <w:tcPr>
                  <w:tcW w:w="1003" w:type="dxa"/>
                  <w:vMerge w:val="continue"/>
                  <w:vAlign w:val="center"/>
                </w:tcPr>
                <w:p w14:paraId="3497CB15">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7CF15082">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1</w:t>
                  </w:r>
                </w:p>
              </w:tc>
              <w:tc>
                <w:tcPr>
                  <w:tcW w:w="1156" w:type="dxa"/>
                  <w:vMerge w:val="continue"/>
                  <w:vAlign w:val="center"/>
                </w:tcPr>
                <w:p w14:paraId="0170E8CC">
                  <w:pPr>
                    <w:autoSpaceDE w:val="0"/>
                    <w:autoSpaceDN w:val="0"/>
                    <w:adjustRightInd w:val="0"/>
                    <w:snapToGrid w:val="0"/>
                    <w:jc w:val="center"/>
                    <w:rPr>
                      <w:rFonts w:hint="default" w:ascii="Times New Roman" w:hAnsi="Times New Roman" w:cs="Times New Roman"/>
                      <w:color w:val="auto"/>
                      <w:kern w:val="0"/>
                      <w:sz w:val="18"/>
                      <w:szCs w:val="18"/>
                    </w:rPr>
                  </w:pPr>
                </w:p>
              </w:tc>
            </w:tr>
            <w:tr w14:paraId="6CC73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464644E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803" w:type="dxa"/>
                  <w:vAlign w:val="center"/>
                </w:tcPr>
                <w:p w14:paraId="5034556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污水站</w:t>
                  </w:r>
                </w:p>
              </w:tc>
              <w:tc>
                <w:tcPr>
                  <w:tcW w:w="851" w:type="dxa"/>
                  <w:vAlign w:val="center"/>
                </w:tcPr>
                <w:p w14:paraId="05BEA77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625" w:type="dxa"/>
                  <w:vMerge w:val="continue"/>
                  <w:vAlign w:val="center"/>
                </w:tcPr>
                <w:p w14:paraId="097BFE3E">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0D2A05F6">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6E21F51A">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150</w:t>
                  </w:r>
                </w:p>
              </w:tc>
              <w:tc>
                <w:tcPr>
                  <w:tcW w:w="1003" w:type="dxa"/>
                  <w:vMerge w:val="continue"/>
                  <w:vAlign w:val="center"/>
                </w:tcPr>
                <w:p w14:paraId="33637A5B">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06D4CB1A">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150</w:t>
                  </w:r>
                </w:p>
              </w:tc>
              <w:tc>
                <w:tcPr>
                  <w:tcW w:w="1156" w:type="dxa"/>
                  <w:vMerge w:val="continue"/>
                  <w:vAlign w:val="center"/>
                </w:tcPr>
                <w:p w14:paraId="21B818FA">
                  <w:pPr>
                    <w:autoSpaceDE w:val="0"/>
                    <w:autoSpaceDN w:val="0"/>
                    <w:adjustRightInd w:val="0"/>
                    <w:snapToGrid w:val="0"/>
                    <w:jc w:val="center"/>
                    <w:rPr>
                      <w:rFonts w:hint="default" w:ascii="Times New Roman" w:hAnsi="Times New Roman" w:cs="Times New Roman"/>
                      <w:color w:val="auto"/>
                      <w:kern w:val="0"/>
                      <w:sz w:val="18"/>
                      <w:szCs w:val="18"/>
                    </w:rPr>
                  </w:pPr>
                </w:p>
              </w:tc>
            </w:tr>
            <w:tr w14:paraId="296AF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6ABA099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803" w:type="dxa"/>
                  <w:vAlign w:val="center"/>
                </w:tcPr>
                <w:p w14:paraId="4E0B925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51" w:type="dxa"/>
                  <w:vAlign w:val="center"/>
                </w:tcPr>
                <w:p w14:paraId="1643263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废润滑油</w:t>
                  </w:r>
                </w:p>
              </w:tc>
              <w:tc>
                <w:tcPr>
                  <w:tcW w:w="625" w:type="dxa"/>
                  <w:vMerge w:val="continue"/>
                  <w:vAlign w:val="center"/>
                </w:tcPr>
                <w:p w14:paraId="48BF83AA">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703CBE2D">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63C110F7">
                  <w:pPr>
                    <w:pStyle w:val="127"/>
                    <w:snapToGrid w:val="0"/>
                    <w:spacing w:line="240" w:lineRule="auto"/>
                    <w:ind w:firstLine="0" w:firstLineChars="0"/>
                    <w:contextualSpacing/>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0.5</w:t>
                  </w:r>
                </w:p>
              </w:tc>
              <w:tc>
                <w:tcPr>
                  <w:tcW w:w="1003" w:type="dxa"/>
                  <w:vMerge w:val="continue"/>
                  <w:vAlign w:val="center"/>
                </w:tcPr>
                <w:p w14:paraId="10B65466">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7A03FE1F">
                  <w:pPr>
                    <w:pStyle w:val="127"/>
                    <w:snapToGrid w:val="0"/>
                    <w:spacing w:line="240" w:lineRule="auto"/>
                    <w:ind w:firstLine="0" w:firstLineChars="0"/>
                    <w:contextualSpacing/>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0.5</w:t>
                  </w:r>
                </w:p>
              </w:tc>
              <w:tc>
                <w:tcPr>
                  <w:tcW w:w="1156" w:type="dxa"/>
                  <w:vMerge w:val="continue"/>
                  <w:vAlign w:val="center"/>
                </w:tcPr>
                <w:p w14:paraId="5E7707B8">
                  <w:pPr>
                    <w:autoSpaceDE w:val="0"/>
                    <w:autoSpaceDN w:val="0"/>
                    <w:adjustRightInd w:val="0"/>
                    <w:snapToGrid w:val="0"/>
                    <w:jc w:val="center"/>
                    <w:rPr>
                      <w:rFonts w:hint="default" w:ascii="Times New Roman" w:hAnsi="Times New Roman" w:cs="Times New Roman"/>
                      <w:color w:val="auto"/>
                      <w:kern w:val="0"/>
                      <w:sz w:val="18"/>
                      <w:szCs w:val="18"/>
                    </w:rPr>
                  </w:pPr>
                </w:p>
              </w:tc>
            </w:tr>
            <w:tr w14:paraId="3C8D6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50E0C71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803" w:type="dxa"/>
                  <w:vAlign w:val="center"/>
                </w:tcPr>
                <w:p w14:paraId="7D5758B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851" w:type="dxa"/>
                  <w:vAlign w:val="center"/>
                </w:tcPr>
                <w:p w14:paraId="5317150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废液压油</w:t>
                  </w:r>
                </w:p>
              </w:tc>
              <w:tc>
                <w:tcPr>
                  <w:tcW w:w="625" w:type="dxa"/>
                  <w:vMerge w:val="continue"/>
                  <w:vAlign w:val="center"/>
                </w:tcPr>
                <w:p w14:paraId="1A66A25B">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469C1D86">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4ABC1969">
                  <w:pPr>
                    <w:pStyle w:val="127"/>
                    <w:snapToGrid w:val="0"/>
                    <w:spacing w:line="240" w:lineRule="auto"/>
                    <w:ind w:firstLine="0" w:firstLineChars="0"/>
                    <w:contextualSpacing/>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0.5</w:t>
                  </w:r>
                </w:p>
              </w:tc>
              <w:tc>
                <w:tcPr>
                  <w:tcW w:w="1003" w:type="dxa"/>
                  <w:vMerge w:val="continue"/>
                  <w:vAlign w:val="center"/>
                </w:tcPr>
                <w:p w14:paraId="4C02ADAA">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6C99D95B">
                  <w:pPr>
                    <w:pStyle w:val="127"/>
                    <w:snapToGrid w:val="0"/>
                    <w:spacing w:line="240" w:lineRule="auto"/>
                    <w:ind w:firstLine="0" w:firstLineChars="0"/>
                    <w:contextualSpacing/>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0.5</w:t>
                  </w:r>
                </w:p>
              </w:tc>
              <w:tc>
                <w:tcPr>
                  <w:tcW w:w="1156" w:type="dxa"/>
                  <w:vMerge w:val="continue"/>
                  <w:vAlign w:val="center"/>
                </w:tcPr>
                <w:p w14:paraId="3CC4D242">
                  <w:pPr>
                    <w:autoSpaceDE w:val="0"/>
                    <w:autoSpaceDN w:val="0"/>
                    <w:adjustRightInd w:val="0"/>
                    <w:snapToGrid w:val="0"/>
                    <w:jc w:val="center"/>
                    <w:rPr>
                      <w:rFonts w:hint="default" w:ascii="Times New Roman" w:hAnsi="Times New Roman" w:cs="Times New Roman"/>
                      <w:color w:val="auto"/>
                      <w:kern w:val="0"/>
                      <w:sz w:val="18"/>
                      <w:szCs w:val="18"/>
                    </w:rPr>
                  </w:pPr>
                </w:p>
              </w:tc>
            </w:tr>
            <w:tr w14:paraId="5900F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4197597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803" w:type="dxa"/>
                  <w:vAlign w:val="center"/>
                </w:tcPr>
                <w:p w14:paraId="3CC12B9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酸洗釜</w:t>
                  </w:r>
                </w:p>
              </w:tc>
              <w:tc>
                <w:tcPr>
                  <w:tcW w:w="851" w:type="dxa"/>
                  <w:vAlign w:val="center"/>
                </w:tcPr>
                <w:p w14:paraId="7CE9EA8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w:t>
                  </w:r>
                </w:p>
              </w:tc>
              <w:tc>
                <w:tcPr>
                  <w:tcW w:w="625" w:type="dxa"/>
                  <w:vMerge w:val="continue"/>
                  <w:vAlign w:val="center"/>
                </w:tcPr>
                <w:p w14:paraId="5D242DCA">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3EB34496">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5FD811DA">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928</w:t>
                  </w:r>
                </w:p>
              </w:tc>
              <w:tc>
                <w:tcPr>
                  <w:tcW w:w="1003" w:type="dxa"/>
                  <w:vMerge w:val="continue"/>
                  <w:vAlign w:val="center"/>
                </w:tcPr>
                <w:p w14:paraId="11C12C60">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5155D7A0">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928</w:t>
                  </w:r>
                </w:p>
              </w:tc>
              <w:tc>
                <w:tcPr>
                  <w:tcW w:w="1156" w:type="dxa"/>
                  <w:vMerge w:val="continue"/>
                  <w:vAlign w:val="center"/>
                </w:tcPr>
                <w:p w14:paraId="529252AE">
                  <w:pPr>
                    <w:autoSpaceDE w:val="0"/>
                    <w:autoSpaceDN w:val="0"/>
                    <w:adjustRightInd w:val="0"/>
                    <w:snapToGrid w:val="0"/>
                    <w:jc w:val="center"/>
                    <w:rPr>
                      <w:rFonts w:hint="default" w:ascii="Times New Roman" w:hAnsi="Times New Roman" w:cs="Times New Roman"/>
                      <w:color w:val="auto"/>
                      <w:kern w:val="0"/>
                      <w:sz w:val="18"/>
                      <w:szCs w:val="18"/>
                    </w:rPr>
                  </w:pPr>
                </w:p>
              </w:tc>
            </w:tr>
            <w:tr w14:paraId="785B5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6" w:type="dxa"/>
                  <w:vAlign w:val="center"/>
                </w:tcPr>
                <w:p w14:paraId="684ED6D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803" w:type="dxa"/>
                  <w:vAlign w:val="center"/>
                </w:tcPr>
                <w:p w14:paraId="527EB0B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酸洗釜</w:t>
                  </w:r>
                </w:p>
              </w:tc>
              <w:tc>
                <w:tcPr>
                  <w:tcW w:w="851" w:type="dxa"/>
                  <w:vAlign w:val="center"/>
                </w:tcPr>
                <w:p w14:paraId="37DCC3C2">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废酸渣</w:t>
                  </w:r>
                </w:p>
              </w:tc>
              <w:tc>
                <w:tcPr>
                  <w:tcW w:w="625" w:type="dxa"/>
                  <w:vMerge w:val="continue"/>
                  <w:vAlign w:val="center"/>
                </w:tcPr>
                <w:p w14:paraId="2723C177">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p>
              </w:tc>
              <w:tc>
                <w:tcPr>
                  <w:tcW w:w="700" w:type="dxa"/>
                  <w:vMerge w:val="continue"/>
                  <w:vAlign w:val="center"/>
                </w:tcPr>
                <w:p w14:paraId="3C71D845">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3666A7F7">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20</w:t>
                  </w:r>
                </w:p>
              </w:tc>
              <w:tc>
                <w:tcPr>
                  <w:tcW w:w="1003" w:type="dxa"/>
                  <w:vMerge w:val="continue"/>
                  <w:vAlign w:val="center"/>
                </w:tcPr>
                <w:p w14:paraId="674E7F4D">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1B843540">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20</w:t>
                  </w:r>
                </w:p>
              </w:tc>
              <w:tc>
                <w:tcPr>
                  <w:tcW w:w="1156" w:type="dxa"/>
                  <w:vMerge w:val="continue"/>
                  <w:vAlign w:val="center"/>
                </w:tcPr>
                <w:p w14:paraId="20E8FD73">
                  <w:pPr>
                    <w:autoSpaceDE w:val="0"/>
                    <w:autoSpaceDN w:val="0"/>
                    <w:adjustRightInd w:val="0"/>
                    <w:snapToGrid w:val="0"/>
                    <w:jc w:val="center"/>
                    <w:rPr>
                      <w:rFonts w:hint="default" w:ascii="Times New Roman" w:hAnsi="Times New Roman" w:cs="Times New Roman"/>
                      <w:color w:val="auto"/>
                      <w:kern w:val="0"/>
                      <w:sz w:val="18"/>
                      <w:szCs w:val="18"/>
                    </w:rPr>
                  </w:pPr>
                </w:p>
              </w:tc>
            </w:tr>
            <w:tr w14:paraId="13629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6" w:type="dxa"/>
                  <w:shd w:val="clear" w:color="auto" w:fill="auto"/>
                  <w:vAlign w:val="center"/>
                </w:tcPr>
                <w:p w14:paraId="12B865BF">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污水处理</w:t>
                  </w:r>
                </w:p>
              </w:tc>
              <w:tc>
                <w:tcPr>
                  <w:tcW w:w="803" w:type="dxa"/>
                  <w:shd w:val="clear" w:color="auto" w:fill="auto"/>
                  <w:vAlign w:val="center"/>
                </w:tcPr>
                <w:p w14:paraId="5D22A4E4">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污水站</w:t>
                  </w:r>
                </w:p>
              </w:tc>
              <w:tc>
                <w:tcPr>
                  <w:tcW w:w="851" w:type="dxa"/>
                  <w:shd w:val="clear" w:color="auto" w:fill="auto"/>
                  <w:vAlign w:val="center"/>
                </w:tcPr>
                <w:p w14:paraId="699BC4CB">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再生废液</w:t>
                  </w:r>
                </w:p>
              </w:tc>
              <w:tc>
                <w:tcPr>
                  <w:tcW w:w="625" w:type="dxa"/>
                  <w:vMerge w:val="continue"/>
                  <w:vAlign w:val="center"/>
                </w:tcPr>
                <w:p w14:paraId="36EBBD43">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p>
              </w:tc>
              <w:tc>
                <w:tcPr>
                  <w:tcW w:w="700" w:type="dxa"/>
                  <w:vMerge w:val="continue"/>
                  <w:vAlign w:val="center"/>
                </w:tcPr>
                <w:p w14:paraId="17556F2E">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2B673999">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1003" w:type="dxa"/>
                  <w:vMerge w:val="continue"/>
                  <w:vAlign w:val="center"/>
                </w:tcPr>
                <w:p w14:paraId="719450BF">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12F3A488">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1156" w:type="dxa"/>
                  <w:vMerge w:val="continue"/>
                  <w:vAlign w:val="center"/>
                </w:tcPr>
                <w:p w14:paraId="4ECBAC3B">
                  <w:pPr>
                    <w:autoSpaceDE w:val="0"/>
                    <w:autoSpaceDN w:val="0"/>
                    <w:adjustRightInd w:val="0"/>
                    <w:snapToGrid w:val="0"/>
                    <w:jc w:val="center"/>
                    <w:rPr>
                      <w:rFonts w:hint="default" w:ascii="Times New Roman" w:hAnsi="Times New Roman" w:cs="Times New Roman"/>
                      <w:color w:val="auto"/>
                      <w:kern w:val="0"/>
                      <w:sz w:val="18"/>
                      <w:szCs w:val="18"/>
                    </w:rPr>
                  </w:pPr>
                </w:p>
              </w:tc>
            </w:tr>
            <w:tr w14:paraId="39B13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6D34EDF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废气处理</w:t>
                  </w:r>
                </w:p>
              </w:tc>
              <w:tc>
                <w:tcPr>
                  <w:tcW w:w="803" w:type="dxa"/>
                  <w:vAlign w:val="center"/>
                </w:tcPr>
                <w:p w14:paraId="532D9952">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布袋除尘</w:t>
                  </w:r>
                </w:p>
              </w:tc>
              <w:tc>
                <w:tcPr>
                  <w:tcW w:w="851" w:type="dxa"/>
                  <w:vAlign w:val="center"/>
                </w:tcPr>
                <w:p w14:paraId="73A76A15">
                  <w:pPr>
                    <w:pStyle w:val="125"/>
                    <w:spacing w:line="240" w:lineRule="auto"/>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收集的粉尘及布袋</w:t>
                  </w:r>
                </w:p>
              </w:tc>
              <w:tc>
                <w:tcPr>
                  <w:tcW w:w="625" w:type="dxa"/>
                  <w:vMerge w:val="restart"/>
                  <w:vAlign w:val="center"/>
                </w:tcPr>
                <w:p w14:paraId="1C34ED6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一般工业固体废物</w:t>
                  </w:r>
                </w:p>
              </w:tc>
              <w:tc>
                <w:tcPr>
                  <w:tcW w:w="700" w:type="dxa"/>
                  <w:vMerge w:val="restart"/>
                  <w:vAlign w:val="center"/>
                </w:tcPr>
                <w:p w14:paraId="278B54D6">
                  <w:pPr>
                    <w:autoSpaceDE w:val="0"/>
                    <w:autoSpaceDN w:val="0"/>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类比</w:t>
                  </w:r>
                </w:p>
              </w:tc>
              <w:tc>
                <w:tcPr>
                  <w:tcW w:w="1006" w:type="dxa"/>
                  <w:shd w:val="clear" w:color="auto" w:fill="auto"/>
                  <w:vAlign w:val="center"/>
                </w:tcPr>
                <w:p w14:paraId="55492FB0">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0.59</w:t>
                  </w:r>
                </w:p>
              </w:tc>
              <w:tc>
                <w:tcPr>
                  <w:tcW w:w="1003" w:type="dxa"/>
                  <w:vMerge w:val="restart"/>
                  <w:vAlign w:val="center"/>
                </w:tcPr>
                <w:p w14:paraId="7AA429A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外售综合利用</w:t>
                  </w:r>
                </w:p>
              </w:tc>
              <w:tc>
                <w:tcPr>
                  <w:tcW w:w="1027" w:type="dxa"/>
                  <w:shd w:val="clear" w:color="auto" w:fill="auto"/>
                  <w:vAlign w:val="center"/>
                </w:tcPr>
                <w:p w14:paraId="397882B0">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0.59</w:t>
                  </w:r>
                </w:p>
              </w:tc>
              <w:tc>
                <w:tcPr>
                  <w:tcW w:w="1156" w:type="dxa"/>
                  <w:vMerge w:val="restart"/>
                  <w:vAlign w:val="center"/>
                </w:tcPr>
                <w:p w14:paraId="008DD004">
                  <w:pPr>
                    <w:autoSpaceDE w:val="0"/>
                    <w:autoSpaceDN w:val="0"/>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外售综合利用</w:t>
                  </w:r>
                </w:p>
              </w:tc>
            </w:tr>
            <w:tr w14:paraId="116EB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3A893AC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803" w:type="dxa"/>
                  <w:vAlign w:val="center"/>
                </w:tcPr>
                <w:p w14:paraId="662D59A9">
                  <w:pPr>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纯水制备</w:t>
                  </w:r>
                </w:p>
              </w:tc>
              <w:tc>
                <w:tcPr>
                  <w:tcW w:w="851" w:type="dxa"/>
                  <w:vAlign w:val="center"/>
                </w:tcPr>
                <w:p w14:paraId="4DA0D18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废膜</w:t>
                  </w:r>
                </w:p>
              </w:tc>
              <w:tc>
                <w:tcPr>
                  <w:tcW w:w="625" w:type="dxa"/>
                  <w:vMerge w:val="continue"/>
                  <w:vAlign w:val="center"/>
                </w:tcPr>
                <w:p w14:paraId="7B39A5E2">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5D5C4260">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2072E452">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0.05</w:t>
                  </w:r>
                </w:p>
              </w:tc>
              <w:tc>
                <w:tcPr>
                  <w:tcW w:w="1003" w:type="dxa"/>
                  <w:vMerge w:val="continue"/>
                  <w:vAlign w:val="center"/>
                </w:tcPr>
                <w:p w14:paraId="399F712B">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3D6381BB">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0.05</w:t>
                  </w:r>
                </w:p>
              </w:tc>
              <w:tc>
                <w:tcPr>
                  <w:tcW w:w="1156" w:type="dxa"/>
                  <w:vMerge w:val="continue"/>
                  <w:vAlign w:val="center"/>
                </w:tcPr>
                <w:p w14:paraId="591C14CE">
                  <w:pPr>
                    <w:autoSpaceDE w:val="0"/>
                    <w:autoSpaceDN w:val="0"/>
                    <w:adjustRightInd w:val="0"/>
                    <w:snapToGrid w:val="0"/>
                    <w:jc w:val="center"/>
                    <w:rPr>
                      <w:rFonts w:hint="default" w:ascii="Times New Roman" w:hAnsi="Times New Roman" w:cs="Times New Roman"/>
                      <w:color w:val="auto"/>
                      <w:kern w:val="0"/>
                      <w:sz w:val="18"/>
                      <w:szCs w:val="18"/>
                    </w:rPr>
                  </w:pPr>
                </w:p>
              </w:tc>
            </w:tr>
            <w:tr w14:paraId="572DB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256C845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803" w:type="dxa"/>
                  <w:vAlign w:val="center"/>
                </w:tcPr>
                <w:p w14:paraId="71F506EC">
                  <w:pPr>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纯水制备</w:t>
                  </w:r>
                </w:p>
              </w:tc>
              <w:tc>
                <w:tcPr>
                  <w:tcW w:w="851" w:type="dxa"/>
                  <w:vAlign w:val="center"/>
                </w:tcPr>
                <w:p w14:paraId="4B5E0FB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废石英砂</w:t>
                  </w:r>
                </w:p>
              </w:tc>
              <w:tc>
                <w:tcPr>
                  <w:tcW w:w="625" w:type="dxa"/>
                  <w:vMerge w:val="continue"/>
                  <w:vAlign w:val="center"/>
                </w:tcPr>
                <w:p w14:paraId="4A87A702">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20B9EC96">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0799F31D">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0.2</w:t>
                  </w:r>
                </w:p>
              </w:tc>
              <w:tc>
                <w:tcPr>
                  <w:tcW w:w="1003" w:type="dxa"/>
                  <w:vMerge w:val="continue"/>
                  <w:vAlign w:val="center"/>
                </w:tcPr>
                <w:p w14:paraId="68897946">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2AAB1D96">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0.2</w:t>
                  </w:r>
                </w:p>
              </w:tc>
              <w:tc>
                <w:tcPr>
                  <w:tcW w:w="1156" w:type="dxa"/>
                  <w:vMerge w:val="continue"/>
                  <w:vAlign w:val="center"/>
                </w:tcPr>
                <w:p w14:paraId="4AB87C6A">
                  <w:pPr>
                    <w:autoSpaceDE w:val="0"/>
                    <w:autoSpaceDN w:val="0"/>
                    <w:adjustRightInd w:val="0"/>
                    <w:snapToGrid w:val="0"/>
                    <w:jc w:val="center"/>
                    <w:rPr>
                      <w:rFonts w:hint="default" w:ascii="Times New Roman" w:hAnsi="Times New Roman" w:cs="Times New Roman"/>
                      <w:color w:val="auto"/>
                      <w:kern w:val="0"/>
                      <w:sz w:val="18"/>
                      <w:szCs w:val="18"/>
                    </w:rPr>
                  </w:pPr>
                </w:p>
              </w:tc>
            </w:tr>
            <w:tr w14:paraId="218D1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688FFD2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803" w:type="dxa"/>
                  <w:vAlign w:val="center"/>
                </w:tcPr>
                <w:p w14:paraId="6985ECF9">
                  <w:pPr>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纯水制备</w:t>
                  </w:r>
                </w:p>
              </w:tc>
              <w:tc>
                <w:tcPr>
                  <w:tcW w:w="851" w:type="dxa"/>
                  <w:vAlign w:val="center"/>
                </w:tcPr>
                <w:p w14:paraId="5A939A7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废活性炭</w:t>
                  </w:r>
                </w:p>
              </w:tc>
              <w:tc>
                <w:tcPr>
                  <w:tcW w:w="625" w:type="dxa"/>
                  <w:vMerge w:val="continue"/>
                  <w:vAlign w:val="center"/>
                </w:tcPr>
                <w:p w14:paraId="25B46BBD">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5AC8A292">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02446450">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0.1</w:t>
                  </w:r>
                </w:p>
              </w:tc>
              <w:tc>
                <w:tcPr>
                  <w:tcW w:w="1003" w:type="dxa"/>
                  <w:vMerge w:val="continue"/>
                  <w:vAlign w:val="center"/>
                </w:tcPr>
                <w:p w14:paraId="51797F9E">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5B95EB59">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0.1</w:t>
                  </w:r>
                </w:p>
              </w:tc>
              <w:tc>
                <w:tcPr>
                  <w:tcW w:w="1156" w:type="dxa"/>
                  <w:vMerge w:val="continue"/>
                  <w:vAlign w:val="center"/>
                </w:tcPr>
                <w:p w14:paraId="4D63901C">
                  <w:pPr>
                    <w:autoSpaceDE w:val="0"/>
                    <w:autoSpaceDN w:val="0"/>
                    <w:adjustRightInd w:val="0"/>
                    <w:snapToGrid w:val="0"/>
                    <w:jc w:val="center"/>
                    <w:rPr>
                      <w:rFonts w:hint="default" w:ascii="Times New Roman" w:hAnsi="Times New Roman" w:cs="Times New Roman"/>
                      <w:color w:val="auto"/>
                      <w:kern w:val="0"/>
                      <w:sz w:val="18"/>
                      <w:szCs w:val="18"/>
                    </w:rPr>
                  </w:pPr>
                </w:p>
              </w:tc>
            </w:tr>
            <w:tr w14:paraId="763D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3DB03D0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磁选</w:t>
                  </w:r>
                </w:p>
              </w:tc>
              <w:tc>
                <w:tcPr>
                  <w:tcW w:w="803" w:type="dxa"/>
                  <w:vAlign w:val="center"/>
                </w:tcPr>
                <w:p w14:paraId="1AB79CE5">
                  <w:pPr>
                    <w:widowControl/>
                    <w:jc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rPr>
                    <w:t>磁选</w:t>
                  </w:r>
                  <w:r>
                    <w:rPr>
                      <w:rFonts w:hint="eastAsia" w:cs="Times New Roman"/>
                      <w:color w:val="auto"/>
                      <w:kern w:val="0"/>
                      <w:sz w:val="18"/>
                      <w:szCs w:val="18"/>
                      <w:lang w:val="en-US" w:eastAsia="zh-CN"/>
                    </w:rPr>
                    <w:t>机</w:t>
                  </w:r>
                </w:p>
              </w:tc>
              <w:tc>
                <w:tcPr>
                  <w:tcW w:w="851" w:type="dxa"/>
                  <w:vAlign w:val="center"/>
                </w:tcPr>
                <w:p w14:paraId="0890379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磁性物料</w:t>
                  </w:r>
                </w:p>
              </w:tc>
              <w:tc>
                <w:tcPr>
                  <w:tcW w:w="625" w:type="dxa"/>
                  <w:vMerge w:val="continue"/>
                  <w:vAlign w:val="center"/>
                </w:tcPr>
                <w:p w14:paraId="088486C0">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3D6588F5">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76D512C8">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0.4</w:t>
                  </w:r>
                </w:p>
              </w:tc>
              <w:tc>
                <w:tcPr>
                  <w:tcW w:w="1003" w:type="dxa"/>
                  <w:vMerge w:val="continue"/>
                  <w:vAlign w:val="center"/>
                </w:tcPr>
                <w:p w14:paraId="22C3B22D">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12346076">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0.4</w:t>
                  </w:r>
                </w:p>
              </w:tc>
              <w:tc>
                <w:tcPr>
                  <w:tcW w:w="1156" w:type="dxa"/>
                  <w:vMerge w:val="continue"/>
                  <w:vAlign w:val="center"/>
                </w:tcPr>
                <w:p w14:paraId="6113AE37">
                  <w:pPr>
                    <w:autoSpaceDE w:val="0"/>
                    <w:autoSpaceDN w:val="0"/>
                    <w:adjustRightInd w:val="0"/>
                    <w:snapToGrid w:val="0"/>
                    <w:jc w:val="center"/>
                    <w:rPr>
                      <w:rFonts w:hint="default" w:ascii="Times New Roman" w:hAnsi="Times New Roman" w:cs="Times New Roman"/>
                      <w:color w:val="auto"/>
                      <w:kern w:val="0"/>
                      <w:sz w:val="18"/>
                      <w:szCs w:val="18"/>
                    </w:rPr>
                  </w:pPr>
                </w:p>
              </w:tc>
            </w:tr>
            <w:tr w14:paraId="16178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4018F63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浮洗</w:t>
                  </w:r>
                </w:p>
              </w:tc>
              <w:tc>
                <w:tcPr>
                  <w:tcW w:w="803" w:type="dxa"/>
                  <w:vAlign w:val="center"/>
                </w:tcPr>
                <w:p w14:paraId="13A8BDD6">
                  <w:pPr>
                    <w:widowControl/>
                    <w:jc w:val="center"/>
                    <w:rPr>
                      <w:rFonts w:hint="eastAsia"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rPr>
                    <w:t>浮洗</w:t>
                  </w:r>
                  <w:r>
                    <w:rPr>
                      <w:rFonts w:hint="eastAsia" w:cs="Times New Roman"/>
                      <w:color w:val="auto"/>
                      <w:kern w:val="0"/>
                      <w:sz w:val="18"/>
                      <w:szCs w:val="18"/>
                      <w:lang w:val="en-US" w:eastAsia="zh-CN"/>
                    </w:rPr>
                    <w:t>机</w:t>
                  </w:r>
                </w:p>
              </w:tc>
              <w:tc>
                <w:tcPr>
                  <w:tcW w:w="851" w:type="dxa"/>
                  <w:vAlign w:val="center"/>
                </w:tcPr>
                <w:p w14:paraId="7351860F">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625" w:type="dxa"/>
                  <w:vMerge w:val="continue"/>
                  <w:vAlign w:val="center"/>
                </w:tcPr>
                <w:p w14:paraId="2AB0184F">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6E21134F">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49BD4260">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20</w:t>
                  </w:r>
                </w:p>
              </w:tc>
              <w:tc>
                <w:tcPr>
                  <w:tcW w:w="1003" w:type="dxa"/>
                  <w:vMerge w:val="continue"/>
                  <w:vAlign w:val="center"/>
                </w:tcPr>
                <w:p w14:paraId="20920812">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7CC89467">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20</w:t>
                  </w:r>
                </w:p>
              </w:tc>
              <w:tc>
                <w:tcPr>
                  <w:tcW w:w="1156" w:type="dxa"/>
                  <w:vMerge w:val="continue"/>
                  <w:vAlign w:val="center"/>
                </w:tcPr>
                <w:p w14:paraId="4872C133">
                  <w:pPr>
                    <w:autoSpaceDE w:val="0"/>
                    <w:autoSpaceDN w:val="0"/>
                    <w:adjustRightInd w:val="0"/>
                    <w:snapToGrid w:val="0"/>
                    <w:jc w:val="center"/>
                    <w:rPr>
                      <w:rFonts w:hint="default" w:ascii="Times New Roman" w:hAnsi="Times New Roman" w:cs="Times New Roman"/>
                      <w:color w:val="auto"/>
                      <w:kern w:val="0"/>
                      <w:sz w:val="18"/>
                      <w:szCs w:val="18"/>
                    </w:rPr>
                  </w:pPr>
                </w:p>
              </w:tc>
            </w:tr>
            <w:tr w14:paraId="1F4B8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0554D73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水淬</w:t>
                  </w:r>
                </w:p>
              </w:tc>
              <w:tc>
                <w:tcPr>
                  <w:tcW w:w="803" w:type="dxa"/>
                  <w:vAlign w:val="center"/>
                </w:tcPr>
                <w:p w14:paraId="5E62D1F6">
                  <w:pPr>
                    <w:adjustRightInd w:val="0"/>
                    <w:snapToGrid w:val="0"/>
                    <w:jc w:val="center"/>
                    <w:rPr>
                      <w:rFonts w:hint="eastAsia"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水淬</w:t>
                  </w:r>
                  <w:r>
                    <w:rPr>
                      <w:rFonts w:hint="eastAsia" w:cs="Times New Roman"/>
                      <w:color w:val="auto"/>
                      <w:sz w:val="18"/>
                      <w:szCs w:val="18"/>
                      <w:lang w:val="en-US" w:eastAsia="zh-CN"/>
                    </w:rPr>
                    <w:t>槽</w:t>
                  </w:r>
                </w:p>
              </w:tc>
              <w:tc>
                <w:tcPr>
                  <w:tcW w:w="851" w:type="dxa"/>
                  <w:vAlign w:val="center"/>
                </w:tcPr>
                <w:p w14:paraId="714FF8F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废渣</w:t>
                  </w:r>
                </w:p>
              </w:tc>
              <w:tc>
                <w:tcPr>
                  <w:tcW w:w="625" w:type="dxa"/>
                  <w:vMerge w:val="continue"/>
                  <w:vAlign w:val="center"/>
                </w:tcPr>
                <w:p w14:paraId="0494CEE5">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16CCD789">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225C74F7">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70</w:t>
                  </w:r>
                </w:p>
              </w:tc>
              <w:tc>
                <w:tcPr>
                  <w:tcW w:w="1003" w:type="dxa"/>
                  <w:vMerge w:val="continue"/>
                  <w:vAlign w:val="center"/>
                </w:tcPr>
                <w:p w14:paraId="0049AFA0">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011D263E">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70</w:t>
                  </w:r>
                </w:p>
              </w:tc>
              <w:tc>
                <w:tcPr>
                  <w:tcW w:w="1156" w:type="dxa"/>
                  <w:vMerge w:val="continue"/>
                  <w:vAlign w:val="center"/>
                </w:tcPr>
                <w:p w14:paraId="76F336D7">
                  <w:pPr>
                    <w:autoSpaceDE w:val="0"/>
                    <w:autoSpaceDN w:val="0"/>
                    <w:adjustRightInd w:val="0"/>
                    <w:snapToGrid w:val="0"/>
                    <w:jc w:val="center"/>
                    <w:rPr>
                      <w:rFonts w:hint="default" w:ascii="Times New Roman" w:hAnsi="Times New Roman" w:cs="Times New Roman"/>
                      <w:color w:val="auto"/>
                      <w:kern w:val="0"/>
                      <w:sz w:val="18"/>
                      <w:szCs w:val="18"/>
                    </w:rPr>
                  </w:pPr>
                </w:p>
              </w:tc>
            </w:tr>
            <w:tr w14:paraId="1495D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120B6996">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过滤</w:t>
                  </w:r>
                </w:p>
              </w:tc>
              <w:tc>
                <w:tcPr>
                  <w:tcW w:w="803" w:type="dxa"/>
                  <w:vAlign w:val="center"/>
                </w:tcPr>
                <w:p w14:paraId="2A88AD8A">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车间</w:t>
                  </w:r>
                </w:p>
              </w:tc>
              <w:tc>
                <w:tcPr>
                  <w:tcW w:w="851" w:type="dxa"/>
                  <w:vAlign w:val="center"/>
                </w:tcPr>
                <w:p w14:paraId="342E7E3B">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废滤材</w:t>
                  </w:r>
                </w:p>
              </w:tc>
              <w:tc>
                <w:tcPr>
                  <w:tcW w:w="625" w:type="dxa"/>
                  <w:vMerge w:val="continue"/>
                  <w:vAlign w:val="center"/>
                </w:tcPr>
                <w:p w14:paraId="7AB6EC14">
                  <w:pPr>
                    <w:adjustRightInd w:val="0"/>
                    <w:snapToGrid w:val="0"/>
                    <w:jc w:val="center"/>
                    <w:rPr>
                      <w:rFonts w:hint="default" w:ascii="Times New Roman" w:hAnsi="Times New Roman" w:cs="Times New Roman"/>
                      <w:color w:val="auto"/>
                      <w:sz w:val="18"/>
                      <w:szCs w:val="18"/>
                    </w:rPr>
                  </w:pPr>
                </w:p>
              </w:tc>
              <w:tc>
                <w:tcPr>
                  <w:tcW w:w="700" w:type="dxa"/>
                  <w:vMerge w:val="continue"/>
                  <w:vAlign w:val="center"/>
                </w:tcPr>
                <w:p w14:paraId="4324374F">
                  <w:pPr>
                    <w:autoSpaceDE w:val="0"/>
                    <w:autoSpaceDN w:val="0"/>
                    <w:adjustRightInd w:val="0"/>
                    <w:snapToGrid w:val="0"/>
                    <w:jc w:val="center"/>
                    <w:rPr>
                      <w:rFonts w:hint="default" w:ascii="Times New Roman" w:hAnsi="Times New Roman" w:cs="Times New Roman"/>
                      <w:color w:val="auto"/>
                      <w:sz w:val="18"/>
                      <w:szCs w:val="18"/>
                    </w:rPr>
                  </w:pPr>
                </w:p>
              </w:tc>
              <w:tc>
                <w:tcPr>
                  <w:tcW w:w="1006" w:type="dxa"/>
                  <w:shd w:val="clear" w:color="auto" w:fill="auto"/>
                  <w:vAlign w:val="center"/>
                </w:tcPr>
                <w:p w14:paraId="582A9077">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1003" w:type="dxa"/>
                  <w:vMerge w:val="continue"/>
                  <w:vAlign w:val="center"/>
                </w:tcPr>
                <w:p w14:paraId="1EF89E20">
                  <w:pPr>
                    <w:autoSpaceDE w:val="0"/>
                    <w:autoSpaceDN w:val="0"/>
                    <w:adjustRightInd w:val="0"/>
                    <w:snapToGrid w:val="0"/>
                    <w:jc w:val="center"/>
                    <w:rPr>
                      <w:rFonts w:hint="default" w:ascii="Times New Roman" w:hAnsi="Times New Roman" w:cs="Times New Roman"/>
                      <w:color w:val="auto"/>
                      <w:sz w:val="18"/>
                      <w:szCs w:val="18"/>
                    </w:rPr>
                  </w:pPr>
                </w:p>
              </w:tc>
              <w:tc>
                <w:tcPr>
                  <w:tcW w:w="1027" w:type="dxa"/>
                  <w:shd w:val="clear" w:color="auto" w:fill="auto"/>
                  <w:vAlign w:val="center"/>
                </w:tcPr>
                <w:p w14:paraId="730B9AD5">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1156" w:type="dxa"/>
                  <w:vMerge w:val="continue"/>
                  <w:vAlign w:val="center"/>
                </w:tcPr>
                <w:p w14:paraId="7F86BEA6">
                  <w:pPr>
                    <w:autoSpaceDE w:val="0"/>
                    <w:autoSpaceDN w:val="0"/>
                    <w:adjustRightInd w:val="0"/>
                    <w:snapToGrid w:val="0"/>
                    <w:jc w:val="center"/>
                    <w:rPr>
                      <w:rFonts w:hint="default" w:ascii="Times New Roman" w:hAnsi="Times New Roman" w:cs="Times New Roman"/>
                      <w:color w:val="auto"/>
                      <w:kern w:val="0"/>
                      <w:sz w:val="18"/>
                      <w:szCs w:val="18"/>
                    </w:rPr>
                  </w:pPr>
                </w:p>
              </w:tc>
            </w:tr>
            <w:tr w14:paraId="3FA6A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Align w:val="center"/>
                </w:tcPr>
                <w:p w14:paraId="2E802D40">
                  <w:pPr>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803" w:type="dxa"/>
                  <w:vAlign w:val="center"/>
                </w:tcPr>
                <w:p w14:paraId="13358980">
                  <w:pPr>
                    <w:widowControl/>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851" w:type="dxa"/>
                  <w:vAlign w:val="center"/>
                </w:tcPr>
                <w:p w14:paraId="60A5DA1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生活垃圾</w:t>
                  </w:r>
                </w:p>
              </w:tc>
              <w:tc>
                <w:tcPr>
                  <w:tcW w:w="625" w:type="dxa"/>
                  <w:vAlign w:val="center"/>
                </w:tcPr>
                <w:p w14:paraId="32C9AD8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00" w:type="dxa"/>
                  <w:vAlign w:val="center"/>
                </w:tcPr>
                <w:p w14:paraId="61DA1B95">
                  <w:pPr>
                    <w:autoSpaceDE w:val="0"/>
                    <w:autoSpaceDN w:val="0"/>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006" w:type="dxa"/>
                  <w:shd w:val="clear" w:color="auto" w:fill="auto"/>
                  <w:vAlign w:val="center"/>
                </w:tcPr>
                <w:p w14:paraId="745BF99A">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eastAsia="zh-CN"/>
                    </w:rPr>
                    <w:t>5.85</w:t>
                  </w:r>
                </w:p>
              </w:tc>
              <w:tc>
                <w:tcPr>
                  <w:tcW w:w="1003" w:type="dxa"/>
                  <w:vAlign w:val="center"/>
                </w:tcPr>
                <w:p w14:paraId="50CB0B8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环卫部门清运</w:t>
                  </w:r>
                </w:p>
              </w:tc>
              <w:tc>
                <w:tcPr>
                  <w:tcW w:w="1027" w:type="dxa"/>
                  <w:shd w:val="clear" w:color="auto" w:fill="auto"/>
                  <w:vAlign w:val="center"/>
                </w:tcPr>
                <w:p w14:paraId="7D13D695">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eastAsia="zh-CN"/>
                    </w:rPr>
                    <w:t>5.85</w:t>
                  </w:r>
                </w:p>
              </w:tc>
              <w:tc>
                <w:tcPr>
                  <w:tcW w:w="1156" w:type="dxa"/>
                  <w:vAlign w:val="center"/>
                </w:tcPr>
                <w:p w14:paraId="072196A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环卫部门清运</w:t>
                  </w:r>
                </w:p>
              </w:tc>
            </w:tr>
          </w:tbl>
          <w:p w14:paraId="45BED37C">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2、固体废物环境影响分析</w:t>
            </w:r>
          </w:p>
          <w:p w14:paraId="0C2A6BDE">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本项目固体废物主要为危险固废及一般工业固体废物。本项目固体废物处置方式详见下表。</w:t>
            </w:r>
          </w:p>
          <w:p w14:paraId="67913E49">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表4.2.8-5  本项目固废处置方式评价表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16"/>
              <w:gridCol w:w="1291"/>
              <w:gridCol w:w="1285"/>
              <w:gridCol w:w="902"/>
              <w:gridCol w:w="1671"/>
              <w:gridCol w:w="1671"/>
            </w:tblGrid>
            <w:tr w14:paraId="013F8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18500FD8">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固体废物名称</w:t>
                  </w:r>
                </w:p>
              </w:tc>
              <w:tc>
                <w:tcPr>
                  <w:tcW w:w="1291" w:type="dxa"/>
                  <w:vAlign w:val="center"/>
                </w:tcPr>
                <w:p w14:paraId="37CC29A8">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产生工序</w:t>
                  </w:r>
                </w:p>
              </w:tc>
              <w:tc>
                <w:tcPr>
                  <w:tcW w:w="1285" w:type="dxa"/>
                  <w:vAlign w:val="center"/>
                </w:tcPr>
                <w:p w14:paraId="40D866F7">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属性</w:t>
                  </w:r>
                </w:p>
              </w:tc>
              <w:tc>
                <w:tcPr>
                  <w:tcW w:w="902" w:type="dxa"/>
                  <w:vAlign w:val="center"/>
                </w:tcPr>
                <w:p w14:paraId="10AA22BF">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color w:val="auto"/>
                      <w:kern w:val="2"/>
                      <w:sz w:val="18"/>
                      <w:szCs w:val="18"/>
                    </w:rPr>
                    <w:t>预测产生量(t/a)</w:t>
                  </w:r>
                </w:p>
              </w:tc>
              <w:tc>
                <w:tcPr>
                  <w:tcW w:w="1671" w:type="dxa"/>
                  <w:vAlign w:val="center"/>
                </w:tcPr>
                <w:p w14:paraId="2D3EB95D">
                  <w:pPr>
                    <w:pStyle w:val="126"/>
                    <w:widowControl w:val="0"/>
                    <w:pBdr>
                      <w:bottom w:val="none" w:color="auto" w:sz="0" w:space="0"/>
                      <w:right w:val="none" w:color="auto" w:sz="0" w:space="0"/>
                    </w:pBdr>
                    <w:adjustRightInd w:val="0"/>
                    <w:snapToGrid w:val="0"/>
                    <w:spacing w:before="0" w:beforeAutospacing="0" w:after="0" w:afterAutospacing="0"/>
                    <w:rPr>
                      <w:rFonts w:hint="default" w:ascii="Times New Roman" w:hAnsi="Times New Roman" w:cs="Times New Roman"/>
                      <w:b/>
                      <w:color w:val="auto"/>
                      <w:kern w:val="2"/>
                      <w:sz w:val="18"/>
                      <w:szCs w:val="18"/>
                    </w:rPr>
                  </w:pPr>
                  <w:r>
                    <w:rPr>
                      <w:rFonts w:hint="default" w:ascii="Times New Roman" w:hAnsi="Times New Roman" w:cs="Times New Roman"/>
                      <w:b/>
                      <w:bCs/>
                      <w:color w:val="auto"/>
                      <w:sz w:val="18"/>
                      <w:szCs w:val="18"/>
                    </w:rPr>
                    <w:t>处理方式</w:t>
                  </w:r>
                </w:p>
              </w:tc>
              <w:tc>
                <w:tcPr>
                  <w:tcW w:w="1671" w:type="dxa"/>
                  <w:vAlign w:val="center"/>
                </w:tcPr>
                <w:p w14:paraId="22B29489">
                  <w:pPr>
                    <w:autoSpaceDE w:val="0"/>
                    <w:autoSpaceDN w:val="0"/>
                    <w:adjustRightInd w:val="0"/>
                    <w:snapToGrid w:val="0"/>
                    <w:jc w:val="center"/>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是否符合环保要求</w:t>
                  </w:r>
                </w:p>
              </w:tc>
            </w:tr>
            <w:tr w14:paraId="61483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06C0745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废包装材料</w:t>
                  </w:r>
                </w:p>
              </w:tc>
              <w:tc>
                <w:tcPr>
                  <w:tcW w:w="1291" w:type="dxa"/>
                  <w:vAlign w:val="center"/>
                </w:tcPr>
                <w:p w14:paraId="7737E22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1285" w:type="dxa"/>
                  <w:vMerge w:val="restart"/>
                  <w:vAlign w:val="center"/>
                </w:tcPr>
                <w:p w14:paraId="6569905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危险固废</w:t>
                  </w:r>
                </w:p>
              </w:tc>
              <w:tc>
                <w:tcPr>
                  <w:tcW w:w="902" w:type="dxa"/>
                  <w:shd w:val="clear" w:color="auto" w:fill="auto"/>
                  <w:vAlign w:val="center"/>
                </w:tcPr>
                <w:p w14:paraId="75C6E524">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0.1</w:t>
                  </w:r>
                </w:p>
              </w:tc>
              <w:tc>
                <w:tcPr>
                  <w:tcW w:w="1671" w:type="dxa"/>
                  <w:vMerge w:val="restart"/>
                  <w:vAlign w:val="center"/>
                </w:tcPr>
                <w:p w14:paraId="4994707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委托有资质单位处置</w:t>
                  </w:r>
                </w:p>
              </w:tc>
              <w:tc>
                <w:tcPr>
                  <w:tcW w:w="1671" w:type="dxa"/>
                  <w:vAlign w:val="center"/>
                </w:tcPr>
                <w:p w14:paraId="73F8A1A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3B5E2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7AA1A2A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废油桶</w:t>
                  </w:r>
                </w:p>
              </w:tc>
              <w:tc>
                <w:tcPr>
                  <w:tcW w:w="1291" w:type="dxa"/>
                  <w:vAlign w:val="center"/>
                </w:tcPr>
                <w:p w14:paraId="72FEDAE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原辅材料拆包</w:t>
                  </w:r>
                </w:p>
              </w:tc>
              <w:tc>
                <w:tcPr>
                  <w:tcW w:w="1285" w:type="dxa"/>
                  <w:vMerge w:val="continue"/>
                  <w:vAlign w:val="center"/>
                </w:tcPr>
                <w:p w14:paraId="20878BC5">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0B8E7346">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0.05</w:t>
                  </w:r>
                </w:p>
              </w:tc>
              <w:tc>
                <w:tcPr>
                  <w:tcW w:w="1671" w:type="dxa"/>
                  <w:vMerge w:val="continue"/>
                  <w:vAlign w:val="center"/>
                </w:tcPr>
                <w:p w14:paraId="6FAE020D">
                  <w:pPr>
                    <w:adjustRightInd w:val="0"/>
                    <w:snapToGrid w:val="0"/>
                    <w:jc w:val="center"/>
                    <w:rPr>
                      <w:rFonts w:hint="default" w:ascii="Times New Roman" w:hAnsi="Times New Roman" w:cs="Times New Roman"/>
                      <w:color w:val="auto"/>
                      <w:sz w:val="18"/>
                      <w:szCs w:val="18"/>
                    </w:rPr>
                  </w:pPr>
                </w:p>
              </w:tc>
              <w:tc>
                <w:tcPr>
                  <w:tcW w:w="1671" w:type="dxa"/>
                  <w:vAlign w:val="center"/>
                </w:tcPr>
                <w:p w14:paraId="7794664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481CF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543FD7B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过滤材料</w:t>
                  </w:r>
                </w:p>
              </w:tc>
              <w:tc>
                <w:tcPr>
                  <w:tcW w:w="1291" w:type="dxa"/>
                  <w:vAlign w:val="center"/>
                </w:tcPr>
                <w:p w14:paraId="321B603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1285" w:type="dxa"/>
                  <w:vMerge w:val="continue"/>
                  <w:vAlign w:val="center"/>
                </w:tcPr>
                <w:p w14:paraId="5BCBCE40">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26EC826C">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1</w:t>
                  </w:r>
                </w:p>
              </w:tc>
              <w:tc>
                <w:tcPr>
                  <w:tcW w:w="1671" w:type="dxa"/>
                  <w:vMerge w:val="continue"/>
                  <w:vAlign w:val="center"/>
                </w:tcPr>
                <w:p w14:paraId="38AC1825">
                  <w:pPr>
                    <w:adjustRightInd w:val="0"/>
                    <w:snapToGrid w:val="0"/>
                    <w:jc w:val="center"/>
                    <w:rPr>
                      <w:rFonts w:hint="default" w:ascii="Times New Roman" w:hAnsi="Times New Roman" w:cs="Times New Roman"/>
                      <w:color w:val="auto"/>
                      <w:sz w:val="18"/>
                      <w:szCs w:val="18"/>
                    </w:rPr>
                  </w:pPr>
                </w:p>
              </w:tc>
              <w:tc>
                <w:tcPr>
                  <w:tcW w:w="1671" w:type="dxa"/>
                  <w:vAlign w:val="center"/>
                </w:tcPr>
                <w:p w14:paraId="5A767A6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3E612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71120164">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1291" w:type="dxa"/>
                  <w:vAlign w:val="center"/>
                </w:tcPr>
                <w:p w14:paraId="1D3FA62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w:t>
                  </w:r>
                </w:p>
              </w:tc>
              <w:tc>
                <w:tcPr>
                  <w:tcW w:w="1285" w:type="dxa"/>
                  <w:vMerge w:val="continue"/>
                  <w:vAlign w:val="center"/>
                </w:tcPr>
                <w:p w14:paraId="4826C56B">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625B7F74">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150</w:t>
                  </w:r>
                </w:p>
              </w:tc>
              <w:tc>
                <w:tcPr>
                  <w:tcW w:w="1671" w:type="dxa"/>
                  <w:vMerge w:val="continue"/>
                  <w:vAlign w:val="center"/>
                </w:tcPr>
                <w:p w14:paraId="17CCB098">
                  <w:pPr>
                    <w:adjustRightInd w:val="0"/>
                    <w:snapToGrid w:val="0"/>
                    <w:jc w:val="center"/>
                    <w:rPr>
                      <w:rFonts w:hint="default" w:ascii="Times New Roman" w:hAnsi="Times New Roman" w:cs="Times New Roman"/>
                      <w:color w:val="auto"/>
                      <w:sz w:val="18"/>
                      <w:szCs w:val="18"/>
                    </w:rPr>
                  </w:pPr>
                </w:p>
              </w:tc>
              <w:tc>
                <w:tcPr>
                  <w:tcW w:w="1671" w:type="dxa"/>
                  <w:vAlign w:val="center"/>
                </w:tcPr>
                <w:p w14:paraId="6448D5E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1A807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143F8EA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废润滑油</w:t>
                  </w:r>
                </w:p>
              </w:tc>
              <w:tc>
                <w:tcPr>
                  <w:tcW w:w="1291" w:type="dxa"/>
                  <w:vAlign w:val="center"/>
                </w:tcPr>
                <w:p w14:paraId="393FF92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1285" w:type="dxa"/>
                  <w:vMerge w:val="continue"/>
                  <w:vAlign w:val="center"/>
                </w:tcPr>
                <w:p w14:paraId="220C1394">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56DC4B68">
                  <w:pPr>
                    <w:pStyle w:val="127"/>
                    <w:snapToGrid w:val="0"/>
                    <w:spacing w:line="240" w:lineRule="auto"/>
                    <w:ind w:firstLine="0" w:firstLineChars="0"/>
                    <w:contextualSpacing/>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0.5</w:t>
                  </w:r>
                </w:p>
              </w:tc>
              <w:tc>
                <w:tcPr>
                  <w:tcW w:w="1671" w:type="dxa"/>
                  <w:vMerge w:val="continue"/>
                  <w:vAlign w:val="center"/>
                </w:tcPr>
                <w:p w14:paraId="6ECEB291">
                  <w:pPr>
                    <w:adjustRightInd w:val="0"/>
                    <w:snapToGrid w:val="0"/>
                    <w:jc w:val="center"/>
                    <w:rPr>
                      <w:rFonts w:hint="default" w:ascii="Times New Roman" w:hAnsi="Times New Roman" w:cs="Times New Roman"/>
                      <w:color w:val="auto"/>
                      <w:sz w:val="18"/>
                      <w:szCs w:val="18"/>
                    </w:rPr>
                  </w:pPr>
                </w:p>
              </w:tc>
              <w:tc>
                <w:tcPr>
                  <w:tcW w:w="1671" w:type="dxa"/>
                  <w:vAlign w:val="center"/>
                </w:tcPr>
                <w:p w14:paraId="4099BFA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04B89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717AB17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废液压油</w:t>
                  </w:r>
                </w:p>
              </w:tc>
              <w:tc>
                <w:tcPr>
                  <w:tcW w:w="1291" w:type="dxa"/>
                  <w:vAlign w:val="center"/>
                </w:tcPr>
                <w:p w14:paraId="55EE616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设备维护</w:t>
                  </w:r>
                </w:p>
              </w:tc>
              <w:tc>
                <w:tcPr>
                  <w:tcW w:w="1285" w:type="dxa"/>
                  <w:vMerge w:val="continue"/>
                  <w:vAlign w:val="center"/>
                </w:tcPr>
                <w:p w14:paraId="5E40A7B4">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31A6F56E">
                  <w:pPr>
                    <w:pStyle w:val="127"/>
                    <w:snapToGrid w:val="0"/>
                    <w:spacing w:line="240" w:lineRule="auto"/>
                    <w:ind w:firstLine="0" w:firstLineChars="0"/>
                    <w:contextualSpacing/>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0.5</w:t>
                  </w:r>
                </w:p>
              </w:tc>
              <w:tc>
                <w:tcPr>
                  <w:tcW w:w="1671" w:type="dxa"/>
                  <w:vMerge w:val="continue"/>
                  <w:vAlign w:val="center"/>
                </w:tcPr>
                <w:p w14:paraId="32819459">
                  <w:pPr>
                    <w:adjustRightInd w:val="0"/>
                    <w:snapToGrid w:val="0"/>
                    <w:jc w:val="center"/>
                    <w:rPr>
                      <w:rFonts w:hint="default" w:ascii="Times New Roman" w:hAnsi="Times New Roman" w:cs="Times New Roman"/>
                      <w:color w:val="auto"/>
                      <w:sz w:val="18"/>
                      <w:szCs w:val="18"/>
                    </w:rPr>
                  </w:pPr>
                </w:p>
              </w:tc>
              <w:tc>
                <w:tcPr>
                  <w:tcW w:w="1671" w:type="dxa"/>
                  <w:vAlign w:val="center"/>
                </w:tcPr>
                <w:p w14:paraId="5ED1FD1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4B054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2729BDB8">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w:t>
                  </w:r>
                </w:p>
              </w:tc>
              <w:tc>
                <w:tcPr>
                  <w:tcW w:w="1291" w:type="dxa"/>
                  <w:vAlign w:val="center"/>
                </w:tcPr>
                <w:p w14:paraId="5196535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1285" w:type="dxa"/>
                  <w:vMerge w:val="continue"/>
                  <w:vAlign w:val="center"/>
                </w:tcPr>
                <w:p w14:paraId="22FE2556">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035393A2">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928</w:t>
                  </w:r>
                </w:p>
              </w:tc>
              <w:tc>
                <w:tcPr>
                  <w:tcW w:w="1671" w:type="dxa"/>
                  <w:vMerge w:val="continue"/>
                  <w:vAlign w:val="center"/>
                </w:tcPr>
                <w:p w14:paraId="2CBC9E99">
                  <w:pPr>
                    <w:adjustRightInd w:val="0"/>
                    <w:snapToGrid w:val="0"/>
                    <w:jc w:val="center"/>
                    <w:rPr>
                      <w:rFonts w:hint="default" w:ascii="Times New Roman" w:hAnsi="Times New Roman" w:cs="Times New Roman"/>
                      <w:color w:val="auto"/>
                      <w:sz w:val="18"/>
                      <w:szCs w:val="18"/>
                    </w:rPr>
                  </w:pPr>
                </w:p>
              </w:tc>
              <w:tc>
                <w:tcPr>
                  <w:tcW w:w="1671" w:type="dxa"/>
                  <w:vAlign w:val="center"/>
                </w:tcPr>
                <w:p w14:paraId="6E4679C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0C1E4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6C77F7C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废酸渣</w:t>
                  </w:r>
                </w:p>
              </w:tc>
              <w:tc>
                <w:tcPr>
                  <w:tcW w:w="1291" w:type="dxa"/>
                  <w:vAlign w:val="center"/>
                </w:tcPr>
                <w:p w14:paraId="4DB54EC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酸洗</w:t>
                  </w:r>
                </w:p>
              </w:tc>
              <w:tc>
                <w:tcPr>
                  <w:tcW w:w="1285" w:type="dxa"/>
                  <w:vMerge w:val="continue"/>
                  <w:vAlign w:val="center"/>
                </w:tcPr>
                <w:p w14:paraId="5A9FB0C4">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14BA733F">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20</w:t>
                  </w:r>
                </w:p>
              </w:tc>
              <w:tc>
                <w:tcPr>
                  <w:tcW w:w="1671" w:type="dxa"/>
                  <w:vMerge w:val="continue"/>
                  <w:vAlign w:val="center"/>
                </w:tcPr>
                <w:p w14:paraId="5396EEF0">
                  <w:pPr>
                    <w:adjustRightInd w:val="0"/>
                    <w:snapToGrid w:val="0"/>
                    <w:jc w:val="center"/>
                    <w:rPr>
                      <w:rFonts w:hint="default" w:ascii="Times New Roman" w:hAnsi="Times New Roman" w:cs="Times New Roman"/>
                      <w:color w:val="auto"/>
                      <w:sz w:val="18"/>
                      <w:szCs w:val="18"/>
                    </w:rPr>
                  </w:pPr>
                </w:p>
              </w:tc>
              <w:tc>
                <w:tcPr>
                  <w:tcW w:w="1671" w:type="dxa"/>
                  <w:vAlign w:val="center"/>
                </w:tcPr>
                <w:p w14:paraId="5947F5C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1FC62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shd w:val="clear" w:color="auto" w:fill="auto"/>
                  <w:vAlign w:val="center"/>
                </w:tcPr>
                <w:p w14:paraId="542A640F">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再生废液</w:t>
                  </w:r>
                </w:p>
              </w:tc>
              <w:tc>
                <w:tcPr>
                  <w:tcW w:w="1291" w:type="dxa"/>
                  <w:shd w:val="clear" w:color="auto" w:fill="auto"/>
                  <w:vAlign w:val="center"/>
                </w:tcPr>
                <w:p w14:paraId="443672E1">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污水处理</w:t>
                  </w:r>
                </w:p>
              </w:tc>
              <w:tc>
                <w:tcPr>
                  <w:tcW w:w="1285" w:type="dxa"/>
                  <w:vMerge w:val="continue"/>
                  <w:vAlign w:val="center"/>
                </w:tcPr>
                <w:p w14:paraId="5155942E">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00FDC931">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1671" w:type="dxa"/>
                  <w:vMerge w:val="continue"/>
                  <w:vAlign w:val="center"/>
                </w:tcPr>
                <w:p w14:paraId="0B6CF3F8">
                  <w:pPr>
                    <w:adjustRightInd w:val="0"/>
                    <w:snapToGrid w:val="0"/>
                    <w:jc w:val="center"/>
                    <w:rPr>
                      <w:rFonts w:hint="default" w:ascii="Times New Roman" w:hAnsi="Times New Roman" w:cs="Times New Roman"/>
                      <w:color w:val="auto"/>
                      <w:sz w:val="18"/>
                      <w:szCs w:val="18"/>
                    </w:rPr>
                  </w:pPr>
                </w:p>
              </w:tc>
              <w:tc>
                <w:tcPr>
                  <w:tcW w:w="1671" w:type="dxa"/>
                  <w:vAlign w:val="center"/>
                </w:tcPr>
                <w:p w14:paraId="469483E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3F3A5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4AB04F58">
                  <w:pPr>
                    <w:pStyle w:val="125"/>
                    <w:spacing w:line="240" w:lineRule="auto"/>
                    <w:rPr>
                      <w:rFonts w:hint="eastAsia" w:ascii="Times New Roman" w:hAnsi="Times New Roman" w:eastAsia="宋体" w:cs="Times New Roman"/>
                      <w:color w:val="auto"/>
                      <w:sz w:val="18"/>
                      <w:szCs w:val="18"/>
                      <w:lang w:eastAsia="zh-CN"/>
                    </w:rPr>
                  </w:pPr>
                  <w:r>
                    <w:rPr>
                      <w:rFonts w:hint="eastAsia" w:cs="Times New Roman"/>
                      <w:color w:val="auto"/>
                      <w:sz w:val="18"/>
                      <w:szCs w:val="18"/>
                      <w:lang w:eastAsia="zh-CN"/>
                    </w:rPr>
                    <w:t>收集的粉尘及布袋</w:t>
                  </w:r>
                </w:p>
              </w:tc>
              <w:tc>
                <w:tcPr>
                  <w:tcW w:w="1291" w:type="dxa"/>
                  <w:vAlign w:val="center"/>
                </w:tcPr>
                <w:p w14:paraId="655B3DD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废气处理</w:t>
                  </w:r>
                </w:p>
              </w:tc>
              <w:tc>
                <w:tcPr>
                  <w:tcW w:w="1285" w:type="dxa"/>
                  <w:vMerge w:val="restart"/>
                  <w:vAlign w:val="center"/>
                </w:tcPr>
                <w:p w14:paraId="7798E30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一般工业固体废物</w:t>
                  </w:r>
                </w:p>
              </w:tc>
              <w:tc>
                <w:tcPr>
                  <w:tcW w:w="902" w:type="dxa"/>
                  <w:shd w:val="clear" w:color="auto" w:fill="auto"/>
                  <w:vAlign w:val="center"/>
                </w:tcPr>
                <w:p w14:paraId="20927657">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0.59</w:t>
                  </w:r>
                </w:p>
              </w:tc>
              <w:tc>
                <w:tcPr>
                  <w:tcW w:w="1671" w:type="dxa"/>
                  <w:vMerge w:val="restart"/>
                  <w:vAlign w:val="center"/>
                </w:tcPr>
                <w:p w14:paraId="06C937F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外售综合利用</w:t>
                  </w:r>
                </w:p>
              </w:tc>
              <w:tc>
                <w:tcPr>
                  <w:tcW w:w="1671" w:type="dxa"/>
                  <w:vAlign w:val="center"/>
                </w:tcPr>
                <w:p w14:paraId="217799A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05EF9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72505C2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废膜</w:t>
                  </w:r>
                </w:p>
              </w:tc>
              <w:tc>
                <w:tcPr>
                  <w:tcW w:w="1291" w:type="dxa"/>
                  <w:vAlign w:val="center"/>
                </w:tcPr>
                <w:p w14:paraId="073511B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1285" w:type="dxa"/>
                  <w:vMerge w:val="continue"/>
                  <w:vAlign w:val="center"/>
                </w:tcPr>
                <w:p w14:paraId="415AC2F5">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3F908A69">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0.05</w:t>
                  </w:r>
                </w:p>
              </w:tc>
              <w:tc>
                <w:tcPr>
                  <w:tcW w:w="1671" w:type="dxa"/>
                  <w:vMerge w:val="continue"/>
                  <w:vAlign w:val="center"/>
                </w:tcPr>
                <w:p w14:paraId="03282A12">
                  <w:pPr>
                    <w:adjustRightInd w:val="0"/>
                    <w:snapToGrid w:val="0"/>
                    <w:jc w:val="center"/>
                    <w:rPr>
                      <w:rFonts w:hint="default" w:ascii="Times New Roman" w:hAnsi="Times New Roman" w:cs="Times New Roman"/>
                      <w:color w:val="auto"/>
                      <w:sz w:val="18"/>
                      <w:szCs w:val="18"/>
                    </w:rPr>
                  </w:pPr>
                </w:p>
              </w:tc>
              <w:tc>
                <w:tcPr>
                  <w:tcW w:w="1671" w:type="dxa"/>
                  <w:vAlign w:val="center"/>
                </w:tcPr>
                <w:p w14:paraId="765A931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6FA7B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3DA4B86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废石英砂</w:t>
                  </w:r>
                </w:p>
              </w:tc>
              <w:tc>
                <w:tcPr>
                  <w:tcW w:w="1291" w:type="dxa"/>
                  <w:vAlign w:val="center"/>
                </w:tcPr>
                <w:p w14:paraId="067BD4D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1285" w:type="dxa"/>
                  <w:vMerge w:val="continue"/>
                  <w:vAlign w:val="center"/>
                </w:tcPr>
                <w:p w14:paraId="382FB1D6">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509A16D7">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0.2</w:t>
                  </w:r>
                </w:p>
              </w:tc>
              <w:tc>
                <w:tcPr>
                  <w:tcW w:w="1671" w:type="dxa"/>
                  <w:vMerge w:val="continue"/>
                  <w:vAlign w:val="center"/>
                </w:tcPr>
                <w:p w14:paraId="4D0C229D">
                  <w:pPr>
                    <w:adjustRightInd w:val="0"/>
                    <w:snapToGrid w:val="0"/>
                    <w:jc w:val="center"/>
                    <w:rPr>
                      <w:rFonts w:hint="default" w:ascii="Times New Roman" w:hAnsi="Times New Roman" w:cs="Times New Roman"/>
                      <w:color w:val="auto"/>
                      <w:sz w:val="18"/>
                      <w:szCs w:val="18"/>
                    </w:rPr>
                  </w:pPr>
                </w:p>
              </w:tc>
              <w:tc>
                <w:tcPr>
                  <w:tcW w:w="1671" w:type="dxa"/>
                  <w:vAlign w:val="center"/>
                </w:tcPr>
                <w:p w14:paraId="5C6C9C8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033D7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18BC455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废活性炭</w:t>
                  </w:r>
                </w:p>
              </w:tc>
              <w:tc>
                <w:tcPr>
                  <w:tcW w:w="1291" w:type="dxa"/>
                  <w:vAlign w:val="center"/>
                </w:tcPr>
                <w:p w14:paraId="5F60A94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纯水制备</w:t>
                  </w:r>
                </w:p>
              </w:tc>
              <w:tc>
                <w:tcPr>
                  <w:tcW w:w="1285" w:type="dxa"/>
                  <w:vMerge w:val="continue"/>
                  <w:vAlign w:val="center"/>
                </w:tcPr>
                <w:p w14:paraId="53CF01EF">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1D5E4707">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0.1</w:t>
                  </w:r>
                </w:p>
              </w:tc>
              <w:tc>
                <w:tcPr>
                  <w:tcW w:w="1671" w:type="dxa"/>
                  <w:vMerge w:val="continue"/>
                  <w:vAlign w:val="center"/>
                </w:tcPr>
                <w:p w14:paraId="2ACA238E">
                  <w:pPr>
                    <w:adjustRightInd w:val="0"/>
                    <w:snapToGrid w:val="0"/>
                    <w:jc w:val="center"/>
                    <w:rPr>
                      <w:rFonts w:hint="default" w:ascii="Times New Roman" w:hAnsi="Times New Roman" w:cs="Times New Roman"/>
                      <w:color w:val="auto"/>
                      <w:sz w:val="18"/>
                      <w:szCs w:val="18"/>
                    </w:rPr>
                  </w:pPr>
                </w:p>
              </w:tc>
              <w:tc>
                <w:tcPr>
                  <w:tcW w:w="1671" w:type="dxa"/>
                  <w:vAlign w:val="center"/>
                </w:tcPr>
                <w:p w14:paraId="1C27307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3ED8C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3B171CD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磁性物料</w:t>
                  </w:r>
                </w:p>
              </w:tc>
              <w:tc>
                <w:tcPr>
                  <w:tcW w:w="1291" w:type="dxa"/>
                  <w:vAlign w:val="center"/>
                </w:tcPr>
                <w:p w14:paraId="2B63011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磁选</w:t>
                  </w:r>
                </w:p>
              </w:tc>
              <w:tc>
                <w:tcPr>
                  <w:tcW w:w="1285" w:type="dxa"/>
                  <w:vMerge w:val="continue"/>
                  <w:vAlign w:val="center"/>
                </w:tcPr>
                <w:p w14:paraId="39B3F69E">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00C7097A">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0.4</w:t>
                  </w:r>
                </w:p>
              </w:tc>
              <w:tc>
                <w:tcPr>
                  <w:tcW w:w="1671" w:type="dxa"/>
                  <w:vMerge w:val="continue"/>
                  <w:vAlign w:val="center"/>
                </w:tcPr>
                <w:p w14:paraId="3DDC6917">
                  <w:pPr>
                    <w:adjustRightInd w:val="0"/>
                    <w:snapToGrid w:val="0"/>
                    <w:jc w:val="center"/>
                    <w:rPr>
                      <w:rFonts w:hint="default" w:ascii="Times New Roman" w:hAnsi="Times New Roman" w:cs="Times New Roman"/>
                      <w:color w:val="auto"/>
                      <w:sz w:val="18"/>
                      <w:szCs w:val="18"/>
                    </w:rPr>
                  </w:pPr>
                </w:p>
              </w:tc>
              <w:tc>
                <w:tcPr>
                  <w:tcW w:w="1671" w:type="dxa"/>
                  <w:vAlign w:val="center"/>
                </w:tcPr>
                <w:p w14:paraId="3CF954A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646A5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141BBE1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废矿砂</w:t>
                  </w:r>
                </w:p>
              </w:tc>
              <w:tc>
                <w:tcPr>
                  <w:tcW w:w="1291" w:type="dxa"/>
                  <w:vAlign w:val="center"/>
                </w:tcPr>
                <w:p w14:paraId="47B2933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浮洗</w:t>
                  </w:r>
                </w:p>
              </w:tc>
              <w:tc>
                <w:tcPr>
                  <w:tcW w:w="1285" w:type="dxa"/>
                  <w:vMerge w:val="continue"/>
                  <w:vAlign w:val="center"/>
                </w:tcPr>
                <w:p w14:paraId="232187CF">
                  <w:pPr>
                    <w:adjustRightInd w:val="0"/>
                    <w:snapToGrid w:val="0"/>
                    <w:jc w:val="center"/>
                    <w:rPr>
                      <w:rFonts w:hint="default" w:ascii="Times New Roman" w:hAnsi="Times New Roman" w:cs="Times New Roman"/>
                      <w:color w:val="auto"/>
                      <w:sz w:val="18"/>
                      <w:szCs w:val="18"/>
                    </w:rPr>
                  </w:pPr>
                </w:p>
              </w:tc>
              <w:tc>
                <w:tcPr>
                  <w:tcW w:w="902" w:type="dxa"/>
                  <w:shd w:val="clear" w:color="auto" w:fill="auto"/>
                  <w:vAlign w:val="center"/>
                </w:tcPr>
                <w:p w14:paraId="6E0B9B60">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cs="Times New Roman"/>
                      <w:color w:val="auto"/>
                      <w:sz w:val="18"/>
                      <w:szCs w:val="18"/>
                    </w:rPr>
                    <w:t>20</w:t>
                  </w:r>
                </w:p>
              </w:tc>
              <w:tc>
                <w:tcPr>
                  <w:tcW w:w="1671" w:type="dxa"/>
                  <w:vMerge w:val="continue"/>
                  <w:vAlign w:val="center"/>
                </w:tcPr>
                <w:p w14:paraId="3C1B8433">
                  <w:pPr>
                    <w:adjustRightInd w:val="0"/>
                    <w:snapToGrid w:val="0"/>
                    <w:jc w:val="center"/>
                    <w:rPr>
                      <w:rFonts w:hint="default" w:ascii="Times New Roman" w:hAnsi="Times New Roman" w:cs="Times New Roman"/>
                      <w:color w:val="auto"/>
                      <w:sz w:val="18"/>
                      <w:szCs w:val="18"/>
                    </w:rPr>
                  </w:pPr>
                </w:p>
              </w:tc>
              <w:tc>
                <w:tcPr>
                  <w:tcW w:w="1671" w:type="dxa"/>
                  <w:vAlign w:val="center"/>
                </w:tcPr>
                <w:p w14:paraId="7AC64B2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2088F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4254FC30">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废渣</w:t>
                  </w:r>
                </w:p>
              </w:tc>
              <w:tc>
                <w:tcPr>
                  <w:tcW w:w="1291" w:type="dxa"/>
                  <w:vAlign w:val="center"/>
                </w:tcPr>
                <w:p w14:paraId="7D38275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水淬</w:t>
                  </w:r>
                </w:p>
              </w:tc>
              <w:tc>
                <w:tcPr>
                  <w:tcW w:w="1285" w:type="dxa"/>
                  <w:vMerge w:val="continue"/>
                  <w:vAlign w:val="center"/>
                </w:tcPr>
                <w:p w14:paraId="24D18880">
                  <w:pPr>
                    <w:pStyle w:val="125"/>
                    <w:spacing w:line="240" w:lineRule="auto"/>
                    <w:rPr>
                      <w:rFonts w:hint="default" w:ascii="Times New Roman" w:hAnsi="Times New Roman" w:cs="Times New Roman"/>
                      <w:color w:val="auto"/>
                      <w:sz w:val="18"/>
                      <w:szCs w:val="18"/>
                    </w:rPr>
                  </w:pPr>
                </w:p>
              </w:tc>
              <w:tc>
                <w:tcPr>
                  <w:tcW w:w="902" w:type="dxa"/>
                  <w:shd w:val="clear" w:color="auto" w:fill="auto"/>
                  <w:vAlign w:val="center"/>
                </w:tcPr>
                <w:p w14:paraId="214D276D">
                  <w:pPr>
                    <w:pStyle w:val="125"/>
                    <w:spacing w:line="240" w:lineRule="auto"/>
                    <w:rPr>
                      <w:rFonts w:hint="default" w:ascii="Times New Roman" w:hAnsi="Times New Roman" w:eastAsia="宋体" w:cs="Times New Roman"/>
                      <w:color w:val="auto"/>
                      <w:kern w:val="0"/>
                      <w:sz w:val="18"/>
                      <w:szCs w:val="18"/>
                      <w:lang w:val="en-US" w:eastAsia="zh-CN" w:bidi="ar-SA"/>
                    </w:rPr>
                  </w:pPr>
                  <w:r>
                    <w:rPr>
                      <w:rFonts w:hint="eastAsia" w:cs="Times New Roman"/>
                      <w:color w:val="auto"/>
                      <w:sz w:val="18"/>
                      <w:szCs w:val="18"/>
                      <w:lang w:val="en-US" w:eastAsia="zh-CN"/>
                    </w:rPr>
                    <w:t>70</w:t>
                  </w:r>
                </w:p>
              </w:tc>
              <w:tc>
                <w:tcPr>
                  <w:tcW w:w="1671" w:type="dxa"/>
                  <w:vMerge w:val="continue"/>
                  <w:vAlign w:val="center"/>
                </w:tcPr>
                <w:p w14:paraId="60A1957C">
                  <w:pPr>
                    <w:adjustRightInd w:val="0"/>
                    <w:snapToGrid w:val="0"/>
                    <w:jc w:val="center"/>
                    <w:rPr>
                      <w:rFonts w:hint="default" w:ascii="Times New Roman" w:hAnsi="Times New Roman" w:cs="Times New Roman"/>
                      <w:color w:val="auto"/>
                      <w:sz w:val="18"/>
                      <w:szCs w:val="18"/>
                    </w:rPr>
                  </w:pPr>
                </w:p>
              </w:tc>
              <w:tc>
                <w:tcPr>
                  <w:tcW w:w="1671" w:type="dxa"/>
                  <w:vAlign w:val="center"/>
                </w:tcPr>
                <w:p w14:paraId="3D8972E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r w14:paraId="24DA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5898876D">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废滤材</w:t>
                  </w:r>
                </w:p>
              </w:tc>
              <w:tc>
                <w:tcPr>
                  <w:tcW w:w="1291" w:type="dxa"/>
                  <w:vAlign w:val="center"/>
                </w:tcPr>
                <w:p w14:paraId="5B4973B5">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过滤</w:t>
                  </w:r>
                </w:p>
              </w:tc>
              <w:tc>
                <w:tcPr>
                  <w:tcW w:w="1285" w:type="dxa"/>
                  <w:vMerge w:val="continue"/>
                  <w:vAlign w:val="center"/>
                </w:tcPr>
                <w:p w14:paraId="47A13A9C">
                  <w:pPr>
                    <w:pStyle w:val="125"/>
                    <w:spacing w:line="240" w:lineRule="auto"/>
                    <w:rPr>
                      <w:rFonts w:hint="default" w:ascii="Times New Roman" w:hAnsi="Times New Roman" w:cs="Times New Roman"/>
                      <w:color w:val="auto"/>
                      <w:sz w:val="18"/>
                      <w:szCs w:val="18"/>
                    </w:rPr>
                  </w:pPr>
                </w:p>
              </w:tc>
              <w:tc>
                <w:tcPr>
                  <w:tcW w:w="902" w:type="dxa"/>
                  <w:shd w:val="clear" w:color="auto" w:fill="auto"/>
                  <w:vAlign w:val="center"/>
                </w:tcPr>
                <w:p w14:paraId="09A99BF9">
                  <w:pPr>
                    <w:pStyle w:val="125"/>
                    <w:spacing w:line="240" w:lineRule="auto"/>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1671" w:type="dxa"/>
                  <w:vMerge w:val="continue"/>
                  <w:vAlign w:val="center"/>
                </w:tcPr>
                <w:p w14:paraId="117E2667">
                  <w:pPr>
                    <w:adjustRightInd w:val="0"/>
                    <w:snapToGrid w:val="0"/>
                    <w:jc w:val="center"/>
                    <w:rPr>
                      <w:rFonts w:hint="default" w:ascii="Times New Roman" w:hAnsi="Times New Roman" w:cs="Times New Roman"/>
                      <w:color w:val="auto"/>
                      <w:sz w:val="18"/>
                      <w:szCs w:val="18"/>
                    </w:rPr>
                  </w:pPr>
                </w:p>
              </w:tc>
              <w:tc>
                <w:tcPr>
                  <w:tcW w:w="1671" w:type="dxa"/>
                  <w:vAlign w:val="center"/>
                </w:tcPr>
                <w:p w14:paraId="2FC04838">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是</w:t>
                  </w:r>
                </w:p>
              </w:tc>
            </w:tr>
            <w:tr w14:paraId="433A9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116" w:type="dxa"/>
                  <w:vAlign w:val="center"/>
                </w:tcPr>
                <w:p w14:paraId="340E475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生活垃圾</w:t>
                  </w:r>
                </w:p>
              </w:tc>
              <w:tc>
                <w:tcPr>
                  <w:tcW w:w="1291" w:type="dxa"/>
                  <w:vAlign w:val="center"/>
                </w:tcPr>
                <w:p w14:paraId="46B37BB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职工生活</w:t>
                  </w:r>
                </w:p>
              </w:tc>
              <w:tc>
                <w:tcPr>
                  <w:tcW w:w="1285" w:type="dxa"/>
                  <w:vAlign w:val="center"/>
                </w:tcPr>
                <w:p w14:paraId="4EBBA05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902" w:type="dxa"/>
                  <w:shd w:val="clear" w:color="auto" w:fill="auto"/>
                  <w:vAlign w:val="center"/>
                </w:tcPr>
                <w:p w14:paraId="7955EEB6">
                  <w:pPr>
                    <w:pStyle w:val="125"/>
                    <w:spacing w:line="240" w:lineRule="auto"/>
                    <w:rPr>
                      <w:rFonts w:hint="eastAsia" w:ascii="Times New Roman" w:hAnsi="Times New Roman" w:eastAsia="宋体" w:cs="Times New Roman"/>
                      <w:color w:val="auto"/>
                      <w:kern w:val="0"/>
                      <w:sz w:val="18"/>
                      <w:szCs w:val="18"/>
                      <w:lang w:val="en-US" w:eastAsia="zh-CN" w:bidi="ar-SA"/>
                    </w:rPr>
                  </w:pPr>
                  <w:r>
                    <w:rPr>
                      <w:rFonts w:hint="eastAsia" w:cs="Times New Roman"/>
                      <w:color w:val="auto"/>
                      <w:sz w:val="18"/>
                      <w:szCs w:val="18"/>
                      <w:lang w:eastAsia="zh-CN"/>
                    </w:rPr>
                    <w:t>5.85</w:t>
                  </w:r>
                </w:p>
              </w:tc>
              <w:tc>
                <w:tcPr>
                  <w:tcW w:w="1671" w:type="dxa"/>
                  <w:vAlign w:val="center"/>
                </w:tcPr>
                <w:p w14:paraId="4E92C12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环卫部门清运</w:t>
                  </w:r>
                </w:p>
              </w:tc>
              <w:tc>
                <w:tcPr>
                  <w:tcW w:w="1671" w:type="dxa"/>
                  <w:vAlign w:val="center"/>
                </w:tcPr>
                <w:p w14:paraId="2F9AAFA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w:t>
                  </w:r>
                </w:p>
              </w:tc>
            </w:tr>
          </w:tbl>
          <w:p w14:paraId="2B3B3205">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3、危险废物收集及暂存措施</w:t>
            </w:r>
          </w:p>
          <w:p w14:paraId="6862E9E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项目生产过程中产生部分危险废物。对于危险废物，在厂内暂存期间，企业应该严格按照《危险废物贮存污染控制标准》（GB 18597-2023）建造专用的危险废物暂存场所，将危险废物分类转入容器内，并粘贴危险废物标签，做好相应的纪录。相应暂存场所要求满足以下要求：</w:t>
            </w:r>
          </w:p>
          <w:p w14:paraId="33568FB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①企业区域内建设的临时储存室需配备工作人员负责管理。</w:t>
            </w:r>
          </w:p>
          <w:p w14:paraId="54FA9343">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②确定危险废物贮存设施需要贮存的危险废物种类及属性，不相容的危险废物分开贮存并设有隔离间隔断。</w:t>
            </w:r>
          </w:p>
          <w:p w14:paraId="140FC8D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③地面与裙脚要用坚固、防渗的材料建造，建筑材料必须与危险废物相容。</w:t>
            </w:r>
          </w:p>
          <w:p w14:paraId="4AB1377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④对于盛装危险物品的容器和包装物以及收集、贮存、储运的场所必须按GB15562.2《环境保护图形标志(固体废物贮存场)》的规定设置警示标志。要有安全照明设施和观察窗口。</w:t>
            </w:r>
          </w:p>
          <w:p w14:paraId="577C10FF">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⑤妥善收集危险废物后，将其及时交由有资质的处理单位进行集中处理。临时贮存时间小于1年，可满足本工程固体废物厂内临时储存的环境保护要求，技术经济合理可行。</w:t>
            </w:r>
          </w:p>
          <w:p w14:paraId="24DDFDF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4、项目危险废物暂存场所情况</w:t>
            </w:r>
          </w:p>
          <w:p w14:paraId="6909C21A">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表4.2.8-6  项目危险废物贮存场所基本情况表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9"/>
              <w:gridCol w:w="655"/>
              <w:gridCol w:w="811"/>
              <w:gridCol w:w="741"/>
              <w:gridCol w:w="1109"/>
              <w:gridCol w:w="569"/>
              <w:gridCol w:w="325"/>
              <w:gridCol w:w="737"/>
              <w:gridCol w:w="588"/>
              <w:gridCol w:w="602"/>
              <w:gridCol w:w="852"/>
              <w:gridCol w:w="535"/>
            </w:tblGrid>
            <w:tr w14:paraId="360CE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6E03845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655" w:type="dxa"/>
                  <w:tcBorders>
                    <w:top w:val="single" w:color="auto" w:sz="4" w:space="0"/>
                    <w:left w:val="nil"/>
                    <w:bottom w:val="single" w:color="auto" w:sz="4" w:space="0"/>
                    <w:right w:val="single" w:color="auto" w:sz="4" w:space="0"/>
                  </w:tcBorders>
                  <w:vAlign w:val="center"/>
                </w:tcPr>
                <w:p w14:paraId="7BAFEBF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贮存场所设施</w:t>
                  </w:r>
                </w:p>
                <w:p w14:paraId="6C0CDBE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811" w:type="dxa"/>
                  <w:tcBorders>
                    <w:top w:val="single" w:color="auto" w:sz="4" w:space="0"/>
                    <w:left w:val="nil"/>
                    <w:bottom w:val="single" w:color="auto" w:sz="4" w:space="0"/>
                    <w:right w:val="single" w:color="auto" w:sz="4" w:space="0"/>
                  </w:tcBorders>
                  <w:vAlign w:val="center"/>
                </w:tcPr>
                <w:p w14:paraId="06ACB96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危险废物名称</w:t>
                  </w:r>
                </w:p>
              </w:tc>
              <w:tc>
                <w:tcPr>
                  <w:tcW w:w="741" w:type="dxa"/>
                  <w:tcBorders>
                    <w:top w:val="single" w:color="auto" w:sz="4" w:space="0"/>
                    <w:left w:val="nil"/>
                    <w:bottom w:val="single" w:color="auto" w:sz="4" w:space="0"/>
                    <w:right w:val="single" w:color="auto" w:sz="4" w:space="0"/>
                  </w:tcBorders>
                  <w:vAlign w:val="center"/>
                </w:tcPr>
                <w:p w14:paraId="0937665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危险废物类别</w:t>
                  </w:r>
                </w:p>
              </w:tc>
              <w:tc>
                <w:tcPr>
                  <w:tcW w:w="1109" w:type="dxa"/>
                  <w:tcBorders>
                    <w:top w:val="single" w:color="auto" w:sz="4" w:space="0"/>
                    <w:left w:val="nil"/>
                    <w:bottom w:val="single" w:color="auto" w:sz="4" w:space="0"/>
                    <w:right w:val="single" w:color="auto" w:sz="4" w:space="0"/>
                  </w:tcBorders>
                  <w:vAlign w:val="center"/>
                </w:tcPr>
                <w:p w14:paraId="7A0A6B4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危险废物代码</w:t>
                  </w:r>
                </w:p>
              </w:tc>
              <w:tc>
                <w:tcPr>
                  <w:tcW w:w="569" w:type="dxa"/>
                  <w:tcBorders>
                    <w:top w:val="single" w:color="auto" w:sz="4" w:space="0"/>
                    <w:left w:val="nil"/>
                    <w:bottom w:val="single" w:color="auto" w:sz="4" w:space="0"/>
                    <w:right w:val="single" w:color="auto" w:sz="4" w:space="0"/>
                  </w:tcBorders>
                  <w:vAlign w:val="center"/>
                </w:tcPr>
                <w:p w14:paraId="4F1B568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位置</w:t>
                  </w:r>
                </w:p>
              </w:tc>
              <w:tc>
                <w:tcPr>
                  <w:tcW w:w="325" w:type="dxa"/>
                  <w:tcBorders>
                    <w:top w:val="single" w:color="auto" w:sz="4" w:space="0"/>
                    <w:left w:val="nil"/>
                    <w:bottom w:val="single" w:color="auto" w:sz="4" w:space="0"/>
                    <w:right w:val="single" w:color="auto" w:sz="4" w:space="0"/>
                  </w:tcBorders>
                  <w:vAlign w:val="center"/>
                </w:tcPr>
                <w:p w14:paraId="5414AC5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占地面积</w:t>
                  </w:r>
                </w:p>
              </w:tc>
              <w:tc>
                <w:tcPr>
                  <w:tcW w:w="737" w:type="dxa"/>
                  <w:tcBorders>
                    <w:top w:val="single" w:color="auto" w:sz="4" w:space="0"/>
                    <w:left w:val="nil"/>
                    <w:bottom w:val="single" w:color="auto" w:sz="4" w:space="0"/>
                    <w:right w:val="single" w:color="auto" w:sz="4" w:space="0"/>
                  </w:tcBorders>
                  <w:vAlign w:val="center"/>
                </w:tcPr>
                <w:p w14:paraId="7DF7EED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贮存方式</w:t>
                  </w:r>
                </w:p>
              </w:tc>
              <w:tc>
                <w:tcPr>
                  <w:tcW w:w="588" w:type="dxa"/>
                  <w:tcBorders>
                    <w:top w:val="single" w:color="auto" w:sz="4" w:space="0"/>
                    <w:left w:val="nil"/>
                    <w:bottom w:val="single" w:color="auto" w:sz="4" w:space="0"/>
                    <w:right w:val="single" w:color="auto" w:sz="4" w:space="0"/>
                  </w:tcBorders>
                  <w:vAlign w:val="center"/>
                </w:tcPr>
                <w:p w14:paraId="2081792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产生量 (t/a)</w:t>
                  </w:r>
                </w:p>
              </w:tc>
              <w:tc>
                <w:tcPr>
                  <w:tcW w:w="602" w:type="dxa"/>
                  <w:tcBorders>
                    <w:top w:val="single" w:color="auto" w:sz="4" w:space="0"/>
                    <w:left w:val="nil"/>
                    <w:bottom w:val="single" w:color="auto" w:sz="4" w:space="0"/>
                    <w:right w:val="single" w:color="auto" w:sz="4" w:space="0"/>
                  </w:tcBorders>
                  <w:vAlign w:val="center"/>
                </w:tcPr>
                <w:p w14:paraId="7DBDB5C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贮存</w:t>
                  </w:r>
                </w:p>
                <w:p w14:paraId="6E378F3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能力(t)</w:t>
                  </w:r>
                </w:p>
              </w:tc>
              <w:tc>
                <w:tcPr>
                  <w:tcW w:w="852" w:type="dxa"/>
                  <w:tcBorders>
                    <w:top w:val="single" w:color="auto" w:sz="4" w:space="0"/>
                    <w:left w:val="nil"/>
                    <w:bottom w:val="single" w:color="auto" w:sz="4" w:space="0"/>
                    <w:right w:val="single" w:color="auto" w:sz="4" w:space="0"/>
                  </w:tcBorders>
                  <w:vAlign w:val="center"/>
                </w:tcPr>
                <w:p w14:paraId="1F7CAAF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贮存能力占地面积（m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w:t>
                  </w:r>
                </w:p>
              </w:tc>
              <w:tc>
                <w:tcPr>
                  <w:tcW w:w="535" w:type="dxa"/>
                  <w:tcBorders>
                    <w:top w:val="single" w:color="auto" w:sz="4" w:space="0"/>
                    <w:left w:val="nil"/>
                    <w:bottom w:val="single" w:color="auto" w:sz="4" w:space="0"/>
                    <w:right w:val="single" w:color="auto" w:sz="4" w:space="0"/>
                  </w:tcBorders>
                  <w:vAlign w:val="center"/>
                </w:tcPr>
                <w:p w14:paraId="32DA1B3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贮存</w:t>
                  </w:r>
                </w:p>
                <w:p w14:paraId="07F4D53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周期</w:t>
                  </w:r>
                </w:p>
              </w:tc>
            </w:tr>
            <w:tr w14:paraId="276B0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7BF3FDB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655" w:type="dxa"/>
                  <w:vMerge w:val="restart"/>
                  <w:tcBorders>
                    <w:top w:val="nil"/>
                    <w:left w:val="nil"/>
                    <w:right w:val="single" w:color="auto" w:sz="4" w:space="0"/>
                  </w:tcBorders>
                  <w:vAlign w:val="center"/>
                </w:tcPr>
                <w:p w14:paraId="296FF82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危废暂存间</w:t>
                  </w:r>
                </w:p>
              </w:tc>
              <w:tc>
                <w:tcPr>
                  <w:tcW w:w="811" w:type="dxa"/>
                  <w:tcBorders>
                    <w:top w:val="single" w:color="auto" w:sz="4" w:space="0"/>
                    <w:left w:val="nil"/>
                    <w:bottom w:val="single" w:color="auto" w:sz="4" w:space="0"/>
                    <w:right w:val="single" w:color="auto" w:sz="4" w:space="0"/>
                  </w:tcBorders>
                  <w:vAlign w:val="center"/>
                </w:tcPr>
                <w:p w14:paraId="3F0BCA1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废包装材料</w:t>
                  </w:r>
                </w:p>
              </w:tc>
              <w:tc>
                <w:tcPr>
                  <w:tcW w:w="741" w:type="dxa"/>
                  <w:tcBorders>
                    <w:top w:val="single" w:color="auto" w:sz="4" w:space="0"/>
                    <w:left w:val="nil"/>
                    <w:bottom w:val="single" w:color="auto" w:sz="4" w:space="0"/>
                    <w:right w:val="single" w:color="auto" w:sz="4" w:space="0"/>
                  </w:tcBorders>
                  <w:vAlign w:val="center"/>
                </w:tcPr>
                <w:p w14:paraId="14AA8DEA">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HW49</w:t>
                  </w:r>
                </w:p>
              </w:tc>
              <w:tc>
                <w:tcPr>
                  <w:tcW w:w="1109" w:type="dxa"/>
                  <w:tcBorders>
                    <w:top w:val="single" w:color="auto" w:sz="4" w:space="0"/>
                    <w:left w:val="nil"/>
                    <w:bottom w:val="single" w:color="auto" w:sz="4" w:space="0"/>
                    <w:right w:val="single" w:color="auto" w:sz="4" w:space="0"/>
                  </w:tcBorders>
                  <w:vAlign w:val="center"/>
                </w:tcPr>
                <w:p w14:paraId="78206164">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900-041-49</w:t>
                  </w:r>
                </w:p>
              </w:tc>
              <w:tc>
                <w:tcPr>
                  <w:tcW w:w="569" w:type="dxa"/>
                  <w:vMerge w:val="restart"/>
                  <w:tcBorders>
                    <w:top w:val="nil"/>
                    <w:left w:val="nil"/>
                    <w:right w:val="single" w:color="auto" w:sz="4" w:space="0"/>
                  </w:tcBorders>
                  <w:vAlign w:val="center"/>
                </w:tcPr>
                <w:p w14:paraId="19B68AE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危废仓库</w:t>
                  </w:r>
                </w:p>
              </w:tc>
              <w:tc>
                <w:tcPr>
                  <w:tcW w:w="325" w:type="dxa"/>
                  <w:vMerge w:val="restart"/>
                  <w:tcBorders>
                    <w:top w:val="nil"/>
                    <w:left w:val="nil"/>
                    <w:right w:val="single" w:color="auto" w:sz="4" w:space="0"/>
                  </w:tcBorders>
                  <w:vAlign w:val="center"/>
                </w:tcPr>
                <w:p w14:paraId="5360BF9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r>
                    <w:rPr>
                      <w:rFonts w:hint="eastAsia" w:cs="Times New Roman"/>
                      <w:color w:val="auto"/>
                      <w:sz w:val="18"/>
                      <w:szCs w:val="18"/>
                      <w:lang w:val="en-US" w:eastAsia="zh-CN"/>
                    </w:rPr>
                    <w:t>5</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2</w:t>
                  </w:r>
                </w:p>
              </w:tc>
              <w:tc>
                <w:tcPr>
                  <w:tcW w:w="737" w:type="dxa"/>
                  <w:tcBorders>
                    <w:top w:val="single" w:color="auto" w:sz="4" w:space="0"/>
                    <w:left w:val="nil"/>
                    <w:bottom w:val="single" w:color="auto" w:sz="4" w:space="0"/>
                    <w:right w:val="single" w:color="auto" w:sz="4" w:space="0"/>
                  </w:tcBorders>
                  <w:vAlign w:val="center"/>
                </w:tcPr>
                <w:p w14:paraId="7A47C5D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袋装</w:t>
                  </w:r>
                </w:p>
              </w:tc>
              <w:tc>
                <w:tcPr>
                  <w:tcW w:w="588" w:type="dxa"/>
                  <w:tcBorders>
                    <w:top w:val="single" w:color="auto" w:sz="4" w:space="0"/>
                    <w:left w:val="nil"/>
                    <w:bottom w:val="single" w:color="auto" w:sz="4" w:space="0"/>
                    <w:right w:val="single" w:color="auto" w:sz="4" w:space="0"/>
                  </w:tcBorders>
                  <w:vAlign w:val="center"/>
                </w:tcPr>
                <w:p w14:paraId="1BC6E24C">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0.1</w:t>
                  </w:r>
                </w:p>
              </w:tc>
              <w:tc>
                <w:tcPr>
                  <w:tcW w:w="602" w:type="dxa"/>
                  <w:tcBorders>
                    <w:top w:val="single" w:color="auto" w:sz="4" w:space="0"/>
                    <w:left w:val="nil"/>
                    <w:bottom w:val="single" w:color="auto" w:sz="4" w:space="0"/>
                    <w:right w:val="single" w:color="auto" w:sz="4" w:space="0"/>
                  </w:tcBorders>
                  <w:vAlign w:val="center"/>
                </w:tcPr>
                <w:p w14:paraId="08E61D70">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 xml:space="preserve">0.02 </w:t>
                  </w:r>
                </w:p>
              </w:tc>
              <w:tc>
                <w:tcPr>
                  <w:tcW w:w="852" w:type="dxa"/>
                  <w:tcBorders>
                    <w:top w:val="single" w:color="auto" w:sz="4" w:space="0"/>
                    <w:left w:val="nil"/>
                    <w:bottom w:val="single" w:color="auto" w:sz="4" w:space="0"/>
                    <w:right w:val="single" w:color="auto" w:sz="4" w:space="0"/>
                  </w:tcBorders>
                  <w:vAlign w:val="center"/>
                </w:tcPr>
                <w:p w14:paraId="6F523588">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w:t>
                  </w:r>
                </w:p>
              </w:tc>
              <w:tc>
                <w:tcPr>
                  <w:tcW w:w="535" w:type="dxa"/>
                  <w:vMerge w:val="restart"/>
                  <w:tcBorders>
                    <w:top w:val="single" w:color="auto" w:sz="4" w:space="0"/>
                    <w:left w:val="nil"/>
                    <w:right w:val="single" w:color="auto" w:sz="4" w:space="0"/>
                  </w:tcBorders>
                  <w:vAlign w:val="center"/>
                </w:tcPr>
                <w:p w14:paraId="4DA1AAD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2个月</w:t>
                  </w:r>
                </w:p>
              </w:tc>
            </w:tr>
            <w:tr w14:paraId="59D00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63A99CB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655" w:type="dxa"/>
                  <w:vMerge w:val="continue"/>
                  <w:tcBorders>
                    <w:left w:val="nil"/>
                    <w:right w:val="single" w:color="auto" w:sz="4" w:space="0"/>
                  </w:tcBorders>
                  <w:vAlign w:val="center"/>
                </w:tcPr>
                <w:p w14:paraId="7F150548">
                  <w:pPr>
                    <w:adjustRightInd w:val="0"/>
                    <w:snapToGrid w:val="0"/>
                    <w:jc w:val="center"/>
                    <w:rPr>
                      <w:rFonts w:hint="default" w:ascii="Times New Roman" w:hAnsi="Times New Roman" w:cs="Times New Roman"/>
                      <w:color w:val="auto"/>
                      <w:sz w:val="18"/>
                      <w:szCs w:val="18"/>
                    </w:rPr>
                  </w:pPr>
                </w:p>
              </w:tc>
              <w:tc>
                <w:tcPr>
                  <w:tcW w:w="811" w:type="dxa"/>
                  <w:tcBorders>
                    <w:top w:val="single" w:color="auto" w:sz="4" w:space="0"/>
                    <w:left w:val="nil"/>
                    <w:bottom w:val="single" w:color="auto" w:sz="4" w:space="0"/>
                    <w:right w:val="single" w:color="auto" w:sz="4" w:space="0"/>
                  </w:tcBorders>
                  <w:vAlign w:val="center"/>
                </w:tcPr>
                <w:p w14:paraId="3E6B6FF2">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废油桶</w:t>
                  </w:r>
                </w:p>
              </w:tc>
              <w:tc>
                <w:tcPr>
                  <w:tcW w:w="741" w:type="dxa"/>
                  <w:tcBorders>
                    <w:top w:val="single" w:color="auto" w:sz="4" w:space="0"/>
                    <w:left w:val="nil"/>
                    <w:bottom w:val="single" w:color="auto" w:sz="4" w:space="0"/>
                    <w:right w:val="single" w:color="auto" w:sz="4" w:space="0"/>
                  </w:tcBorders>
                  <w:vAlign w:val="center"/>
                </w:tcPr>
                <w:p w14:paraId="50284727">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HW08</w:t>
                  </w:r>
                </w:p>
              </w:tc>
              <w:tc>
                <w:tcPr>
                  <w:tcW w:w="1109" w:type="dxa"/>
                  <w:tcBorders>
                    <w:top w:val="single" w:color="auto" w:sz="4" w:space="0"/>
                    <w:left w:val="nil"/>
                    <w:bottom w:val="single" w:color="auto" w:sz="4" w:space="0"/>
                    <w:right w:val="single" w:color="auto" w:sz="4" w:space="0"/>
                  </w:tcBorders>
                  <w:vAlign w:val="center"/>
                </w:tcPr>
                <w:p w14:paraId="40DA9287">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900-249-08</w:t>
                  </w:r>
                </w:p>
              </w:tc>
              <w:tc>
                <w:tcPr>
                  <w:tcW w:w="569" w:type="dxa"/>
                  <w:vMerge w:val="continue"/>
                  <w:tcBorders>
                    <w:left w:val="nil"/>
                    <w:right w:val="single" w:color="auto" w:sz="4" w:space="0"/>
                  </w:tcBorders>
                  <w:vAlign w:val="center"/>
                </w:tcPr>
                <w:p w14:paraId="04C97F4E">
                  <w:pPr>
                    <w:adjustRightInd w:val="0"/>
                    <w:snapToGrid w:val="0"/>
                    <w:jc w:val="center"/>
                    <w:rPr>
                      <w:rFonts w:hint="default" w:ascii="Times New Roman" w:hAnsi="Times New Roman" w:cs="Times New Roman"/>
                      <w:color w:val="auto"/>
                      <w:sz w:val="18"/>
                      <w:szCs w:val="18"/>
                    </w:rPr>
                  </w:pPr>
                </w:p>
              </w:tc>
              <w:tc>
                <w:tcPr>
                  <w:tcW w:w="325" w:type="dxa"/>
                  <w:vMerge w:val="continue"/>
                  <w:tcBorders>
                    <w:left w:val="nil"/>
                    <w:right w:val="single" w:color="auto" w:sz="4" w:space="0"/>
                  </w:tcBorders>
                  <w:vAlign w:val="center"/>
                </w:tcPr>
                <w:p w14:paraId="146CA291">
                  <w:pPr>
                    <w:adjustRightInd w:val="0"/>
                    <w:snapToGrid w:val="0"/>
                    <w:jc w:val="center"/>
                    <w:rPr>
                      <w:rFonts w:hint="default" w:ascii="Times New Roman" w:hAnsi="Times New Roman" w:cs="Times New Roman"/>
                      <w:color w:val="auto"/>
                      <w:sz w:val="18"/>
                      <w:szCs w:val="18"/>
                    </w:rPr>
                  </w:pPr>
                </w:p>
              </w:tc>
              <w:tc>
                <w:tcPr>
                  <w:tcW w:w="737" w:type="dxa"/>
                  <w:tcBorders>
                    <w:top w:val="single" w:color="auto" w:sz="4" w:space="0"/>
                    <w:left w:val="nil"/>
                    <w:bottom w:val="single" w:color="auto" w:sz="4" w:space="0"/>
                    <w:right w:val="single" w:color="auto" w:sz="4" w:space="0"/>
                  </w:tcBorders>
                  <w:vAlign w:val="center"/>
                </w:tcPr>
                <w:p w14:paraId="26559FD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桶装</w:t>
                  </w:r>
                </w:p>
              </w:tc>
              <w:tc>
                <w:tcPr>
                  <w:tcW w:w="588" w:type="dxa"/>
                  <w:tcBorders>
                    <w:top w:val="single" w:color="auto" w:sz="4" w:space="0"/>
                    <w:left w:val="nil"/>
                    <w:bottom w:val="single" w:color="auto" w:sz="4" w:space="0"/>
                    <w:right w:val="single" w:color="auto" w:sz="4" w:space="0"/>
                  </w:tcBorders>
                  <w:vAlign w:val="center"/>
                </w:tcPr>
                <w:p w14:paraId="57F3C01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0.05</w:t>
                  </w:r>
                </w:p>
              </w:tc>
              <w:tc>
                <w:tcPr>
                  <w:tcW w:w="602" w:type="dxa"/>
                  <w:tcBorders>
                    <w:top w:val="single" w:color="auto" w:sz="4" w:space="0"/>
                    <w:left w:val="nil"/>
                    <w:bottom w:val="single" w:color="auto" w:sz="4" w:space="0"/>
                    <w:right w:val="single" w:color="auto" w:sz="4" w:space="0"/>
                  </w:tcBorders>
                  <w:vAlign w:val="center"/>
                </w:tcPr>
                <w:p w14:paraId="4EBF4256">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 xml:space="preserve">0.01 </w:t>
                  </w:r>
                </w:p>
              </w:tc>
              <w:tc>
                <w:tcPr>
                  <w:tcW w:w="852" w:type="dxa"/>
                  <w:tcBorders>
                    <w:top w:val="single" w:color="auto" w:sz="4" w:space="0"/>
                    <w:left w:val="nil"/>
                    <w:bottom w:val="single" w:color="auto" w:sz="4" w:space="0"/>
                    <w:right w:val="single" w:color="auto" w:sz="4" w:space="0"/>
                  </w:tcBorders>
                  <w:vAlign w:val="center"/>
                </w:tcPr>
                <w:p w14:paraId="4BCB18B4">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w:t>
                  </w:r>
                </w:p>
              </w:tc>
              <w:tc>
                <w:tcPr>
                  <w:tcW w:w="535" w:type="dxa"/>
                  <w:vMerge w:val="continue"/>
                  <w:tcBorders>
                    <w:left w:val="nil"/>
                    <w:right w:val="single" w:color="auto" w:sz="4" w:space="0"/>
                  </w:tcBorders>
                  <w:vAlign w:val="center"/>
                </w:tcPr>
                <w:p w14:paraId="32060165">
                  <w:pPr>
                    <w:adjustRightInd w:val="0"/>
                    <w:snapToGrid w:val="0"/>
                    <w:jc w:val="center"/>
                    <w:rPr>
                      <w:rFonts w:hint="default" w:ascii="Times New Roman" w:hAnsi="Times New Roman" w:cs="Times New Roman"/>
                      <w:color w:val="auto"/>
                      <w:sz w:val="18"/>
                      <w:szCs w:val="18"/>
                    </w:rPr>
                  </w:pPr>
                </w:p>
              </w:tc>
            </w:tr>
            <w:tr w14:paraId="4ACD1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0D62B29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655" w:type="dxa"/>
                  <w:vMerge w:val="continue"/>
                  <w:tcBorders>
                    <w:left w:val="nil"/>
                    <w:right w:val="single" w:color="auto" w:sz="4" w:space="0"/>
                  </w:tcBorders>
                  <w:vAlign w:val="center"/>
                </w:tcPr>
                <w:p w14:paraId="4266847A">
                  <w:pPr>
                    <w:adjustRightInd w:val="0"/>
                    <w:snapToGrid w:val="0"/>
                    <w:jc w:val="center"/>
                    <w:rPr>
                      <w:rFonts w:hint="default" w:ascii="Times New Roman" w:hAnsi="Times New Roman" w:cs="Times New Roman"/>
                      <w:color w:val="auto"/>
                      <w:sz w:val="18"/>
                      <w:szCs w:val="18"/>
                    </w:rPr>
                  </w:pPr>
                </w:p>
              </w:tc>
              <w:tc>
                <w:tcPr>
                  <w:tcW w:w="811" w:type="dxa"/>
                  <w:tcBorders>
                    <w:top w:val="single" w:color="auto" w:sz="4" w:space="0"/>
                    <w:left w:val="nil"/>
                    <w:bottom w:val="single" w:color="auto" w:sz="4" w:space="0"/>
                    <w:right w:val="single" w:color="auto" w:sz="4" w:space="0"/>
                  </w:tcBorders>
                  <w:vAlign w:val="center"/>
                </w:tcPr>
                <w:p w14:paraId="3867C14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过滤材料</w:t>
                  </w:r>
                </w:p>
              </w:tc>
              <w:tc>
                <w:tcPr>
                  <w:tcW w:w="741" w:type="dxa"/>
                  <w:tcBorders>
                    <w:top w:val="single" w:color="auto" w:sz="4" w:space="0"/>
                    <w:left w:val="nil"/>
                    <w:bottom w:val="single" w:color="auto" w:sz="4" w:space="0"/>
                    <w:right w:val="single" w:color="auto" w:sz="4" w:space="0"/>
                  </w:tcBorders>
                  <w:vAlign w:val="center"/>
                </w:tcPr>
                <w:p w14:paraId="0E095209">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HW49</w:t>
                  </w:r>
                </w:p>
              </w:tc>
              <w:tc>
                <w:tcPr>
                  <w:tcW w:w="1109" w:type="dxa"/>
                  <w:tcBorders>
                    <w:top w:val="single" w:color="auto" w:sz="4" w:space="0"/>
                    <w:left w:val="nil"/>
                    <w:bottom w:val="single" w:color="auto" w:sz="4" w:space="0"/>
                    <w:right w:val="single" w:color="auto" w:sz="4" w:space="0"/>
                  </w:tcBorders>
                  <w:vAlign w:val="center"/>
                </w:tcPr>
                <w:p w14:paraId="04FC2656">
                  <w:pPr>
                    <w:adjustRightInd w:val="0"/>
                    <w:snapToGrid w:val="0"/>
                    <w:spacing w:line="24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900-041-49</w:t>
                  </w:r>
                </w:p>
              </w:tc>
              <w:tc>
                <w:tcPr>
                  <w:tcW w:w="569" w:type="dxa"/>
                  <w:vMerge w:val="continue"/>
                  <w:tcBorders>
                    <w:left w:val="nil"/>
                    <w:right w:val="single" w:color="auto" w:sz="4" w:space="0"/>
                  </w:tcBorders>
                  <w:vAlign w:val="center"/>
                </w:tcPr>
                <w:p w14:paraId="235C5D68">
                  <w:pPr>
                    <w:adjustRightInd w:val="0"/>
                    <w:snapToGrid w:val="0"/>
                    <w:jc w:val="center"/>
                    <w:rPr>
                      <w:rFonts w:hint="default" w:ascii="Times New Roman" w:hAnsi="Times New Roman" w:cs="Times New Roman"/>
                      <w:color w:val="auto"/>
                      <w:sz w:val="18"/>
                      <w:szCs w:val="18"/>
                    </w:rPr>
                  </w:pPr>
                </w:p>
              </w:tc>
              <w:tc>
                <w:tcPr>
                  <w:tcW w:w="325" w:type="dxa"/>
                  <w:vMerge w:val="continue"/>
                  <w:tcBorders>
                    <w:left w:val="nil"/>
                    <w:right w:val="single" w:color="auto" w:sz="4" w:space="0"/>
                  </w:tcBorders>
                  <w:vAlign w:val="center"/>
                </w:tcPr>
                <w:p w14:paraId="0E51902F">
                  <w:pPr>
                    <w:adjustRightInd w:val="0"/>
                    <w:snapToGrid w:val="0"/>
                    <w:jc w:val="center"/>
                    <w:rPr>
                      <w:rFonts w:hint="default" w:ascii="Times New Roman" w:hAnsi="Times New Roman" w:cs="Times New Roman"/>
                      <w:color w:val="auto"/>
                      <w:sz w:val="18"/>
                      <w:szCs w:val="18"/>
                    </w:rPr>
                  </w:pPr>
                </w:p>
              </w:tc>
              <w:tc>
                <w:tcPr>
                  <w:tcW w:w="737" w:type="dxa"/>
                  <w:tcBorders>
                    <w:top w:val="single" w:color="auto" w:sz="4" w:space="0"/>
                    <w:left w:val="nil"/>
                    <w:bottom w:val="single" w:color="auto" w:sz="4" w:space="0"/>
                    <w:right w:val="single" w:color="auto" w:sz="4" w:space="0"/>
                  </w:tcBorders>
                  <w:vAlign w:val="center"/>
                </w:tcPr>
                <w:p w14:paraId="53B461A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袋装</w:t>
                  </w:r>
                </w:p>
              </w:tc>
              <w:tc>
                <w:tcPr>
                  <w:tcW w:w="588" w:type="dxa"/>
                  <w:tcBorders>
                    <w:top w:val="single" w:color="auto" w:sz="4" w:space="0"/>
                    <w:left w:val="nil"/>
                    <w:bottom w:val="single" w:color="auto" w:sz="4" w:space="0"/>
                    <w:right w:val="single" w:color="auto" w:sz="4" w:space="0"/>
                  </w:tcBorders>
                  <w:vAlign w:val="center"/>
                </w:tcPr>
                <w:p w14:paraId="7911C8EB">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602" w:type="dxa"/>
                  <w:tcBorders>
                    <w:top w:val="single" w:color="auto" w:sz="4" w:space="0"/>
                    <w:left w:val="nil"/>
                    <w:bottom w:val="single" w:color="auto" w:sz="4" w:space="0"/>
                    <w:right w:val="single" w:color="auto" w:sz="4" w:space="0"/>
                  </w:tcBorders>
                  <w:vAlign w:val="center"/>
                </w:tcPr>
                <w:p w14:paraId="4C1B9CD6">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 xml:space="preserve">0.17 </w:t>
                  </w:r>
                </w:p>
              </w:tc>
              <w:tc>
                <w:tcPr>
                  <w:tcW w:w="852" w:type="dxa"/>
                  <w:tcBorders>
                    <w:top w:val="single" w:color="auto" w:sz="4" w:space="0"/>
                    <w:left w:val="nil"/>
                    <w:bottom w:val="single" w:color="auto" w:sz="4" w:space="0"/>
                    <w:right w:val="single" w:color="auto" w:sz="4" w:space="0"/>
                  </w:tcBorders>
                  <w:vAlign w:val="center"/>
                </w:tcPr>
                <w:p w14:paraId="5C885576">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w:t>
                  </w:r>
                </w:p>
              </w:tc>
              <w:tc>
                <w:tcPr>
                  <w:tcW w:w="535" w:type="dxa"/>
                  <w:vMerge w:val="continue"/>
                  <w:tcBorders>
                    <w:left w:val="nil"/>
                    <w:right w:val="single" w:color="auto" w:sz="4" w:space="0"/>
                  </w:tcBorders>
                  <w:vAlign w:val="center"/>
                </w:tcPr>
                <w:p w14:paraId="736910AA">
                  <w:pPr>
                    <w:adjustRightInd w:val="0"/>
                    <w:snapToGrid w:val="0"/>
                    <w:jc w:val="center"/>
                    <w:rPr>
                      <w:rFonts w:hint="default" w:ascii="Times New Roman" w:hAnsi="Times New Roman" w:cs="Times New Roman"/>
                      <w:color w:val="auto"/>
                      <w:sz w:val="18"/>
                      <w:szCs w:val="18"/>
                    </w:rPr>
                  </w:pPr>
                </w:p>
              </w:tc>
            </w:tr>
            <w:tr w14:paraId="4ECD9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31E40AC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655" w:type="dxa"/>
                  <w:vMerge w:val="continue"/>
                  <w:tcBorders>
                    <w:left w:val="nil"/>
                    <w:right w:val="single" w:color="auto" w:sz="4" w:space="0"/>
                  </w:tcBorders>
                  <w:vAlign w:val="center"/>
                </w:tcPr>
                <w:p w14:paraId="60465FDF">
                  <w:pPr>
                    <w:adjustRightInd w:val="0"/>
                    <w:snapToGrid w:val="0"/>
                    <w:jc w:val="center"/>
                    <w:rPr>
                      <w:rFonts w:hint="default" w:ascii="Times New Roman" w:hAnsi="Times New Roman" w:cs="Times New Roman"/>
                      <w:color w:val="auto"/>
                      <w:sz w:val="18"/>
                      <w:szCs w:val="18"/>
                    </w:rPr>
                  </w:pPr>
                </w:p>
              </w:tc>
              <w:tc>
                <w:tcPr>
                  <w:tcW w:w="811" w:type="dxa"/>
                  <w:tcBorders>
                    <w:top w:val="single" w:color="auto" w:sz="4" w:space="0"/>
                    <w:left w:val="nil"/>
                    <w:bottom w:val="single" w:color="auto" w:sz="4" w:space="0"/>
                    <w:right w:val="single" w:color="auto" w:sz="4" w:space="0"/>
                  </w:tcBorders>
                  <w:vAlign w:val="center"/>
                </w:tcPr>
                <w:p w14:paraId="4E1FE316">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污泥</w:t>
                  </w:r>
                </w:p>
              </w:tc>
              <w:tc>
                <w:tcPr>
                  <w:tcW w:w="741" w:type="dxa"/>
                  <w:tcBorders>
                    <w:top w:val="single" w:color="auto" w:sz="4" w:space="0"/>
                    <w:left w:val="nil"/>
                    <w:bottom w:val="single" w:color="auto" w:sz="4" w:space="0"/>
                    <w:right w:val="single" w:color="auto" w:sz="4" w:space="0"/>
                  </w:tcBorders>
                  <w:vAlign w:val="center"/>
                </w:tcPr>
                <w:p w14:paraId="6069A495">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HW49</w:t>
                  </w:r>
                </w:p>
              </w:tc>
              <w:tc>
                <w:tcPr>
                  <w:tcW w:w="1109" w:type="dxa"/>
                  <w:tcBorders>
                    <w:top w:val="single" w:color="auto" w:sz="4" w:space="0"/>
                    <w:left w:val="nil"/>
                    <w:bottom w:val="single" w:color="auto" w:sz="4" w:space="0"/>
                    <w:right w:val="single" w:color="auto" w:sz="4" w:space="0"/>
                  </w:tcBorders>
                  <w:vAlign w:val="center"/>
                </w:tcPr>
                <w:p w14:paraId="1EB70E9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772-006-49</w:t>
                  </w:r>
                </w:p>
              </w:tc>
              <w:tc>
                <w:tcPr>
                  <w:tcW w:w="569" w:type="dxa"/>
                  <w:vMerge w:val="continue"/>
                  <w:tcBorders>
                    <w:left w:val="nil"/>
                    <w:right w:val="single" w:color="auto" w:sz="4" w:space="0"/>
                  </w:tcBorders>
                  <w:vAlign w:val="center"/>
                </w:tcPr>
                <w:p w14:paraId="42F40590">
                  <w:pPr>
                    <w:adjustRightInd w:val="0"/>
                    <w:snapToGrid w:val="0"/>
                    <w:jc w:val="center"/>
                    <w:rPr>
                      <w:rFonts w:hint="default" w:ascii="Times New Roman" w:hAnsi="Times New Roman" w:cs="Times New Roman"/>
                      <w:color w:val="auto"/>
                      <w:sz w:val="18"/>
                      <w:szCs w:val="18"/>
                    </w:rPr>
                  </w:pPr>
                </w:p>
              </w:tc>
              <w:tc>
                <w:tcPr>
                  <w:tcW w:w="325" w:type="dxa"/>
                  <w:vMerge w:val="continue"/>
                  <w:tcBorders>
                    <w:left w:val="nil"/>
                    <w:right w:val="single" w:color="auto" w:sz="4" w:space="0"/>
                  </w:tcBorders>
                  <w:vAlign w:val="center"/>
                </w:tcPr>
                <w:p w14:paraId="51117FF5">
                  <w:pPr>
                    <w:adjustRightInd w:val="0"/>
                    <w:snapToGrid w:val="0"/>
                    <w:jc w:val="center"/>
                    <w:rPr>
                      <w:rFonts w:hint="default" w:ascii="Times New Roman" w:hAnsi="Times New Roman" w:cs="Times New Roman"/>
                      <w:color w:val="auto"/>
                      <w:sz w:val="18"/>
                      <w:szCs w:val="18"/>
                    </w:rPr>
                  </w:pPr>
                </w:p>
              </w:tc>
              <w:tc>
                <w:tcPr>
                  <w:tcW w:w="737" w:type="dxa"/>
                  <w:tcBorders>
                    <w:top w:val="single" w:color="auto" w:sz="4" w:space="0"/>
                    <w:left w:val="nil"/>
                    <w:bottom w:val="single" w:color="auto" w:sz="4" w:space="0"/>
                    <w:right w:val="single" w:color="auto" w:sz="4" w:space="0"/>
                  </w:tcBorders>
                  <w:vAlign w:val="center"/>
                </w:tcPr>
                <w:p w14:paraId="2D7B452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袋装</w:t>
                  </w:r>
                </w:p>
              </w:tc>
              <w:tc>
                <w:tcPr>
                  <w:tcW w:w="588" w:type="dxa"/>
                  <w:tcBorders>
                    <w:top w:val="single" w:color="auto" w:sz="4" w:space="0"/>
                    <w:left w:val="nil"/>
                    <w:bottom w:val="single" w:color="auto" w:sz="4" w:space="0"/>
                    <w:right w:val="single" w:color="auto" w:sz="4" w:space="0"/>
                  </w:tcBorders>
                  <w:vAlign w:val="center"/>
                </w:tcPr>
                <w:p w14:paraId="7252C96D">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150</w:t>
                  </w:r>
                </w:p>
              </w:tc>
              <w:tc>
                <w:tcPr>
                  <w:tcW w:w="602" w:type="dxa"/>
                  <w:tcBorders>
                    <w:top w:val="single" w:color="auto" w:sz="4" w:space="0"/>
                    <w:left w:val="nil"/>
                    <w:bottom w:val="single" w:color="auto" w:sz="4" w:space="0"/>
                    <w:right w:val="single" w:color="auto" w:sz="4" w:space="0"/>
                  </w:tcBorders>
                  <w:vAlign w:val="center"/>
                </w:tcPr>
                <w:p w14:paraId="0CE01C20">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25.0</w:t>
                  </w:r>
                </w:p>
              </w:tc>
              <w:tc>
                <w:tcPr>
                  <w:tcW w:w="852" w:type="dxa"/>
                  <w:tcBorders>
                    <w:top w:val="single" w:color="auto" w:sz="4" w:space="0"/>
                    <w:left w:val="nil"/>
                    <w:bottom w:val="single" w:color="auto" w:sz="4" w:space="0"/>
                    <w:right w:val="single" w:color="auto" w:sz="4" w:space="0"/>
                  </w:tcBorders>
                  <w:vAlign w:val="center"/>
                </w:tcPr>
                <w:p w14:paraId="47293563">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15</w:t>
                  </w:r>
                </w:p>
              </w:tc>
              <w:tc>
                <w:tcPr>
                  <w:tcW w:w="535" w:type="dxa"/>
                  <w:vMerge w:val="continue"/>
                  <w:tcBorders>
                    <w:left w:val="nil"/>
                    <w:bottom w:val="single" w:color="auto" w:sz="4" w:space="0"/>
                    <w:right w:val="single" w:color="auto" w:sz="4" w:space="0"/>
                  </w:tcBorders>
                  <w:vAlign w:val="center"/>
                </w:tcPr>
                <w:p w14:paraId="3A6D014E">
                  <w:pPr>
                    <w:adjustRightInd w:val="0"/>
                    <w:snapToGrid w:val="0"/>
                    <w:jc w:val="center"/>
                    <w:rPr>
                      <w:rFonts w:hint="default" w:ascii="Times New Roman" w:hAnsi="Times New Roman" w:cs="Times New Roman"/>
                      <w:color w:val="auto"/>
                      <w:sz w:val="18"/>
                      <w:szCs w:val="18"/>
                    </w:rPr>
                  </w:pPr>
                </w:p>
              </w:tc>
            </w:tr>
            <w:tr w14:paraId="4F62A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768712D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655" w:type="dxa"/>
                  <w:vMerge w:val="continue"/>
                  <w:tcBorders>
                    <w:left w:val="nil"/>
                    <w:right w:val="single" w:color="auto" w:sz="4" w:space="0"/>
                  </w:tcBorders>
                  <w:vAlign w:val="center"/>
                </w:tcPr>
                <w:p w14:paraId="45150CDA">
                  <w:pPr>
                    <w:adjustRightInd w:val="0"/>
                    <w:snapToGrid w:val="0"/>
                    <w:jc w:val="center"/>
                    <w:rPr>
                      <w:rFonts w:hint="default" w:ascii="Times New Roman" w:hAnsi="Times New Roman" w:cs="Times New Roman"/>
                      <w:color w:val="auto"/>
                      <w:sz w:val="18"/>
                      <w:szCs w:val="18"/>
                    </w:rPr>
                  </w:pPr>
                </w:p>
              </w:tc>
              <w:tc>
                <w:tcPr>
                  <w:tcW w:w="811" w:type="dxa"/>
                  <w:tcBorders>
                    <w:top w:val="single" w:color="auto" w:sz="4" w:space="0"/>
                    <w:left w:val="nil"/>
                    <w:bottom w:val="single" w:color="auto" w:sz="4" w:space="0"/>
                    <w:right w:val="single" w:color="auto" w:sz="4" w:space="0"/>
                  </w:tcBorders>
                  <w:vAlign w:val="center"/>
                </w:tcPr>
                <w:p w14:paraId="02E1776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废润滑油</w:t>
                  </w:r>
                </w:p>
              </w:tc>
              <w:tc>
                <w:tcPr>
                  <w:tcW w:w="741" w:type="dxa"/>
                  <w:tcBorders>
                    <w:top w:val="single" w:color="auto" w:sz="4" w:space="0"/>
                    <w:left w:val="nil"/>
                    <w:bottom w:val="single" w:color="auto" w:sz="4" w:space="0"/>
                    <w:right w:val="single" w:color="auto" w:sz="4" w:space="0"/>
                  </w:tcBorders>
                  <w:vAlign w:val="center"/>
                </w:tcPr>
                <w:p w14:paraId="3D23C101">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HW08</w:t>
                  </w:r>
                </w:p>
              </w:tc>
              <w:tc>
                <w:tcPr>
                  <w:tcW w:w="1109" w:type="dxa"/>
                  <w:tcBorders>
                    <w:top w:val="single" w:color="auto" w:sz="4" w:space="0"/>
                    <w:left w:val="nil"/>
                    <w:bottom w:val="single" w:color="auto" w:sz="4" w:space="0"/>
                    <w:right w:val="single" w:color="auto" w:sz="4" w:space="0"/>
                  </w:tcBorders>
                  <w:vAlign w:val="center"/>
                </w:tcPr>
                <w:p w14:paraId="5DF111B0">
                  <w:pPr>
                    <w:adjustRightInd w:val="0"/>
                    <w:snapToGrid w:val="0"/>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900-217-08</w:t>
                  </w:r>
                </w:p>
              </w:tc>
              <w:tc>
                <w:tcPr>
                  <w:tcW w:w="569" w:type="dxa"/>
                  <w:vMerge w:val="continue"/>
                  <w:tcBorders>
                    <w:left w:val="nil"/>
                    <w:right w:val="single" w:color="auto" w:sz="4" w:space="0"/>
                  </w:tcBorders>
                  <w:vAlign w:val="center"/>
                </w:tcPr>
                <w:p w14:paraId="6B815623">
                  <w:pPr>
                    <w:adjustRightInd w:val="0"/>
                    <w:snapToGrid w:val="0"/>
                    <w:jc w:val="center"/>
                    <w:rPr>
                      <w:rFonts w:hint="default" w:ascii="Times New Roman" w:hAnsi="Times New Roman" w:cs="Times New Roman"/>
                      <w:color w:val="auto"/>
                      <w:sz w:val="18"/>
                      <w:szCs w:val="18"/>
                    </w:rPr>
                  </w:pPr>
                </w:p>
              </w:tc>
              <w:tc>
                <w:tcPr>
                  <w:tcW w:w="325" w:type="dxa"/>
                  <w:vMerge w:val="continue"/>
                  <w:tcBorders>
                    <w:left w:val="nil"/>
                    <w:right w:val="single" w:color="auto" w:sz="4" w:space="0"/>
                  </w:tcBorders>
                  <w:vAlign w:val="center"/>
                </w:tcPr>
                <w:p w14:paraId="529EA0A4">
                  <w:pPr>
                    <w:adjustRightInd w:val="0"/>
                    <w:snapToGrid w:val="0"/>
                    <w:jc w:val="center"/>
                    <w:rPr>
                      <w:rFonts w:hint="default" w:ascii="Times New Roman" w:hAnsi="Times New Roman" w:cs="Times New Roman"/>
                      <w:color w:val="auto"/>
                      <w:sz w:val="18"/>
                      <w:szCs w:val="18"/>
                    </w:rPr>
                  </w:pPr>
                </w:p>
              </w:tc>
              <w:tc>
                <w:tcPr>
                  <w:tcW w:w="737" w:type="dxa"/>
                  <w:tcBorders>
                    <w:top w:val="single" w:color="auto" w:sz="4" w:space="0"/>
                    <w:left w:val="nil"/>
                    <w:bottom w:val="single" w:color="auto" w:sz="4" w:space="0"/>
                    <w:right w:val="single" w:color="auto" w:sz="4" w:space="0"/>
                  </w:tcBorders>
                  <w:vAlign w:val="center"/>
                </w:tcPr>
                <w:p w14:paraId="3C10433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桶装</w:t>
                  </w:r>
                </w:p>
              </w:tc>
              <w:tc>
                <w:tcPr>
                  <w:tcW w:w="588" w:type="dxa"/>
                  <w:tcBorders>
                    <w:top w:val="single" w:color="auto" w:sz="4" w:space="0"/>
                    <w:left w:val="nil"/>
                    <w:bottom w:val="single" w:color="auto" w:sz="4" w:space="0"/>
                    <w:right w:val="single" w:color="auto" w:sz="4" w:space="0"/>
                  </w:tcBorders>
                  <w:vAlign w:val="center"/>
                </w:tcPr>
                <w:p w14:paraId="526F72BE">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0.5</w:t>
                  </w:r>
                </w:p>
              </w:tc>
              <w:tc>
                <w:tcPr>
                  <w:tcW w:w="602" w:type="dxa"/>
                  <w:tcBorders>
                    <w:top w:val="single" w:color="auto" w:sz="4" w:space="0"/>
                    <w:left w:val="nil"/>
                    <w:bottom w:val="single" w:color="auto" w:sz="4" w:space="0"/>
                    <w:right w:val="single" w:color="auto" w:sz="4" w:space="0"/>
                  </w:tcBorders>
                  <w:vAlign w:val="center"/>
                </w:tcPr>
                <w:p w14:paraId="4E84268E">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 xml:space="preserve">0.08 </w:t>
                  </w:r>
                </w:p>
              </w:tc>
              <w:tc>
                <w:tcPr>
                  <w:tcW w:w="852" w:type="dxa"/>
                  <w:tcBorders>
                    <w:top w:val="single" w:color="auto" w:sz="4" w:space="0"/>
                    <w:left w:val="nil"/>
                    <w:bottom w:val="single" w:color="auto" w:sz="4" w:space="0"/>
                    <w:right w:val="single" w:color="auto" w:sz="4" w:space="0"/>
                  </w:tcBorders>
                  <w:vAlign w:val="center"/>
                </w:tcPr>
                <w:p w14:paraId="6D2E5EE8">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w:t>
                  </w:r>
                </w:p>
              </w:tc>
              <w:tc>
                <w:tcPr>
                  <w:tcW w:w="535" w:type="dxa"/>
                  <w:vMerge w:val="continue"/>
                  <w:tcBorders>
                    <w:left w:val="nil"/>
                    <w:bottom w:val="single" w:color="auto" w:sz="4" w:space="0"/>
                    <w:right w:val="single" w:color="auto" w:sz="4" w:space="0"/>
                  </w:tcBorders>
                  <w:vAlign w:val="center"/>
                </w:tcPr>
                <w:p w14:paraId="7BF4FE24">
                  <w:pPr>
                    <w:adjustRightInd w:val="0"/>
                    <w:snapToGrid w:val="0"/>
                    <w:jc w:val="center"/>
                    <w:rPr>
                      <w:rFonts w:hint="default" w:ascii="Times New Roman" w:hAnsi="Times New Roman" w:cs="Times New Roman"/>
                      <w:color w:val="auto"/>
                      <w:sz w:val="18"/>
                      <w:szCs w:val="18"/>
                    </w:rPr>
                  </w:pPr>
                </w:p>
              </w:tc>
            </w:tr>
            <w:tr w14:paraId="71384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2208DA8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w:t>
                  </w:r>
                </w:p>
              </w:tc>
              <w:tc>
                <w:tcPr>
                  <w:tcW w:w="655" w:type="dxa"/>
                  <w:vMerge w:val="continue"/>
                  <w:tcBorders>
                    <w:left w:val="nil"/>
                    <w:right w:val="single" w:color="auto" w:sz="4" w:space="0"/>
                  </w:tcBorders>
                  <w:vAlign w:val="center"/>
                </w:tcPr>
                <w:p w14:paraId="0D6ADDBB">
                  <w:pPr>
                    <w:adjustRightInd w:val="0"/>
                    <w:snapToGrid w:val="0"/>
                    <w:jc w:val="center"/>
                    <w:rPr>
                      <w:rFonts w:hint="default" w:ascii="Times New Roman" w:hAnsi="Times New Roman" w:cs="Times New Roman"/>
                      <w:color w:val="auto"/>
                      <w:sz w:val="18"/>
                      <w:szCs w:val="18"/>
                    </w:rPr>
                  </w:pPr>
                </w:p>
              </w:tc>
              <w:tc>
                <w:tcPr>
                  <w:tcW w:w="811" w:type="dxa"/>
                  <w:tcBorders>
                    <w:top w:val="single" w:color="auto" w:sz="4" w:space="0"/>
                    <w:left w:val="nil"/>
                    <w:bottom w:val="single" w:color="auto" w:sz="4" w:space="0"/>
                    <w:right w:val="single" w:color="auto" w:sz="4" w:space="0"/>
                  </w:tcBorders>
                  <w:vAlign w:val="center"/>
                </w:tcPr>
                <w:p w14:paraId="15364B6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废液压油</w:t>
                  </w:r>
                </w:p>
              </w:tc>
              <w:tc>
                <w:tcPr>
                  <w:tcW w:w="741" w:type="dxa"/>
                  <w:tcBorders>
                    <w:top w:val="single" w:color="auto" w:sz="4" w:space="0"/>
                    <w:left w:val="nil"/>
                    <w:bottom w:val="single" w:color="auto" w:sz="4" w:space="0"/>
                    <w:right w:val="single" w:color="auto" w:sz="4" w:space="0"/>
                  </w:tcBorders>
                  <w:vAlign w:val="center"/>
                </w:tcPr>
                <w:p w14:paraId="59EE13DE">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HW08</w:t>
                  </w:r>
                </w:p>
              </w:tc>
              <w:tc>
                <w:tcPr>
                  <w:tcW w:w="1109" w:type="dxa"/>
                  <w:tcBorders>
                    <w:top w:val="single" w:color="auto" w:sz="4" w:space="0"/>
                    <w:left w:val="nil"/>
                    <w:bottom w:val="single" w:color="auto" w:sz="4" w:space="0"/>
                    <w:right w:val="single" w:color="auto" w:sz="4" w:space="0"/>
                  </w:tcBorders>
                  <w:vAlign w:val="center"/>
                </w:tcPr>
                <w:p w14:paraId="091F832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900-218-08</w:t>
                  </w:r>
                </w:p>
              </w:tc>
              <w:tc>
                <w:tcPr>
                  <w:tcW w:w="569" w:type="dxa"/>
                  <w:vMerge w:val="continue"/>
                  <w:tcBorders>
                    <w:left w:val="nil"/>
                    <w:right w:val="single" w:color="auto" w:sz="4" w:space="0"/>
                  </w:tcBorders>
                  <w:vAlign w:val="center"/>
                </w:tcPr>
                <w:p w14:paraId="623D4B77">
                  <w:pPr>
                    <w:adjustRightInd w:val="0"/>
                    <w:snapToGrid w:val="0"/>
                    <w:jc w:val="center"/>
                    <w:rPr>
                      <w:rFonts w:hint="default" w:ascii="Times New Roman" w:hAnsi="Times New Roman" w:cs="Times New Roman"/>
                      <w:color w:val="auto"/>
                      <w:sz w:val="18"/>
                      <w:szCs w:val="18"/>
                    </w:rPr>
                  </w:pPr>
                </w:p>
              </w:tc>
              <w:tc>
                <w:tcPr>
                  <w:tcW w:w="325" w:type="dxa"/>
                  <w:vMerge w:val="continue"/>
                  <w:tcBorders>
                    <w:left w:val="nil"/>
                    <w:right w:val="single" w:color="auto" w:sz="4" w:space="0"/>
                  </w:tcBorders>
                  <w:vAlign w:val="center"/>
                </w:tcPr>
                <w:p w14:paraId="40C5B816">
                  <w:pPr>
                    <w:adjustRightInd w:val="0"/>
                    <w:snapToGrid w:val="0"/>
                    <w:jc w:val="center"/>
                    <w:rPr>
                      <w:rFonts w:hint="default" w:ascii="Times New Roman" w:hAnsi="Times New Roman" w:cs="Times New Roman"/>
                      <w:color w:val="auto"/>
                      <w:sz w:val="18"/>
                      <w:szCs w:val="18"/>
                    </w:rPr>
                  </w:pPr>
                </w:p>
              </w:tc>
              <w:tc>
                <w:tcPr>
                  <w:tcW w:w="737" w:type="dxa"/>
                  <w:tcBorders>
                    <w:top w:val="single" w:color="auto" w:sz="4" w:space="0"/>
                    <w:left w:val="nil"/>
                    <w:bottom w:val="single" w:color="auto" w:sz="4" w:space="0"/>
                    <w:right w:val="single" w:color="auto" w:sz="4" w:space="0"/>
                  </w:tcBorders>
                  <w:vAlign w:val="center"/>
                </w:tcPr>
                <w:p w14:paraId="30C8813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桶装</w:t>
                  </w:r>
                </w:p>
              </w:tc>
              <w:tc>
                <w:tcPr>
                  <w:tcW w:w="588" w:type="dxa"/>
                  <w:tcBorders>
                    <w:top w:val="single" w:color="auto" w:sz="4" w:space="0"/>
                    <w:left w:val="nil"/>
                    <w:bottom w:val="single" w:color="auto" w:sz="4" w:space="0"/>
                    <w:right w:val="single" w:color="auto" w:sz="4" w:space="0"/>
                  </w:tcBorders>
                  <w:vAlign w:val="center"/>
                </w:tcPr>
                <w:p w14:paraId="38D21121">
                  <w:pPr>
                    <w:pStyle w:val="127"/>
                    <w:snapToGrid w:val="0"/>
                    <w:spacing w:line="240" w:lineRule="auto"/>
                    <w:ind w:firstLine="0" w:firstLineChars="0"/>
                    <w:contextualSpacing/>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0.5</w:t>
                  </w:r>
                </w:p>
              </w:tc>
              <w:tc>
                <w:tcPr>
                  <w:tcW w:w="602" w:type="dxa"/>
                  <w:tcBorders>
                    <w:top w:val="single" w:color="auto" w:sz="4" w:space="0"/>
                    <w:left w:val="nil"/>
                    <w:bottom w:val="single" w:color="auto" w:sz="4" w:space="0"/>
                    <w:right w:val="single" w:color="auto" w:sz="4" w:space="0"/>
                  </w:tcBorders>
                  <w:vAlign w:val="center"/>
                </w:tcPr>
                <w:p w14:paraId="069075FC">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 xml:space="preserve">0.08 </w:t>
                  </w:r>
                </w:p>
              </w:tc>
              <w:tc>
                <w:tcPr>
                  <w:tcW w:w="852" w:type="dxa"/>
                  <w:tcBorders>
                    <w:top w:val="single" w:color="auto" w:sz="4" w:space="0"/>
                    <w:left w:val="nil"/>
                    <w:bottom w:val="single" w:color="auto" w:sz="4" w:space="0"/>
                    <w:right w:val="single" w:color="auto" w:sz="4" w:space="0"/>
                  </w:tcBorders>
                  <w:vAlign w:val="center"/>
                </w:tcPr>
                <w:p w14:paraId="4D8EE713">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w:t>
                  </w:r>
                </w:p>
              </w:tc>
              <w:tc>
                <w:tcPr>
                  <w:tcW w:w="535" w:type="dxa"/>
                  <w:vMerge w:val="continue"/>
                  <w:tcBorders>
                    <w:left w:val="nil"/>
                    <w:bottom w:val="single" w:color="auto" w:sz="4" w:space="0"/>
                    <w:right w:val="single" w:color="auto" w:sz="4" w:space="0"/>
                  </w:tcBorders>
                  <w:vAlign w:val="center"/>
                </w:tcPr>
                <w:p w14:paraId="2F745956">
                  <w:pPr>
                    <w:adjustRightInd w:val="0"/>
                    <w:snapToGrid w:val="0"/>
                    <w:jc w:val="center"/>
                    <w:rPr>
                      <w:rFonts w:hint="default" w:ascii="Times New Roman" w:hAnsi="Times New Roman" w:cs="Times New Roman"/>
                      <w:color w:val="auto"/>
                      <w:sz w:val="18"/>
                      <w:szCs w:val="18"/>
                    </w:rPr>
                  </w:pPr>
                </w:p>
              </w:tc>
            </w:tr>
            <w:tr w14:paraId="1C35E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54EB3A4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c>
                <w:tcPr>
                  <w:tcW w:w="655" w:type="dxa"/>
                  <w:vMerge w:val="continue"/>
                  <w:tcBorders>
                    <w:left w:val="nil"/>
                    <w:right w:val="single" w:color="auto" w:sz="4" w:space="0"/>
                  </w:tcBorders>
                  <w:vAlign w:val="center"/>
                </w:tcPr>
                <w:p w14:paraId="69FACF05">
                  <w:pPr>
                    <w:adjustRightInd w:val="0"/>
                    <w:snapToGrid w:val="0"/>
                    <w:jc w:val="center"/>
                    <w:rPr>
                      <w:rFonts w:hint="default" w:ascii="Times New Roman" w:hAnsi="Times New Roman" w:cs="Times New Roman"/>
                      <w:color w:val="auto"/>
                      <w:sz w:val="18"/>
                      <w:szCs w:val="18"/>
                    </w:rPr>
                  </w:pPr>
                </w:p>
              </w:tc>
              <w:tc>
                <w:tcPr>
                  <w:tcW w:w="811" w:type="dxa"/>
                  <w:tcBorders>
                    <w:top w:val="single" w:color="auto" w:sz="4" w:space="0"/>
                    <w:left w:val="nil"/>
                    <w:bottom w:val="single" w:color="auto" w:sz="4" w:space="0"/>
                    <w:right w:val="single" w:color="auto" w:sz="4" w:space="0"/>
                  </w:tcBorders>
                  <w:vAlign w:val="center"/>
                </w:tcPr>
                <w:p w14:paraId="256EE0D3">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废酸渣</w:t>
                  </w:r>
                </w:p>
              </w:tc>
              <w:tc>
                <w:tcPr>
                  <w:tcW w:w="741" w:type="dxa"/>
                  <w:tcBorders>
                    <w:top w:val="single" w:color="auto" w:sz="4" w:space="0"/>
                    <w:left w:val="nil"/>
                    <w:bottom w:val="single" w:color="auto" w:sz="4" w:space="0"/>
                    <w:right w:val="single" w:color="auto" w:sz="4" w:space="0"/>
                  </w:tcBorders>
                  <w:vAlign w:val="center"/>
                </w:tcPr>
                <w:p w14:paraId="44DDDE8D">
                  <w:pPr>
                    <w:pStyle w:val="125"/>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HW34</w:t>
                  </w:r>
                </w:p>
              </w:tc>
              <w:tc>
                <w:tcPr>
                  <w:tcW w:w="1109" w:type="dxa"/>
                  <w:tcBorders>
                    <w:top w:val="single" w:color="auto" w:sz="4" w:space="0"/>
                    <w:left w:val="nil"/>
                    <w:bottom w:val="single" w:color="auto" w:sz="4" w:space="0"/>
                    <w:right w:val="single" w:color="auto" w:sz="4" w:space="0"/>
                  </w:tcBorders>
                  <w:vAlign w:val="center"/>
                </w:tcPr>
                <w:p w14:paraId="33B71C9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900-349-34</w:t>
                  </w:r>
                </w:p>
              </w:tc>
              <w:tc>
                <w:tcPr>
                  <w:tcW w:w="569" w:type="dxa"/>
                  <w:vMerge w:val="continue"/>
                  <w:tcBorders>
                    <w:left w:val="nil"/>
                    <w:right w:val="single" w:color="auto" w:sz="4" w:space="0"/>
                  </w:tcBorders>
                  <w:vAlign w:val="center"/>
                </w:tcPr>
                <w:p w14:paraId="7090452C">
                  <w:pPr>
                    <w:adjustRightInd w:val="0"/>
                    <w:snapToGrid w:val="0"/>
                    <w:jc w:val="center"/>
                    <w:rPr>
                      <w:rFonts w:hint="default" w:ascii="Times New Roman" w:hAnsi="Times New Roman" w:cs="Times New Roman"/>
                      <w:color w:val="auto"/>
                      <w:sz w:val="18"/>
                      <w:szCs w:val="18"/>
                    </w:rPr>
                  </w:pPr>
                </w:p>
              </w:tc>
              <w:tc>
                <w:tcPr>
                  <w:tcW w:w="325" w:type="dxa"/>
                  <w:vMerge w:val="continue"/>
                  <w:tcBorders>
                    <w:left w:val="nil"/>
                    <w:right w:val="single" w:color="auto" w:sz="4" w:space="0"/>
                  </w:tcBorders>
                  <w:vAlign w:val="center"/>
                </w:tcPr>
                <w:p w14:paraId="28022626">
                  <w:pPr>
                    <w:adjustRightInd w:val="0"/>
                    <w:snapToGrid w:val="0"/>
                    <w:jc w:val="center"/>
                    <w:rPr>
                      <w:rFonts w:hint="default" w:ascii="Times New Roman" w:hAnsi="Times New Roman" w:cs="Times New Roman"/>
                      <w:color w:val="auto"/>
                      <w:sz w:val="18"/>
                      <w:szCs w:val="18"/>
                    </w:rPr>
                  </w:pPr>
                </w:p>
              </w:tc>
              <w:tc>
                <w:tcPr>
                  <w:tcW w:w="737" w:type="dxa"/>
                  <w:tcBorders>
                    <w:top w:val="single" w:color="auto" w:sz="4" w:space="0"/>
                    <w:left w:val="nil"/>
                    <w:bottom w:val="single" w:color="auto" w:sz="4" w:space="0"/>
                    <w:right w:val="single" w:color="auto" w:sz="4" w:space="0"/>
                  </w:tcBorders>
                  <w:vAlign w:val="center"/>
                </w:tcPr>
                <w:p w14:paraId="595E385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袋装</w:t>
                  </w:r>
                </w:p>
              </w:tc>
              <w:tc>
                <w:tcPr>
                  <w:tcW w:w="588" w:type="dxa"/>
                  <w:tcBorders>
                    <w:top w:val="single" w:color="auto" w:sz="4" w:space="0"/>
                    <w:left w:val="nil"/>
                    <w:bottom w:val="single" w:color="auto" w:sz="4" w:space="0"/>
                    <w:right w:val="single" w:color="auto" w:sz="4" w:space="0"/>
                  </w:tcBorders>
                  <w:vAlign w:val="center"/>
                </w:tcPr>
                <w:p w14:paraId="4FB26D3D">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20</w:t>
                  </w:r>
                </w:p>
              </w:tc>
              <w:tc>
                <w:tcPr>
                  <w:tcW w:w="602" w:type="dxa"/>
                  <w:tcBorders>
                    <w:top w:val="single" w:color="auto" w:sz="4" w:space="0"/>
                    <w:left w:val="nil"/>
                    <w:bottom w:val="single" w:color="auto" w:sz="4" w:space="0"/>
                    <w:right w:val="single" w:color="auto" w:sz="4" w:space="0"/>
                  </w:tcBorders>
                  <w:vAlign w:val="center"/>
                </w:tcPr>
                <w:p w14:paraId="72AA3357">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 xml:space="preserve">3.33 </w:t>
                  </w:r>
                </w:p>
              </w:tc>
              <w:tc>
                <w:tcPr>
                  <w:tcW w:w="852" w:type="dxa"/>
                  <w:tcBorders>
                    <w:top w:val="single" w:color="auto" w:sz="4" w:space="0"/>
                    <w:left w:val="nil"/>
                    <w:bottom w:val="single" w:color="auto" w:sz="4" w:space="0"/>
                    <w:right w:val="single" w:color="auto" w:sz="4" w:space="0"/>
                  </w:tcBorders>
                  <w:vAlign w:val="center"/>
                </w:tcPr>
                <w:p w14:paraId="0DDA112D">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w:t>
                  </w:r>
                </w:p>
              </w:tc>
              <w:tc>
                <w:tcPr>
                  <w:tcW w:w="535" w:type="dxa"/>
                  <w:vMerge w:val="continue"/>
                  <w:tcBorders>
                    <w:left w:val="nil"/>
                    <w:bottom w:val="single" w:color="auto" w:sz="4" w:space="0"/>
                    <w:right w:val="single" w:color="auto" w:sz="4" w:space="0"/>
                  </w:tcBorders>
                  <w:vAlign w:val="center"/>
                </w:tcPr>
                <w:p w14:paraId="64D97E9E">
                  <w:pPr>
                    <w:adjustRightInd w:val="0"/>
                    <w:snapToGrid w:val="0"/>
                    <w:jc w:val="center"/>
                    <w:rPr>
                      <w:rFonts w:hint="default" w:ascii="Times New Roman" w:hAnsi="Times New Roman" w:cs="Times New Roman"/>
                      <w:color w:val="auto"/>
                      <w:sz w:val="18"/>
                      <w:szCs w:val="18"/>
                    </w:rPr>
                  </w:pPr>
                </w:p>
              </w:tc>
            </w:tr>
            <w:tr w14:paraId="507AD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dxa"/>
                  <w:tcBorders>
                    <w:top w:val="single" w:color="auto" w:sz="4" w:space="0"/>
                    <w:left w:val="single" w:color="auto" w:sz="4" w:space="0"/>
                    <w:bottom w:val="single" w:color="auto" w:sz="4" w:space="0"/>
                    <w:right w:val="single" w:color="auto" w:sz="4" w:space="0"/>
                  </w:tcBorders>
                  <w:vAlign w:val="center"/>
                </w:tcPr>
                <w:p w14:paraId="6D82E0ED">
                  <w:pPr>
                    <w:adjustRightInd w:val="0"/>
                    <w:snapToGrid w:val="0"/>
                    <w:jc w:val="center"/>
                    <w:rPr>
                      <w:rFonts w:hint="eastAsia"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8</w:t>
                  </w:r>
                </w:p>
              </w:tc>
              <w:tc>
                <w:tcPr>
                  <w:tcW w:w="655" w:type="dxa"/>
                  <w:vMerge w:val="continue"/>
                  <w:tcBorders>
                    <w:left w:val="nil"/>
                    <w:right w:val="single" w:color="auto" w:sz="4" w:space="0"/>
                  </w:tcBorders>
                  <w:vAlign w:val="center"/>
                </w:tcPr>
                <w:p w14:paraId="3BF05DCD">
                  <w:pPr>
                    <w:adjustRightInd w:val="0"/>
                    <w:snapToGrid w:val="0"/>
                    <w:jc w:val="center"/>
                    <w:rPr>
                      <w:rFonts w:hint="default" w:ascii="Times New Roman" w:hAnsi="Times New Roman" w:cs="Times New Roman"/>
                      <w:color w:val="auto"/>
                      <w:sz w:val="18"/>
                      <w:szCs w:val="18"/>
                    </w:rPr>
                  </w:pPr>
                </w:p>
              </w:tc>
              <w:tc>
                <w:tcPr>
                  <w:tcW w:w="811" w:type="dxa"/>
                  <w:tcBorders>
                    <w:top w:val="single" w:color="auto" w:sz="4" w:space="0"/>
                    <w:left w:val="nil"/>
                    <w:bottom w:val="single" w:color="auto" w:sz="4" w:space="0"/>
                    <w:right w:val="single" w:color="auto" w:sz="4" w:space="0"/>
                  </w:tcBorders>
                  <w:vAlign w:val="center"/>
                </w:tcPr>
                <w:p w14:paraId="58FC8E67">
                  <w:pPr>
                    <w:pStyle w:val="125"/>
                    <w:spacing w:line="240" w:lineRule="auto"/>
                    <w:rPr>
                      <w:rFonts w:hint="default" w:ascii="Times New Roman" w:hAnsi="Times New Roman" w:cs="Times New Roman"/>
                      <w:color w:val="auto"/>
                      <w:sz w:val="18"/>
                      <w:szCs w:val="18"/>
                    </w:rPr>
                  </w:pPr>
                  <w:r>
                    <w:rPr>
                      <w:rFonts w:hint="eastAsia" w:cs="Times New Roman"/>
                      <w:color w:val="auto"/>
                      <w:sz w:val="18"/>
                      <w:szCs w:val="18"/>
                      <w:lang w:val="en-US" w:eastAsia="zh-CN"/>
                    </w:rPr>
                    <w:t>再生废液</w:t>
                  </w:r>
                </w:p>
              </w:tc>
              <w:tc>
                <w:tcPr>
                  <w:tcW w:w="741" w:type="dxa"/>
                  <w:tcBorders>
                    <w:top w:val="single" w:color="auto" w:sz="4" w:space="0"/>
                    <w:left w:val="nil"/>
                    <w:bottom w:val="single" w:color="auto" w:sz="4" w:space="0"/>
                    <w:right w:val="single" w:color="auto" w:sz="4" w:space="0"/>
                  </w:tcBorders>
                  <w:vAlign w:val="center"/>
                </w:tcPr>
                <w:p w14:paraId="2B22734C">
                  <w:pPr>
                    <w:pStyle w:val="125"/>
                    <w:spacing w:line="240" w:lineRule="auto"/>
                    <w:rPr>
                      <w:rFonts w:hint="eastAsia"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HW3</w:t>
                  </w:r>
                  <w:r>
                    <w:rPr>
                      <w:rFonts w:hint="eastAsia" w:cs="Times New Roman"/>
                      <w:color w:val="auto"/>
                      <w:sz w:val="18"/>
                      <w:szCs w:val="18"/>
                      <w:lang w:val="en-US" w:eastAsia="zh-CN"/>
                    </w:rPr>
                    <w:t>5</w:t>
                  </w:r>
                </w:p>
              </w:tc>
              <w:tc>
                <w:tcPr>
                  <w:tcW w:w="1109" w:type="dxa"/>
                  <w:tcBorders>
                    <w:top w:val="single" w:color="auto" w:sz="4" w:space="0"/>
                    <w:left w:val="nil"/>
                    <w:bottom w:val="single" w:color="auto" w:sz="4" w:space="0"/>
                    <w:right w:val="single" w:color="auto" w:sz="4" w:space="0"/>
                  </w:tcBorders>
                  <w:vAlign w:val="center"/>
                </w:tcPr>
                <w:p w14:paraId="316F910B">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900-352-35</w:t>
                  </w:r>
                </w:p>
              </w:tc>
              <w:tc>
                <w:tcPr>
                  <w:tcW w:w="569" w:type="dxa"/>
                  <w:vMerge w:val="continue"/>
                  <w:tcBorders>
                    <w:left w:val="nil"/>
                    <w:right w:val="single" w:color="auto" w:sz="4" w:space="0"/>
                  </w:tcBorders>
                  <w:vAlign w:val="center"/>
                </w:tcPr>
                <w:p w14:paraId="4CB2EAF9">
                  <w:pPr>
                    <w:adjustRightInd w:val="0"/>
                    <w:snapToGrid w:val="0"/>
                    <w:jc w:val="center"/>
                    <w:rPr>
                      <w:rFonts w:hint="default" w:ascii="Times New Roman" w:hAnsi="Times New Roman" w:cs="Times New Roman"/>
                      <w:color w:val="auto"/>
                      <w:sz w:val="18"/>
                      <w:szCs w:val="18"/>
                    </w:rPr>
                  </w:pPr>
                </w:p>
              </w:tc>
              <w:tc>
                <w:tcPr>
                  <w:tcW w:w="325" w:type="dxa"/>
                  <w:vMerge w:val="continue"/>
                  <w:tcBorders>
                    <w:left w:val="nil"/>
                    <w:right w:val="single" w:color="auto" w:sz="4" w:space="0"/>
                  </w:tcBorders>
                  <w:vAlign w:val="center"/>
                </w:tcPr>
                <w:p w14:paraId="6A07C12D">
                  <w:pPr>
                    <w:adjustRightInd w:val="0"/>
                    <w:snapToGrid w:val="0"/>
                    <w:jc w:val="center"/>
                    <w:rPr>
                      <w:rFonts w:hint="default" w:ascii="Times New Roman" w:hAnsi="Times New Roman" w:cs="Times New Roman"/>
                      <w:color w:val="auto"/>
                      <w:sz w:val="18"/>
                      <w:szCs w:val="18"/>
                    </w:rPr>
                  </w:pPr>
                </w:p>
              </w:tc>
              <w:tc>
                <w:tcPr>
                  <w:tcW w:w="737" w:type="dxa"/>
                  <w:tcBorders>
                    <w:top w:val="single" w:color="auto" w:sz="4" w:space="0"/>
                    <w:left w:val="nil"/>
                    <w:bottom w:val="single" w:color="auto" w:sz="4" w:space="0"/>
                    <w:right w:val="single" w:color="auto" w:sz="4" w:space="0"/>
                  </w:tcBorders>
                  <w:vAlign w:val="center"/>
                </w:tcPr>
                <w:p w14:paraId="0CCBC25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桶装</w:t>
                  </w:r>
                </w:p>
              </w:tc>
              <w:tc>
                <w:tcPr>
                  <w:tcW w:w="588" w:type="dxa"/>
                  <w:tcBorders>
                    <w:top w:val="single" w:color="auto" w:sz="4" w:space="0"/>
                    <w:left w:val="nil"/>
                    <w:bottom w:val="single" w:color="auto" w:sz="4" w:space="0"/>
                    <w:right w:val="single" w:color="auto" w:sz="4" w:space="0"/>
                  </w:tcBorders>
                  <w:vAlign w:val="center"/>
                </w:tcPr>
                <w:p w14:paraId="4495D4B2">
                  <w:pPr>
                    <w:pStyle w:val="125"/>
                    <w:spacing w:line="240" w:lineRule="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w:t>
                  </w:r>
                </w:p>
              </w:tc>
              <w:tc>
                <w:tcPr>
                  <w:tcW w:w="602" w:type="dxa"/>
                  <w:tcBorders>
                    <w:top w:val="single" w:color="auto" w:sz="4" w:space="0"/>
                    <w:left w:val="nil"/>
                    <w:bottom w:val="single" w:color="auto" w:sz="4" w:space="0"/>
                    <w:right w:val="single" w:color="auto" w:sz="4" w:space="0"/>
                  </w:tcBorders>
                  <w:vAlign w:val="center"/>
                </w:tcPr>
                <w:p w14:paraId="6633BB92">
                  <w:pPr>
                    <w:adjustRightInd w:val="0"/>
                    <w:snapToGrid w:val="0"/>
                    <w:jc w:val="center"/>
                    <w:rPr>
                      <w:rFonts w:hint="default" w:cs="Times New Roman"/>
                      <w:color w:val="auto"/>
                      <w:sz w:val="18"/>
                      <w:szCs w:val="18"/>
                      <w:lang w:val="en-US" w:eastAsia="zh-CN"/>
                    </w:rPr>
                  </w:pPr>
                  <w:r>
                    <w:rPr>
                      <w:rFonts w:hint="eastAsia" w:cs="Times New Roman"/>
                      <w:color w:val="auto"/>
                      <w:sz w:val="18"/>
                      <w:szCs w:val="18"/>
                      <w:lang w:val="en-US" w:eastAsia="zh-CN"/>
                    </w:rPr>
                    <w:t xml:space="preserve">0.17 </w:t>
                  </w:r>
                </w:p>
              </w:tc>
              <w:tc>
                <w:tcPr>
                  <w:tcW w:w="852" w:type="dxa"/>
                  <w:tcBorders>
                    <w:top w:val="single" w:color="auto" w:sz="4" w:space="0"/>
                    <w:left w:val="nil"/>
                    <w:bottom w:val="single" w:color="auto" w:sz="4" w:space="0"/>
                    <w:right w:val="single" w:color="auto" w:sz="4" w:space="0"/>
                  </w:tcBorders>
                  <w:vAlign w:val="center"/>
                </w:tcPr>
                <w:p w14:paraId="2BCB2F1C">
                  <w:pPr>
                    <w:adjustRightInd w:val="0"/>
                    <w:snapToGrid w:val="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0.5</w:t>
                  </w:r>
                </w:p>
              </w:tc>
              <w:tc>
                <w:tcPr>
                  <w:tcW w:w="535" w:type="dxa"/>
                  <w:tcBorders>
                    <w:left w:val="nil"/>
                    <w:bottom w:val="single" w:color="auto" w:sz="4" w:space="0"/>
                    <w:right w:val="single" w:color="auto" w:sz="4" w:space="0"/>
                  </w:tcBorders>
                  <w:vAlign w:val="center"/>
                </w:tcPr>
                <w:p w14:paraId="43DC0650">
                  <w:pPr>
                    <w:adjustRightInd w:val="0"/>
                    <w:snapToGrid w:val="0"/>
                    <w:jc w:val="center"/>
                    <w:rPr>
                      <w:rFonts w:hint="default" w:ascii="Times New Roman" w:hAnsi="Times New Roman" w:cs="Times New Roman"/>
                      <w:color w:val="auto"/>
                      <w:sz w:val="18"/>
                      <w:szCs w:val="18"/>
                    </w:rPr>
                  </w:pPr>
                </w:p>
              </w:tc>
            </w:tr>
            <w:tr w14:paraId="14659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933" w:type="dxa"/>
                  <w:gridSpan w:val="12"/>
                  <w:tcBorders>
                    <w:top w:val="single" w:color="auto" w:sz="4" w:space="0"/>
                    <w:left w:val="single" w:color="auto" w:sz="4" w:space="0"/>
                    <w:bottom w:val="single" w:color="auto" w:sz="4" w:space="0"/>
                    <w:right w:val="single" w:color="auto" w:sz="4" w:space="0"/>
                  </w:tcBorders>
                  <w:vAlign w:val="center"/>
                </w:tcPr>
                <w:p w14:paraId="1C1A2BED">
                  <w:pPr>
                    <w:adjustRightInd w:val="0"/>
                    <w:snapToGrid w:val="0"/>
                    <w:jc w:val="lef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注：贮存能力占地面积=贮存能力/密度/1m*(1.2~2)，其中1m指堆放高度，（1.2~2）为袋或桶之间的堆放间隙系数，废酸储存在废酸罐。</w:t>
                  </w:r>
                </w:p>
              </w:tc>
            </w:tr>
          </w:tbl>
          <w:p w14:paraId="2E6DAC9B">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企业新建危废仓库，用于暂存本项目危废，占地面积约</w:t>
            </w:r>
            <w:r>
              <w:rPr>
                <w:rFonts w:hint="eastAsia" w:cs="Times New Roman"/>
                <w:color w:val="auto"/>
                <w:kern w:val="0"/>
                <w:sz w:val="24"/>
                <w:lang w:val="en-US" w:eastAsia="zh-CN"/>
              </w:rPr>
              <w:t>25</w:t>
            </w:r>
            <w:r>
              <w:rPr>
                <w:rFonts w:hint="default" w:ascii="Times New Roman" w:hAnsi="Times New Roman" w:cs="Times New Roman"/>
                <w:color w:val="auto"/>
                <w:kern w:val="0"/>
                <w:sz w:val="24"/>
              </w:rPr>
              <w:t>m</w:t>
            </w:r>
            <w:r>
              <w:rPr>
                <w:rFonts w:hint="default" w:ascii="Times New Roman" w:hAnsi="Times New Roman" w:cs="Times New Roman"/>
                <w:color w:val="auto"/>
                <w:kern w:val="0"/>
                <w:sz w:val="24"/>
                <w:vertAlign w:val="superscript"/>
              </w:rPr>
              <w:t>2</w:t>
            </w:r>
            <w:r>
              <w:rPr>
                <w:rFonts w:hint="default" w:ascii="Times New Roman" w:hAnsi="Times New Roman" w:cs="Times New Roman"/>
                <w:color w:val="auto"/>
                <w:kern w:val="0"/>
                <w:sz w:val="24"/>
              </w:rPr>
              <w:t>。本次项目每种危险废物的贮存周期均为2个月左右，本项目危废贮存占地面积</w:t>
            </w:r>
            <w:r>
              <w:rPr>
                <w:rFonts w:hint="eastAsia" w:cs="Times New Roman"/>
                <w:color w:val="auto"/>
                <w:kern w:val="0"/>
                <w:sz w:val="24"/>
                <w:lang w:val="en-US" w:eastAsia="zh-CN"/>
              </w:rPr>
              <w:t>19.5</w:t>
            </w:r>
            <w:r>
              <w:rPr>
                <w:rFonts w:hint="default" w:ascii="Times New Roman" w:hAnsi="Times New Roman" w:cs="Times New Roman"/>
                <w:color w:val="auto"/>
                <w:kern w:val="0"/>
                <w:sz w:val="24"/>
              </w:rPr>
              <w:t>m</w:t>
            </w:r>
            <w:r>
              <w:rPr>
                <w:rFonts w:hint="default" w:ascii="Times New Roman" w:hAnsi="Times New Roman" w:cs="Times New Roman"/>
                <w:color w:val="auto"/>
                <w:kern w:val="0"/>
                <w:sz w:val="24"/>
                <w:vertAlign w:val="superscript"/>
              </w:rPr>
              <w:t>2</w:t>
            </w:r>
            <w:r>
              <w:rPr>
                <w:rFonts w:hint="default" w:ascii="Times New Roman" w:hAnsi="Times New Roman" w:cs="Times New Roman"/>
                <w:color w:val="auto"/>
                <w:kern w:val="0"/>
                <w:sz w:val="24"/>
              </w:rPr>
              <w:t>，危险废物暂存场贮存能力上可以满足本次项目危废的贮存。本次要求企业危废暂存间内地面做好防渗防漏工作，四周设置防溢流裙角，危废暂存区域车间地面拟采用混凝土浇筑，防渗系数保证符合标准要求，贮存（暂存）区域应为独立全封闭的区域，按照《危险废物贮存污染控制标准》相关规定做好防风、防雨、防晒、防渗漏等“四防措施”。</w:t>
            </w:r>
          </w:p>
          <w:p w14:paraId="18B310C7">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5、固体废物环境影响分析小结</w:t>
            </w:r>
          </w:p>
          <w:p w14:paraId="5BB9FCD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根据国家对危险废物处置减量化、资源化和无害化的技术政策，本项目拟采取以下措施：</w:t>
            </w:r>
          </w:p>
          <w:p w14:paraId="5A04AE3F">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（1）一般工业固体废物</w:t>
            </w:r>
          </w:p>
          <w:p w14:paraId="72264488">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一般工业固体废物收集后在仓库内暂存，一般固废仓库面积约30m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，位于车间北侧，一般工业固体废物外运综合利用等。</w:t>
            </w:r>
          </w:p>
          <w:p w14:paraId="62B72AF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企业应当按照《一般工业固体废物贮存、处置场污染控制标准》(GB 18599-2020)要求建设一般固废暂存场所，做好防风、防雨、地面硬化等措施，并完善一般固废识别标志。建立健全工业固体废物产生、收集、贮存、运输、利用、处置全过程的污染环境防治责任制度，建立工业固体废物管理台账，如实记录产生工业固体废物的种类、数量、流向、贮存、利用、处置等信息，实现工业固体废物可追溯、可查询。企业应当向所在地生态环境主管部门提供工业固体废物的种类、数量、流向、贮存、利用、处置等有关资料，以及减少工业固体废物产生、促进综合利用的具体措施，并执行排污许可管理制度的相关规定。</w:t>
            </w:r>
          </w:p>
          <w:p w14:paraId="33A80DCA">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（2）危险固废</w:t>
            </w:r>
          </w:p>
          <w:p w14:paraId="0C6B578B">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国家危险废物名录(2025年本)》，项目产生的废润滑油等属危险废物，企业拟委托有资质单位进行安全处置。各类危废在厂内暂存期间，严格按照危废贮存要求妥善保管、封存，并做好相应场所的防渗、防漏工作。</w:t>
            </w:r>
          </w:p>
          <w:p w14:paraId="4EE972D3">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fldChar w:fldCharType="begin"/>
            </w:r>
            <w:r>
              <w:rPr>
                <w:rFonts w:hint="default" w:ascii="Times New Roman" w:hAnsi="Times New Roman" w:cs="Times New Roman"/>
                <w:bCs/>
                <w:color w:val="auto"/>
                <w:sz w:val="24"/>
              </w:rPr>
              <w:instrText xml:space="preserve"> = 1 \* GB3 \* MERGEFORMAT </w:instrText>
            </w:r>
            <w:r>
              <w:rPr>
                <w:rFonts w:hint="default" w:ascii="Times New Roman" w:hAnsi="Times New Roman" w:cs="Times New Roman"/>
                <w:bCs/>
                <w:color w:val="auto"/>
                <w:sz w:val="24"/>
              </w:rPr>
              <w:fldChar w:fldCharType="separate"/>
            </w:r>
            <w:r>
              <w:rPr>
                <w:rFonts w:hint="default" w:ascii="Times New Roman" w:hAnsi="Times New Roman" w:cs="Times New Roman"/>
                <w:color w:val="auto"/>
                <w:sz w:val="24"/>
              </w:rPr>
              <w:t>①</w:t>
            </w:r>
            <w:r>
              <w:rPr>
                <w:rFonts w:hint="default" w:ascii="Times New Roman" w:hAnsi="Times New Roman" w:cs="Times New Roman"/>
                <w:color w:val="auto"/>
                <w:sz w:val="24"/>
              </w:rPr>
              <w:fldChar w:fldCharType="end"/>
            </w:r>
            <w:r>
              <w:rPr>
                <w:rFonts w:hint="default" w:ascii="Times New Roman" w:hAnsi="Times New Roman" w:cs="Times New Roman"/>
                <w:bCs/>
                <w:color w:val="auto"/>
                <w:sz w:val="24"/>
              </w:rPr>
              <w:t>要求企业履行申报的登记制度、建立危废管理台账制度，每种危废一本；及时登记各种危废的产生、转移、处置情况。</w:t>
            </w:r>
          </w:p>
          <w:p w14:paraId="6CD4E75E">
            <w:pPr>
              <w:adjustRightInd w:val="0"/>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fldChar w:fldCharType="begin"/>
            </w:r>
            <w:r>
              <w:rPr>
                <w:rFonts w:hint="default" w:ascii="Times New Roman" w:hAnsi="Times New Roman" w:cs="Times New Roman"/>
                <w:bCs/>
                <w:color w:val="auto"/>
                <w:sz w:val="24"/>
              </w:rPr>
              <w:instrText xml:space="preserve"> = 2 \* GB3 \* MERGEFORMAT </w:instrText>
            </w:r>
            <w:r>
              <w:rPr>
                <w:rFonts w:hint="default" w:ascii="Times New Roman" w:hAnsi="Times New Roman" w:cs="Times New Roman"/>
                <w:bCs/>
                <w:color w:val="auto"/>
                <w:sz w:val="24"/>
              </w:rPr>
              <w:fldChar w:fldCharType="separate"/>
            </w:r>
            <w:r>
              <w:rPr>
                <w:rFonts w:hint="default" w:ascii="Times New Roman" w:hAnsi="Times New Roman" w:cs="Times New Roman"/>
                <w:color w:val="auto"/>
                <w:sz w:val="24"/>
              </w:rPr>
              <w:t>②</w:t>
            </w:r>
            <w:r>
              <w:rPr>
                <w:rFonts w:hint="default" w:ascii="Times New Roman" w:hAnsi="Times New Roman" w:cs="Times New Roman"/>
                <w:color w:val="auto"/>
                <w:sz w:val="24"/>
              </w:rPr>
              <w:fldChar w:fldCharType="end"/>
            </w:r>
            <w:r>
              <w:rPr>
                <w:rFonts w:hint="default" w:ascii="Times New Roman" w:hAnsi="Times New Roman" w:cs="Times New Roman"/>
                <w:bCs/>
                <w:color w:val="auto"/>
                <w:sz w:val="24"/>
              </w:rPr>
              <w:t>应将危险废物处置办法报请环保行政管理部门批准后才可实施，禁止私自处置危险废物。对危险废物的转移运输应按《危险废物转移联单管理办法》的规定报批危废物转移计划，填写好转运联单，并必须交由有资质的单位承运。做好外运处置废弃物的运输登记，认真填写危险废物转移联单（每种废物填写一份联单），并加盖公司公章，经运输单位核实验收签字后，将联单第一联副联自留存档，将联单第二联交移出地生态环境主管部门，第三联及其余联交付运输单位，随危险废物转移运行。将第四联交接受单位，第五联交接受地生态环境局。</w:t>
            </w:r>
          </w:p>
          <w:p w14:paraId="373F6629">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（3）危险废物运输过程相关要求及环境影响分析</w:t>
            </w:r>
          </w:p>
          <w:p w14:paraId="5FFC5C41">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企业应制定定期外运制度，对危险废物的流向和最终处置进行跟踪，确保危险废物安全达到处置单位并得到有效处置，禁止在转移过程中将危险废物排放至环境中，防止运输过程中危险废物对周边环境的污染和侵害。</w:t>
            </w:r>
          </w:p>
          <w:p w14:paraId="1B1369BD">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具体应做到：a、分类收集、放置不同类型、不同性质的危险废物，禁止将危险废物与乘客在同一运输工具上载运；b、危险废物在厂区内运输时，必须先将危险废物密闭置于专用包装物或容器内，并确保包装物或容器完好无损，防止危险废物在运输过程中散落、泄露等；c、厂区内地面需水泥硬化，危险废物转运时采用专用车转运，并做好密闭、遮盖、捆扎等保护措施；d、负责运输危险废物的人员应当接受专业培训；危废由危废处理资质单位专用车辆运输，在运输过程中应挑选合适的路线，尽可能避开敏感点，防止对敏感点造成影响。</w:t>
            </w:r>
          </w:p>
          <w:p w14:paraId="531EE3CB">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（4）委托利用或者处置要求及环境影响分析</w:t>
            </w:r>
          </w:p>
          <w:p w14:paraId="48C396E5">
            <w:pPr>
              <w:pStyle w:val="17"/>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rPr>
              <w:t>本项目不自行处理危险废物，将委托有相应类别的危废处理资质的单位进行处理。要求企业尽快将危险废物定期委托处理。只要企业按要求委托处置项目产生的危险废物，则危险废物对周边环境不会产生影响。</w:t>
            </w:r>
          </w:p>
          <w:p w14:paraId="366FCB15">
            <w:pPr>
              <w:snapToGrid w:val="0"/>
              <w:spacing w:line="360" w:lineRule="auto"/>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4.2.9地下水、土壤</w:t>
            </w:r>
          </w:p>
          <w:p w14:paraId="4E8A131A">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1、地下水、土壤环境影响因素识别</w:t>
            </w:r>
          </w:p>
          <w:p w14:paraId="18EC003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本项目对地下水、土壤环境可能造成影响的污染源主要是危废仓库、罐区等区域。</w:t>
            </w:r>
          </w:p>
          <w:p w14:paraId="4CADC72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2、污染途径分析</w:t>
            </w:r>
          </w:p>
          <w:p w14:paraId="15C7320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土壤、地下水主要污染途径为：大气沉降、地表漫流、垂直入渗等污染途径，项目不涉及第一类重金属、持久性难降解挥发性有机物，地下水、土壤污染风险较小。</w:t>
            </w:r>
          </w:p>
          <w:p w14:paraId="3EB70826">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3、污染防治措施</w:t>
            </w:r>
          </w:p>
          <w:p w14:paraId="6E047A1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根据各厂区可能泄漏至地面区域污染物的性质和生产单元的构筑方式，将厂区划分为非污染防治区、一般污染防治区和重点污染防治区。</w:t>
            </w:r>
          </w:p>
          <w:p w14:paraId="26152422">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非污染防治区：指不会对地下水环境造成污染的区域。主要包括管理区域等。</w:t>
            </w:r>
          </w:p>
          <w:p w14:paraId="6648B7AC">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一般污染防治区：指裸露地面的生产功能单元，污染地下水环境的物料泄漏容易及时发现和处理的区域。主要包括生产车间等。</w:t>
            </w:r>
          </w:p>
          <w:p w14:paraId="5564375B">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一般污染区防渗要求：操作条件下的单位面积渗透量不大于厚度为1m粘土层(渗透系数≤10</w:t>
            </w:r>
            <w:r>
              <w:rPr>
                <w:rFonts w:hint="default" w:ascii="Times New Roman" w:hAnsi="Times New Roman" w:cs="Times New Roman"/>
                <w:color w:val="auto"/>
                <w:sz w:val="24"/>
                <w:vertAlign w:val="superscript"/>
              </w:rPr>
              <w:t>-7</w:t>
            </w:r>
            <w:r>
              <w:rPr>
                <w:rFonts w:hint="default" w:ascii="Times New Roman" w:hAnsi="Times New Roman" w:cs="Times New Roman"/>
                <w:color w:val="auto"/>
                <w:sz w:val="24"/>
              </w:rPr>
              <w:t>cm/s)，或2mm厚HDPE膜渗透系数K=1×10</w:t>
            </w:r>
            <w:r>
              <w:rPr>
                <w:rFonts w:hint="default" w:ascii="Times New Roman" w:hAnsi="Times New Roman" w:cs="Times New Roman"/>
                <w:color w:val="auto"/>
                <w:sz w:val="24"/>
                <w:vertAlign w:val="superscript"/>
              </w:rPr>
              <w:t>-10</w:t>
            </w:r>
            <w:r>
              <w:rPr>
                <w:rFonts w:hint="default" w:ascii="Times New Roman" w:hAnsi="Times New Roman" w:cs="Times New Roman"/>
                <w:color w:val="auto"/>
                <w:sz w:val="24"/>
              </w:rPr>
              <w:t>cm/s防渗层的渗透量。</w:t>
            </w:r>
          </w:p>
          <w:p w14:paraId="7CD3C6B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重点污染防治区：指位于地下或半地下的生产功能单元，污染地下水环境的物料长期贮存或泄漏不容易及时发现和处理的区域。主要包括危废仓库、罐区等。</w:t>
            </w:r>
          </w:p>
          <w:p w14:paraId="53A1FE0F">
            <w:pPr>
              <w:spacing w:line="360" w:lineRule="auto"/>
              <w:ind w:firstLine="480" w:firstLineChars="200"/>
              <w:rPr>
                <w:rFonts w:hint="default" w:ascii="Times New Roman" w:hAnsi="Times New Roman" w:cs="Times New Roman"/>
                <w:color w:val="auto"/>
                <w:szCs w:val="21"/>
              </w:rPr>
            </w:pPr>
            <w:r>
              <w:rPr>
                <w:rFonts w:hint="default" w:ascii="Times New Roman" w:hAnsi="Times New Roman" w:cs="Times New Roman"/>
                <w:color w:val="auto"/>
                <w:sz w:val="24"/>
              </w:rPr>
              <w:t>重点污染区防渗要求：操作条件下的单位面积渗透量不大于厚度为6m，饱和渗透系数≤10</w:t>
            </w:r>
            <w:r>
              <w:rPr>
                <w:rFonts w:hint="default" w:ascii="Times New Roman" w:hAnsi="Times New Roman" w:cs="Times New Roman"/>
                <w:color w:val="auto"/>
                <w:sz w:val="24"/>
                <w:vertAlign w:val="superscript"/>
              </w:rPr>
              <w:t>-7</w:t>
            </w:r>
            <w:r>
              <w:rPr>
                <w:rFonts w:hint="default" w:ascii="Times New Roman" w:hAnsi="Times New Roman" w:cs="Times New Roman"/>
                <w:color w:val="auto"/>
                <w:sz w:val="24"/>
              </w:rPr>
              <w:t>cm/s，或3mm厚HDPE膜渗透系数K=1×10</w:t>
            </w:r>
            <w:r>
              <w:rPr>
                <w:rFonts w:hint="default" w:ascii="Times New Roman" w:hAnsi="Times New Roman" w:cs="Times New Roman"/>
                <w:color w:val="auto"/>
                <w:sz w:val="24"/>
                <w:vertAlign w:val="superscript"/>
              </w:rPr>
              <w:t>-12</w:t>
            </w:r>
            <w:r>
              <w:rPr>
                <w:rFonts w:hint="default" w:ascii="Times New Roman" w:hAnsi="Times New Roman" w:cs="Times New Roman"/>
                <w:color w:val="auto"/>
                <w:sz w:val="24"/>
              </w:rPr>
              <w:t>cm/s防渗层的渗透量，防渗能力与《危险废物填埋场污染控制标准》(GB18598-2001)第6.5.1条等效。</w:t>
            </w:r>
          </w:p>
          <w:p w14:paraId="207CD5F9">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表4.2.9-1 项目各区域地下水、土壤污染防治要求</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0"/>
              <w:gridCol w:w="5826"/>
            </w:tblGrid>
            <w:tr w14:paraId="6A603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2110" w:type="dxa"/>
                  <w:tcBorders>
                    <w:top w:val="single" w:color="auto" w:sz="4" w:space="0"/>
                    <w:left w:val="single" w:color="auto" w:sz="4" w:space="0"/>
                    <w:bottom w:val="single" w:color="auto" w:sz="4" w:space="0"/>
                    <w:right w:val="single" w:color="auto" w:sz="4" w:space="0"/>
                  </w:tcBorders>
                  <w:vAlign w:val="center"/>
                </w:tcPr>
                <w:p w14:paraId="2EFDFB8D">
                  <w:pPr>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污染防治区类别</w:t>
                  </w:r>
                </w:p>
              </w:tc>
              <w:tc>
                <w:tcPr>
                  <w:tcW w:w="5826" w:type="dxa"/>
                  <w:tcBorders>
                    <w:top w:val="single" w:color="auto" w:sz="4" w:space="0"/>
                    <w:left w:val="nil"/>
                    <w:bottom w:val="single" w:color="auto" w:sz="4" w:space="0"/>
                    <w:right w:val="single" w:color="auto" w:sz="4" w:space="0"/>
                  </w:tcBorders>
                  <w:vAlign w:val="center"/>
                </w:tcPr>
                <w:p w14:paraId="60113D12">
                  <w:pPr>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分区位置</w:t>
                  </w:r>
                </w:p>
              </w:tc>
            </w:tr>
            <w:tr w14:paraId="40C2A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2110" w:type="dxa"/>
                  <w:tcBorders>
                    <w:top w:val="single" w:color="auto" w:sz="4" w:space="0"/>
                    <w:left w:val="single" w:color="auto" w:sz="4" w:space="0"/>
                    <w:bottom w:val="single" w:color="auto" w:sz="4" w:space="0"/>
                    <w:right w:val="single" w:color="auto" w:sz="4" w:space="0"/>
                  </w:tcBorders>
                  <w:vAlign w:val="center"/>
                </w:tcPr>
                <w:p w14:paraId="1308D5F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非污染区</w:t>
                  </w:r>
                </w:p>
              </w:tc>
              <w:tc>
                <w:tcPr>
                  <w:tcW w:w="5826" w:type="dxa"/>
                  <w:tcBorders>
                    <w:top w:val="single" w:color="auto" w:sz="4" w:space="0"/>
                    <w:left w:val="nil"/>
                    <w:bottom w:val="single" w:color="auto" w:sz="4" w:space="0"/>
                    <w:right w:val="single" w:color="auto" w:sz="4" w:space="0"/>
                  </w:tcBorders>
                  <w:vAlign w:val="center"/>
                </w:tcPr>
                <w:p w14:paraId="53AA50CD">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办公区</w:t>
                  </w:r>
                </w:p>
              </w:tc>
            </w:tr>
            <w:tr w14:paraId="4DCF4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2110" w:type="dxa"/>
                  <w:tcBorders>
                    <w:top w:val="single" w:color="auto" w:sz="4" w:space="0"/>
                    <w:left w:val="single" w:color="auto" w:sz="4" w:space="0"/>
                    <w:bottom w:val="single" w:color="auto" w:sz="4" w:space="0"/>
                    <w:right w:val="single" w:color="auto" w:sz="4" w:space="0"/>
                  </w:tcBorders>
                  <w:vAlign w:val="center"/>
                </w:tcPr>
                <w:p w14:paraId="5BD5A0C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一般污染防治区</w:t>
                  </w:r>
                </w:p>
              </w:tc>
              <w:tc>
                <w:tcPr>
                  <w:tcW w:w="5826" w:type="dxa"/>
                  <w:tcBorders>
                    <w:top w:val="single" w:color="auto" w:sz="4" w:space="0"/>
                    <w:left w:val="nil"/>
                    <w:bottom w:val="single" w:color="auto" w:sz="4" w:space="0"/>
                    <w:right w:val="single" w:color="auto" w:sz="4" w:space="0"/>
                  </w:tcBorders>
                  <w:vAlign w:val="center"/>
                </w:tcPr>
                <w:p w14:paraId="60DB01A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生产车间</w:t>
                  </w:r>
                </w:p>
              </w:tc>
            </w:tr>
            <w:tr w14:paraId="2D460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2110" w:type="dxa"/>
                  <w:tcBorders>
                    <w:top w:val="single" w:color="auto" w:sz="4" w:space="0"/>
                    <w:left w:val="single" w:color="auto" w:sz="4" w:space="0"/>
                    <w:bottom w:val="single" w:color="auto" w:sz="4" w:space="0"/>
                    <w:right w:val="single" w:color="auto" w:sz="4" w:space="0"/>
                  </w:tcBorders>
                  <w:vAlign w:val="center"/>
                </w:tcPr>
                <w:p w14:paraId="0604B49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重点污染防治区</w:t>
                  </w:r>
                </w:p>
              </w:tc>
              <w:tc>
                <w:tcPr>
                  <w:tcW w:w="5826" w:type="dxa"/>
                  <w:tcBorders>
                    <w:top w:val="single" w:color="auto" w:sz="4" w:space="0"/>
                    <w:left w:val="nil"/>
                    <w:bottom w:val="single" w:color="auto" w:sz="4" w:space="0"/>
                    <w:right w:val="single" w:color="auto" w:sz="4" w:space="0"/>
                  </w:tcBorders>
                  <w:vAlign w:val="center"/>
                </w:tcPr>
                <w:p w14:paraId="21D4020D">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危废暂存间、</w:t>
                  </w:r>
                  <w:r>
                    <w:rPr>
                      <w:rFonts w:hint="eastAsia" w:ascii="Times New Roman" w:hAnsi="Times New Roman" w:cs="Times New Roman"/>
                      <w:color w:val="auto"/>
                      <w:sz w:val="18"/>
                      <w:szCs w:val="18"/>
                      <w:highlight w:val="none"/>
                      <w:lang w:val="en-US" w:eastAsia="zh-CN"/>
                    </w:rPr>
                    <w:t>罐区</w:t>
                  </w:r>
                  <w:r>
                    <w:rPr>
                      <w:rFonts w:hint="eastAsia" w:ascii="Times New Roman" w:hAnsi="Times New Roman" w:cs="Times New Roman"/>
                      <w:color w:val="auto"/>
                      <w:sz w:val="18"/>
                      <w:szCs w:val="18"/>
                      <w:highlight w:val="none"/>
                    </w:rPr>
                    <w:t>、酸洗区、污水处理站、污水收集管沟管线</w:t>
                  </w:r>
                </w:p>
              </w:tc>
            </w:tr>
          </w:tbl>
          <w:p w14:paraId="0B60FF06">
            <w:pPr>
              <w:pStyle w:val="29"/>
              <w:spacing w:before="0" w:beforeAutospacing="0" w:after="0" w:afterAutospacing="0"/>
              <w:jc w:val="center"/>
              <w:rPr>
                <w:rFonts w:hint="default" w:ascii="Times New Roman" w:hAnsi="Times New Roman" w:cs="Times New Roman"/>
                <w:b/>
                <w:bCs/>
                <w:color w:val="auto"/>
                <w:kern w:val="2"/>
                <w:sz w:val="21"/>
                <w:szCs w:val="21"/>
              </w:rPr>
            </w:pPr>
            <w:r>
              <w:rPr>
                <w:rFonts w:hint="default" w:ascii="Times New Roman" w:hAnsi="Times New Roman" w:cs="Times New Roman"/>
                <w:color w:val="auto"/>
              </w:rPr>
              <w:object>
                <v:shape id="_x0000_i1033" o:spt="75" type="#_x0000_t75" style="height:217.55pt;width:392.1pt;" o:ole="t" filled="f" o:preferrelative="t" stroked="f" coordsize="21600,21600">
                  <v:path/>
                  <v:fill on="f" focussize="0,0"/>
                  <v:stroke on="f"/>
                  <v:imagedata r:id="rId37" o:title=""/>
                  <o:lock v:ext="edit" aspectratio="f"/>
                  <w10:wrap type="none"/>
                  <w10:anchorlock/>
                </v:shape>
                <o:OLEObject Type="Embed" ProgID="Visio.Drawing.15" ShapeID="_x0000_i1033" DrawAspect="Content" ObjectID="_1468075737" r:id="rId36">
                  <o:LockedField>false</o:LockedField>
                </o:OLEObject>
              </w:object>
            </w:r>
            <w:r>
              <w:rPr>
                <w:rFonts w:hint="default" w:ascii="Times New Roman" w:hAnsi="Times New Roman" w:cs="Times New Roman"/>
                <w:b/>
                <w:bCs/>
                <w:color w:val="auto"/>
                <w:kern w:val="2"/>
                <w:sz w:val="21"/>
                <w:szCs w:val="21"/>
              </w:rPr>
              <w:t>图4.2.9-1  地下水分区防控示意图</w:t>
            </w:r>
          </w:p>
          <w:p w14:paraId="48036ECE">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酸洗釜等设备架空设置，并做好日常地下水、土壤防护工作，环保设施及相关防渗系统应定时进行检修维护，一旦发现污染物泄漏应立即采取应急响应，截断污染源并根据污染情况采取土壤、地下水保护措施。</w:t>
            </w:r>
          </w:p>
          <w:p w14:paraId="3BA896F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4、影响分析</w:t>
            </w:r>
          </w:p>
          <w:p w14:paraId="0E77CFAE">
            <w:pPr>
              <w:snapToGrid w:val="0"/>
              <w:spacing w:line="360" w:lineRule="auto"/>
              <w:ind w:firstLine="480" w:firstLineChars="200"/>
              <w:rPr>
                <w:rFonts w:hint="default" w:ascii="Times New Roman" w:hAnsi="Times New Roman" w:cs="Times New Roman"/>
                <w:b/>
                <w:bCs/>
                <w:color w:val="auto"/>
                <w:sz w:val="24"/>
              </w:rPr>
            </w:pPr>
            <w:r>
              <w:rPr>
                <w:rFonts w:hint="default" w:ascii="Times New Roman" w:hAnsi="Times New Roman" w:cs="Times New Roman"/>
                <w:color w:val="auto"/>
                <w:sz w:val="24"/>
              </w:rPr>
              <w:t>本项目实施后废气主要为颗粒物、氯化氢、氟化氢，废水污染物主要为COD</w:t>
            </w:r>
            <w:r>
              <w:rPr>
                <w:rFonts w:hint="default" w:ascii="Times New Roman" w:hAnsi="Times New Roman" w:cs="Times New Roman"/>
                <w:color w:val="auto"/>
                <w:sz w:val="24"/>
                <w:vertAlign w:val="subscript"/>
              </w:rPr>
              <w:t>Cr</w:t>
            </w:r>
            <w:r>
              <w:rPr>
                <w:rFonts w:hint="default" w:ascii="Times New Roman" w:hAnsi="Times New Roman" w:cs="Times New Roman"/>
                <w:color w:val="auto"/>
                <w:sz w:val="24"/>
              </w:rPr>
              <w:t>、SS、氟化物、氨氮、总氮、LAS，污染物较为简单，且废气、废水排放量不大，不涉及第一类重金属、持久性难降解挥发性有机物，地下水、土壤污染风险较小，并对重点防渗区域进行地面硬化等措施，杜绝了土壤、地下水环境污染途径，故可以判断本项目的土壤环境影响是可接受的。</w:t>
            </w:r>
          </w:p>
          <w:p w14:paraId="5EA232DC">
            <w:pPr>
              <w:snapToGrid w:val="0"/>
              <w:spacing w:line="360" w:lineRule="auto"/>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4.2.10生态</w:t>
            </w:r>
          </w:p>
          <w:p w14:paraId="395865CE">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本项目不新增占地，且无生态环境保护目标，故不会对周边生态环境产生不利影响，无须配套生态保护措施。</w:t>
            </w:r>
          </w:p>
          <w:p w14:paraId="12D8F1D0">
            <w:pPr>
              <w:pStyle w:val="17"/>
              <w:spacing w:line="360" w:lineRule="auto"/>
              <w:rPr>
                <w:rFonts w:hint="default" w:ascii="Times New Roman" w:hAnsi="Times New Roman" w:cs="Times New Roman"/>
                <w:b/>
                <w:bCs/>
                <w:color w:val="auto"/>
                <w:kern w:val="0"/>
                <w:sz w:val="24"/>
                <w:szCs w:val="24"/>
              </w:rPr>
            </w:pPr>
            <w:r>
              <w:rPr>
                <w:rFonts w:hint="default" w:ascii="Times New Roman" w:hAnsi="Times New Roman" w:cs="Times New Roman"/>
                <w:b/>
                <w:bCs/>
                <w:color w:val="auto"/>
                <w:kern w:val="0"/>
                <w:sz w:val="24"/>
                <w:szCs w:val="24"/>
              </w:rPr>
              <w:t>4.2.11环境风险</w:t>
            </w:r>
          </w:p>
          <w:p w14:paraId="36D658E6">
            <w:pPr>
              <w:spacing w:line="360" w:lineRule="auto"/>
              <w:ind w:firstLine="482" w:firstLineChars="200"/>
              <w:rPr>
                <w:rFonts w:hint="eastAsia" w:cs="Times New Roman"/>
                <w:b/>
                <w:bCs/>
                <w:color w:val="auto"/>
                <w:sz w:val="24"/>
                <w:lang w:val="en-US" w:eastAsia="zh-CN"/>
              </w:rPr>
            </w:pPr>
            <w:r>
              <w:rPr>
                <w:rFonts w:hint="eastAsia" w:cs="Times New Roman"/>
                <w:b/>
                <w:bCs/>
                <w:color w:val="auto"/>
                <w:sz w:val="24"/>
                <w:lang w:val="en-US" w:eastAsia="zh-CN"/>
              </w:rPr>
              <w:t>本项目设置环境风险专项评价，具体见专题一。</w:t>
            </w:r>
          </w:p>
          <w:p w14:paraId="58393368">
            <w:pPr>
              <w:spacing w:line="360" w:lineRule="auto"/>
              <w:ind w:firstLine="480" w:firstLineChars="200"/>
              <w:rPr>
                <w:rFonts w:hint="default" w:ascii="Times New Roman" w:hAnsi="Times New Roman" w:cs="Times New Roman"/>
                <w:b w:val="0"/>
                <w:bCs w:val="0"/>
                <w:color w:val="auto"/>
                <w:sz w:val="24"/>
              </w:rPr>
            </w:pPr>
            <w:r>
              <w:rPr>
                <w:rFonts w:hint="default" w:ascii="Times New Roman" w:hAnsi="Times New Roman" w:cs="Times New Roman"/>
                <w:b w:val="0"/>
                <w:bCs w:val="0"/>
                <w:color w:val="auto"/>
                <w:sz w:val="24"/>
              </w:rPr>
              <w:t>（1）项目危险因素</w:t>
            </w:r>
          </w:p>
          <w:p w14:paraId="57AE9013">
            <w:pPr>
              <w:spacing w:line="360" w:lineRule="auto"/>
              <w:ind w:firstLine="480" w:firstLineChars="200"/>
              <w:rPr>
                <w:rFonts w:hint="default" w:ascii="Times New Roman" w:hAnsi="Times New Roman" w:cs="Times New Roman"/>
                <w:b w:val="0"/>
                <w:bCs w:val="0"/>
                <w:color w:val="auto"/>
                <w:sz w:val="24"/>
              </w:rPr>
            </w:pPr>
            <w:r>
              <w:rPr>
                <w:rFonts w:hint="default" w:ascii="Times New Roman" w:hAnsi="Times New Roman" w:cs="Times New Roman"/>
                <w:b w:val="0"/>
                <w:bCs w:val="0"/>
                <w:color w:val="auto"/>
                <w:sz w:val="24"/>
              </w:rPr>
              <w:t>本项目主要危险物质为氯化氢、氟化氢等，危险单元主要分布于生产车间、储罐区、仓库等。</w:t>
            </w:r>
          </w:p>
          <w:p w14:paraId="40F7460A">
            <w:pPr>
              <w:spacing w:line="360" w:lineRule="auto"/>
              <w:ind w:firstLine="480" w:firstLineChars="200"/>
              <w:rPr>
                <w:rFonts w:hint="default" w:ascii="Times New Roman" w:hAnsi="Times New Roman" w:cs="Times New Roman"/>
                <w:b w:val="0"/>
                <w:bCs w:val="0"/>
                <w:color w:val="auto"/>
                <w:sz w:val="24"/>
                <w:lang w:val="en-GB"/>
              </w:rPr>
            </w:pPr>
            <w:r>
              <w:rPr>
                <w:rFonts w:hint="default" w:ascii="Times New Roman" w:hAnsi="Times New Roman" w:cs="Times New Roman"/>
                <w:b w:val="0"/>
                <w:bCs w:val="0"/>
                <w:color w:val="auto"/>
                <w:sz w:val="24"/>
              </w:rPr>
              <w:t>（2）</w:t>
            </w:r>
            <w:r>
              <w:rPr>
                <w:rFonts w:hint="default" w:ascii="Times New Roman" w:hAnsi="Times New Roman" w:cs="Times New Roman"/>
                <w:b w:val="0"/>
                <w:bCs w:val="0"/>
                <w:color w:val="auto"/>
                <w:sz w:val="24"/>
                <w:lang w:val="en-GB"/>
              </w:rPr>
              <w:t>环境敏感性及事故环境影响</w:t>
            </w:r>
          </w:p>
          <w:p w14:paraId="6D1B6CC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本项目5km范围内有较多居民点，但居民点均离厂界较</w:t>
            </w:r>
            <w:r>
              <w:rPr>
                <w:rFonts w:hint="default" w:ascii="Times New Roman" w:hAnsi="Times New Roman" w:cs="Times New Roman"/>
                <w:color w:val="auto"/>
                <w:sz w:val="24"/>
                <w:highlight w:val="none"/>
              </w:rPr>
              <w:t>远，故根据评估结果，在最不利的情况下敏感点污染物浓度均小于大气毒性终点浓度-2。项</w:t>
            </w:r>
            <w:r>
              <w:rPr>
                <w:rFonts w:hint="default" w:ascii="Times New Roman" w:hAnsi="Times New Roman" w:cs="Times New Roman"/>
                <w:color w:val="auto"/>
                <w:sz w:val="24"/>
              </w:rPr>
              <w:t>目最大可行事故风险，小于行业可接受风险水平，最大可信事故风险是可以接受的。因此，设定的风险事故发生时，有毒有害物质的扩散对项目周边居民点影响不大。</w:t>
            </w:r>
          </w:p>
          <w:p w14:paraId="21B23AB5">
            <w:pPr>
              <w:spacing w:line="360" w:lineRule="auto"/>
              <w:ind w:firstLine="480" w:firstLineChars="200"/>
              <w:rPr>
                <w:rFonts w:hint="default" w:ascii="Times New Roman" w:hAnsi="Times New Roman" w:cs="Times New Roman"/>
                <w:b w:val="0"/>
                <w:bCs w:val="0"/>
                <w:color w:val="auto"/>
                <w:sz w:val="24"/>
                <w:lang w:val="en-GB"/>
              </w:rPr>
            </w:pPr>
            <w:r>
              <w:rPr>
                <w:rFonts w:hint="default" w:ascii="Times New Roman" w:hAnsi="Times New Roman" w:cs="Times New Roman"/>
                <w:b w:val="0"/>
                <w:bCs w:val="0"/>
                <w:color w:val="auto"/>
                <w:sz w:val="24"/>
              </w:rPr>
              <w:t>（3）</w:t>
            </w:r>
            <w:r>
              <w:rPr>
                <w:rFonts w:hint="default" w:ascii="Times New Roman" w:hAnsi="Times New Roman" w:cs="Times New Roman"/>
                <w:b w:val="0"/>
                <w:bCs w:val="0"/>
                <w:color w:val="auto"/>
                <w:sz w:val="24"/>
                <w:lang w:val="en-GB"/>
              </w:rPr>
              <w:t>风险防范措施和应急预案</w:t>
            </w:r>
          </w:p>
          <w:p w14:paraId="1F30A36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企业应按要求编制突发环境事件应急预案并备案。本次项目实施投运前，企业应根据项目的内容，按照编制导则要求完成应急预案编制工作，定期进行培训和演练并报当地生态环境部门备案。</w:t>
            </w:r>
          </w:p>
          <w:p w14:paraId="3FC4294C">
            <w:pPr>
              <w:spacing w:line="360" w:lineRule="auto"/>
              <w:ind w:firstLine="480" w:firstLineChars="200"/>
              <w:rPr>
                <w:rFonts w:hint="default" w:ascii="Times New Roman" w:hAnsi="Times New Roman" w:cs="Times New Roman"/>
                <w:b w:val="0"/>
                <w:bCs w:val="0"/>
                <w:color w:val="auto"/>
                <w:sz w:val="24"/>
                <w:lang w:val="en-GB"/>
              </w:rPr>
            </w:pPr>
            <w:r>
              <w:rPr>
                <w:rFonts w:hint="default" w:ascii="Times New Roman" w:hAnsi="Times New Roman" w:cs="Times New Roman"/>
                <w:b w:val="0"/>
                <w:bCs w:val="0"/>
                <w:color w:val="auto"/>
                <w:sz w:val="24"/>
              </w:rPr>
              <w:t>（4）</w:t>
            </w:r>
            <w:r>
              <w:rPr>
                <w:rFonts w:hint="default" w:ascii="Times New Roman" w:hAnsi="Times New Roman" w:cs="Times New Roman"/>
                <w:b w:val="0"/>
                <w:bCs w:val="0"/>
                <w:color w:val="auto"/>
                <w:sz w:val="24"/>
                <w:lang w:val="en-GB"/>
              </w:rPr>
              <w:t>环境风险评价结论和建议</w:t>
            </w:r>
          </w:p>
          <w:p w14:paraId="6E972C4F">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从预测结果可见，事故发生时，达到毒性终点浓度的范围主要为企业内部和周边工业企业，此范围能对人群造成生命威胁，因此企业应加强管理，坚决杜绝该类事故发生。企业拟建的应急事故池能够满足接纳本项目的事故水量。只要做好安全防范措施和应急对策，本次新建项目的安全隐患可以控制，其风险水平可以接受。</w:t>
            </w:r>
          </w:p>
          <w:p w14:paraId="581B3F14">
            <w:pPr>
              <w:spacing w:line="360" w:lineRule="auto"/>
              <w:rPr>
                <w:rFonts w:hint="default" w:ascii="Times New Roman" w:hAnsi="Times New Roman" w:cs="Times New Roman"/>
                <w:b/>
                <w:bCs/>
                <w:color w:val="auto"/>
                <w:sz w:val="24"/>
              </w:rPr>
            </w:pPr>
            <w:r>
              <w:rPr>
                <w:rFonts w:hint="default" w:ascii="Times New Roman" w:hAnsi="Times New Roman" w:cs="Times New Roman"/>
                <w:b/>
                <w:bCs/>
                <w:color w:val="auto"/>
                <w:sz w:val="24"/>
              </w:rPr>
              <w:t>4.2.12环境管理与监测计划</w:t>
            </w:r>
          </w:p>
          <w:p w14:paraId="17F2B4C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1、监测数据管理</w:t>
            </w:r>
          </w:p>
          <w:p w14:paraId="37ECE52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对于监测结果应该按照项目有关规定及时建立档案，并抄送有关环保主管部门。对于常规监测部分应该进行公开。</w:t>
            </w:r>
          </w:p>
          <w:p w14:paraId="2F22025C">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2、污口规划化整治</w:t>
            </w:r>
          </w:p>
          <w:p w14:paraId="4867717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按《安徽省污染源排放口规范化整治管理办法》（环法函〔2005〕114）号要求，该项目废气排气筒、固废堆放场所必须进行规范化设置。</w:t>
            </w:r>
          </w:p>
          <w:p w14:paraId="3299CEC7">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表4.2.12-1  厂区排污口图形符号（提示标志）一览表</w:t>
            </w:r>
          </w:p>
          <w:tbl>
            <w:tblPr>
              <w:tblStyle w:val="32"/>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427"/>
              <w:gridCol w:w="1498"/>
              <w:gridCol w:w="1464"/>
              <w:gridCol w:w="1433"/>
              <w:gridCol w:w="1343"/>
            </w:tblGrid>
            <w:tr w14:paraId="4233E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57" w:type="dxa"/>
                  <w:tcBorders>
                    <w:top w:val="single" w:color="auto" w:sz="4" w:space="0"/>
                    <w:left w:val="single" w:color="auto" w:sz="4" w:space="0"/>
                    <w:bottom w:val="single" w:color="auto" w:sz="4" w:space="0"/>
                    <w:right w:val="single" w:color="auto" w:sz="4" w:space="0"/>
                  </w:tcBorders>
                  <w:vAlign w:val="center"/>
                </w:tcPr>
                <w:p w14:paraId="43F84BF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项目排放部位</w:t>
                  </w:r>
                </w:p>
              </w:tc>
              <w:tc>
                <w:tcPr>
                  <w:tcW w:w="1401" w:type="dxa"/>
                  <w:tcBorders>
                    <w:top w:val="single" w:color="auto" w:sz="4" w:space="0"/>
                    <w:left w:val="single" w:color="auto" w:sz="4" w:space="0"/>
                    <w:bottom w:val="single" w:color="auto" w:sz="4" w:space="0"/>
                    <w:right w:val="single" w:color="auto" w:sz="4" w:space="0"/>
                  </w:tcBorders>
                  <w:vAlign w:val="center"/>
                </w:tcPr>
                <w:p w14:paraId="4E90115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噪声排放源</w:t>
                  </w:r>
                </w:p>
              </w:tc>
              <w:tc>
                <w:tcPr>
                  <w:tcW w:w="1471" w:type="dxa"/>
                  <w:tcBorders>
                    <w:top w:val="single" w:color="auto" w:sz="4" w:space="0"/>
                    <w:left w:val="single" w:color="auto" w:sz="4" w:space="0"/>
                    <w:bottom w:val="single" w:color="auto" w:sz="4" w:space="0"/>
                    <w:right w:val="single" w:color="auto" w:sz="4" w:space="0"/>
                  </w:tcBorders>
                  <w:vAlign w:val="center"/>
                </w:tcPr>
                <w:p w14:paraId="4E99E76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一般固体废物排放源</w:t>
                  </w:r>
                </w:p>
              </w:tc>
              <w:tc>
                <w:tcPr>
                  <w:tcW w:w="1438" w:type="dxa"/>
                  <w:tcBorders>
                    <w:top w:val="single" w:color="auto" w:sz="4" w:space="0"/>
                    <w:left w:val="single" w:color="auto" w:sz="4" w:space="0"/>
                    <w:bottom w:val="single" w:color="auto" w:sz="4" w:space="0"/>
                    <w:right w:val="single" w:color="auto" w:sz="4" w:space="0"/>
                  </w:tcBorders>
                  <w:vAlign w:val="center"/>
                </w:tcPr>
                <w:p w14:paraId="4F64D72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废水排放源</w:t>
                  </w:r>
                </w:p>
              </w:tc>
              <w:tc>
                <w:tcPr>
                  <w:tcW w:w="1407" w:type="dxa"/>
                  <w:tcBorders>
                    <w:top w:val="single" w:color="auto" w:sz="4" w:space="0"/>
                    <w:left w:val="single" w:color="auto" w:sz="4" w:space="0"/>
                    <w:bottom w:val="single" w:color="auto" w:sz="4" w:space="0"/>
                    <w:right w:val="single" w:color="auto" w:sz="4" w:space="0"/>
                  </w:tcBorders>
                  <w:vAlign w:val="center"/>
                </w:tcPr>
                <w:p w14:paraId="37F864B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废气排放源</w:t>
                  </w:r>
                </w:p>
              </w:tc>
              <w:tc>
                <w:tcPr>
                  <w:tcW w:w="1319" w:type="dxa"/>
                  <w:tcBorders>
                    <w:top w:val="single" w:color="auto" w:sz="4" w:space="0"/>
                    <w:left w:val="single" w:color="auto" w:sz="4" w:space="0"/>
                    <w:bottom w:val="single" w:color="auto" w:sz="4" w:space="0"/>
                    <w:right w:val="single" w:color="auto" w:sz="4" w:space="0"/>
                  </w:tcBorders>
                  <w:vAlign w:val="center"/>
                </w:tcPr>
                <w:p w14:paraId="4C42AF2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危废暂存间</w:t>
                  </w:r>
                </w:p>
              </w:tc>
            </w:tr>
            <w:tr w14:paraId="6C85A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57" w:type="dxa"/>
                  <w:tcBorders>
                    <w:top w:val="single" w:color="auto" w:sz="4" w:space="0"/>
                    <w:left w:val="single" w:color="auto" w:sz="4" w:space="0"/>
                    <w:bottom w:val="single" w:color="auto" w:sz="4" w:space="0"/>
                    <w:right w:val="single" w:color="auto" w:sz="4" w:space="0"/>
                  </w:tcBorders>
                  <w:vAlign w:val="center"/>
                </w:tcPr>
                <w:p w14:paraId="061564B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图形符号</w:t>
                  </w:r>
                </w:p>
              </w:tc>
              <w:tc>
                <w:tcPr>
                  <w:tcW w:w="1401" w:type="dxa"/>
                  <w:tcBorders>
                    <w:top w:val="single" w:color="auto" w:sz="4" w:space="0"/>
                    <w:left w:val="single" w:color="auto" w:sz="4" w:space="0"/>
                    <w:bottom w:val="single" w:color="auto" w:sz="4" w:space="0"/>
                    <w:right w:val="single" w:color="auto" w:sz="4" w:space="0"/>
                  </w:tcBorders>
                  <w:vAlign w:val="center"/>
                </w:tcPr>
                <w:p w14:paraId="12CDB87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0" distR="0">
                        <wp:extent cx="847725" cy="809625"/>
                        <wp:effectExtent l="19050" t="0" r="9525" b="0"/>
                        <wp:docPr id="16"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8" descr="IMG_256"/>
                                <pic:cNvPicPr>
                                  <a:picLocks noChangeAspect="1" noChangeArrowheads="1"/>
                                </pic:cNvPicPr>
                              </pic:nvPicPr>
                              <pic:blipFill>
                                <a:blip r:embed="rId38"/>
                                <a:srcRect/>
                                <a:stretch>
                                  <a:fillRect/>
                                </a:stretch>
                              </pic:blipFill>
                              <pic:spPr>
                                <a:xfrm>
                                  <a:off x="0" y="0"/>
                                  <a:ext cx="847725" cy="809625"/>
                                </a:xfrm>
                                <a:prstGeom prst="rect">
                                  <a:avLst/>
                                </a:prstGeom>
                                <a:noFill/>
                                <a:ln w="9525">
                                  <a:noFill/>
                                  <a:miter lim="800000"/>
                                  <a:headEnd/>
                                  <a:tailEnd/>
                                </a:ln>
                              </pic:spPr>
                            </pic:pic>
                          </a:graphicData>
                        </a:graphic>
                      </wp:inline>
                    </w:drawing>
                  </w:r>
                </w:p>
              </w:tc>
              <w:tc>
                <w:tcPr>
                  <w:tcW w:w="1471" w:type="dxa"/>
                  <w:tcBorders>
                    <w:top w:val="single" w:color="auto" w:sz="4" w:space="0"/>
                    <w:left w:val="single" w:color="auto" w:sz="4" w:space="0"/>
                    <w:bottom w:val="single" w:color="auto" w:sz="4" w:space="0"/>
                    <w:right w:val="single" w:color="auto" w:sz="4" w:space="0"/>
                  </w:tcBorders>
                  <w:vAlign w:val="center"/>
                </w:tcPr>
                <w:p w14:paraId="1B37EF3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0" distR="0">
                        <wp:extent cx="752475" cy="762000"/>
                        <wp:effectExtent l="19050" t="0" r="9525" b="0"/>
                        <wp:docPr id="17" name="图片 3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9" descr="IMG_257"/>
                                <pic:cNvPicPr>
                                  <a:picLocks noChangeAspect="1" noChangeArrowheads="1"/>
                                </pic:cNvPicPr>
                              </pic:nvPicPr>
                              <pic:blipFill>
                                <a:blip r:embed="rId39"/>
                                <a:srcRect/>
                                <a:stretch>
                                  <a:fillRect/>
                                </a:stretch>
                              </pic:blipFill>
                              <pic:spPr>
                                <a:xfrm>
                                  <a:off x="0" y="0"/>
                                  <a:ext cx="752475" cy="762000"/>
                                </a:xfrm>
                                <a:prstGeom prst="rect">
                                  <a:avLst/>
                                </a:prstGeom>
                                <a:noFill/>
                                <a:ln w="9525">
                                  <a:noFill/>
                                  <a:miter lim="800000"/>
                                  <a:headEnd/>
                                  <a:tailEnd/>
                                </a:ln>
                              </pic:spPr>
                            </pic:pic>
                          </a:graphicData>
                        </a:graphic>
                      </wp:inline>
                    </w:drawing>
                  </w:r>
                </w:p>
              </w:tc>
              <w:tc>
                <w:tcPr>
                  <w:tcW w:w="1438" w:type="dxa"/>
                  <w:tcBorders>
                    <w:top w:val="single" w:color="auto" w:sz="4" w:space="0"/>
                    <w:left w:val="single" w:color="auto" w:sz="4" w:space="0"/>
                    <w:bottom w:val="single" w:color="auto" w:sz="4" w:space="0"/>
                    <w:right w:val="single" w:color="auto" w:sz="4" w:space="0"/>
                  </w:tcBorders>
                  <w:vAlign w:val="center"/>
                </w:tcPr>
                <w:p w14:paraId="680AC8C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0" distR="0">
                        <wp:extent cx="695325" cy="742950"/>
                        <wp:effectExtent l="19050" t="0" r="9525" b="0"/>
                        <wp:docPr id="18" name="图片 4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0" descr="IMG_258"/>
                                <pic:cNvPicPr>
                                  <a:picLocks noChangeAspect="1" noChangeArrowheads="1"/>
                                </pic:cNvPicPr>
                              </pic:nvPicPr>
                              <pic:blipFill>
                                <a:blip r:embed="rId40"/>
                                <a:srcRect/>
                                <a:stretch>
                                  <a:fillRect/>
                                </a:stretch>
                              </pic:blipFill>
                              <pic:spPr>
                                <a:xfrm>
                                  <a:off x="0" y="0"/>
                                  <a:ext cx="695325" cy="742950"/>
                                </a:xfrm>
                                <a:prstGeom prst="rect">
                                  <a:avLst/>
                                </a:prstGeom>
                                <a:noFill/>
                                <a:ln w="9525">
                                  <a:noFill/>
                                  <a:miter lim="800000"/>
                                  <a:headEnd/>
                                  <a:tailEnd/>
                                </a:ln>
                              </pic:spPr>
                            </pic:pic>
                          </a:graphicData>
                        </a:graphic>
                      </wp:inline>
                    </w:drawing>
                  </w:r>
                </w:p>
              </w:tc>
              <w:tc>
                <w:tcPr>
                  <w:tcW w:w="1407" w:type="dxa"/>
                  <w:tcBorders>
                    <w:top w:val="single" w:color="auto" w:sz="4" w:space="0"/>
                    <w:left w:val="single" w:color="auto" w:sz="4" w:space="0"/>
                    <w:bottom w:val="single" w:color="auto" w:sz="4" w:space="0"/>
                    <w:right w:val="single" w:color="auto" w:sz="4" w:space="0"/>
                  </w:tcBorders>
                  <w:vAlign w:val="center"/>
                </w:tcPr>
                <w:p w14:paraId="651C042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drawing>
                      <wp:inline distT="0" distB="0" distL="0" distR="0">
                        <wp:extent cx="771525" cy="685800"/>
                        <wp:effectExtent l="19050" t="0" r="9525" b="0"/>
                        <wp:docPr id="19" name="图片 4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1" descr="IMG_259"/>
                                <pic:cNvPicPr>
                                  <a:picLocks noChangeAspect="1" noChangeArrowheads="1"/>
                                </pic:cNvPicPr>
                              </pic:nvPicPr>
                              <pic:blipFill>
                                <a:blip r:embed="rId41"/>
                                <a:srcRect/>
                                <a:stretch>
                                  <a:fillRect/>
                                </a:stretch>
                              </pic:blipFill>
                              <pic:spPr>
                                <a:xfrm>
                                  <a:off x="0" y="0"/>
                                  <a:ext cx="771525" cy="685800"/>
                                </a:xfrm>
                                <a:prstGeom prst="rect">
                                  <a:avLst/>
                                </a:prstGeom>
                                <a:noFill/>
                                <a:ln w="9525">
                                  <a:noFill/>
                                  <a:miter lim="800000"/>
                                  <a:headEnd/>
                                  <a:tailEnd/>
                                </a:ln>
                              </pic:spPr>
                            </pic:pic>
                          </a:graphicData>
                        </a:graphic>
                      </wp:inline>
                    </w:drawing>
                  </w:r>
                </w:p>
              </w:tc>
              <w:tc>
                <w:tcPr>
                  <w:tcW w:w="1319" w:type="dxa"/>
                  <w:tcBorders>
                    <w:top w:val="single" w:color="auto" w:sz="4" w:space="0"/>
                    <w:left w:val="single" w:color="auto" w:sz="4" w:space="0"/>
                    <w:bottom w:val="single" w:color="auto" w:sz="4" w:space="0"/>
                    <w:right w:val="single" w:color="auto" w:sz="4" w:space="0"/>
                  </w:tcBorders>
                  <w:vAlign w:val="center"/>
                </w:tcPr>
                <w:p w14:paraId="0D2C2743">
                  <w:pPr>
                    <w:adjustRightInd w:val="0"/>
                    <w:snapToGrid w:val="0"/>
                    <w:jc w:val="center"/>
                    <w:rPr>
                      <w:rFonts w:hint="default" w:ascii="Times New Roman" w:hAnsi="Times New Roman" w:cs="Times New Roman"/>
                      <w:color w:val="auto"/>
                      <w:sz w:val="18"/>
                      <w:szCs w:val="18"/>
                    </w:rPr>
                  </w:pPr>
                  <w:r>
                    <w:rPr>
                      <w:color w:val="auto"/>
                    </w:rPr>
                    <w:drawing>
                      <wp:inline distT="0" distB="0" distL="114300" distR="114300">
                        <wp:extent cx="715010" cy="812165"/>
                        <wp:effectExtent l="0" t="0" r="8890" b="6985"/>
                        <wp:docPr id="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3"/>
                                <pic:cNvPicPr>
                                  <a:picLocks noChangeAspect="1"/>
                                </pic:cNvPicPr>
                              </pic:nvPicPr>
                              <pic:blipFill>
                                <a:blip r:embed="rId42"/>
                                <a:stretch>
                                  <a:fillRect/>
                                </a:stretch>
                              </pic:blipFill>
                              <pic:spPr>
                                <a:xfrm>
                                  <a:off x="0" y="0"/>
                                  <a:ext cx="715010" cy="812165"/>
                                </a:xfrm>
                                <a:prstGeom prst="rect">
                                  <a:avLst/>
                                </a:prstGeom>
                                <a:noFill/>
                                <a:ln>
                                  <a:noFill/>
                                </a:ln>
                              </pic:spPr>
                            </pic:pic>
                          </a:graphicData>
                        </a:graphic>
                      </wp:inline>
                    </w:drawing>
                  </w:r>
                </w:p>
              </w:tc>
            </w:tr>
            <w:tr w14:paraId="3731C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57" w:type="dxa"/>
                  <w:tcBorders>
                    <w:top w:val="single" w:color="auto" w:sz="4" w:space="0"/>
                    <w:left w:val="single" w:color="auto" w:sz="4" w:space="0"/>
                    <w:bottom w:val="single" w:color="auto" w:sz="4" w:space="0"/>
                    <w:right w:val="single" w:color="auto" w:sz="4" w:space="0"/>
                  </w:tcBorders>
                  <w:vAlign w:val="center"/>
                </w:tcPr>
                <w:p w14:paraId="1ECB0F9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形状</w:t>
                  </w:r>
                </w:p>
              </w:tc>
              <w:tc>
                <w:tcPr>
                  <w:tcW w:w="1401" w:type="dxa"/>
                  <w:tcBorders>
                    <w:top w:val="single" w:color="auto" w:sz="4" w:space="0"/>
                    <w:left w:val="single" w:color="auto" w:sz="4" w:space="0"/>
                    <w:bottom w:val="single" w:color="auto" w:sz="4" w:space="0"/>
                    <w:right w:val="single" w:color="auto" w:sz="4" w:space="0"/>
                  </w:tcBorders>
                  <w:vAlign w:val="center"/>
                </w:tcPr>
                <w:p w14:paraId="3D9A54D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正方形边框</w:t>
                  </w:r>
                </w:p>
              </w:tc>
              <w:tc>
                <w:tcPr>
                  <w:tcW w:w="1471" w:type="dxa"/>
                  <w:tcBorders>
                    <w:top w:val="single" w:color="auto" w:sz="4" w:space="0"/>
                    <w:left w:val="single" w:color="auto" w:sz="4" w:space="0"/>
                    <w:bottom w:val="single" w:color="auto" w:sz="4" w:space="0"/>
                    <w:right w:val="single" w:color="auto" w:sz="4" w:space="0"/>
                  </w:tcBorders>
                  <w:vAlign w:val="center"/>
                </w:tcPr>
                <w:p w14:paraId="41F0451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正方形边框</w:t>
                  </w:r>
                </w:p>
              </w:tc>
              <w:tc>
                <w:tcPr>
                  <w:tcW w:w="1438" w:type="dxa"/>
                  <w:tcBorders>
                    <w:top w:val="single" w:color="auto" w:sz="4" w:space="0"/>
                    <w:left w:val="single" w:color="auto" w:sz="4" w:space="0"/>
                    <w:bottom w:val="single" w:color="auto" w:sz="4" w:space="0"/>
                    <w:right w:val="single" w:color="auto" w:sz="4" w:space="0"/>
                  </w:tcBorders>
                  <w:vAlign w:val="center"/>
                </w:tcPr>
                <w:p w14:paraId="7D93F5F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正方形边框</w:t>
                  </w:r>
                </w:p>
              </w:tc>
              <w:tc>
                <w:tcPr>
                  <w:tcW w:w="1407" w:type="dxa"/>
                  <w:tcBorders>
                    <w:top w:val="single" w:color="auto" w:sz="4" w:space="0"/>
                    <w:left w:val="single" w:color="auto" w:sz="4" w:space="0"/>
                    <w:bottom w:val="single" w:color="auto" w:sz="4" w:space="0"/>
                    <w:right w:val="single" w:color="auto" w:sz="4" w:space="0"/>
                  </w:tcBorders>
                  <w:vAlign w:val="center"/>
                </w:tcPr>
                <w:p w14:paraId="7A1A36D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正方形边框</w:t>
                  </w:r>
                </w:p>
              </w:tc>
              <w:tc>
                <w:tcPr>
                  <w:tcW w:w="1319" w:type="dxa"/>
                  <w:tcBorders>
                    <w:top w:val="single" w:color="auto" w:sz="4" w:space="0"/>
                    <w:left w:val="single" w:color="auto" w:sz="4" w:space="0"/>
                    <w:bottom w:val="single" w:color="auto" w:sz="4" w:space="0"/>
                    <w:right w:val="single" w:color="auto" w:sz="4" w:space="0"/>
                  </w:tcBorders>
                  <w:vAlign w:val="center"/>
                </w:tcPr>
                <w:p w14:paraId="274475F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等边三角形</w:t>
                  </w:r>
                </w:p>
              </w:tc>
            </w:tr>
            <w:tr w14:paraId="427CC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57" w:type="dxa"/>
                  <w:tcBorders>
                    <w:top w:val="single" w:color="auto" w:sz="4" w:space="0"/>
                    <w:left w:val="single" w:color="auto" w:sz="4" w:space="0"/>
                    <w:bottom w:val="single" w:color="auto" w:sz="4" w:space="0"/>
                    <w:right w:val="single" w:color="auto" w:sz="4" w:space="0"/>
                  </w:tcBorders>
                  <w:vAlign w:val="center"/>
                </w:tcPr>
                <w:p w14:paraId="3CE6170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背景颜色</w:t>
                  </w:r>
                </w:p>
              </w:tc>
              <w:tc>
                <w:tcPr>
                  <w:tcW w:w="1401" w:type="dxa"/>
                  <w:tcBorders>
                    <w:top w:val="single" w:color="auto" w:sz="4" w:space="0"/>
                    <w:left w:val="single" w:color="auto" w:sz="4" w:space="0"/>
                    <w:bottom w:val="single" w:color="auto" w:sz="4" w:space="0"/>
                    <w:right w:val="single" w:color="auto" w:sz="4" w:space="0"/>
                  </w:tcBorders>
                  <w:vAlign w:val="center"/>
                </w:tcPr>
                <w:p w14:paraId="0CF0323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绿色</w:t>
                  </w:r>
                </w:p>
              </w:tc>
              <w:tc>
                <w:tcPr>
                  <w:tcW w:w="1471" w:type="dxa"/>
                  <w:tcBorders>
                    <w:top w:val="single" w:color="auto" w:sz="4" w:space="0"/>
                    <w:left w:val="single" w:color="auto" w:sz="4" w:space="0"/>
                    <w:bottom w:val="single" w:color="auto" w:sz="4" w:space="0"/>
                    <w:right w:val="single" w:color="auto" w:sz="4" w:space="0"/>
                  </w:tcBorders>
                  <w:vAlign w:val="center"/>
                </w:tcPr>
                <w:p w14:paraId="1C1FDFB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绿色</w:t>
                  </w:r>
                </w:p>
              </w:tc>
              <w:tc>
                <w:tcPr>
                  <w:tcW w:w="1438" w:type="dxa"/>
                  <w:tcBorders>
                    <w:top w:val="single" w:color="auto" w:sz="4" w:space="0"/>
                    <w:left w:val="single" w:color="auto" w:sz="4" w:space="0"/>
                    <w:bottom w:val="single" w:color="auto" w:sz="4" w:space="0"/>
                    <w:right w:val="single" w:color="auto" w:sz="4" w:space="0"/>
                  </w:tcBorders>
                  <w:vAlign w:val="center"/>
                </w:tcPr>
                <w:p w14:paraId="57435E6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绿色</w:t>
                  </w:r>
                </w:p>
              </w:tc>
              <w:tc>
                <w:tcPr>
                  <w:tcW w:w="1407" w:type="dxa"/>
                  <w:tcBorders>
                    <w:top w:val="single" w:color="auto" w:sz="4" w:space="0"/>
                    <w:left w:val="single" w:color="auto" w:sz="4" w:space="0"/>
                    <w:bottom w:val="single" w:color="auto" w:sz="4" w:space="0"/>
                    <w:right w:val="single" w:color="auto" w:sz="4" w:space="0"/>
                  </w:tcBorders>
                  <w:vAlign w:val="center"/>
                </w:tcPr>
                <w:p w14:paraId="12D0FE1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绿色</w:t>
                  </w:r>
                </w:p>
              </w:tc>
              <w:tc>
                <w:tcPr>
                  <w:tcW w:w="1319" w:type="dxa"/>
                  <w:tcBorders>
                    <w:top w:val="single" w:color="auto" w:sz="4" w:space="0"/>
                    <w:left w:val="single" w:color="auto" w:sz="4" w:space="0"/>
                    <w:bottom w:val="single" w:color="auto" w:sz="4" w:space="0"/>
                    <w:right w:val="single" w:color="auto" w:sz="4" w:space="0"/>
                  </w:tcBorders>
                  <w:vAlign w:val="center"/>
                </w:tcPr>
                <w:p w14:paraId="6F4B48A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黄色</w:t>
                  </w:r>
                </w:p>
              </w:tc>
            </w:tr>
            <w:tr w14:paraId="667D1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57" w:type="dxa"/>
                  <w:tcBorders>
                    <w:top w:val="single" w:color="auto" w:sz="4" w:space="0"/>
                    <w:left w:val="single" w:color="auto" w:sz="4" w:space="0"/>
                    <w:bottom w:val="single" w:color="auto" w:sz="4" w:space="0"/>
                    <w:right w:val="single" w:color="auto" w:sz="4" w:space="0"/>
                  </w:tcBorders>
                  <w:vAlign w:val="center"/>
                </w:tcPr>
                <w:p w14:paraId="1BA0B20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图形颜色</w:t>
                  </w:r>
                </w:p>
              </w:tc>
              <w:tc>
                <w:tcPr>
                  <w:tcW w:w="1401" w:type="dxa"/>
                  <w:tcBorders>
                    <w:top w:val="single" w:color="auto" w:sz="4" w:space="0"/>
                    <w:left w:val="single" w:color="auto" w:sz="4" w:space="0"/>
                    <w:bottom w:val="single" w:color="auto" w:sz="4" w:space="0"/>
                    <w:right w:val="single" w:color="auto" w:sz="4" w:space="0"/>
                  </w:tcBorders>
                  <w:vAlign w:val="center"/>
                </w:tcPr>
                <w:p w14:paraId="2EFFEF1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白色</w:t>
                  </w:r>
                </w:p>
              </w:tc>
              <w:tc>
                <w:tcPr>
                  <w:tcW w:w="1471" w:type="dxa"/>
                  <w:tcBorders>
                    <w:top w:val="single" w:color="auto" w:sz="4" w:space="0"/>
                    <w:left w:val="single" w:color="auto" w:sz="4" w:space="0"/>
                    <w:bottom w:val="single" w:color="auto" w:sz="4" w:space="0"/>
                    <w:right w:val="single" w:color="auto" w:sz="4" w:space="0"/>
                  </w:tcBorders>
                  <w:vAlign w:val="center"/>
                </w:tcPr>
                <w:p w14:paraId="0BA3EB2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白色</w:t>
                  </w:r>
                </w:p>
              </w:tc>
              <w:tc>
                <w:tcPr>
                  <w:tcW w:w="1438" w:type="dxa"/>
                  <w:tcBorders>
                    <w:top w:val="single" w:color="auto" w:sz="4" w:space="0"/>
                    <w:left w:val="single" w:color="auto" w:sz="4" w:space="0"/>
                    <w:bottom w:val="single" w:color="auto" w:sz="4" w:space="0"/>
                    <w:right w:val="single" w:color="auto" w:sz="4" w:space="0"/>
                  </w:tcBorders>
                  <w:vAlign w:val="center"/>
                </w:tcPr>
                <w:p w14:paraId="66EC9DB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白色</w:t>
                  </w:r>
                </w:p>
              </w:tc>
              <w:tc>
                <w:tcPr>
                  <w:tcW w:w="1407" w:type="dxa"/>
                  <w:tcBorders>
                    <w:top w:val="single" w:color="auto" w:sz="4" w:space="0"/>
                    <w:left w:val="single" w:color="auto" w:sz="4" w:space="0"/>
                    <w:bottom w:val="single" w:color="auto" w:sz="4" w:space="0"/>
                    <w:right w:val="single" w:color="auto" w:sz="4" w:space="0"/>
                  </w:tcBorders>
                  <w:vAlign w:val="center"/>
                </w:tcPr>
                <w:p w14:paraId="0D1E1DF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白色</w:t>
                  </w:r>
                </w:p>
              </w:tc>
              <w:tc>
                <w:tcPr>
                  <w:tcW w:w="1319" w:type="dxa"/>
                  <w:tcBorders>
                    <w:top w:val="single" w:color="auto" w:sz="4" w:space="0"/>
                    <w:left w:val="single" w:color="auto" w:sz="4" w:space="0"/>
                    <w:bottom w:val="single" w:color="auto" w:sz="4" w:space="0"/>
                    <w:right w:val="single" w:color="auto" w:sz="4" w:space="0"/>
                  </w:tcBorders>
                  <w:vAlign w:val="center"/>
                </w:tcPr>
                <w:p w14:paraId="29D44A8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黑色</w:t>
                  </w:r>
                </w:p>
              </w:tc>
            </w:tr>
            <w:tr w14:paraId="25DA8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757" w:type="dxa"/>
                  <w:tcBorders>
                    <w:top w:val="single" w:color="auto" w:sz="4" w:space="0"/>
                    <w:left w:val="single" w:color="auto" w:sz="4" w:space="0"/>
                    <w:bottom w:val="single" w:color="auto" w:sz="4" w:space="0"/>
                    <w:right w:val="single" w:color="auto" w:sz="4" w:space="0"/>
                  </w:tcBorders>
                  <w:vAlign w:val="center"/>
                </w:tcPr>
                <w:p w14:paraId="0A33DBA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功能</w:t>
                  </w:r>
                </w:p>
              </w:tc>
              <w:tc>
                <w:tcPr>
                  <w:tcW w:w="1401" w:type="dxa"/>
                  <w:tcBorders>
                    <w:top w:val="single" w:color="auto" w:sz="4" w:space="0"/>
                    <w:left w:val="single" w:color="auto" w:sz="4" w:space="0"/>
                    <w:bottom w:val="single" w:color="auto" w:sz="4" w:space="0"/>
                    <w:right w:val="single" w:color="auto" w:sz="4" w:space="0"/>
                  </w:tcBorders>
                  <w:vAlign w:val="center"/>
                </w:tcPr>
                <w:p w14:paraId="16C4B2D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表示噪声向外环境排放</w:t>
                  </w:r>
                </w:p>
              </w:tc>
              <w:tc>
                <w:tcPr>
                  <w:tcW w:w="1471" w:type="dxa"/>
                  <w:tcBorders>
                    <w:top w:val="single" w:color="auto" w:sz="4" w:space="0"/>
                    <w:left w:val="single" w:color="auto" w:sz="4" w:space="0"/>
                    <w:bottom w:val="single" w:color="auto" w:sz="4" w:space="0"/>
                    <w:right w:val="single" w:color="auto" w:sz="4" w:space="0"/>
                  </w:tcBorders>
                  <w:vAlign w:val="center"/>
                </w:tcPr>
                <w:p w14:paraId="1735F83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表示一般固体废物</w:t>
                  </w:r>
                </w:p>
              </w:tc>
              <w:tc>
                <w:tcPr>
                  <w:tcW w:w="1438" w:type="dxa"/>
                  <w:tcBorders>
                    <w:top w:val="single" w:color="auto" w:sz="4" w:space="0"/>
                    <w:left w:val="single" w:color="auto" w:sz="4" w:space="0"/>
                    <w:bottom w:val="single" w:color="auto" w:sz="4" w:space="0"/>
                    <w:right w:val="single" w:color="auto" w:sz="4" w:space="0"/>
                  </w:tcBorders>
                  <w:vAlign w:val="center"/>
                </w:tcPr>
                <w:p w14:paraId="22A06ED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表示废水向外排放</w:t>
                  </w:r>
                </w:p>
              </w:tc>
              <w:tc>
                <w:tcPr>
                  <w:tcW w:w="1407" w:type="dxa"/>
                  <w:tcBorders>
                    <w:top w:val="single" w:color="auto" w:sz="4" w:space="0"/>
                    <w:left w:val="single" w:color="auto" w:sz="4" w:space="0"/>
                    <w:bottom w:val="single" w:color="auto" w:sz="4" w:space="0"/>
                    <w:right w:val="single" w:color="auto" w:sz="4" w:space="0"/>
                  </w:tcBorders>
                  <w:vAlign w:val="center"/>
                </w:tcPr>
                <w:p w14:paraId="0CC6D26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表示废气向外排放</w:t>
                  </w:r>
                </w:p>
              </w:tc>
              <w:tc>
                <w:tcPr>
                  <w:tcW w:w="1319" w:type="dxa"/>
                  <w:tcBorders>
                    <w:top w:val="single" w:color="auto" w:sz="4" w:space="0"/>
                    <w:left w:val="single" w:color="auto" w:sz="4" w:space="0"/>
                    <w:bottom w:val="single" w:color="auto" w:sz="4" w:space="0"/>
                    <w:right w:val="single" w:color="auto" w:sz="4" w:space="0"/>
                  </w:tcBorders>
                  <w:vAlign w:val="center"/>
                </w:tcPr>
                <w:p w14:paraId="7216B54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表示危险废物</w:t>
                  </w:r>
                </w:p>
              </w:tc>
            </w:tr>
          </w:tbl>
          <w:p w14:paraId="56C1964B">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①废气排气筒规范化</w:t>
            </w:r>
          </w:p>
          <w:p w14:paraId="51DD3201">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废气排气筒应设置便于采样、监测并符合《污染源监测技术规范》要求的采样口和采样平台，无法满足要求的应由市级以上环境监测部门确认采样口位置，并且按照《环境保护图形标志》（GB15562.1-1995）、（GB15562.2-1995）的规定设置与之相适应的环境保护图形标志牌。环境保护图形标志牌设置位置应距污染物排放口或采样点较近且醒目处，并能长久保留。</w:t>
            </w:r>
          </w:p>
          <w:p w14:paraId="5A83E7C4">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②固体废物堆放场所规范化</w:t>
            </w:r>
          </w:p>
          <w:p w14:paraId="7E270C6D">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固体废物应按照固废处理相关规定加强管理，应加强暂存期间的管理，存放场应采取严格的防渗、防流失措施，并在存放场边界和进出口位置设置环保标志牌。环境保护图形标志牌设置位置应距固体废物贮存场较近且醒目处，并能长久保留。危险废物贮存（堆放）场应设置警告性环境保护图形标志牌。</w:t>
            </w:r>
          </w:p>
          <w:p w14:paraId="7205EEA8">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3、项目环评与排污许可联动内容</w:t>
            </w:r>
          </w:p>
          <w:p w14:paraId="7189AF5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安徽省生态环境厅于2021年1月30日发布的《安徽省生态环境厅关于统筹做好固定污染源排污许可日常监管工作的通知》（皖环发[2021]7号），属于现行《固定污染源排污许可分类管理名录》内重点管理和简化管理的行业，在环评文件中应明确“建设项目环境影响评价与排污许可联动内容”和《建设项目排污许可申请与填发信息表》。</w:t>
            </w:r>
          </w:p>
          <w:p w14:paraId="75B0D4C4">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（1）排污许可管理</w:t>
            </w:r>
          </w:p>
          <w:p w14:paraId="5C7EBEB9">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对照《固定污染源排污许可分类管理名录》，本项目属于其他非金属矿物制品制造 3099（除重点管理、简化管理以外的），不涉及通用工序，排污管理级别属于登记管理，具体如下表。</w:t>
            </w:r>
          </w:p>
          <w:p w14:paraId="5DD6C447">
            <w:pPr>
              <w:snapToGrid w:val="0"/>
              <w:spacing w:line="400" w:lineRule="exact"/>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表4.2.12-2  固定污染源排污许可分类管理名录节选</w:t>
            </w:r>
          </w:p>
          <w:tbl>
            <w:tblPr>
              <w:tblStyle w:val="32"/>
              <w:tblW w:w="7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1327"/>
              <w:gridCol w:w="1669"/>
              <w:gridCol w:w="1725"/>
              <w:gridCol w:w="2251"/>
            </w:tblGrid>
            <w:tr w14:paraId="1136C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937" w:type="dxa"/>
                  <w:gridSpan w:val="5"/>
                  <w:tcBorders>
                    <w:top w:val="single" w:color="auto" w:sz="4" w:space="0"/>
                    <w:left w:val="single" w:color="auto" w:sz="4" w:space="0"/>
                    <w:bottom w:val="single" w:color="auto" w:sz="4" w:space="0"/>
                    <w:right w:val="single" w:color="auto" w:sz="4" w:space="0"/>
                  </w:tcBorders>
                  <w:vAlign w:val="center"/>
                </w:tcPr>
                <w:p w14:paraId="35CC398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二十五、非金属矿物制品业 30</w:t>
                  </w:r>
                </w:p>
              </w:tc>
            </w:tr>
            <w:tr w14:paraId="2C2D5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5" w:type="dxa"/>
                  <w:tcBorders>
                    <w:top w:val="single" w:color="auto" w:sz="4" w:space="0"/>
                    <w:left w:val="single" w:color="auto" w:sz="4" w:space="0"/>
                    <w:bottom w:val="single" w:color="auto" w:sz="4" w:space="0"/>
                    <w:right w:val="single" w:color="auto" w:sz="4" w:space="0"/>
                  </w:tcBorders>
                  <w:vAlign w:val="center"/>
                </w:tcPr>
                <w:p w14:paraId="5DAA583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1327" w:type="dxa"/>
                  <w:tcBorders>
                    <w:top w:val="single" w:color="auto" w:sz="4" w:space="0"/>
                    <w:left w:val="nil"/>
                    <w:bottom w:val="single" w:color="auto" w:sz="4" w:space="0"/>
                    <w:right w:val="single" w:color="auto" w:sz="4" w:space="0"/>
                  </w:tcBorders>
                  <w:vAlign w:val="center"/>
                </w:tcPr>
                <w:p w14:paraId="5CF5DF0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行业类别</w:t>
                  </w:r>
                </w:p>
              </w:tc>
              <w:tc>
                <w:tcPr>
                  <w:tcW w:w="1669" w:type="dxa"/>
                  <w:tcBorders>
                    <w:top w:val="single" w:color="auto" w:sz="4" w:space="0"/>
                    <w:left w:val="nil"/>
                    <w:bottom w:val="single" w:color="auto" w:sz="4" w:space="0"/>
                    <w:right w:val="single" w:color="auto" w:sz="4" w:space="0"/>
                  </w:tcBorders>
                  <w:vAlign w:val="center"/>
                </w:tcPr>
                <w:p w14:paraId="6410C4F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重点管理</w:t>
                  </w:r>
                </w:p>
              </w:tc>
              <w:tc>
                <w:tcPr>
                  <w:tcW w:w="1725" w:type="dxa"/>
                  <w:tcBorders>
                    <w:top w:val="single" w:color="auto" w:sz="4" w:space="0"/>
                    <w:left w:val="nil"/>
                    <w:bottom w:val="single" w:color="auto" w:sz="4" w:space="0"/>
                    <w:right w:val="single" w:color="auto" w:sz="4" w:space="0"/>
                  </w:tcBorders>
                  <w:vAlign w:val="center"/>
                </w:tcPr>
                <w:p w14:paraId="12B103B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简化管理</w:t>
                  </w:r>
                </w:p>
              </w:tc>
              <w:tc>
                <w:tcPr>
                  <w:tcW w:w="2251" w:type="dxa"/>
                  <w:tcBorders>
                    <w:top w:val="single" w:color="auto" w:sz="4" w:space="0"/>
                    <w:left w:val="nil"/>
                    <w:bottom w:val="single" w:color="auto" w:sz="4" w:space="0"/>
                    <w:right w:val="single" w:color="auto" w:sz="4" w:space="0"/>
                  </w:tcBorders>
                  <w:vAlign w:val="center"/>
                </w:tcPr>
                <w:p w14:paraId="7903A2B5">
                  <w:pPr>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登记管理</w:t>
                  </w:r>
                </w:p>
              </w:tc>
            </w:tr>
            <w:tr w14:paraId="06A5D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5" w:type="dxa"/>
                  <w:tcBorders>
                    <w:top w:val="single" w:color="auto" w:sz="4" w:space="0"/>
                    <w:left w:val="single" w:color="auto" w:sz="4" w:space="0"/>
                    <w:bottom w:val="single" w:color="auto" w:sz="4" w:space="0"/>
                    <w:right w:val="single" w:color="auto" w:sz="4" w:space="0"/>
                  </w:tcBorders>
                  <w:vAlign w:val="center"/>
                </w:tcPr>
                <w:p w14:paraId="68BEA86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w:t>
                  </w:r>
                </w:p>
              </w:tc>
              <w:tc>
                <w:tcPr>
                  <w:tcW w:w="1327" w:type="dxa"/>
                  <w:tcBorders>
                    <w:top w:val="single" w:color="auto" w:sz="4" w:space="0"/>
                    <w:left w:val="nil"/>
                    <w:bottom w:val="single" w:color="auto" w:sz="4" w:space="0"/>
                    <w:right w:val="single" w:color="auto" w:sz="4" w:space="0"/>
                  </w:tcBorders>
                  <w:vAlign w:val="center"/>
                </w:tcPr>
                <w:p w14:paraId="5F57991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石墨及其他非金属矿物制品制造 309</w:t>
                  </w:r>
                </w:p>
              </w:tc>
              <w:tc>
                <w:tcPr>
                  <w:tcW w:w="1669" w:type="dxa"/>
                  <w:tcBorders>
                    <w:top w:val="single" w:color="auto" w:sz="4" w:space="0"/>
                    <w:left w:val="nil"/>
                    <w:bottom w:val="single" w:color="auto" w:sz="4" w:space="0"/>
                    <w:right w:val="single" w:color="auto" w:sz="4" w:space="0"/>
                  </w:tcBorders>
                  <w:vAlign w:val="center"/>
                </w:tcPr>
                <w:p w14:paraId="21B7D2B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石墨及碳素制品制造 3091（石墨制品、碳制品、碳素新材料），其他非</w:t>
                  </w:r>
                </w:p>
                <w:p w14:paraId="63A5FEF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金属矿物制品制造 3099（多晶硅棒）</w:t>
                  </w:r>
                </w:p>
              </w:tc>
              <w:tc>
                <w:tcPr>
                  <w:tcW w:w="1725" w:type="dxa"/>
                  <w:tcBorders>
                    <w:top w:val="single" w:color="auto" w:sz="4" w:space="0"/>
                    <w:left w:val="nil"/>
                    <w:bottom w:val="single" w:color="auto" w:sz="4" w:space="0"/>
                    <w:right w:val="single" w:color="auto" w:sz="4" w:space="0"/>
                  </w:tcBorders>
                  <w:vAlign w:val="center"/>
                </w:tcPr>
                <w:p w14:paraId="0751E53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石墨及碳素制品制造 3091（除石墨制品、碳制品、碳素新材料以外的），其他非金属矿物制品制造 3099（单晶硅棒，沥青混合物）</w:t>
                  </w:r>
                </w:p>
              </w:tc>
              <w:tc>
                <w:tcPr>
                  <w:tcW w:w="2251" w:type="dxa"/>
                  <w:tcBorders>
                    <w:top w:val="single" w:color="auto" w:sz="4" w:space="0"/>
                    <w:left w:val="nil"/>
                    <w:bottom w:val="single" w:color="auto" w:sz="4" w:space="0"/>
                    <w:right w:val="single" w:color="auto" w:sz="4" w:space="0"/>
                  </w:tcBorders>
                  <w:vAlign w:val="center"/>
                </w:tcPr>
                <w:p w14:paraId="3AE0EB03">
                  <w:pPr>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其他非金属矿物制品制造 3099（除重点管理、简化管理以外的）</w:t>
                  </w:r>
                </w:p>
              </w:tc>
            </w:tr>
            <w:tr w14:paraId="5E00E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5" w:type="dxa"/>
                  <w:tcBorders>
                    <w:top w:val="single" w:color="auto" w:sz="4" w:space="0"/>
                    <w:left w:val="single" w:color="auto" w:sz="4" w:space="0"/>
                    <w:bottom w:val="single" w:color="auto" w:sz="4" w:space="0"/>
                    <w:right w:val="single" w:color="auto" w:sz="4" w:space="0"/>
                  </w:tcBorders>
                  <w:vAlign w:val="center"/>
                </w:tcPr>
                <w:p w14:paraId="4311E0D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五十一</w:t>
                  </w:r>
                </w:p>
              </w:tc>
              <w:tc>
                <w:tcPr>
                  <w:tcW w:w="6972" w:type="dxa"/>
                  <w:gridSpan w:val="4"/>
                  <w:tcBorders>
                    <w:top w:val="single" w:color="auto" w:sz="4" w:space="0"/>
                    <w:left w:val="nil"/>
                    <w:bottom w:val="single" w:color="auto" w:sz="4" w:space="0"/>
                    <w:right w:val="single" w:color="auto" w:sz="4" w:space="0"/>
                  </w:tcBorders>
                  <w:vAlign w:val="center"/>
                </w:tcPr>
                <w:p w14:paraId="56F483F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通用工序</w:t>
                  </w:r>
                </w:p>
              </w:tc>
            </w:tr>
            <w:tr w14:paraId="08E7F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5" w:type="dxa"/>
                  <w:tcBorders>
                    <w:top w:val="single" w:color="auto" w:sz="4" w:space="0"/>
                    <w:left w:val="single" w:color="auto" w:sz="4" w:space="0"/>
                    <w:bottom w:val="single" w:color="auto" w:sz="4" w:space="0"/>
                    <w:right w:val="single" w:color="auto" w:sz="4" w:space="0"/>
                  </w:tcBorders>
                  <w:vAlign w:val="center"/>
                </w:tcPr>
                <w:p w14:paraId="4EE55FC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109</w:t>
                  </w:r>
                </w:p>
              </w:tc>
              <w:tc>
                <w:tcPr>
                  <w:tcW w:w="1327" w:type="dxa"/>
                  <w:tcBorders>
                    <w:top w:val="single" w:color="auto" w:sz="4" w:space="0"/>
                    <w:left w:val="nil"/>
                    <w:bottom w:val="single" w:color="auto" w:sz="4" w:space="0"/>
                    <w:right w:val="single" w:color="auto" w:sz="4" w:space="0"/>
                  </w:tcBorders>
                  <w:vAlign w:val="center"/>
                </w:tcPr>
                <w:p w14:paraId="479F32E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锅炉</w:t>
                  </w:r>
                </w:p>
              </w:tc>
              <w:tc>
                <w:tcPr>
                  <w:tcW w:w="1669" w:type="dxa"/>
                  <w:vMerge w:val="restart"/>
                  <w:tcBorders>
                    <w:top w:val="single" w:color="auto" w:sz="4" w:space="0"/>
                    <w:left w:val="nil"/>
                    <w:right w:val="single" w:color="auto" w:sz="4" w:space="0"/>
                  </w:tcBorders>
                  <w:vAlign w:val="center"/>
                </w:tcPr>
                <w:p w14:paraId="0836BE3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纳入重点排污单位名录的</w:t>
                  </w:r>
                </w:p>
              </w:tc>
              <w:tc>
                <w:tcPr>
                  <w:tcW w:w="1725" w:type="dxa"/>
                  <w:tcBorders>
                    <w:top w:val="single" w:color="auto" w:sz="4" w:space="0"/>
                    <w:left w:val="nil"/>
                    <w:bottom w:val="single" w:color="auto" w:sz="4" w:space="0"/>
                    <w:right w:val="single" w:color="auto" w:sz="4" w:space="0"/>
                  </w:tcBorders>
                  <w:vAlign w:val="center"/>
                </w:tcPr>
                <w:p w14:paraId="35318D6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除纳入重点排污单位名录的，单台或者合计出力20吨/小时（14兆瓦）及以上的锅炉（不含电热锅炉）</w:t>
                  </w:r>
                </w:p>
              </w:tc>
              <w:tc>
                <w:tcPr>
                  <w:tcW w:w="2251" w:type="dxa"/>
                  <w:tcBorders>
                    <w:top w:val="single" w:color="auto" w:sz="4" w:space="0"/>
                    <w:left w:val="nil"/>
                    <w:bottom w:val="single" w:color="auto" w:sz="4" w:space="0"/>
                    <w:right w:val="single" w:color="auto" w:sz="4" w:space="0"/>
                  </w:tcBorders>
                  <w:vAlign w:val="center"/>
                </w:tcPr>
                <w:p w14:paraId="52351A7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除纳入重点排污单位名录的，单台且合计出力20吨/小时（14兆瓦）以下的锅炉（不含电热锅炉）</w:t>
                  </w:r>
                </w:p>
              </w:tc>
            </w:tr>
            <w:tr w14:paraId="6929F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5" w:type="dxa"/>
                  <w:tcBorders>
                    <w:top w:val="single" w:color="auto" w:sz="4" w:space="0"/>
                    <w:left w:val="single" w:color="auto" w:sz="4" w:space="0"/>
                    <w:bottom w:val="single" w:color="auto" w:sz="4" w:space="0"/>
                    <w:right w:val="single" w:color="auto" w:sz="4" w:space="0"/>
                  </w:tcBorders>
                  <w:vAlign w:val="center"/>
                </w:tcPr>
                <w:p w14:paraId="6E348BD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110</w:t>
                  </w:r>
                </w:p>
              </w:tc>
              <w:tc>
                <w:tcPr>
                  <w:tcW w:w="1327" w:type="dxa"/>
                  <w:tcBorders>
                    <w:top w:val="single" w:color="auto" w:sz="4" w:space="0"/>
                    <w:left w:val="nil"/>
                    <w:bottom w:val="single" w:color="auto" w:sz="4" w:space="0"/>
                    <w:right w:val="single" w:color="auto" w:sz="4" w:space="0"/>
                  </w:tcBorders>
                  <w:vAlign w:val="center"/>
                </w:tcPr>
                <w:p w14:paraId="1A41D08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工业炉窑</w:t>
                  </w:r>
                </w:p>
              </w:tc>
              <w:tc>
                <w:tcPr>
                  <w:tcW w:w="1669" w:type="dxa"/>
                  <w:vMerge w:val="continue"/>
                  <w:tcBorders>
                    <w:left w:val="nil"/>
                    <w:right w:val="single" w:color="auto" w:sz="4" w:space="0"/>
                  </w:tcBorders>
                  <w:vAlign w:val="center"/>
                </w:tcPr>
                <w:p w14:paraId="0711D668">
                  <w:pPr>
                    <w:adjustRightInd w:val="0"/>
                    <w:snapToGrid w:val="0"/>
                    <w:jc w:val="center"/>
                    <w:rPr>
                      <w:rFonts w:hint="default" w:ascii="Times New Roman" w:hAnsi="Times New Roman" w:cs="Times New Roman"/>
                      <w:color w:val="auto"/>
                      <w:sz w:val="18"/>
                      <w:szCs w:val="18"/>
                    </w:rPr>
                  </w:pPr>
                </w:p>
              </w:tc>
              <w:tc>
                <w:tcPr>
                  <w:tcW w:w="1725" w:type="dxa"/>
                  <w:tcBorders>
                    <w:top w:val="single" w:color="auto" w:sz="4" w:space="0"/>
                    <w:left w:val="nil"/>
                    <w:bottom w:val="single" w:color="auto" w:sz="4" w:space="0"/>
                    <w:right w:val="single" w:color="auto" w:sz="4" w:space="0"/>
                  </w:tcBorders>
                  <w:vAlign w:val="center"/>
                </w:tcPr>
                <w:p w14:paraId="3BDA44B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除纳入重点排污单位名录的，除以天然气或者电为能源的加热炉、热处理炉、干燥炉（窑）以外的其他工业炉窑</w:t>
                  </w:r>
                </w:p>
              </w:tc>
              <w:tc>
                <w:tcPr>
                  <w:tcW w:w="2251" w:type="dxa"/>
                  <w:tcBorders>
                    <w:top w:val="single" w:color="auto" w:sz="4" w:space="0"/>
                    <w:left w:val="nil"/>
                    <w:bottom w:val="single" w:color="auto" w:sz="4" w:space="0"/>
                    <w:right w:val="single" w:color="auto" w:sz="4" w:space="0"/>
                  </w:tcBorders>
                  <w:vAlign w:val="center"/>
                </w:tcPr>
                <w:p w14:paraId="055A109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除纳入重点排污单位名录的，以天然气或者电为能源的加热炉、热处理炉或者干燥炉（窑）</w:t>
                  </w:r>
                </w:p>
              </w:tc>
            </w:tr>
            <w:tr w14:paraId="04AAD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5" w:type="dxa"/>
                  <w:tcBorders>
                    <w:top w:val="single" w:color="auto" w:sz="4" w:space="0"/>
                    <w:left w:val="single" w:color="auto" w:sz="4" w:space="0"/>
                    <w:bottom w:val="single" w:color="auto" w:sz="4" w:space="0"/>
                    <w:right w:val="single" w:color="auto" w:sz="4" w:space="0"/>
                  </w:tcBorders>
                  <w:vAlign w:val="center"/>
                </w:tcPr>
                <w:p w14:paraId="08A9477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111</w:t>
                  </w:r>
                </w:p>
              </w:tc>
              <w:tc>
                <w:tcPr>
                  <w:tcW w:w="1327" w:type="dxa"/>
                  <w:tcBorders>
                    <w:top w:val="single" w:color="auto" w:sz="4" w:space="0"/>
                    <w:left w:val="nil"/>
                    <w:bottom w:val="single" w:color="auto" w:sz="4" w:space="0"/>
                    <w:right w:val="single" w:color="auto" w:sz="4" w:space="0"/>
                  </w:tcBorders>
                  <w:vAlign w:val="center"/>
                </w:tcPr>
                <w:p w14:paraId="4B60F6E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表面处理</w:t>
                  </w:r>
                </w:p>
              </w:tc>
              <w:tc>
                <w:tcPr>
                  <w:tcW w:w="1669" w:type="dxa"/>
                  <w:vMerge w:val="continue"/>
                  <w:tcBorders>
                    <w:left w:val="nil"/>
                    <w:right w:val="single" w:color="auto" w:sz="4" w:space="0"/>
                  </w:tcBorders>
                  <w:vAlign w:val="center"/>
                </w:tcPr>
                <w:p w14:paraId="7C1E78A3">
                  <w:pPr>
                    <w:adjustRightInd w:val="0"/>
                    <w:snapToGrid w:val="0"/>
                    <w:jc w:val="center"/>
                    <w:rPr>
                      <w:rFonts w:hint="default" w:ascii="Times New Roman" w:hAnsi="Times New Roman" w:cs="Times New Roman"/>
                      <w:color w:val="auto"/>
                      <w:sz w:val="18"/>
                      <w:szCs w:val="18"/>
                    </w:rPr>
                  </w:pPr>
                </w:p>
              </w:tc>
              <w:tc>
                <w:tcPr>
                  <w:tcW w:w="1725" w:type="dxa"/>
                  <w:tcBorders>
                    <w:top w:val="single" w:color="auto" w:sz="4" w:space="0"/>
                    <w:left w:val="nil"/>
                    <w:bottom w:val="single" w:color="auto" w:sz="4" w:space="0"/>
                    <w:right w:val="single" w:color="auto" w:sz="4" w:space="0"/>
                  </w:tcBorders>
                  <w:vAlign w:val="center"/>
                </w:tcPr>
                <w:p w14:paraId="1362F35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除纳入重点排污单位名录的，有电镀工序、酸洗、抛光（电解抛光和化学抛光）、热浸镀（溶剂法）、淬火或者钝化等工序的、年使用10吨及以上有机溶剂的</w:t>
                  </w:r>
                </w:p>
              </w:tc>
              <w:tc>
                <w:tcPr>
                  <w:tcW w:w="2251" w:type="dxa"/>
                  <w:tcBorders>
                    <w:top w:val="single" w:color="auto" w:sz="4" w:space="0"/>
                    <w:left w:val="nil"/>
                    <w:bottom w:val="single" w:color="auto" w:sz="4" w:space="0"/>
                    <w:right w:val="single" w:color="auto" w:sz="4" w:space="0"/>
                  </w:tcBorders>
                  <w:vAlign w:val="center"/>
                </w:tcPr>
                <w:p w14:paraId="5C26750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w:t>
                  </w:r>
                </w:p>
              </w:tc>
            </w:tr>
            <w:tr w14:paraId="775A1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5" w:type="dxa"/>
                  <w:tcBorders>
                    <w:top w:val="single" w:color="auto" w:sz="4" w:space="0"/>
                    <w:left w:val="single" w:color="auto" w:sz="4" w:space="0"/>
                    <w:bottom w:val="single" w:color="auto" w:sz="4" w:space="0"/>
                    <w:right w:val="single" w:color="auto" w:sz="4" w:space="0"/>
                  </w:tcBorders>
                  <w:vAlign w:val="center"/>
                </w:tcPr>
                <w:p w14:paraId="1D8C7E5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112</w:t>
                  </w:r>
                </w:p>
              </w:tc>
              <w:tc>
                <w:tcPr>
                  <w:tcW w:w="1327" w:type="dxa"/>
                  <w:tcBorders>
                    <w:top w:val="single" w:color="auto" w:sz="4" w:space="0"/>
                    <w:left w:val="nil"/>
                    <w:bottom w:val="single" w:color="auto" w:sz="4" w:space="0"/>
                    <w:right w:val="single" w:color="auto" w:sz="4" w:space="0"/>
                  </w:tcBorders>
                  <w:vAlign w:val="center"/>
                </w:tcPr>
                <w:p w14:paraId="6158BD8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水处理</w:t>
                  </w:r>
                </w:p>
              </w:tc>
              <w:tc>
                <w:tcPr>
                  <w:tcW w:w="1669" w:type="dxa"/>
                  <w:vMerge w:val="continue"/>
                  <w:tcBorders>
                    <w:left w:val="nil"/>
                    <w:bottom w:val="single" w:color="auto" w:sz="4" w:space="0"/>
                    <w:right w:val="single" w:color="auto" w:sz="4" w:space="0"/>
                  </w:tcBorders>
                  <w:vAlign w:val="center"/>
                </w:tcPr>
                <w:p w14:paraId="0EBCDE0F">
                  <w:pPr>
                    <w:adjustRightInd w:val="0"/>
                    <w:snapToGrid w:val="0"/>
                    <w:jc w:val="center"/>
                    <w:rPr>
                      <w:rFonts w:hint="default" w:ascii="Times New Roman" w:hAnsi="Times New Roman" w:cs="Times New Roman"/>
                      <w:color w:val="auto"/>
                      <w:sz w:val="18"/>
                      <w:szCs w:val="18"/>
                    </w:rPr>
                  </w:pPr>
                </w:p>
              </w:tc>
              <w:tc>
                <w:tcPr>
                  <w:tcW w:w="1725" w:type="dxa"/>
                  <w:tcBorders>
                    <w:top w:val="single" w:color="auto" w:sz="4" w:space="0"/>
                    <w:left w:val="nil"/>
                    <w:bottom w:val="single" w:color="auto" w:sz="4" w:space="0"/>
                    <w:right w:val="single" w:color="auto" w:sz="4" w:space="0"/>
                  </w:tcBorders>
                  <w:vAlign w:val="center"/>
                </w:tcPr>
                <w:p w14:paraId="3227B51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除纳入重点排污单位名录的，日处理能力2万吨及以上的水处理设施</w:t>
                  </w:r>
                </w:p>
              </w:tc>
              <w:tc>
                <w:tcPr>
                  <w:tcW w:w="2251" w:type="dxa"/>
                  <w:tcBorders>
                    <w:top w:val="single" w:color="auto" w:sz="4" w:space="0"/>
                    <w:left w:val="nil"/>
                    <w:bottom w:val="single" w:color="auto" w:sz="4" w:space="0"/>
                    <w:right w:val="single" w:color="auto" w:sz="4" w:space="0"/>
                  </w:tcBorders>
                  <w:vAlign w:val="center"/>
                </w:tcPr>
                <w:p w14:paraId="0BE260D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除纳入重点排污单位名录的，日处理能力500吨及以上2万吨以下的水处理设施</w:t>
                  </w:r>
                </w:p>
              </w:tc>
            </w:tr>
          </w:tbl>
          <w:p w14:paraId="3090493F">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（2）建设项目排污许可申请与填发信息表</w:t>
            </w:r>
          </w:p>
          <w:p w14:paraId="36A1ECA6">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本项目属于排污许可登记管理，按照《排污许可证申请与核发技术规范 石墨及其他非金属矿物制品制造》(HJ1119-2020)技术规范内容填报。</w:t>
            </w:r>
          </w:p>
          <w:p w14:paraId="7C577A83">
            <w:pPr>
              <w:pStyle w:val="2"/>
              <w:rPr>
                <w:rFonts w:hint="default"/>
                <w:color w:val="auto"/>
              </w:rPr>
            </w:pPr>
          </w:p>
        </w:tc>
      </w:tr>
    </w:tbl>
    <w:p w14:paraId="732E6BD1">
      <w:pPr>
        <w:adjustRightInd w:val="0"/>
        <w:snapToGrid w:val="0"/>
        <w:spacing w:line="360" w:lineRule="auto"/>
        <w:rPr>
          <w:b/>
          <w:color w:val="auto"/>
          <w:kern w:val="0"/>
          <w:sz w:val="28"/>
          <w:szCs w:val="28"/>
        </w:rPr>
        <w:sectPr>
          <w:pgSz w:w="11907" w:h="16840"/>
          <w:pgMar w:top="1701" w:right="1531" w:bottom="1701" w:left="1531" w:header="851" w:footer="851" w:gutter="0"/>
          <w:cols w:space="720" w:num="1"/>
          <w:docGrid w:linePitch="312" w:charSpace="0"/>
        </w:sectPr>
      </w:pPr>
    </w:p>
    <w:p w14:paraId="12E6C1DE">
      <w:pPr>
        <w:pStyle w:val="29"/>
        <w:jc w:val="center"/>
        <w:outlineLvl w:val="0"/>
        <w:rPr>
          <w:rFonts w:ascii="Times New Roman" w:hAnsi="Times New Roman"/>
          <w:b/>
          <w:bCs/>
          <w:snapToGrid w:val="0"/>
          <w:color w:val="auto"/>
          <w:sz w:val="30"/>
          <w:szCs w:val="30"/>
        </w:rPr>
      </w:pPr>
      <w:bookmarkStart w:id="183" w:name="_Toc7678"/>
      <w:r>
        <w:rPr>
          <w:rFonts w:ascii="Times New Roman" w:hAnsi="Times New Roman"/>
          <w:b/>
          <w:bCs/>
          <w:snapToGrid w:val="0"/>
          <w:color w:val="auto"/>
          <w:sz w:val="30"/>
          <w:szCs w:val="30"/>
        </w:rPr>
        <w:t>五、</w:t>
      </w:r>
      <w:bookmarkStart w:id="184" w:name="_Hlk54167917"/>
      <w:r>
        <w:rPr>
          <w:rFonts w:ascii="Times New Roman" w:hAnsi="Times New Roman"/>
          <w:b/>
          <w:bCs/>
          <w:snapToGrid w:val="0"/>
          <w:color w:val="auto"/>
          <w:sz w:val="30"/>
          <w:szCs w:val="30"/>
        </w:rPr>
        <w:t>环境保护措施监督检查清单</w:t>
      </w:r>
      <w:bookmarkEnd w:id="183"/>
      <w:bookmarkEnd w:id="184"/>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463"/>
        <w:gridCol w:w="1648"/>
        <w:gridCol w:w="3009"/>
        <w:gridCol w:w="1755"/>
      </w:tblGrid>
      <w:tr w14:paraId="4B4A2A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tcBorders>
              <w:tl2br w:val="single" w:color="auto" w:sz="4" w:space="0"/>
            </w:tcBorders>
          </w:tcPr>
          <w:p w14:paraId="51CA9085">
            <w:pPr>
              <w:adjustRightInd w:val="0"/>
              <w:snapToGrid w:val="0"/>
              <w:rPr>
                <w:color w:val="auto"/>
                <w:szCs w:val="21"/>
              </w:rPr>
            </w:pPr>
            <w:r>
              <w:rPr>
                <w:color w:val="auto"/>
                <w:szCs w:val="21"/>
              </w:rPr>
              <w:t>内容</w:t>
            </w:r>
          </w:p>
          <w:p w14:paraId="3EFE8A23">
            <w:pPr>
              <w:adjustRightInd w:val="0"/>
              <w:snapToGrid w:val="0"/>
              <w:rPr>
                <w:color w:val="auto"/>
                <w:szCs w:val="21"/>
              </w:rPr>
            </w:pPr>
            <w:r>
              <w:rPr>
                <w:color w:val="auto"/>
                <w:szCs w:val="21"/>
              </w:rPr>
              <w:t>要素</w:t>
            </w:r>
          </w:p>
        </w:tc>
        <w:tc>
          <w:tcPr>
            <w:tcW w:w="1463" w:type="dxa"/>
            <w:vAlign w:val="center"/>
          </w:tcPr>
          <w:p w14:paraId="2655EA3F">
            <w:pPr>
              <w:adjustRightInd w:val="0"/>
              <w:snapToGrid w:val="0"/>
              <w:jc w:val="center"/>
              <w:rPr>
                <w:color w:val="auto"/>
                <w:szCs w:val="21"/>
              </w:rPr>
            </w:pPr>
            <w:r>
              <w:rPr>
                <w:color w:val="auto"/>
                <w:szCs w:val="21"/>
              </w:rPr>
              <w:t>排放口(编号、</w:t>
            </w:r>
          </w:p>
          <w:p w14:paraId="5DA8A984">
            <w:pPr>
              <w:adjustRightInd w:val="0"/>
              <w:snapToGrid w:val="0"/>
              <w:jc w:val="center"/>
              <w:rPr>
                <w:color w:val="auto"/>
                <w:szCs w:val="21"/>
              </w:rPr>
            </w:pPr>
            <w:r>
              <w:rPr>
                <w:color w:val="auto"/>
                <w:szCs w:val="21"/>
              </w:rPr>
              <w:t>名称)/污染源</w:t>
            </w:r>
          </w:p>
        </w:tc>
        <w:tc>
          <w:tcPr>
            <w:tcW w:w="1648" w:type="dxa"/>
            <w:vAlign w:val="center"/>
          </w:tcPr>
          <w:p w14:paraId="78EA9322">
            <w:pPr>
              <w:adjustRightInd w:val="0"/>
              <w:snapToGrid w:val="0"/>
              <w:jc w:val="center"/>
              <w:rPr>
                <w:color w:val="auto"/>
                <w:szCs w:val="21"/>
              </w:rPr>
            </w:pPr>
            <w:r>
              <w:rPr>
                <w:color w:val="auto"/>
                <w:szCs w:val="21"/>
              </w:rPr>
              <w:t>污染物项目</w:t>
            </w:r>
          </w:p>
        </w:tc>
        <w:tc>
          <w:tcPr>
            <w:tcW w:w="3009" w:type="dxa"/>
            <w:vAlign w:val="center"/>
          </w:tcPr>
          <w:p w14:paraId="2A38A33B">
            <w:pPr>
              <w:adjustRightInd w:val="0"/>
              <w:snapToGrid w:val="0"/>
              <w:jc w:val="center"/>
              <w:rPr>
                <w:color w:val="auto"/>
                <w:szCs w:val="21"/>
              </w:rPr>
            </w:pPr>
            <w:r>
              <w:rPr>
                <w:color w:val="auto"/>
                <w:szCs w:val="21"/>
              </w:rPr>
              <w:t>环境保护措施</w:t>
            </w:r>
          </w:p>
        </w:tc>
        <w:tc>
          <w:tcPr>
            <w:tcW w:w="1755" w:type="dxa"/>
            <w:vAlign w:val="center"/>
          </w:tcPr>
          <w:p w14:paraId="18D0F3C0">
            <w:pPr>
              <w:widowControl/>
              <w:jc w:val="center"/>
              <w:textAlignment w:val="center"/>
              <w:rPr>
                <w:color w:val="auto"/>
                <w:szCs w:val="21"/>
              </w:rPr>
            </w:pPr>
            <w:r>
              <w:rPr>
                <w:color w:val="auto"/>
                <w:szCs w:val="21"/>
              </w:rPr>
              <w:t>执行标准</w:t>
            </w:r>
          </w:p>
        </w:tc>
      </w:tr>
      <w:tr w14:paraId="36F260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Merge w:val="restart"/>
            <w:vAlign w:val="center"/>
          </w:tcPr>
          <w:p w14:paraId="7265B1DD">
            <w:pPr>
              <w:adjustRightInd w:val="0"/>
              <w:snapToGrid w:val="0"/>
              <w:jc w:val="center"/>
              <w:rPr>
                <w:color w:val="auto"/>
                <w:szCs w:val="21"/>
              </w:rPr>
            </w:pPr>
            <w:r>
              <w:rPr>
                <w:color w:val="auto"/>
                <w:szCs w:val="21"/>
              </w:rPr>
              <w:t>大气环境</w:t>
            </w:r>
          </w:p>
        </w:tc>
        <w:tc>
          <w:tcPr>
            <w:tcW w:w="1463" w:type="dxa"/>
            <w:vAlign w:val="center"/>
          </w:tcPr>
          <w:p w14:paraId="4C917EE1">
            <w:pPr>
              <w:adjustRightInd w:val="0"/>
              <w:snapToGrid w:val="0"/>
              <w:jc w:val="center"/>
              <w:rPr>
                <w:color w:val="auto"/>
                <w:szCs w:val="21"/>
                <w:highlight w:val="none"/>
              </w:rPr>
            </w:pPr>
            <w:r>
              <w:rPr>
                <w:color w:val="auto"/>
                <w:szCs w:val="21"/>
                <w:highlight w:val="none"/>
              </w:rPr>
              <w:t>DA001</w:t>
            </w:r>
          </w:p>
        </w:tc>
        <w:tc>
          <w:tcPr>
            <w:tcW w:w="1648" w:type="dxa"/>
            <w:vAlign w:val="center"/>
          </w:tcPr>
          <w:p w14:paraId="62E4245F">
            <w:pPr>
              <w:widowControl/>
              <w:jc w:val="center"/>
              <w:textAlignment w:val="center"/>
              <w:rPr>
                <w:color w:val="auto"/>
                <w:szCs w:val="21"/>
                <w:highlight w:val="none"/>
              </w:rPr>
            </w:pPr>
            <w:r>
              <w:rPr>
                <w:color w:val="auto"/>
                <w:szCs w:val="21"/>
                <w:highlight w:val="none"/>
              </w:rPr>
              <w:t>颗粒物</w:t>
            </w:r>
          </w:p>
        </w:tc>
        <w:tc>
          <w:tcPr>
            <w:tcW w:w="3009" w:type="dxa"/>
            <w:vAlign w:val="center"/>
          </w:tcPr>
          <w:p w14:paraId="3FC37F89">
            <w:pPr>
              <w:widowControl/>
              <w:jc w:val="center"/>
              <w:textAlignment w:val="center"/>
              <w:rPr>
                <w:color w:val="auto"/>
                <w:szCs w:val="21"/>
                <w:highlight w:val="none"/>
              </w:rPr>
            </w:pPr>
            <w:r>
              <w:rPr>
                <w:rFonts w:hint="eastAsia"/>
                <w:color w:val="auto"/>
                <w:szCs w:val="21"/>
                <w:highlight w:val="none"/>
                <w:lang w:val="en-US" w:eastAsia="zh-CN"/>
              </w:rPr>
              <w:t>袋式</w:t>
            </w:r>
            <w:r>
              <w:rPr>
                <w:color w:val="auto"/>
                <w:szCs w:val="21"/>
                <w:highlight w:val="none"/>
              </w:rPr>
              <w:t>除尘</w:t>
            </w:r>
          </w:p>
        </w:tc>
        <w:tc>
          <w:tcPr>
            <w:tcW w:w="1755" w:type="dxa"/>
            <w:vMerge w:val="restart"/>
            <w:vAlign w:val="center"/>
          </w:tcPr>
          <w:p w14:paraId="10DD344D">
            <w:pPr>
              <w:widowControl/>
              <w:jc w:val="center"/>
              <w:textAlignment w:val="center"/>
              <w:rPr>
                <w:color w:val="auto"/>
                <w:szCs w:val="21"/>
              </w:rPr>
            </w:pPr>
            <w:r>
              <w:rPr>
                <w:color w:val="auto"/>
                <w:szCs w:val="21"/>
              </w:rPr>
              <w:t>《大气污染物综合排放标准》（GB 16297-1996）表2大气污染物二级标准排放限值</w:t>
            </w:r>
          </w:p>
        </w:tc>
      </w:tr>
      <w:tr w14:paraId="76957B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Merge w:val="continue"/>
            <w:vAlign w:val="center"/>
          </w:tcPr>
          <w:p w14:paraId="68520250">
            <w:pPr>
              <w:adjustRightInd w:val="0"/>
              <w:snapToGrid w:val="0"/>
              <w:jc w:val="center"/>
              <w:rPr>
                <w:color w:val="auto"/>
                <w:szCs w:val="21"/>
              </w:rPr>
            </w:pPr>
          </w:p>
        </w:tc>
        <w:tc>
          <w:tcPr>
            <w:tcW w:w="1463" w:type="dxa"/>
            <w:vAlign w:val="center"/>
          </w:tcPr>
          <w:p w14:paraId="3E9957CE">
            <w:pPr>
              <w:adjustRightInd w:val="0"/>
              <w:snapToGrid w:val="0"/>
              <w:jc w:val="center"/>
              <w:rPr>
                <w:color w:val="auto"/>
                <w:szCs w:val="21"/>
                <w:highlight w:val="none"/>
              </w:rPr>
            </w:pPr>
            <w:r>
              <w:rPr>
                <w:color w:val="auto"/>
                <w:szCs w:val="21"/>
                <w:highlight w:val="none"/>
              </w:rPr>
              <w:t>DA002</w:t>
            </w:r>
          </w:p>
        </w:tc>
        <w:tc>
          <w:tcPr>
            <w:tcW w:w="1648" w:type="dxa"/>
            <w:vAlign w:val="center"/>
          </w:tcPr>
          <w:p w14:paraId="0D8D0FEF">
            <w:pPr>
              <w:widowControl/>
              <w:jc w:val="center"/>
              <w:textAlignment w:val="center"/>
              <w:rPr>
                <w:color w:val="auto"/>
                <w:szCs w:val="21"/>
                <w:highlight w:val="none"/>
              </w:rPr>
            </w:pPr>
            <w:r>
              <w:rPr>
                <w:color w:val="auto"/>
                <w:szCs w:val="21"/>
                <w:highlight w:val="none"/>
              </w:rPr>
              <w:t>颗粒物</w:t>
            </w:r>
          </w:p>
        </w:tc>
        <w:tc>
          <w:tcPr>
            <w:tcW w:w="3009" w:type="dxa"/>
            <w:vAlign w:val="center"/>
          </w:tcPr>
          <w:p w14:paraId="6AA0BD8E">
            <w:pPr>
              <w:widowControl/>
              <w:jc w:val="center"/>
              <w:textAlignment w:val="center"/>
              <w:rPr>
                <w:color w:val="auto"/>
                <w:szCs w:val="21"/>
                <w:highlight w:val="none"/>
              </w:rPr>
            </w:pPr>
            <w:r>
              <w:rPr>
                <w:rFonts w:hint="eastAsia"/>
                <w:color w:val="auto"/>
                <w:szCs w:val="21"/>
                <w:highlight w:val="none"/>
                <w:lang w:val="en-US" w:eastAsia="zh-CN"/>
              </w:rPr>
              <w:t>水喷淋</w:t>
            </w:r>
          </w:p>
        </w:tc>
        <w:tc>
          <w:tcPr>
            <w:tcW w:w="1755" w:type="dxa"/>
            <w:vMerge w:val="continue"/>
            <w:vAlign w:val="center"/>
          </w:tcPr>
          <w:p w14:paraId="2A42D694">
            <w:pPr>
              <w:adjustRightInd w:val="0"/>
              <w:snapToGrid w:val="0"/>
              <w:jc w:val="center"/>
              <w:rPr>
                <w:color w:val="auto"/>
                <w:szCs w:val="21"/>
              </w:rPr>
            </w:pPr>
          </w:p>
        </w:tc>
      </w:tr>
      <w:tr w14:paraId="77C6B2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Merge w:val="continue"/>
            <w:vAlign w:val="center"/>
          </w:tcPr>
          <w:p w14:paraId="41354F4B">
            <w:pPr>
              <w:adjustRightInd w:val="0"/>
              <w:snapToGrid w:val="0"/>
              <w:jc w:val="center"/>
              <w:rPr>
                <w:color w:val="auto"/>
                <w:szCs w:val="21"/>
              </w:rPr>
            </w:pPr>
          </w:p>
        </w:tc>
        <w:tc>
          <w:tcPr>
            <w:tcW w:w="1463" w:type="dxa"/>
            <w:vAlign w:val="center"/>
          </w:tcPr>
          <w:p w14:paraId="71F4FCB0">
            <w:pPr>
              <w:adjustRightInd w:val="0"/>
              <w:snapToGrid w:val="0"/>
              <w:jc w:val="center"/>
              <w:rPr>
                <w:strike/>
                <w:color w:val="auto"/>
                <w:szCs w:val="21"/>
                <w:highlight w:val="none"/>
              </w:rPr>
            </w:pPr>
            <w:r>
              <w:rPr>
                <w:color w:val="auto"/>
                <w:szCs w:val="21"/>
                <w:highlight w:val="none"/>
              </w:rPr>
              <w:t>DA003</w:t>
            </w:r>
          </w:p>
        </w:tc>
        <w:tc>
          <w:tcPr>
            <w:tcW w:w="1648" w:type="dxa"/>
            <w:vAlign w:val="center"/>
          </w:tcPr>
          <w:p w14:paraId="50B5D897">
            <w:pPr>
              <w:widowControl/>
              <w:jc w:val="center"/>
              <w:textAlignment w:val="center"/>
              <w:rPr>
                <w:color w:val="auto"/>
                <w:szCs w:val="21"/>
                <w:highlight w:val="none"/>
              </w:rPr>
            </w:pPr>
            <w:r>
              <w:rPr>
                <w:color w:val="auto"/>
                <w:szCs w:val="21"/>
                <w:highlight w:val="none"/>
              </w:rPr>
              <w:t>氯化氢、氟化氢</w:t>
            </w:r>
          </w:p>
        </w:tc>
        <w:tc>
          <w:tcPr>
            <w:tcW w:w="3009" w:type="dxa"/>
            <w:vAlign w:val="center"/>
          </w:tcPr>
          <w:p w14:paraId="1E32EA57">
            <w:pPr>
              <w:widowControl/>
              <w:jc w:val="center"/>
              <w:textAlignment w:val="center"/>
              <w:rPr>
                <w:color w:val="auto"/>
                <w:szCs w:val="21"/>
                <w:highlight w:val="none"/>
              </w:rPr>
            </w:pPr>
            <w:r>
              <w:rPr>
                <w:rFonts w:hint="eastAsia"/>
                <w:color w:val="auto"/>
                <w:szCs w:val="21"/>
                <w:highlight w:val="none"/>
                <w:lang w:eastAsia="zh-CN"/>
              </w:rPr>
              <w:t>两级碱</w:t>
            </w:r>
            <w:r>
              <w:rPr>
                <w:color w:val="auto"/>
                <w:szCs w:val="21"/>
                <w:highlight w:val="none"/>
              </w:rPr>
              <w:t>喷淋</w:t>
            </w:r>
          </w:p>
        </w:tc>
        <w:tc>
          <w:tcPr>
            <w:tcW w:w="1755" w:type="dxa"/>
            <w:vMerge w:val="continue"/>
            <w:vAlign w:val="center"/>
          </w:tcPr>
          <w:p w14:paraId="2487DD3F">
            <w:pPr>
              <w:adjustRightInd w:val="0"/>
              <w:snapToGrid w:val="0"/>
              <w:jc w:val="center"/>
              <w:rPr>
                <w:color w:val="auto"/>
                <w:szCs w:val="21"/>
              </w:rPr>
            </w:pPr>
          </w:p>
        </w:tc>
      </w:tr>
      <w:tr w14:paraId="79D201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Merge w:val="continue"/>
            <w:vAlign w:val="center"/>
          </w:tcPr>
          <w:p w14:paraId="4A937F03">
            <w:pPr>
              <w:adjustRightInd w:val="0"/>
              <w:snapToGrid w:val="0"/>
              <w:jc w:val="center"/>
              <w:rPr>
                <w:color w:val="auto"/>
                <w:szCs w:val="21"/>
              </w:rPr>
            </w:pPr>
          </w:p>
        </w:tc>
        <w:tc>
          <w:tcPr>
            <w:tcW w:w="1463" w:type="dxa"/>
            <w:vAlign w:val="center"/>
          </w:tcPr>
          <w:p w14:paraId="4F135AA8">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DA004</w:t>
            </w:r>
          </w:p>
        </w:tc>
        <w:tc>
          <w:tcPr>
            <w:tcW w:w="1648" w:type="dxa"/>
            <w:vAlign w:val="center"/>
          </w:tcPr>
          <w:p w14:paraId="392FC0BF">
            <w:pPr>
              <w:widowControl/>
              <w:jc w:val="center"/>
              <w:textAlignment w:val="center"/>
              <w:rPr>
                <w:color w:val="auto"/>
                <w:szCs w:val="21"/>
                <w:highlight w:val="none"/>
              </w:rPr>
            </w:pPr>
            <w:r>
              <w:rPr>
                <w:color w:val="auto"/>
                <w:szCs w:val="21"/>
                <w:highlight w:val="none"/>
              </w:rPr>
              <w:t>颗粒物</w:t>
            </w:r>
          </w:p>
        </w:tc>
        <w:tc>
          <w:tcPr>
            <w:tcW w:w="3009" w:type="dxa"/>
            <w:vAlign w:val="center"/>
          </w:tcPr>
          <w:p w14:paraId="7CC061C5">
            <w:pPr>
              <w:widowControl/>
              <w:jc w:val="center"/>
              <w:textAlignment w:val="center"/>
              <w:rPr>
                <w:rFonts w:hint="eastAsia" w:eastAsia="宋体"/>
                <w:color w:val="auto"/>
                <w:szCs w:val="21"/>
                <w:highlight w:val="none"/>
                <w:lang w:val="en-US" w:eastAsia="zh-CN"/>
              </w:rPr>
            </w:pPr>
            <w:r>
              <w:rPr>
                <w:rFonts w:hint="eastAsia"/>
                <w:color w:val="auto"/>
                <w:szCs w:val="21"/>
                <w:highlight w:val="none"/>
                <w:lang w:val="en-US" w:eastAsia="zh-CN"/>
              </w:rPr>
              <w:t>水喷淋</w:t>
            </w:r>
          </w:p>
        </w:tc>
        <w:tc>
          <w:tcPr>
            <w:tcW w:w="1755" w:type="dxa"/>
            <w:vMerge w:val="continue"/>
            <w:vAlign w:val="center"/>
          </w:tcPr>
          <w:p w14:paraId="0052FE12">
            <w:pPr>
              <w:adjustRightInd w:val="0"/>
              <w:snapToGrid w:val="0"/>
              <w:jc w:val="center"/>
              <w:rPr>
                <w:color w:val="auto"/>
                <w:szCs w:val="21"/>
              </w:rPr>
            </w:pPr>
          </w:p>
        </w:tc>
      </w:tr>
      <w:tr w14:paraId="173A66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Merge w:val="continue"/>
            <w:vAlign w:val="center"/>
          </w:tcPr>
          <w:p w14:paraId="2F340876">
            <w:pPr>
              <w:adjustRightInd w:val="0"/>
              <w:snapToGrid w:val="0"/>
              <w:jc w:val="center"/>
              <w:rPr>
                <w:color w:val="auto"/>
                <w:szCs w:val="21"/>
              </w:rPr>
            </w:pPr>
          </w:p>
        </w:tc>
        <w:tc>
          <w:tcPr>
            <w:tcW w:w="1463" w:type="dxa"/>
            <w:vAlign w:val="center"/>
          </w:tcPr>
          <w:p w14:paraId="5C1280C8">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DA005</w:t>
            </w:r>
          </w:p>
        </w:tc>
        <w:tc>
          <w:tcPr>
            <w:tcW w:w="1648" w:type="dxa"/>
            <w:vAlign w:val="center"/>
          </w:tcPr>
          <w:p w14:paraId="6588C94C">
            <w:pPr>
              <w:widowControl/>
              <w:jc w:val="center"/>
              <w:textAlignment w:val="center"/>
              <w:rPr>
                <w:color w:val="auto"/>
                <w:szCs w:val="21"/>
                <w:highlight w:val="none"/>
              </w:rPr>
            </w:pPr>
            <w:r>
              <w:rPr>
                <w:color w:val="auto"/>
                <w:szCs w:val="21"/>
                <w:highlight w:val="none"/>
              </w:rPr>
              <w:t>颗粒物、氯化氢</w:t>
            </w:r>
          </w:p>
        </w:tc>
        <w:tc>
          <w:tcPr>
            <w:tcW w:w="3009" w:type="dxa"/>
            <w:vAlign w:val="center"/>
          </w:tcPr>
          <w:p w14:paraId="52C8517B">
            <w:pPr>
              <w:widowControl/>
              <w:jc w:val="center"/>
              <w:textAlignment w:val="center"/>
              <w:rPr>
                <w:color w:val="auto"/>
                <w:szCs w:val="21"/>
                <w:highlight w:val="none"/>
              </w:rPr>
            </w:pPr>
            <w:r>
              <w:rPr>
                <w:rFonts w:hint="eastAsia"/>
                <w:color w:val="auto"/>
                <w:szCs w:val="21"/>
                <w:highlight w:val="none"/>
                <w:lang w:eastAsia="zh-CN"/>
              </w:rPr>
              <w:t>两级碱</w:t>
            </w:r>
            <w:r>
              <w:rPr>
                <w:color w:val="auto"/>
                <w:szCs w:val="21"/>
                <w:highlight w:val="none"/>
              </w:rPr>
              <w:t>喷淋</w:t>
            </w:r>
          </w:p>
        </w:tc>
        <w:tc>
          <w:tcPr>
            <w:tcW w:w="1755" w:type="dxa"/>
            <w:vMerge w:val="continue"/>
            <w:vAlign w:val="center"/>
          </w:tcPr>
          <w:p w14:paraId="09382B29">
            <w:pPr>
              <w:adjustRightInd w:val="0"/>
              <w:snapToGrid w:val="0"/>
              <w:jc w:val="center"/>
              <w:rPr>
                <w:color w:val="auto"/>
                <w:szCs w:val="21"/>
              </w:rPr>
            </w:pPr>
          </w:p>
        </w:tc>
      </w:tr>
      <w:tr w14:paraId="1CBBCF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Merge w:val="continue"/>
            <w:vAlign w:val="center"/>
          </w:tcPr>
          <w:p w14:paraId="56A01F9F">
            <w:pPr>
              <w:adjustRightInd w:val="0"/>
              <w:snapToGrid w:val="0"/>
              <w:jc w:val="center"/>
              <w:rPr>
                <w:color w:val="auto"/>
                <w:szCs w:val="21"/>
              </w:rPr>
            </w:pPr>
          </w:p>
        </w:tc>
        <w:tc>
          <w:tcPr>
            <w:tcW w:w="1463" w:type="dxa"/>
            <w:vAlign w:val="center"/>
          </w:tcPr>
          <w:p w14:paraId="54B5AD94">
            <w:pPr>
              <w:adjustRightInd w:val="0"/>
              <w:snapToGrid w:val="0"/>
              <w:jc w:val="center"/>
              <w:rPr>
                <w:color w:val="auto"/>
                <w:szCs w:val="21"/>
              </w:rPr>
            </w:pPr>
            <w:r>
              <w:rPr>
                <w:color w:val="auto"/>
                <w:szCs w:val="21"/>
              </w:rPr>
              <w:t>车间无组织</w:t>
            </w:r>
          </w:p>
        </w:tc>
        <w:tc>
          <w:tcPr>
            <w:tcW w:w="1648" w:type="dxa"/>
            <w:vAlign w:val="center"/>
          </w:tcPr>
          <w:p w14:paraId="1B66E0F6">
            <w:pPr>
              <w:widowControl/>
              <w:jc w:val="center"/>
              <w:textAlignment w:val="center"/>
              <w:rPr>
                <w:color w:val="auto"/>
                <w:szCs w:val="21"/>
              </w:rPr>
            </w:pPr>
            <w:r>
              <w:rPr>
                <w:color w:val="auto"/>
                <w:szCs w:val="21"/>
              </w:rPr>
              <w:t>颗粒物、氯化氢</w:t>
            </w:r>
          </w:p>
          <w:p w14:paraId="6FCF1D16">
            <w:pPr>
              <w:adjustRightInd w:val="0"/>
              <w:snapToGrid w:val="0"/>
              <w:jc w:val="center"/>
              <w:rPr>
                <w:color w:val="auto"/>
                <w:szCs w:val="21"/>
              </w:rPr>
            </w:pPr>
            <w:r>
              <w:rPr>
                <w:color w:val="auto"/>
                <w:szCs w:val="21"/>
              </w:rPr>
              <w:t>氟化氢</w:t>
            </w:r>
          </w:p>
        </w:tc>
        <w:tc>
          <w:tcPr>
            <w:tcW w:w="3009" w:type="dxa"/>
            <w:vAlign w:val="center"/>
          </w:tcPr>
          <w:p w14:paraId="2A0878DB">
            <w:pPr>
              <w:widowControl/>
              <w:jc w:val="center"/>
              <w:textAlignment w:val="center"/>
              <w:rPr>
                <w:rFonts w:hint="default" w:eastAsia="宋体"/>
                <w:color w:val="auto"/>
                <w:szCs w:val="21"/>
                <w:lang w:val="en-US" w:eastAsia="zh-CN"/>
              </w:rPr>
            </w:pPr>
            <w:r>
              <w:rPr>
                <w:color w:val="auto"/>
                <w:szCs w:val="21"/>
              </w:rPr>
              <w:t>加强车间密闭性</w:t>
            </w:r>
            <w:r>
              <w:rPr>
                <w:rFonts w:hint="eastAsia"/>
                <w:color w:val="auto"/>
                <w:szCs w:val="21"/>
                <w:lang w:eastAsia="zh-CN"/>
              </w:rPr>
              <w:t>、</w:t>
            </w:r>
            <w:r>
              <w:rPr>
                <w:rFonts w:hint="eastAsia"/>
                <w:color w:val="auto"/>
                <w:szCs w:val="21"/>
                <w:lang w:val="en-US" w:eastAsia="zh-CN"/>
              </w:rPr>
              <w:t>原料堆场上方设置喷雾抑尘装置</w:t>
            </w:r>
          </w:p>
        </w:tc>
        <w:tc>
          <w:tcPr>
            <w:tcW w:w="1755" w:type="dxa"/>
            <w:vMerge w:val="continue"/>
            <w:vAlign w:val="center"/>
          </w:tcPr>
          <w:p w14:paraId="76FBC7BA">
            <w:pPr>
              <w:adjustRightInd w:val="0"/>
              <w:snapToGrid w:val="0"/>
              <w:jc w:val="center"/>
              <w:rPr>
                <w:color w:val="auto"/>
                <w:szCs w:val="21"/>
              </w:rPr>
            </w:pPr>
          </w:p>
        </w:tc>
      </w:tr>
      <w:tr w14:paraId="5267C5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Align w:val="center"/>
          </w:tcPr>
          <w:p w14:paraId="568AC881">
            <w:pPr>
              <w:adjustRightInd w:val="0"/>
              <w:snapToGrid w:val="0"/>
              <w:jc w:val="center"/>
              <w:rPr>
                <w:color w:val="auto"/>
                <w:szCs w:val="21"/>
              </w:rPr>
            </w:pPr>
            <w:r>
              <w:rPr>
                <w:color w:val="auto"/>
                <w:szCs w:val="21"/>
              </w:rPr>
              <w:t>地表水环境</w:t>
            </w:r>
          </w:p>
        </w:tc>
        <w:tc>
          <w:tcPr>
            <w:tcW w:w="1463" w:type="dxa"/>
            <w:vAlign w:val="center"/>
          </w:tcPr>
          <w:p w14:paraId="4F4DB21F">
            <w:pPr>
              <w:adjustRightInd w:val="0"/>
              <w:snapToGrid w:val="0"/>
              <w:jc w:val="center"/>
              <w:rPr>
                <w:color w:val="auto"/>
                <w:szCs w:val="21"/>
              </w:rPr>
            </w:pPr>
            <w:r>
              <w:rPr>
                <w:color w:val="auto"/>
                <w:szCs w:val="21"/>
              </w:rPr>
              <w:t>生产</w:t>
            </w:r>
            <w:r>
              <w:rPr>
                <w:rFonts w:hint="eastAsia"/>
                <w:color w:val="auto"/>
                <w:szCs w:val="21"/>
              </w:rPr>
              <w:t>废水、生活污水</w:t>
            </w:r>
          </w:p>
        </w:tc>
        <w:tc>
          <w:tcPr>
            <w:tcW w:w="1648" w:type="dxa"/>
            <w:vAlign w:val="center"/>
          </w:tcPr>
          <w:p w14:paraId="0291F9BD">
            <w:pPr>
              <w:jc w:val="center"/>
              <w:rPr>
                <w:color w:val="auto"/>
                <w:szCs w:val="21"/>
              </w:rPr>
            </w:pPr>
            <w:r>
              <w:rPr>
                <w:color w:val="auto"/>
                <w:szCs w:val="21"/>
              </w:rPr>
              <w:t>COD</w:t>
            </w:r>
            <w:r>
              <w:rPr>
                <w:color w:val="auto"/>
                <w:szCs w:val="21"/>
                <w:vertAlign w:val="subscript"/>
              </w:rPr>
              <w:t>Cr</w:t>
            </w:r>
            <w:r>
              <w:rPr>
                <w:color w:val="auto"/>
                <w:szCs w:val="21"/>
              </w:rPr>
              <w:t>、氨氮、</w:t>
            </w:r>
          </w:p>
          <w:p w14:paraId="51031E20">
            <w:pPr>
              <w:jc w:val="center"/>
              <w:rPr>
                <w:color w:val="auto"/>
                <w:szCs w:val="21"/>
              </w:rPr>
            </w:pPr>
            <w:r>
              <w:rPr>
                <w:color w:val="auto"/>
                <w:szCs w:val="21"/>
              </w:rPr>
              <w:t>SS、TN、</w:t>
            </w:r>
            <w:r>
              <w:rPr>
                <w:rFonts w:hint="eastAsia"/>
                <w:color w:val="auto"/>
                <w:szCs w:val="21"/>
              </w:rPr>
              <w:t>氟化物</w:t>
            </w:r>
            <w:r>
              <w:rPr>
                <w:color w:val="auto"/>
                <w:szCs w:val="21"/>
              </w:rPr>
              <w:t>等</w:t>
            </w:r>
          </w:p>
        </w:tc>
        <w:tc>
          <w:tcPr>
            <w:tcW w:w="3009" w:type="dxa"/>
            <w:vAlign w:val="center"/>
          </w:tcPr>
          <w:p w14:paraId="70464C7D">
            <w:pPr>
              <w:rPr>
                <w:color w:val="auto"/>
                <w:szCs w:val="21"/>
              </w:rPr>
            </w:pPr>
            <w:r>
              <w:rPr>
                <w:color w:val="auto"/>
                <w:szCs w:val="21"/>
              </w:rPr>
              <w:t>实行雨污分流；</w:t>
            </w:r>
            <w:r>
              <w:rPr>
                <w:rFonts w:hint="eastAsia"/>
                <w:color w:val="auto"/>
                <w:szCs w:val="21"/>
              </w:rPr>
              <w:t>生产废水</w:t>
            </w:r>
            <w:r>
              <w:rPr>
                <w:color w:val="auto"/>
                <w:szCs w:val="21"/>
              </w:rPr>
              <w:t>经调节、中和沉淀、过滤处理后外排</w:t>
            </w:r>
            <w:r>
              <w:rPr>
                <w:rFonts w:hint="eastAsia"/>
                <w:color w:val="auto"/>
                <w:szCs w:val="21"/>
              </w:rPr>
              <w:t>，</w:t>
            </w:r>
            <w:r>
              <w:rPr>
                <w:color w:val="auto"/>
                <w:szCs w:val="21"/>
              </w:rPr>
              <w:t>生活污水经化粪池处理后</w:t>
            </w:r>
            <w:r>
              <w:rPr>
                <w:rFonts w:hint="eastAsia"/>
                <w:color w:val="auto"/>
                <w:szCs w:val="21"/>
              </w:rPr>
              <w:t>外排。</w:t>
            </w:r>
            <w:r>
              <w:rPr>
                <w:color w:val="auto"/>
                <w:szCs w:val="21"/>
              </w:rPr>
              <w:t>纳管排入淮南经济技术开发区工业污水处理厂。</w:t>
            </w:r>
          </w:p>
        </w:tc>
        <w:tc>
          <w:tcPr>
            <w:tcW w:w="1755" w:type="dxa"/>
            <w:vAlign w:val="center"/>
          </w:tcPr>
          <w:p w14:paraId="1BF5B521">
            <w:pPr>
              <w:ind w:left="14" w:hanging="14"/>
              <w:jc w:val="center"/>
              <w:rPr>
                <w:rFonts w:hint="eastAsia" w:eastAsia="宋体"/>
                <w:color w:val="auto"/>
                <w:szCs w:val="21"/>
                <w:lang w:eastAsia="zh-CN"/>
              </w:rPr>
            </w:pPr>
            <w:r>
              <w:rPr>
                <w:rFonts w:hint="eastAsia"/>
                <w:color w:val="auto"/>
              </w:rPr>
              <w:t>《关于发布淮南经开区企业生产废水排放限值的通知》，石油类、LAS达到《污水综合排放标准》(GB8978-1996)中三级标准</w:t>
            </w:r>
            <w:r>
              <w:rPr>
                <w:rFonts w:hint="eastAsia"/>
                <w:color w:val="auto"/>
                <w:lang w:eastAsia="zh-CN"/>
              </w:rPr>
              <w:t>，</w:t>
            </w:r>
            <w:r>
              <w:rPr>
                <w:rFonts w:hint="eastAsia" w:cs="Times New Roman"/>
                <w:color w:val="auto"/>
                <w:szCs w:val="21"/>
                <w:lang w:val="en-US" w:eastAsia="zh-CN"/>
              </w:rPr>
              <w:t>注：</w:t>
            </w:r>
            <w:r>
              <w:rPr>
                <w:rFonts w:hint="eastAsia" w:ascii="Times New Roman" w:hAnsi="Times New Roman" w:cs="Times New Roman"/>
                <w:color w:val="auto"/>
                <w:szCs w:val="21"/>
                <w:lang w:val="en-US" w:eastAsia="zh-CN"/>
              </w:rPr>
              <w:t>氟化物纳管企业内部控制要求10mg/L</w:t>
            </w:r>
          </w:p>
        </w:tc>
      </w:tr>
      <w:tr w14:paraId="0E41A7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25" w:type="dxa"/>
            <w:vAlign w:val="center"/>
          </w:tcPr>
          <w:p w14:paraId="29654FB5">
            <w:pPr>
              <w:adjustRightInd w:val="0"/>
              <w:snapToGrid w:val="0"/>
              <w:jc w:val="center"/>
              <w:rPr>
                <w:color w:val="auto"/>
                <w:szCs w:val="21"/>
              </w:rPr>
            </w:pPr>
            <w:r>
              <w:rPr>
                <w:color w:val="auto"/>
                <w:szCs w:val="21"/>
              </w:rPr>
              <w:t>声环境</w:t>
            </w:r>
          </w:p>
        </w:tc>
        <w:tc>
          <w:tcPr>
            <w:tcW w:w="1463" w:type="dxa"/>
            <w:vAlign w:val="center"/>
          </w:tcPr>
          <w:p w14:paraId="0DAC22CF">
            <w:pPr>
              <w:adjustRightInd w:val="0"/>
              <w:snapToGrid w:val="0"/>
              <w:jc w:val="center"/>
              <w:rPr>
                <w:color w:val="auto"/>
                <w:szCs w:val="21"/>
              </w:rPr>
            </w:pPr>
            <w:r>
              <w:rPr>
                <w:color w:val="auto"/>
                <w:szCs w:val="21"/>
              </w:rPr>
              <w:t>设备运行噪声</w:t>
            </w:r>
          </w:p>
        </w:tc>
        <w:tc>
          <w:tcPr>
            <w:tcW w:w="1648" w:type="dxa"/>
            <w:vAlign w:val="center"/>
          </w:tcPr>
          <w:p w14:paraId="0A172B71">
            <w:pPr>
              <w:adjustRightInd w:val="0"/>
              <w:snapToGrid w:val="0"/>
              <w:jc w:val="center"/>
              <w:rPr>
                <w:color w:val="auto"/>
                <w:szCs w:val="21"/>
              </w:rPr>
            </w:pPr>
            <w:r>
              <w:rPr>
                <w:color w:val="auto"/>
                <w:szCs w:val="21"/>
              </w:rPr>
              <w:t>噪声</w:t>
            </w:r>
          </w:p>
        </w:tc>
        <w:tc>
          <w:tcPr>
            <w:tcW w:w="3009" w:type="dxa"/>
            <w:vAlign w:val="center"/>
          </w:tcPr>
          <w:p w14:paraId="22BEC233">
            <w:pPr>
              <w:widowControl/>
              <w:jc w:val="left"/>
              <w:rPr>
                <w:color w:val="auto"/>
                <w:szCs w:val="21"/>
              </w:rPr>
            </w:pPr>
            <w:r>
              <w:rPr>
                <w:rFonts w:hint="eastAsia"/>
                <w:color w:val="auto"/>
              </w:rPr>
              <w:t>①设备选型时应选取低噪声设备，并合理布局，产噪设备全部布置在车间内；②对高噪声设备如：振动给料机、颚破机、立轴制砂机等安装减振垫（如橡胶制品、钢弹簧、乳胶海绵、空气弹簧、软木等），必要时在上述设备周围挖一定宽度与深度的防振沟，有效地达到减振目的，减少噪声影响；③加强车间密闭性，减少厂房内的整体噪声强度；④建立设备定期维护、保养的管理制度，以防止设备故障形成的非生产噪声，同时确保环保措施发挥最有效的功能；⑤加强职工环保意识教育，提倡文明生产，防止人为噪声</w:t>
            </w:r>
          </w:p>
        </w:tc>
        <w:tc>
          <w:tcPr>
            <w:tcW w:w="1755" w:type="dxa"/>
            <w:vAlign w:val="center"/>
          </w:tcPr>
          <w:p w14:paraId="125E5D99">
            <w:pPr>
              <w:adjustRightInd w:val="0"/>
              <w:snapToGrid w:val="0"/>
              <w:rPr>
                <w:color w:val="auto"/>
                <w:szCs w:val="21"/>
              </w:rPr>
            </w:pPr>
            <w:r>
              <w:rPr>
                <w:color w:val="auto"/>
                <w:szCs w:val="21"/>
              </w:rPr>
              <w:t>满足《工业企业厂界环境噪声排放标准》3类标准要求</w:t>
            </w:r>
          </w:p>
        </w:tc>
      </w:tr>
      <w:tr w14:paraId="1A9F54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5" w:type="dxa"/>
            <w:vAlign w:val="center"/>
          </w:tcPr>
          <w:p w14:paraId="2988D808">
            <w:pPr>
              <w:adjustRightInd w:val="0"/>
              <w:snapToGrid w:val="0"/>
              <w:jc w:val="center"/>
              <w:rPr>
                <w:color w:val="auto"/>
                <w:szCs w:val="21"/>
              </w:rPr>
            </w:pPr>
            <w:r>
              <w:rPr>
                <w:color w:val="auto"/>
                <w:szCs w:val="21"/>
              </w:rPr>
              <w:t>电磁辐射</w:t>
            </w:r>
          </w:p>
        </w:tc>
        <w:tc>
          <w:tcPr>
            <w:tcW w:w="1463" w:type="dxa"/>
            <w:vAlign w:val="center"/>
          </w:tcPr>
          <w:p w14:paraId="0AAC822E">
            <w:pPr>
              <w:adjustRightInd w:val="0"/>
              <w:snapToGrid w:val="0"/>
              <w:jc w:val="center"/>
              <w:rPr>
                <w:color w:val="auto"/>
                <w:szCs w:val="21"/>
              </w:rPr>
            </w:pPr>
            <w:r>
              <w:rPr>
                <w:color w:val="auto"/>
                <w:szCs w:val="21"/>
              </w:rPr>
              <w:t>/</w:t>
            </w:r>
          </w:p>
        </w:tc>
        <w:tc>
          <w:tcPr>
            <w:tcW w:w="1648" w:type="dxa"/>
            <w:vAlign w:val="center"/>
          </w:tcPr>
          <w:p w14:paraId="26CB0F3F">
            <w:pPr>
              <w:adjustRightInd w:val="0"/>
              <w:snapToGrid w:val="0"/>
              <w:jc w:val="center"/>
              <w:rPr>
                <w:color w:val="auto"/>
                <w:szCs w:val="21"/>
              </w:rPr>
            </w:pPr>
            <w:r>
              <w:rPr>
                <w:color w:val="auto"/>
                <w:szCs w:val="21"/>
              </w:rPr>
              <w:t>/</w:t>
            </w:r>
          </w:p>
        </w:tc>
        <w:tc>
          <w:tcPr>
            <w:tcW w:w="3009" w:type="dxa"/>
            <w:vAlign w:val="center"/>
          </w:tcPr>
          <w:p w14:paraId="5E8AA4CE">
            <w:pPr>
              <w:adjustRightInd w:val="0"/>
              <w:snapToGrid w:val="0"/>
              <w:jc w:val="center"/>
              <w:rPr>
                <w:color w:val="auto"/>
                <w:szCs w:val="21"/>
              </w:rPr>
            </w:pPr>
            <w:r>
              <w:rPr>
                <w:color w:val="auto"/>
                <w:szCs w:val="21"/>
              </w:rPr>
              <w:t>/</w:t>
            </w:r>
          </w:p>
        </w:tc>
        <w:tc>
          <w:tcPr>
            <w:tcW w:w="1755" w:type="dxa"/>
            <w:vAlign w:val="center"/>
          </w:tcPr>
          <w:p w14:paraId="5402CFBE">
            <w:pPr>
              <w:adjustRightInd w:val="0"/>
              <w:snapToGrid w:val="0"/>
              <w:jc w:val="center"/>
              <w:rPr>
                <w:color w:val="auto"/>
                <w:szCs w:val="21"/>
              </w:rPr>
            </w:pPr>
            <w:r>
              <w:rPr>
                <w:color w:val="auto"/>
                <w:szCs w:val="21"/>
              </w:rPr>
              <w:t>/</w:t>
            </w:r>
          </w:p>
        </w:tc>
      </w:tr>
      <w:tr w14:paraId="3356FC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12" w:hRule="atLeast"/>
          <w:jc w:val="center"/>
        </w:trPr>
        <w:tc>
          <w:tcPr>
            <w:tcW w:w="925" w:type="dxa"/>
            <w:vAlign w:val="center"/>
          </w:tcPr>
          <w:p w14:paraId="67C7F396">
            <w:pPr>
              <w:adjustRightInd w:val="0"/>
              <w:snapToGrid w:val="0"/>
              <w:jc w:val="center"/>
              <w:rPr>
                <w:color w:val="auto"/>
                <w:szCs w:val="21"/>
              </w:rPr>
            </w:pPr>
            <w:r>
              <w:rPr>
                <w:color w:val="auto"/>
                <w:szCs w:val="21"/>
              </w:rPr>
              <w:t>固体废物</w:t>
            </w:r>
          </w:p>
        </w:tc>
        <w:tc>
          <w:tcPr>
            <w:tcW w:w="7875" w:type="dxa"/>
            <w:gridSpan w:val="4"/>
            <w:vAlign w:val="center"/>
          </w:tcPr>
          <w:p w14:paraId="6ED78B9A">
            <w:pPr>
              <w:snapToGrid w:val="0"/>
              <w:rPr>
                <w:color w:val="auto"/>
                <w:szCs w:val="21"/>
              </w:rPr>
            </w:pPr>
            <w:r>
              <w:rPr>
                <w:color w:val="auto"/>
                <w:szCs w:val="21"/>
              </w:rPr>
              <w:t>1、新建一危废仓库，面积约</w:t>
            </w:r>
            <w:r>
              <w:rPr>
                <w:rFonts w:hint="eastAsia"/>
                <w:color w:val="auto"/>
                <w:szCs w:val="21"/>
              </w:rPr>
              <w:t>2</w:t>
            </w:r>
            <w:r>
              <w:rPr>
                <w:rFonts w:hint="eastAsia"/>
                <w:color w:val="auto"/>
                <w:szCs w:val="21"/>
                <w:lang w:val="en-US" w:eastAsia="zh-CN"/>
              </w:rPr>
              <w:t>5</w:t>
            </w:r>
            <w:r>
              <w:rPr>
                <w:color w:val="auto"/>
                <w:szCs w:val="21"/>
              </w:rPr>
              <w:t>m</w:t>
            </w:r>
            <w:r>
              <w:rPr>
                <w:color w:val="auto"/>
                <w:szCs w:val="21"/>
                <w:vertAlign w:val="superscript"/>
              </w:rPr>
              <w:t>2</w:t>
            </w:r>
            <w:r>
              <w:rPr>
                <w:color w:val="auto"/>
                <w:szCs w:val="21"/>
              </w:rPr>
              <w:t>；该暂存场所应按《中华人民共和国固体废物污染环境防治法》和《危险废物贮存污染控制标准》（GB18597-2023）中的相关规定，进行规范化建设。</w:t>
            </w:r>
          </w:p>
          <w:p w14:paraId="6C2CEBD9">
            <w:pPr>
              <w:pStyle w:val="9"/>
              <w:ind w:firstLine="0"/>
              <w:rPr>
                <w:color w:val="auto"/>
                <w:szCs w:val="21"/>
              </w:rPr>
            </w:pPr>
            <w:r>
              <w:rPr>
                <w:color w:val="auto"/>
              </w:rPr>
              <w:t>2、</w:t>
            </w:r>
            <w:r>
              <w:rPr>
                <w:color w:val="auto"/>
                <w:szCs w:val="21"/>
              </w:rPr>
              <w:t>新建一般固废仓库，面积约30m</w:t>
            </w:r>
            <w:r>
              <w:rPr>
                <w:color w:val="auto"/>
                <w:szCs w:val="21"/>
                <w:vertAlign w:val="superscript"/>
              </w:rPr>
              <w:t>2</w:t>
            </w:r>
            <w:r>
              <w:rPr>
                <w:color w:val="auto"/>
                <w:szCs w:val="21"/>
              </w:rPr>
              <w:t>；该暂存场所应执行《一般工业固体废物贮存和填埋污染物控制标准》（GB18599-2020）中“防渗漏、防雨淋、防扬尘”三防要求。</w:t>
            </w:r>
          </w:p>
          <w:p w14:paraId="71830777">
            <w:pPr>
              <w:snapToGrid w:val="0"/>
              <w:rPr>
                <w:color w:val="auto"/>
                <w:szCs w:val="21"/>
              </w:rPr>
            </w:pPr>
            <w:r>
              <w:rPr>
                <w:color w:val="auto"/>
                <w:szCs w:val="21"/>
              </w:rPr>
              <w:t>3、本项目产生的危废全部委托外部有资质单位处置，建设单位不进行危废自行处置；一般固废外售综合利用或外运处置，生活垃圾由环卫统一清运。</w:t>
            </w:r>
          </w:p>
        </w:tc>
      </w:tr>
      <w:tr w14:paraId="13DB76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5" w:type="dxa"/>
            <w:vAlign w:val="center"/>
          </w:tcPr>
          <w:p w14:paraId="36D8C314">
            <w:pPr>
              <w:adjustRightInd w:val="0"/>
              <w:snapToGrid w:val="0"/>
              <w:jc w:val="center"/>
              <w:rPr>
                <w:color w:val="auto"/>
                <w:szCs w:val="21"/>
              </w:rPr>
            </w:pPr>
            <w:r>
              <w:rPr>
                <w:color w:val="auto"/>
                <w:szCs w:val="21"/>
              </w:rPr>
              <w:t>土壤及地下水</w:t>
            </w:r>
          </w:p>
          <w:p w14:paraId="77A3369D">
            <w:pPr>
              <w:adjustRightInd w:val="0"/>
              <w:snapToGrid w:val="0"/>
              <w:jc w:val="center"/>
              <w:rPr>
                <w:color w:val="auto"/>
                <w:szCs w:val="21"/>
              </w:rPr>
            </w:pPr>
            <w:r>
              <w:rPr>
                <w:color w:val="auto"/>
                <w:szCs w:val="21"/>
              </w:rPr>
              <w:t>污染防治措施</w:t>
            </w:r>
          </w:p>
        </w:tc>
        <w:tc>
          <w:tcPr>
            <w:tcW w:w="7875" w:type="dxa"/>
            <w:gridSpan w:val="4"/>
            <w:vAlign w:val="center"/>
          </w:tcPr>
          <w:p w14:paraId="04E317B0">
            <w:pPr>
              <w:adjustRightInd w:val="0"/>
              <w:snapToGrid w:val="0"/>
              <w:jc w:val="center"/>
              <w:rPr>
                <w:color w:val="auto"/>
                <w:szCs w:val="21"/>
              </w:rPr>
            </w:pPr>
            <w:r>
              <w:rPr>
                <w:color w:val="auto"/>
                <w:szCs w:val="21"/>
              </w:rPr>
              <w:t>/</w:t>
            </w:r>
          </w:p>
        </w:tc>
      </w:tr>
      <w:tr w14:paraId="7B4C6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925" w:type="dxa"/>
            <w:vAlign w:val="center"/>
          </w:tcPr>
          <w:p w14:paraId="5EDC6B39">
            <w:pPr>
              <w:adjustRightInd w:val="0"/>
              <w:snapToGrid w:val="0"/>
              <w:jc w:val="center"/>
              <w:rPr>
                <w:color w:val="auto"/>
                <w:szCs w:val="21"/>
              </w:rPr>
            </w:pPr>
            <w:r>
              <w:rPr>
                <w:color w:val="auto"/>
                <w:szCs w:val="21"/>
              </w:rPr>
              <w:t>生态保护措施</w:t>
            </w:r>
          </w:p>
        </w:tc>
        <w:tc>
          <w:tcPr>
            <w:tcW w:w="7875" w:type="dxa"/>
            <w:gridSpan w:val="4"/>
            <w:vAlign w:val="center"/>
          </w:tcPr>
          <w:p w14:paraId="4456711E">
            <w:pPr>
              <w:adjustRightInd w:val="0"/>
              <w:snapToGrid w:val="0"/>
              <w:jc w:val="center"/>
              <w:rPr>
                <w:color w:val="auto"/>
                <w:szCs w:val="21"/>
              </w:rPr>
            </w:pPr>
            <w:r>
              <w:rPr>
                <w:color w:val="auto"/>
                <w:szCs w:val="21"/>
              </w:rPr>
              <w:t>/</w:t>
            </w:r>
          </w:p>
        </w:tc>
      </w:tr>
      <w:tr w14:paraId="7962EB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925" w:type="dxa"/>
            <w:vAlign w:val="center"/>
          </w:tcPr>
          <w:p w14:paraId="5ED592F6">
            <w:pPr>
              <w:adjustRightInd w:val="0"/>
              <w:snapToGrid w:val="0"/>
              <w:jc w:val="center"/>
              <w:rPr>
                <w:color w:val="auto"/>
                <w:spacing w:val="-8"/>
                <w:szCs w:val="21"/>
              </w:rPr>
            </w:pPr>
            <w:r>
              <w:rPr>
                <w:color w:val="auto"/>
                <w:spacing w:val="-8"/>
                <w:szCs w:val="21"/>
              </w:rPr>
              <w:t>环境风险防范措施</w:t>
            </w:r>
          </w:p>
        </w:tc>
        <w:tc>
          <w:tcPr>
            <w:tcW w:w="7875" w:type="dxa"/>
            <w:gridSpan w:val="4"/>
            <w:vAlign w:val="center"/>
          </w:tcPr>
          <w:p w14:paraId="33544AE0">
            <w:pPr>
              <w:snapToGrid w:val="0"/>
              <w:spacing w:line="360" w:lineRule="auto"/>
              <w:ind w:firstLine="420" w:firstLineChars="200"/>
              <w:rPr>
                <w:color w:val="auto"/>
                <w:szCs w:val="21"/>
              </w:rPr>
            </w:pPr>
            <w:r>
              <w:rPr>
                <w:color w:val="auto"/>
                <w:szCs w:val="21"/>
              </w:rPr>
              <w:t>要求企业在设计过程对潜在风险事故采取相应的防范和应急措施，要求建设单位在本次项目实施投运前按规范完成应急预案的</w:t>
            </w:r>
            <w:r>
              <w:rPr>
                <w:rFonts w:hint="eastAsia"/>
                <w:color w:val="auto"/>
                <w:szCs w:val="21"/>
              </w:rPr>
              <w:t>编制</w:t>
            </w:r>
            <w:r>
              <w:rPr>
                <w:color w:val="auto"/>
                <w:szCs w:val="21"/>
              </w:rPr>
              <w:t>工作。一旦发生事故，立即采取措施启动预案，把事故损失降到最低。</w:t>
            </w:r>
          </w:p>
        </w:tc>
      </w:tr>
      <w:tr w14:paraId="39AF81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25" w:type="dxa"/>
            <w:vAlign w:val="center"/>
          </w:tcPr>
          <w:p w14:paraId="7DE73BBD">
            <w:pPr>
              <w:adjustRightInd w:val="0"/>
              <w:snapToGrid w:val="0"/>
              <w:jc w:val="center"/>
              <w:rPr>
                <w:color w:val="auto"/>
                <w:spacing w:val="-8"/>
                <w:szCs w:val="21"/>
              </w:rPr>
            </w:pPr>
            <w:r>
              <w:rPr>
                <w:color w:val="auto"/>
                <w:spacing w:val="-8"/>
                <w:szCs w:val="21"/>
              </w:rPr>
              <w:t>其他环境管理要求</w:t>
            </w:r>
          </w:p>
        </w:tc>
        <w:tc>
          <w:tcPr>
            <w:tcW w:w="7875" w:type="dxa"/>
            <w:gridSpan w:val="4"/>
            <w:vAlign w:val="center"/>
          </w:tcPr>
          <w:p w14:paraId="25C7CC4F">
            <w:pPr>
              <w:snapToGrid w:val="0"/>
              <w:spacing w:line="360" w:lineRule="auto"/>
              <w:ind w:firstLine="420" w:firstLineChars="200"/>
              <w:rPr>
                <w:color w:val="auto"/>
                <w:szCs w:val="21"/>
              </w:rPr>
            </w:pPr>
            <w:r>
              <w:rPr>
                <w:color w:val="auto"/>
                <w:szCs w:val="21"/>
              </w:rPr>
              <w:t>1、严格落实污染物排放总量控制措施。</w:t>
            </w:r>
          </w:p>
          <w:p w14:paraId="0C80FEAB">
            <w:pPr>
              <w:snapToGrid w:val="0"/>
              <w:spacing w:line="360" w:lineRule="auto"/>
              <w:ind w:firstLine="420" w:firstLineChars="200"/>
              <w:rPr>
                <w:color w:val="auto"/>
                <w:szCs w:val="21"/>
              </w:rPr>
            </w:pPr>
            <w:r>
              <w:rPr>
                <w:color w:val="auto"/>
                <w:szCs w:val="21"/>
              </w:rPr>
              <w:t>2、按本环评提出的各项要求严格落实污染治理设施和措施。</w:t>
            </w:r>
          </w:p>
          <w:p w14:paraId="25AC8721">
            <w:pPr>
              <w:snapToGrid w:val="0"/>
              <w:spacing w:line="360" w:lineRule="auto"/>
              <w:ind w:firstLine="420" w:firstLineChars="200"/>
              <w:rPr>
                <w:color w:val="auto"/>
                <w:szCs w:val="21"/>
              </w:rPr>
            </w:pPr>
            <w:r>
              <w:rPr>
                <w:color w:val="auto"/>
                <w:szCs w:val="21"/>
              </w:rPr>
              <w:t>3、及时完成本项目环保“三同时”验收。</w:t>
            </w:r>
          </w:p>
          <w:p w14:paraId="7E556E4E">
            <w:pPr>
              <w:snapToGrid w:val="0"/>
              <w:spacing w:line="360" w:lineRule="auto"/>
              <w:ind w:firstLine="420" w:firstLineChars="200"/>
              <w:rPr>
                <w:color w:val="auto"/>
                <w:szCs w:val="21"/>
              </w:rPr>
            </w:pPr>
            <w:r>
              <w:rPr>
                <w:color w:val="auto"/>
                <w:szCs w:val="21"/>
              </w:rPr>
              <w:t>4、企业应按照监测计划做好自行监测工作，确保项目各项污染防治措施正常运行，防止出现超标排放现象。</w:t>
            </w:r>
          </w:p>
          <w:p w14:paraId="7CA999F2">
            <w:pPr>
              <w:snapToGrid w:val="0"/>
              <w:spacing w:line="360" w:lineRule="auto"/>
              <w:ind w:firstLine="420" w:firstLineChars="200"/>
              <w:rPr>
                <w:color w:val="auto"/>
                <w:szCs w:val="21"/>
              </w:rPr>
            </w:pPr>
            <w:r>
              <w:rPr>
                <w:color w:val="auto"/>
                <w:szCs w:val="21"/>
              </w:rPr>
              <w:t>5、</w:t>
            </w:r>
            <w:r>
              <w:rPr>
                <w:rFonts w:hint="default"/>
                <w:color w:val="auto"/>
                <w:szCs w:val="21"/>
              </w:rPr>
              <w:t>企业将设立专门的环境保护管理机构，统一管理和规划厂区内的各项环境保护工作，监督厂区内各部门的环境保护设施的设计、建设和运转，并对各车间做好规划管理。厂方应委托有资质的监测单位，对厂区及保护目标的环境质量、重要污染源等进行定期监测。</w:t>
            </w:r>
          </w:p>
          <w:p w14:paraId="545526A1">
            <w:pPr>
              <w:snapToGrid w:val="0"/>
              <w:spacing w:line="360" w:lineRule="auto"/>
              <w:ind w:firstLine="420" w:firstLineChars="200"/>
              <w:rPr>
                <w:color w:val="auto"/>
                <w:szCs w:val="21"/>
              </w:rPr>
            </w:pPr>
            <w:r>
              <w:rPr>
                <w:rFonts w:hint="eastAsia"/>
                <w:color w:val="auto"/>
                <w:szCs w:val="21"/>
                <w:lang w:val="en-US" w:eastAsia="zh-CN"/>
              </w:rPr>
              <w:t>6、</w:t>
            </w:r>
            <w:r>
              <w:rPr>
                <w:color w:val="auto"/>
                <w:szCs w:val="21"/>
              </w:rPr>
              <w:t>环保设施安全评价要求</w:t>
            </w:r>
          </w:p>
          <w:p w14:paraId="73FE4508">
            <w:pPr>
              <w:snapToGrid w:val="0"/>
              <w:spacing w:line="360" w:lineRule="auto"/>
              <w:ind w:firstLine="420" w:firstLineChars="200"/>
              <w:rPr>
                <w:color w:val="auto"/>
                <w:szCs w:val="21"/>
              </w:rPr>
            </w:pPr>
            <w:r>
              <w:rPr>
                <w:color w:val="auto"/>
                <w:szCs w:val="21"/>
              </w:rPr>
              <w:t>根据《国务院安委办公室 生态环境部 应急管理部关于进一步加强环保设施安全生产工作的通知》（安委办明电[2022]17号），本次评价要求企业在开展日常环境保护管理过程中，应同步落实安全风险辨识和隐患排查治理管理，建议企业委托有资质第三方设计单位和安全评价单位，有序开展针对环保设施的安全设计和评价工作。</w:t>
            </w:r>
          </w:p>
          <w:p w14:paraId="6BC764CA">
            <w:pPr>
              <w:pStyle w:val="10"/>
              <w:spacing w:line="360" w:lineRule="auto"/>
              <w:ind w:firstLine="420" w:firstLineChars="200"/>
              <w:rPr>
                <w:color w:val="auto"/>
                <w:kern w:val="2"/>
                <w:sz w:val="21"/>
                <w:szCs w:val="21"/>
              </w:rPr>
            </w:pPr>
            <w:r>
              <w:rPr>
                <w:color w:val="auto"/>
                <w:kern w:val="2"/>
                <w:sz w:val="21"/>
                <w:szCs w:val="21"/>
              </w:rPr>
              <w:t>在今后的生产及管理过程中，企业须认真落实安全风险隐患排查工作，切实履行安全生产主体责任，严格落实安全风险隐患排查工作，加强安全管理，严格遵守国家有关标准、法规、标准和规程，确保重点环保设施的安全。</w:t>
            </w:r>
          </w:p>
          <w:p w14:paraId="035EA63A">
            <w:pPr>
              <w:pStyle w:val="10"/>
              <w:spacing w:line="360" w:lineRule="auto"/>
              <w:ind w:firstLine="420" w:firstLineChars="200"/>
              <w:rPr>
                <w:color w:val="auto"/>
                <w:kern w:val="2"/>
                <w:sz w:val="21"/>
                <w:szCs w:val="21"/>
              </w:rPr>
            </w:pPr>
          </w:p>
        </w:tc>
      </w:tr>
    </w:tbl>
    <w:p w14:paraId="1D4B7FA4">
      <w:pPr>
        <w:pStyle w:val="29"/>
        <w:jc w:val="center"/>
        <w:outlineLvl w:val="0"/>
        <w:rPr>
          <w:rFonts w:ascii="Times New Roman" w:hAnsi="Times New Roman"/>
          <w:snapToGrid w:val="0"/>
          <w:color w:val="auto"/>
          <w:sz w:val="30"/>
          <w:szCs w:val="30"/>
        </w:rPr>
      </w:pPr>
      <w:r>
        <w:rPr>
          <w:rFonts w:ascii="Times New Roman" w:hAnsi="Times New Roman"/>
          <w:snapToGrid w:val="0"/>
          <w:color w:val="auto"/>
        </w:rPr>
        <w:br w:type="page"/>
      </w:r>
      <w:bookmarkStart w:id="185" w:name="_Toc28008"/>
      <w:r>
        <w:rPr>
          <w:rFonts w:ascii="Times New Roman" w:hAnsi="Times New Roman"/>
          <w:snapToGrid w:val="0"/>
          <w:color w:val="auto"/>
          <w:sz w:val="30"/>
          <w:szCs w:val="30"/>
        </w:rPr>
        <w:t>六、结论</w:t>
      </w:r>
      <w:bookmarkEnd w:id="185"/>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FE8EB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865" w:type="dxa"/>
            <w:vAlign w:val="center"/>
          </w:tcPr>
          <w:p w14:paraId="01040CAF">
            <w:pPr>
              <w:pStyle w:val="15"/>
              <w:spacing w:line="360" w:lineRule="auto"/>
              <w:ind w:firstLine="480" w:firstLineChars="200"/>
              <w:rPr>
                <w:b/>
                <w:bCs/>
                <w:color w:val="auto"/>
                <w:szCs w:val="24"/>
              </w:rPr>
            </w:pPr>
            <w:r>
              <w:rPr>
                <w:color w:val="auto"/>
              </w:rPr>
              <w:t>安徽腾安光电新材料生产基地项目符合国家、地方产业政策，项目产生的废气、噪声采取本报告表中提出的防治措施治理后，能够达标排放；本项目废水经预处理后可</w:t>
            </w:r>
            <w:r>
              <w:rPr>
                <w:color w:val="auto"/>
                <w:szCs w:val="21"/>
              </w:rPr>
              <w:t>纳管排入淮南经济技术开发区工业污水处理厂</w:t>
            </w:r>
            <w:r>
              <w:rPr>
                <w:color w:val="auto"/>
              </w:rPr>
              <w:t>；固废妥善处置。项目不会对项目周围的水、大气、声及生态环境造成明显不良影响。建设单位应严格执行环保“三同时”制度，落实本报告中的各项环保措施，且相应的环保措施必须经自主验收合格后方可投入使用，并确保有关环保治理设施能够正常运行，</w:t>
            </w:r>
            <w:r>
              <w:rPr>
                <w:b/>
                <w:bCs/>
                <w:color w:val="auto"/>
              </w:rPr>
              <w:t>故从环境保护角度分析，本项目建设是可行的。</w:t>
            </w:r>
          </w:p>
          <w:p w14:paraId="3A529FAB">
            <w:pPr>
              <w:pStyle w:val="15"/>
              <w:spacing w:line="360" w:lineRule="auto"/>
              <w:ind w:firstLine="482" w:firstLineChars="200"/>
              <w:rPr>
                <w:b/>
                <w:bCs/>
                <w:color w:val="auto"/>
                <w:szCs w:val="24"/>
              </w:rPr>
            </w:pPr>
          </w:p>
          <w:p w14:paraId="1F28EF26">
            <w:pPr>
              <w:pStyle w:val="15"/>
              <w:spacing w:line="360" w:lineRule="auto"/>
              <w:rPr>
                <w:b/>
                <w:bCs/>
                <w:color w:val="auto"/>
                <w:szCs w:val="24"/>
              </w:rPr>
            </w:pPr>
          </w:p>
          <w:p w14:paraId="43F326D1">
            <w:pPr>
              <w:pStyle w:val="15"/>
              <w:spacing w:line="360" w:lineRule="auto"/>
              <w:ind w:firstLine="482" w:firstLineChars="200"/>
              <w:rPr>
                <w:b/>
                <w:bCs/>
                <w:color w:val="auto"/>
                <w:szCs w:val="24"/>
              </w:rPr>
            </w:pPr>
          </w:p>
          <w:p w14:paraId="7ABD9977">
            <w:pPr>
              <w:pStyle w:val="15"/>
              <w:spacing w:line="360" w:lineRule="auto"/>
              <w:ind w:firstLine="482" w:firstLineChars="200"/>
              <w:rPr>
                <w:b/>
                <w:bCs/>
                <w:color w:val="auto"/>
                <w:szCs w:val="24"/>
              </w:rPr>
            </w:pPr>
          </w:p>
          <w:p w14:paraId="637C6BB6">
            <w:pPr>
              <w:pStyle w:val="15"/>
              <w:spacing w:line="360" w:lineRule="auto"/>
              <w:ind w:firstLine="482" w:firstLineChars="200"/>
              <w:rPr>
                <w:b/>
                <w:bCs/>
                <w:color w:val="auto"/>
                <w:szCs w:val="24"/>
              </w:rPr>
            </w:pPr>
          </w:p>
          <w:p w14:paraId="3603A817">
            <w:pPr>
              <w:pStyle w:val="15"/>
              <w:spacing w:line="360" w:lineRule="auto"/>
              <w:ind w:firstLine="482" w:firstLineChars="200"/>
              <w:rPr>
                <w:b/>
                <w:bCs/>
                <w:color w:val="auto"/>
                <w:szCs w:val="24"/>
              </w:rPr>
            </w:pPr>
          </w:p>
          <w:p w14:paraId="153513A1">
            <w:pPr>
              <w:pStyle w:val="15"/>
              <w:spacing w:line="360" w:lineRule="auto"/>
              <w:ind w:firstLine="482" w:firstLineChars="200"/>
              <w:rPr>
                <w:b/>
                <w:bCs/>
                <w:color w:val="auto"/>
                <w:szCs w:val="24"/>
              </w:rPr>
            </w:pPr>
          </w:p>
          <w:p w14:paraId="08F0472D">
            <w:pPr>
              <w:pStyle w:val="15"/>
              <w:spacing w:line="360" w:lineRule="auto"/>
              <w:ind w:firstLine="482" w:firstLineChars="200"/>
              <w:rPr>
                <w:b/>
                <w:bCs/>
                <w:color w:val="auto"/>
                <w:szCs w:val="24"/>
              </w:rPr>
            </w:pPr>
          </w:p>
          <w:p w14:paraId="6D2EAFA2">
            <w:pPr>
              <w:pStyle w:val="15"/>
              <w:spacing w:line="360" w:lineRule="auto"/>
              <w:ind w:firstLine="482" w:firstLineChars="200"/>
              <w:rPr>
                <w:b/>
                <w:bCs/>
                <w:color w:val="auto"/>
                <w:szCs w:val="24"/>
              </w:rPr>
            </w:pPr>
          </w:p>
          <w:p w14:paraId="23C6AF78">
            <w:pPr>
              <w:pStyle w:val="15"/>
              <w:spacing w:line="360" w:lineRule="auto"/>
              <w:ind w:firstLine="482" w:firstLineChars="200"/>
              <w:rPr>
                <w:b/>
                <w:bCs/>
                <w:color w:val="auto"/>
                <w:szCs w:val="24"/>
              </w:rPr>
            </w:pPr>
          </w:p>
          <w:p w14:paraId="1B773560">
            <w:pPr>
              <w:pStyle w:val="15"/>
              <w:spacing w:line="360" w:lineRule="auto"/>
              <w:ind w:firstLine="482" w:firstLineChars="200"/>
              <w:rPr>
                <w:b/>
                <w:bCs/>
                <w:color w:val="auto"/>
                <w:szCs w:val="24"/>
              </w:rPr>
            </w:pPr>
          </w:p>
          <w:p w14:paraId="25D818E5">
            <w:pPr>
              <w:pStyle w:val="15"/>
              <w:spacing w:line="360" w:lineRule="auto"/>
              <w:ind w:firstLine="482" w:firstLineChars="200"/>
              <w:rPr>
                <w:b/>
                <w:bCs/>
                <w:color w:val="auto"/>
                <w:szCs w:val="24"/>
              </w:rPr>
            </w:pPr>
          </w:p>
          <w:p w14:paraId="47BEEAF6">
            <w:pPr>
              <w:pStyle w:val="15"/>
              <w:spacing w:line="360" w:lineRule="auto"/>
              <w:ind w:firstLine="482" w:firstLineChars="200"/>
              <w:rPr>
                <w:b/>
                <w:bCs/>
                <w:color w:val="auto"/>
                <w:szCs w:val="24"/>
              </w:rPr>
            </w:pPr>
          </w:p>
          <w:p w14:paraId="30183C8C">
            <w:pPr>
              <w:pStyle w:val="15"/>
              <w:spacing w:line="360" w:lineRule="auto"/>
              <w:ind w:firstLine="482" w:firstLineChars="200"/>
              <w:rPr>
                <w:b/>
                <w:bCs/>
                <w:color w:val="auto"/>
                <w:szCs w:val="24"/>
              </w:rPr>
            </w:pPr>
          </w:p>
          <w:p w14:paraId="3B5F96F6">
            <w:pPr>
              <w:pStyle w:val="15"/>
              <w:spacing w:line="360" w:lineRule="auto"/>
              <w:ind w:firstLine="482" w:firstLineChars="200"/>
              <w:rPr>
                <w:b/>
                <w:bCs/>
                <w:color w:val="auto"/>
                <w:szCs w:val="24"/>
              </w:rPr>
            </w:pPr>
          </w:p>
          <w:p w14:paraId="0B2EB882">
            <w:pPr>
              <w:pStyle w:val="15"/>
              <w:spacing w:line="360" w:lineRule="auto"/>
              <w:ind w:firstLine="482" w:firstLineChars="200"/>
              <w:rPr>
                <w:b/>
                <w:bCs/>
                <w:color w:val="auto"/>
                <w:szCs w:val="24"/>
              </w:rPr>
            </w:pPr>
          </w:p>
          <w:p w14:paraId="5EAA4328">
            <w:pPr>
              <w:pStyle w:val="15"/>
              <w:spacing w:line="360" w:lineRule="auto"/>
              <w:ind w:firstLine="482" w:firstLineChars="200"/>
              <w:rPr>
                <w:b/>
                <w:bCs/>
                <w:color w:val="auto"/>
                <w:szCs w:val="24"/>
              </w:rPr>
            </w:pPr>
          </w:p>
          <w:p w14:paraId="430501A9">
            <w:pPr>
              <w:pStyle w:val="15"/>
              <w:spacing w:line="360" w:lineRule="auto"/>
              <w:ind w:firstLine="482" w:firstLineChars="200"/>
              <w:rPr>
                <w:b/>
                <w:bCs/>
                <w:color w:val="auto"/>
                <w:szCs w:val="24"/>
              </w:rPr>
            </w:pPr>
          </w:p>
          <w:p w14:paraId="33A21FC4">
            <w:pPr>
              <w:pStyle w:val="15"/>
              <w:spacing w:line="360" w:lineRule="auto"/>
              <w:ind w:firstLine="482" w:firstLineChars="200"/>
              <w:rPr>
                <w:b/>
                <w:bCs/>
                <w:color w:val="auto"/>
                <w:szCs w:val="24"/>
              </w:rPr>
            </w:pPr>
          </w:p>
          <w:p w14:paraId="6BF2F2A3">
            <w:pPr>
              <w:pStyle w:val="15"/>
              <w:spacing w:line="360" w:lineRule="auto"/>
              <w:ind w:firstLine="482" w:firstLineChars="200"/>
              <w:rPr>
                <w:b/>
                <w:bCs/>
                <w:color w:val="auto"/>
                <w:szCs w:val="24"/>
              </w:rPr>
            </w:pPr>
          </w:p>
          <w:p w14:paraId="743CB535">
            <w:pPr>
              <w:pStyle w:val="15"/>
              <w:spacing w:line="360" w:lineRule="auto"/>
              <w:ind w:firstLine="482" w:firstLineChars="200"/>
              <w:rPr>
                <w:b/>
                <w:bCs/>
                <w:color w:val="auto"/>
                <w:szCs w:val="24"/>
              </w:rPr>
            </w:pPr>
          </w:p>
        </w:tc>
      </w:tr>
    </w:tbl>
    <w:p w14:paraId="6A64BC34">
      <w:pPr>
        <w:rPr>
          <w:color w:val="auto"/>
        </w:rPr>
        <w:sectPr>
          <w:pgSz w:w="11906" w:h="16838"/>
          <w:pgMar w:top="1701" w:right="1531" w:bottom="1701" w:left="1531" w:header="851" w:footer="851" w:gutter="0"/>
          <w:cols w:space="720" w:num="1"/>
          <w:docGrid w:linePitch="312" w:charSpace="0"/>
        </w:sectPr>
      </w:pPr>
    </w:p>
    <w:p w14:paraId="587F7727">
      <w:pPr>
        <w:pStyle w:val="29"/>
        <w:jc w:val="center"/>
        <w:outlineLvl w:val="0"/>
        <w:rPr>
          <w:rFonts w:ascii="Times New Roman" w:hAnsi="Times New Roman"/>
          <w:snapToGrid w:val="0"/>
          <w:color w:val="auto"/>
          <w:sz w:val="30"/>
          <w:szCs w:val="30"/>
        </w:rPr>
      </w:pPr>
      <w:bookmarkStart w:id="186" w:name="_Toc13564"/>
      <w:bookmarkStart w:id="187" w:name="_Toc29557"/>
      <w:bookmarkStart w:id="188" w:name="_Toc113261001"/>
      <w:r>
        <w:rPr>
          <w:rFonts w:ascii="Times New Roman" w:hAnsi="Times New Roman"/>
          <w:snapToGrid w:val="0"/>
          <w:color w:val="auto"/>
          <w:sz w:val="30"/>
          <w:szCs w:val="30"/>
        </w:rPr>
        <w:t>专题一  环境风险评价</w:t>
      </w:r>
      <w:bookmarkEnd w:id="186"/>
      <w:bookmarkEnd w:id="187"/>
    </w:p>
    <w:p w14:paraId="648A24C0">
      <w:pPr>
        <w:spacing w:line="360" w:lineRule="auto"/>
        <w:outlineLvl w:val="0"/>
        <w:rPr>
          <w:color w:val="auto"/>
          <w:sz w:val="28"/>
          <w:szCs w:val="28"/>
        </w:rPr>
      </w:pPr>
      <w:bookmarkStart w:id="189" w:name="_Toc17972"/>
      <w:bookmarkStart w:id="190" w:name="_Toc25439"/>
      <w:r>
        <w:rPr>
          <w:color w:val="auto"/>
          <w:sz w:val="28"/>
          <w:szCs w:val="28"/>
        </w:rPr>
        <w:t>1 概论</w:t>
      </w:r>
      <w:bookmarkEnd w:id="189"/>
      <w:bookmarkEnd w:id="190"/>
    </w:p>
    <w:p w14:paraId="16CF8ED3">
      <w:pPr>
        <w:spacing w:line="360" w:lineRule="auto"/>
        <w:outlineLvl w:val="1"/>
        <w:rPr>
          <w:color w:val="auto"/>
          <w:sz w:val="24"/>
        </w:rPr>
      </w:pPr>
      <w:bookmarkStart w:id="191" w:name="_Toc7695"/>
      <w:bookmarkStart w:id="192" w:name="_Toc12451"/>
      <w:r>
        <w:rPr>
          <w:color w:val="auto"/>
          <w:sz w:val="24"/>
        </w:rPr>
        <w:t>1.1 编制依据</w:t>
      </w:r>
      <w:bookmarkEnd w:id="191"/>
      <w:bookmarkEnd w:id="192"/>
    </w:p>
    <w:p w14:paraId="41E64E2E">
      <w:pPr>
        <w:widowControl/>
        <w:spacing w:line="360" w:lineRule="auto"/>
        <w:ind w:firstLine="480" w:firstLineChars="200"/>
        <w:rPr>
          <w:color w:val="auto"/>
          <w:sz w:val="24"/>
        </w:rPr>
      </w:pPr>
      <w:r>
        <w:rPr>
          <w:color w:val="auto"/>
          <w:sz w:val="24"/>
        </w:rPr>
        <w:t>（1）《中华人民共和国环境保护法》（修订）（2015年1月1日起施行）；</w:t>
      </w:r>
    </w:p>
    <w:p w14:paraId="67F42E90">
      <w:pPr>
        <w:widowControl/>
        <w:spacing w:line="360" w:lineRule="auto"/>
        <w:ind w:firstLine="480" w:firstLineChars="200"/>
        <w:rPr>
          <w:color w:val="auto"/>
          <w:sz w:val="24"/>
        </w:rPr>
      </w:pPr>
      <w:r>
        <w:rPr>
          <w:color w:val="auto"/>
          <w:sz w:val="24"/>
        </w:rPr>
        <w:t>（2）《中华人民共和国环境影响评价法》（2018年12月29日修正）；</w:t>
      </w:r>
    </w:p>
    <w:p w14:paraId="45130505">
      <w:pPr>
        <w:widowControl/>
        <w:spacing w:line="360" w:lineRule="auto"/>
        <w:ind w:firstLine="480" w:firstLineChars="200"/>
        <w:rPr>
          <w:color w:val="auto"/>
          <w:sz w:val="24"/>
        </w:rPr>
      </w:pPr>
      <w:r>
        <w:rPr>
          <w:color w:val="auto"/>
          <w:sz w:val="24"/>
        </w:rPr>
        <w:t>（3）《建设项目环境保护管理条例》（2017年7月16日修订）；</w:t>
      </w:r>
    </w:p>
    <w:p w14:paraId="019CDFFF">
      <w:pPr>
        <w:widowControl/>
        <w:spacing w:line="360" w:lineRule="auto"/>
        <w:ind w:firstLine="480" w:firstLineChars="200"/>
        <w:rPr>
          <w:color w:val="auto"/>
          <w:sz w:val="24"/>
        </w:rPr>
      </w:pPr>
      <w:r>
        <w:rPr>
          <w:color w:val="auto"/>
          <w:sz w:val="24"/>
        </w:rPr>
        <w:t>（4）《中华人民共和国大气污染防治法》（2018年10月26日修正）；</w:t>
      </w:r>
    </w:p>
    <w:p w14:paraId="4444435F">
      <w:pPr>
        <w:widowControl/>
        <w:spacing w:line="360" w:lineRule="auto"/>
        <w:ind w:firstLine="480" w:firstLineChars="200"/>
        <w:rPr>
          <w:color w:val="auto"/>
          <w:sz w:val="24"/>
        </w:rPr>
      </w:pPr>
      <w:r>
        <w:rPr>
          <w:color w:val="auto"/>
          <w:sz w:val="24"/>
        </w:rPr>
        <w:t>（5）《大气污染防治行动计划》（2013.9.10）；</w:t>
      </w:r>
    </w:p>
    <w:p w14:paraId="0C0044CA">
      <w:pPr>
        <w:widowControl/>
        <w:spacing w:line="360" w:lineRule="auto"/>
        <w:ind w:firstLine="480" w:firstLineChars="200"/>
        <w:rPr>
          <w:color w:val="auto"/>
          <w:sz w:val="24"/>
        </w:rPr>
      </w:pPr>
      <w:r>
        <w:rPr>
          <w:color w:val="auto"/>
          <w:sz w:val="24"/>
        </w:rPr>
        <w:t>（6）《安徽省环境保护条例》（2018.1.1）；</w:t>
      </w:r>
    </w:p>
    <w:p w14:paraId="1172F9E0">
      <w:pPr>
        <w:widowControl/>
        <w:spacing w:line="360" w:lineRule="auto"/>
        <w:ind w:firstLine="480" w:firstLineChars="200"/>
        <w:rPr>
          <w:color w:val="auto"/>
          <w:sz w:val="24"/>
        </w:rPr>
      </w:pPr>
      <w:r>
        <w:rPr>
          <w:color w:val="auto"/>
          <w:sz w:val="24"/>
        </w:rPr>
        <w:t>（7）《建设项目环境影响评价技术导则 总纲》（HJ2.1-2016）；</w:t>
      </w:r>
    </w:p>
    <w:p w14:paraId="2B1AD360">
      <w:pPr>
        <w:widowControl/>
        <w:spacing w:line="360" w:lineRule="auto"/>
        <w:ind w:firstLine="480" w:firstLineChars="200"/>
        <w:rPr>
          <w:color w:val="auto"/>
          <w:sz w:val="24"/>
        </w:rPr>
      </w:pPr>
      <w:r>
        <w:rPr>
          <w:color w:val="auto"/>
          <w:sz w:val="24"/>
        </w:rPr>
        <w:t>（8）《</w:t>
      </w:r>
      <w:r>
        <w:rPr>
          <w:snapToGrid w:val="0"/>
          <w:color w:val="auto"/>
          <w:sz w:val="24"/>
        </w:rPr>
        <w:t>建设项目环境风险评价技术导则》</w:t>
      </w:r>
      <w:r>
        <w:rPr>
          <w:color w:val="auto"/>
          <w:sz w:val="24"/>
        </w:rPr>
        <w:t>（HJ169-2018）；</w:t>
      </w:r>
    </w:p>
    <w:p w14:paraId="3F012462">
      <w:pPr>
        <w:widowControl/>
        <w:spacing w:line="360" w:lineRule="auto"/>
        <w:ind w:firstLine="480" w:firstLineChars="200"/>
        <w:rPr>
          <w:color w:val="auto"/>
          <w:sz w:val="24"/>
        </w:rPr>
      </w:pPr>
      <w:r>
        <w:rPr>
          <w:color w:val="auto"/>
          <w:sz w:val="24"/>
        </w:rPr>
        <w:t>（9）《环境影响评价技术导则 地下水环境》（HJ610-2016）；</w:t>
      </w:r>
    </w:p>
    <w:p w14:paraId="346FA2C8">
      <w:pPr>
        <w:widowControl/>
        <w:spacing w:line="360" w:lineRule="auto"/>
        <w:ind w:firstLine="480" w:firstLineChars="200"/>
        <w:rPr>
          <w:color w:val="auto"/>
          <w:sz w:val="24"/>
        </w:rPr>
      </w:pPr>
      <w:r>
        <w:rPr>
          <w:color w:val="auto"/>
          <w:sz w:val="24"/>
        </w:rPr>
        <w:t>（10）《环境影响评价技术导则 地表水环境》（HJ/T2.3-2018）；</w:t>
      </w:r>
    </w:p>
    <w:p w14:paraId="175B2520">
      <w:pPr>
        <w:widowControl/>
        <w:spacing w:line="360" w:lineRule="auto"/>
        <w:ind w:firstLine="480" w:firstLineChars="200"/>
        <w:rPr>
          <w:color w:val="auto"/>
          <w:sz w:val="24"/>
        </w:rPr>
      </w:pPr>
      <w:r>
        <w:rPr>
          <w:color w:val="auto"/>
          <w:sz w:val="24"/>
        </w:rPr>
        <w:t>（11）《建设项目环境影响评价分类管理名录》（2021年）；</w:t>
      </w:r>
    </w:p>
    <w:p w14:paraId="78C16223">
      <w:pPr>
        <w:widowControl/>
        <w:spacing w:line="360" w:lineRule="auto"/>
        <w:ind w:firstLine="480" w:firstLineChars="200"/>
        <w:rPr>
          <w:color w:val="auto"/>
          <w:sz w:val="24"/>
        </w:rPr>
      </w:pPr>
      <w:r>
        <w:rPr>
          <w:color w:val="auto"/>
          <w:sz w:val="24"/>
        </w:rPr>
        <w:t>（12）建设方提供的与本项目相关的其它技术资料。</w:t>
      </w:r>
    </w:p>
    <w:p w14:paraId="1A781EAB">
      <w:pPr>
        <w:pStyle w:val="130"/>
        <w:spacing w:before="0" w:after="0" w:line="360" w:lineRule="auto"/>
        <w:ind w:firstLine="0" w:firstLineChars="0"/>
        <w:jc w:val="both"/>
        <w:rPr>
          <w:rFonts w:ascii="Times New Roman" w:hAnsi="Times New Roman" w:cs="Times New Roman"/>
          <w:b w:val="0"/>
          <w:color w:val="auto"/>
          <w:sz w:val="24"/>
          <w:szCs w:val="24"/>
          <w:lang w:val="en-US"/>
        </w:rPr>
      </w:pPr>
      <w:bookmarkStart w:id="193" w:name="_Toc413057964"/>
      <w:bookmarkStart w:id="194" w:name="_Toc18494"/>
      <w:bookmarkStart w:id="195" w:name="_Toc23528"/>
      <w:bookmarkStart w:id="196" w:name="_Toc66431996"/>
      <w:bookmarkStart w:id="197" w:name="_Toc11326"/>
      <w:bookmarkStart w:id="198" w:name="_Toc6734"/>
      <w:bookmarkStart w:id="199" w:name="_Toc16837"/>
      <w:r>
        <w:rPr>
          <w:rFonts w:ascii="Times New Roman" w:hAnsi="Times New Roman" w:cs="Times New Roman"/>
          <w:b w:val="0"/>
          <w:color w:val="auto"/>
          <w:sz w:val="24"/>
          <w:szCs w:val="24"/>
          <w:lang w:val="en-US"/>
        </w:rPr>
        <w:t xml:space="preserve">1.2 </w:t>
      </w:r>
      <w:bookmarkEnd w:id="193"/>
      <w:r>
        <w:rPr>
          <w:rFonts w:ascii="Times New Roman" w:hAnsi="Times New Roman" w:cs="Times New Roman"/>
          <w:b w:val="0"/>
          <w:color w:val="auto"/>
          <w:sz w:val="24"/>
          <w:szCs w:val="24"/>
          <w:lang w:val="en-US"/>
        </w:rPr>
        <w:t>评价原则</w:t>
      </w:r>
      <w:bookmarkEnd w:id="194"/>
      <w:bookmarkEnd w:id="195"/>
      <w:bookmarkEnd w:id="196"/>
    </w:p>
    <w:p w14:paraId="2E85BB79">
      <w:pPr>
        <w:snapToGrid w:val="0"/>
        <w:spacing w:line="360" w:lineRule="auto"/>
        <w:ind w:firstLine="480" w:firstLineChars="200"/>
        <w:rPr>
          <w:color w:val="auto"/>
          <w:sz w:val="24"/>
        </w:rPr>
      </w:pPr>
      <w:r>
        <w:rPr>
          <w:color w:val="auto"/>
          <w:sz w:val="24"/>
        </w:rPr>
        <w:t>环境风险评价的目的是分析和预测建设项目存在的潜在危险、有害因素。建设项目建设和运行期间可能发生的突发性事件或事故（一般不包括人为破坏及自然灾害），引起有毒有害物质泄漏和易燃易爆物质火灾爆炸，所造成的人身安全与环境影响和损害程度，提出合理可行的防范、应急与减缓措施，以使建设项目事故率、损失和环境影响达到可接受水平。</w:t>
      </w:r>
    </w:p>
    <w:p w14:paraId="4ABAD91A">
      <w:pPr>
        <w:snapToGrid w:val="0"/>
        <w:spacing w:line="360" w:lineRule="auto"/>
        <w:ind w:firstLine="480" w:firstLineChars="200"/>
        <w:rPr>
          <w:color w:val="auto"/>
          <w:sz w:val="24"/>
        </w:rPr>
      </w:pPr>
      <w:r>
        <w:rPr>
          <w:color w:val="auto"/>
          <w:sz w:val="24"/>
        </w:rPr>
        <w:t>根据《建设项目环境风险评价技术导则》（HJ169-2018）和本项目实际运营情况，确定本项目环境风险评价应把事故引起厂界外人群的伤害、环境质量恶化的预测和防护作为评价工作重点。</w:t>
      </w:r>
    </w:p>
    <w:p w14:paraId="6A9E091A">
      <w:pPr>
        <w:snapToGrid w:val="0"/>
        <w:spacing w:line="360" w:lineRule="auto"/>
        <w:ind w:firstLine="480" w:firstLineChars="200"/>
        <w:rPr>
          <w:color w:val="auto"/>
          <w:sz w:val="24"/>
        </w:rPr>
      </w:pPr>
      <w:r>
        <w:rPr>
          <w:color w:val="auto"/>
          <w:sz w:val="24"/>
        </w:rPr>
        <w:t>本次评价通过科学的控制分析和管理，将环境风险发生的可能性和危害降低到最小程度。一旦出现环境风险事故，立即启动风险应急预案，把损失降低到最低程度。</w:t>
      </w:r>
    </w:p>
    <w:bookmarkEnd w:id="197"/>
    <w:bookmarkEnd w:id="198"/>
    <w:bookmarkEnd w:id="199"/>
    <w:p w14:paraId="302508B6">
      <w:pPr>
        <w:spacing w:line="360" w:lineRule="auto"/>
        <w:outlineLvl w:val="0"/>
        <w:rPr>
          <w:color w:val="auto"/>
          <w:sz w:val="28"/>
          <w:szCs w:val="28"/>
        </w:rPr>
      </w:pPr>
      <w:bookmarkStart w:id="200" w:name="_Toc22546"/>
      <w:bookmarkStart w:id="201" w:name="_Toc16358"/>
      <w:r>
        <w:rPr>
          <w:color w:val="auto"/>
          <w:sz w:val="28"/>
          <w:szCs w:val="28"/>
        </w:rPr>
        <w:t>2 风险调查</w:t>
      </w:r>
      <w:bookmarkEnd w:id="200"/>
      <w:bookmarkEnd w:id="201"/>
    </w:p>
    <w:p w14:paraId="27485B7A">
      <w:pPr>
        <w:spacing w:line="360" w:lineRule="auto"/>
        <w:outlineLvl w:val="1"/>
        <w:rPr>
          <w:color w:val="auto"/>
          <w:sz w:val="24"/>
        </w:rPr>
      </w:pPr>
      <w:bookmarkStart w:id="202" w:name="_Toc28836"/>
      <w:bookmarkStart w:id="203" w:name="_Toc10099"/>
      <w:r>
        <w:rPr>
          <w:color w:val="auto"/>
          <w:sz w:val="24"/>
        </w:rPr>
        <w:t>2.1危险物质和风险源分布情况</w:t>
      </w:r>
      <w:bookmarkEnd w:id="202"/>
      <w:bookmarkEnd w:id="203"/>
    </w:p>
    <w:p w14:paraId="29DD511A">
      <w:pPr>
        <w:spacing w:line="360" w:lineRule="auto"/>
        <w:ind w:firstLine="480" w:firstLineChars="200"/>
        <w:rPr>
          <w:color w:val="auto"/>
          <w:sz w:val="24"/>
        </w:rPr>
      </w:pPr>
      <w:r>
        <w:rPr>
          <w:color w:val="auto"/>
          <w:sz w:val="24"/>
        </w:rPr>
        <w:t>项目涉及的危险物质主要为氢氟酸、危险固废等，主要位于</w:t>
      </w:r>
      <w:r>
        <w:rPr>
          <w:rFonts w:hint="eastAsia"/>
          <w:color w:val="auto"/>
          <w:sz w:val="24"/>
        </w:rPr>
        <w:t>原料区、储罐区、生产线、</w:t>
      </w:r>
      <w:r>
        <w:rPr>
          <w:color w:val="auto"/>
          <w:sz w:val="24"/>
        </w:rPr>
        <w:t>危废暂存库，具体情况见下表。</w:t>
      </w:r>
    </w:p>
    <w:p w14:paraId="35B148A2">
      <w:pPr>
        <w:autoSpaceDE w:val="0"/>
        <w:autoSpaceDN w:val="0"/>
        <w:adjustRightInd w:val="0"/>
        <w:jc w:val="center"/>
        <w:rPr>
          <w:b/>
          <w:color w:val="auto"/>
          <w:szCs w:val="21"/>
        </w:rPr>
      </w:pPr>
      <w:r>
        <w:rPr>
          <w:rFonts w:hint="eastAsia"/>
          <w:b/>
          <w:color w:val="auto"/>
          <w:szCs w:val="21"/>
        </w:rPr>
        <w:t>表7.2</w:t>
      </w:r>
      <w:r>
        <w:rPr>
          <w:b/>
          <w:color w:val="auto"/>
          <w:szCs w:val="21"/>
        </w:rPr>
        <w:t>-1  本项目危险物质数量和分布情况</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6"/>
        <w:gridCol w:w="1667"/>
        <w:gridCol w:w="2120"/>
        <w:gridCol w:w="2896"/>
      </w:tblGrid>
      <w:tr w14:paraId="4B55E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043" w:type="dxa"/>
            <w:gridSpan w:val="2"/>
            <w:vAlign w:val="center"/>
          </w:tcPr>
          <w:p w14:paraId="2BAD7214">
            <w:pPr>
              <w:adjustRightInd w:val="0"/>
              <w:snapToGrid w:val="0"/>
              <w:jc w:val="center"/>
              <w:rPr>
                <w:color w:val="auto"/>
                <w:sz w:val="21"/>
                <w:szCs w:val="21"/>
              </w:rPr>
            </w:pPr>
            <w:r>
              <w:rPr>
                <w:color w:val="auto"/>
                <w:sz w:val="21"/>
                <w:szCs w:val="21"/>
              </w:rPr>
              <w:t>危险物质</w:t>
            </w:r>
          </w:p>
        </w:tc>
        <w:tc>
          <w:tcPr>
            <w:tcW w:w="2120" w:type="dxa"/>
            <w:vMerge w:val="restart"/>
            <w:vAlign w:val="center"/>
          </w:tcPr>
          <w:p w14:paraId="059F1299">
            <w:pPr>
              <w:adjustRightInd w:val="0"/>
              <w:snapToGrid w:val="0"/>
              <w:jc w:val="center"/>
              <w:rPr>
                <w:color w:val="auto"/>
                <w:sz w:val="21"/>
                <w:szCs w:val="21"/>
              </w:rPr>
            </w:pPr>
            <w:r>
              <w:rPr>
                <w:color w:val="auto"/>
                <w:sz w:val="21"/>
                <w:szCs w:val="21"/>
              </w:rPr>
              <w:t>分布情况</w:t>
            </w:r>
          </w:p>
        </w:tc>
        <w:tc>
          <w:tcPr>
            <w:tcW w:w="2896" w:type="dxa"/>
            <w:vMerge w:val="restart"/>
            <w:vAlign w:val="center"/>
          </w:tcPr>
          <w:p w14:paraId="369722D8">
            <w:pPr>
              <w:adjustRightInd w:val="0"/>
              <w:snapToGrid w:val="0"/>
              <w:jc w:val="center"/>
              <w:rPr>
                <w:color w:val="auto"/>
                <w:sz w:val="21"/>
                <w:szCs w:val="21"/>
              </w:rPr>
            </w:pPr>
            <w:r>
              <w:rPr>
                <w:color w:val="auto"/>
                <w:sz w:val="21"/>
                <w:szCs w:val="21"/>
              </w:rPr>
              <w:t>特点</w:t>
            </w:r>
          </w:p>
        </w:tc>
      </w:tr>
      <w:tr w14:paraId="655A6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76" w:type="dxa"/>
            <w:vAlign w:val="center"/>
          </w:tcPr>
          <w:p w14:paraId="51CF3F88">
            <w:pPr>
              <w:adjustRightInd w:val="0"/>
              <w:snapToGrid w:val="0"/>
              <w:jc w:val="center"/>
              <w:rPr>
                <w:color w:val="auto"/>
                <w:sz w:val="21"/>
                <w:szCs w:val="21"/>
              </w:rPr>
            </w:pPr>
            <w:r>
              <w:rPr>
                <w:color w:val="auto"/>
                <w:sz w:val="21"/>
                <w:szCs w:val="21"/>
              </w:rPr>
              <w:t>种类</w:t>
            </w:r>
          </w:p>
        </w:tc>
        <w:tc>
          <w:tcPr>
            <w:tcW w:w="1667" w:type="dxa"/>
            <w:vAlign w:val="center"/>
          </w:tcPr>
          <w:p w14:paraId="50540F57">
            <w:pPr>
              <w:adjustRightInd w:val="0"/>
              <w:snapToGrid w:val="0"/>
              <w:jc w:val="center"/>
              <w:rPr>
                <w:color w:val="auto"/>
                <w:sz w:val="21"/>
                <w:szCs w:val="21"/>
              </w:rPr>
            </w:pPr>
            <w:r>
              <w:rPr>
                <w:color w:val="auto"/>
                <w:sz w:val="21"/>
                <w:szCs w:val="21"/>
              </w:rPr>
              <w:t>数量/t</w:t>
            </w:r>
          </w:p>
        </w:tc>
        <w:tc>
          <w:tcPr>
            <w:tcW w:w="2120" w:type="dxa"/>
            <w:vMerge w:val="continue"/>
            <w:vAlign w:val="center"/>
          </w:tcPr>
          <w:p w14:paraId="29FC952B">
            <w:pPr>
              <w:adjustRightInd w:val="0"/>
              <w:snapToGrid w:val="0"/>
              <w:jc w:val="center"/>
              <w:rPr>
                <w:color w:val="auto"/>
                <w:sz w:val="21"/>
                <w:szCs w:val="21"/>
              </w:rPr>
            </w:pPr>
          </w:p>
        </w:tc>
        <w:tc>
          <w:tcPr>
            <w:tcW w:w="2896" w:type="dxa"/>
            <w:vMerge w:val="continue"/>
            <w:vAlign w:val="center"/>
          </w:tcPr>
          <w:p w14:paraId="32807621">
            <w:pPr>
              <w:adjustRightInd w:val="0"/>
              <w:snapToGrid w:val="0"/>
              <w:jc w:val="center"/>
              <w:rPr>
                <w:color w:val="auto"/>
                <w:sz w:val="21"/>
                <w:szCs w:val="21"/>
              </w:rPr>
            </w:pPr>
          </w:p>
        </w:tc>
      </w:tr>
      <w:tr w14:paraId="1418E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76" w:type="dxa"/>
            <w:vAlign w:val="center"/>
          </w:tcPr>
          <w:p w14:paraId="3C48A9F9">
            <w:pPr>
              <w:adjustRightInd w:val="0"/>
              <w:snapToGrid w:val="0"/>
              <w:jc w:val="center"/>
              <w:rPr>
                <w:color w:val="auto"/>
                <w:sz w:val="21"/>
                <w:szCs w:val="21"/>
              </w:rPr>
            </w:pPr>
            <w:r>
              <w:rPr>
                <w:color w:val="auto"/>
                <w:sz w:val="21"/>
                <w:szCs w:val="21"/>
              </w:rPr>
              <w:t>氯化氢</w:t>
            </w:r>
          </w:p>
        </w:tc>
        <w:tc>
          <w:tcPr>
            <w:tcW w:w="1667" w:type="dxa"/>
            <w:vAlign w:val="center"/>
          </w:tcPr>
          <w:p w14:paraId="1F11EBA0">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0.8</w:t>
            </w:r>
          </w:p>
        </w:tc>
        <w:tc>
          <w:tcPr>
            <w:tcW w:w="2120" w:type="dxa"/>
            <w:vMerge w:val="restart"/>
            <w:vAlign w:val="center"/>
          </w:tcPr>
          <w:p w14:paraId="74E129C0">
            <w:pPr>
              <w:adjustRightInd w:val="0"/>
              <w:snapToGrid w:val="0"/>
              <w:jc w:val="center"/>
              <w:rPr>
                <w:color w:val="auto"/>
                <w:sz w:val="21"/>
                <w:szCs w:val="21"/>
              </w:rPr>
            </w:pPr>
            <w:r>
              <w:rPr>
                <w:color w:val="auto"/>
                <w:sz w:val="21"/>
                <w:szCs w:val="21"/>
              </w:rPr>
              <w:t>原料区</w:t>
            </w:r>
            <w:r>
              <w:rPr>
                <w:rFonts w:hint="eastAsia"/>
                <w:color w:val="auto"/>
                <w:sz w:val="21"/>
                <w:szCs w:val="21"/>
              </w:rPr>
              <w:t>、储罐区</w:t>
            </w:r>
          </w:p>
        </w:tc>
        <w:tc>
          <w:tcPr>
            <w:tcW w:w="2896" w:type="dxa"/>
            <w:vMerge w:val="restart"/>
            <w:vAlign w:val="center"/>
          </w:tcPr>
          <w:p w14:paraId="7873B499">
            <w:pPr>
              <w:adjustRightInd w:val="0"/>
              <w:snapToGrid w:val="0"/>
              <w:jc w:val="center"/>
              <w:rPr>
                <w:color w:val="auto"/>
                <w:sz w:val="21"/>
                <w:szCs w:val="21"/>
              </w:rPr>
            </w:pPr>
            <w:r>
              <w:rPr>
                <w:color w:val="auto"/>
                <w:sz w:val="21"/>
                <w:szCs w:val="21"/>
              </w:rPr>
              <w:t>危险物质贮存</w:t>
            </w:r>
          </w:p>
        </w:tc>
      </w:tr>
      <w:tr w14:paraId="5AF34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76" w:type="dxa"/>
            <w:vAlign w:val="center"/>
          </w:tcPr>
          <w:p w14:paraId="70D9F7C8">
            <w:pPr>
              <w:adjustRightInd w:val="0"/>
              <w:snapToGrid w:val="0"/>
              <w:jc w:val="center"/>
              <w:rPr>
                <w:color w:val="auto"/>
                <w:sz w:val="21"/>
                <w:szCs w:val="21"/>
              </w:rPr>
            </w:pPr>
            <w:r>
              <w:rPr>
                <w:rFonts w:hint="eastAsia"/>
                <w:color w:val="auto"/>
                <w:kern w:val="0"/>
                <w:szCs w:val="21"/>
                <w:lang w:eastAsia="zh-CN"/>
              </w:rPr>
              <w:t>40%</w:t>
            </w:r>
            <w:r>
              <w:rPr>
                <w:color w:val="auto"/>
                <w:kern w:val="0"/>
                <w:szCs w:val="21"/>
              </w:rPr>
              <w:t>氢氟酸</w:t>
            </w:r>
          </w:p>
        </w:tc>
        <w:tc>
          <w:tcPr>
            <w:tcW w:w="1667" w:type="dxa"/>
            <w:vAlign w:val="center"/>
          </w:tcPr>
          <w:p w14:paraId="47DA2F19">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19.2</w:t>
            </w:r>
          </w:p>
        </w:tc>
        <w:tc>
          <w:tcPr>
            <w:tcW w:w="2120" w:type="dxa"/>
            <w:vMerge w:val="continue"/>
            <w:vAlign w:val="center"/>
          </w:tcPr>
          <w:p w14:paraId="2A3B88CE">
            <w:pPr>
              <w:adjustRightInd w:val="0"/>
              <w:snapToGrid w:val="0"/>
              <w:jc w:val="center"/>
              <w:rPr>
                <w:color w:val="auto"/>
                <w:sz w:val="21"/>
                <w:szCs w:val="21"/>
              </w:rPr>
            </w:pPr>
          </w:p>
        </w:tc>
        <w:tc>
          <w:tcPr>
            <w:tcW w:w="2896" w:type="dxa"/>
            <w:vMerge w:val="continue"/>
            <w:vAlign w:val="center"/>
          </w:tcPr>
          <w:p w14:paraId="262EACDF">
            <w:pPr>
              <w:adjustRightInd w:val="0"/>
              <w:snapToGrid w:val="0"/>
              <w:jc w:val="center"/>
              <w:rPr>
                <w:color w:val="auto"/>
                <w:sz w:val="21"/>
                <w:szCs w:val="21"/>
              </w:rPr>
            </w:pPr>
          </w:p>
        </w:tc>
      </w:tr>
      <w:tr w14:paraId="64ED9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76" w:type="dxa"/>
            <w:vAlign w:val="center"/>
          </w:tcPr>
          <w:p w14:paraId="7CD07F6D">
            <w:pPr>
              <w:adjustRightInd w:val="0"/>
              <w:snapToGrid w:val="0"/>
              <w:jc w:val="center"/>
              <w:rPr>
                <w:color w:val="auto"/>
                <w:sz w:val="21"/>
                <w:szCs w:val="21"/>
              </w:rPr>
            </w:pPr>
            <w:r>
              <w:rPr>
                <w:rFonts w:hint="eastAsia"/>
                <w:color w:val="auto"/>
                <w:kern w:val="0"/>
                <w:szCs w:val="21"/>
                <w:lang w:eastAsia="zh-CN"/>
              </w:rPr>
              <w:t>36%</w:t>
            </w:r>
            <w:r>
              <w:rPr>
                <w:color w:val="auto"/>
                <w:kern w:val="0"/>
                <w:szCs w:val="21"/>
              </w:rPr>
              <w:t>盐酸</w:t>
            </w:r>
          </w:p>
        </w:tc>
        <w:tc>
          <w:tcPr>
            <w:tcW w:w="1667" w:type="dxa"/>
            <w:vAlign w:val="center"/>
          </w:tcPr>
          <w:p w14:paraId="03F6E5DD">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46.7</w:t>
            </w:r>
          </w:p>
        </w:tc>
        <w:tc>
          <w:tcPr>
            <w:tcW w:w="2120" w:type="dxa"/>
            <w:vMerge w:val="continue"/>
            <w:vAlign w:val="center"/>
          </w:tcPr>
          <w:p w14:paraId="3BA3DD5C">
            <w:pPr>
              <w:adjustRightInd w:val="0"/>
              <w:snapToGrid w:val="0"/>
              <w:jc w:val="center"/>
              <w:rPr>
                <w:color w:val="auto"/>
                <w:sz w:val="21"/>
                <w:szCs w:val="21"/>
              </w:rPr>
            </w:pPr>
          </w:p>
        </w:tc>
        <w:tc>
          <w:tcPr>
            <w:tcW w:w="2896" w:type="dxa"/>
            <w:vMerge w:val="continue"/>
            <w:vAlign w:val="center"/>
          </w:tcPr>
          <w:p w14:paraId="2643CB53">
            <w:pPr>
              <w:adjustRightInd w:val="0"/>
              <w:snapToGrid w:val="0"/>
              <w:jc w:val="center"/>
              <w:rPr>
                <w:color w:val="auto"/>
                <w:sz w:val="21"/>
                <w:szCs w:val="21"/>
              </w:rPr>
            </w:pPr>
          </w:p>
        </w:tc>
      </w:tr>
      <w:tr w14:paraId="03524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76" w:type="dxa"/>
            <w:vAlign w:val="center"/>
          </w:tcPr>
          <w:p w14:paraId="6AC87825">
            <w:pPr>
              <w:adjustRightInd w:val="0"/>
              <w:snapToGrid w:val="0"/>
              <w:jc w:val="center"/>
              <w:rPr>
                <w:color w:val="auto"/>
                <w:sz w:val="21"/>
                <w:szCs w:val="21"/>
              </w:rPr>
            </w:pPr>
            <w:r>
              <w:rPr>
                <w:color w:val="auto"/>
                <w:sz w:val="21"/>
                <w:szCs w:val="21"/>
              </w:rPr>
              <w:t>油类物质</w:t>
            </w:r>
          </w:p>
        </w:tc>
        <w:tc>
          <w:tcPr>
            <w:tcW w:w="1667" w:type="dxa"/>
            <w:vAlign w:val="center"/>
          </w:tcPr>
          <w:p w14:paraId="318F6656">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0.16</w:t>
            </w:r>
          </w:p>
        </w:tc>
        <w:tc>
          <w:tcPr>
            <w:tcW w:w="2120" w:type="dxa"/>
            <w:vMerge w:val="continue"/>
            <w:vAlign w:val="center"/>
          </w:tcPr>
          <w:p w14:paraId="33C47BFC">
            <w:pPr>
              <w:adjustRightInd w:val="0"/>
              <w:snapToGrid w:val="0"/>
              <w:jc w:val="center"/>
              <w:rPr>
                <w:color w:val="auto"/>
                <w:sz w:val="21"/>
                <w:szCs w:val="21"/>
              </w:rPr>
            </w:pPr>
          </w:p>
        </w:tc>
        <w:tc>
          <w:tcPr>
            <w:tcW w:w="2896" w:type="dxa"/>
            <w:vMerge w:val="continue"/>
            <w:vAlign w:val="center"/>
          </w:tcPr>
          <w:p w14:paraId="47A13D1E">
            <w:pPr>
              <w:adjustRightInd w:val="0"/>
              <w:snapToGrid w:val="0"/>
              <w:jc w:val="center"/>
              <w:rPr>
                <w:color w:val="auto"/>
                <w:sz w:val="21"/>
                <w:szCs w:val="21"/>
              </w:rPr>
            </w:pPr>
          </w:p>
        </w:tc>
      </w:tr>
      <w:tr w14:paraId="2D26F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76" w:type="dxa"/>
            <w:vAlign w:val="center"/>
          </w:tcPr>
          <w:p w14:paraId="5AE18E2B">
            <w:pPr>
              <w:adjustRightInd w:val="0"/>
              <w:snapToGrid w:val="0"/>
              <w:jc w:val="center"/>
              <w:rPr>
                <w:color w:val="auto"/>
                <w:sz w:val="21"/>
                <w:szCs w:val="21"/>
              </w:rPr>
            </w:pPr>
            <w:r>
              <w:rPr>
                <w:color w:val="auto"/>
                <w:sz w:val="21"/>
                <w:szCs w:val="21"/>
              </w:rPr>
              <w:t>氯化氢</w:t>
            </w:r>
          </w:p>
        </w:tc>
        <w:tc>
          <w:tcPr>
            <w:tcW w:w="1667" w:type="dxa"/>
            <w:vAlign w:val="center"/>
          </w:tcPr>
          <w:p w14:paraId="7F8C88E8">
            <w:pPr>
              <w:adjustRightInd w:val="0"/>
              <w:snapToGrid w:val="0"/>
              <w:jc w:val="center"/>
              <w:rPr>
                <w:color w:val="auto"/>
                <w:sz w:val="21"/>
                <w:szCs w:val="21"/>
              </w:rPr>
            </w:pPr>
            <w:r>
              <w:rPr>
                <w:color w:val="auto"/>
                <w:sz w:val="21"/>
                <w:szCs w:val="21"/>
              </w:rPr>
              <w:t>0.05</w:t>
            </w:r>
          </w:p>
        </w:tc>
        <w:tc>
          <w:tcPr>
            <w:tcW w:w="2120" w:type="dxa"/>
            <w:vMerge w:val="restart"/>
            <w:vAlign w:val="center"/>
          </w:tcPr>
          <w:p w14:paraId="64F8DAFC">
            <w:pPr>
              <w:adjustRightInd w:val="0"/>
              <w:snapToGrid w:val="0"/>
              <w:jc w:val="center"/>
              <w:rPr>
                <w:color w:val="auto"/>
                <w:sz w:val="21"/>
                <w:szCs w:val="21"/>
              </w:rPr>
            </w:pPr>
            <w:r>
              <w:rPr>
                <w:color w:val="auto"/>
                <w:sz w:val="21"/>
                <w:szCs w:val="21"/>
              </w:rPr>
              <w:t>生产线</w:t>
            </w:r>
          </w:p>
        </w:tc>
        <w:tc>
          <w:tcPr>
            <w:tcW w:w="2896" w:type="dxa"/>
            <w:vMerge w:val="restart"/>
            <w:vAlign w:val="center"/>
          </w:tcPr>
          <w:p w14:paraId="7B3A8DB1">
            <w:pPr>
              <w:adjustRightInd w:val="0"/>
              <w:snapToGrid w:val="0"/>
              <w:jc w:val="center"/>
              <w:rPr>
                <w:color w:val="auto"/>
                <w:sz w:val="21"/>
                <w:szCs w:val="21"/>
              </w:rPr>
            </w:pPr>
            <w:r>
              <w:rPr>
                <w:color w:val="auto"/>
                <w:sz w:val="21"/>
                <w:szCs w:val="21"/>
              </w:rPr>
              <w:t>危险物质使用、贮存</w:t>
            </w:r>
          </w:p>
        </w:tc>
      </w:tr>
      <w:tr w14:paraId="7B363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76" w:type="dxa"/>
            <w:vAlign w:val="center"/>
          </w:tcPr>
          <w:p w14:paraId="5E1F27E9">
            <w:pPr>
              <w:adjustRightInd w:val="0"/>
              <w:snapToGrid w:val="0"/>
              <w:jc w:val="center"/>
              <w:rPr>
                <w:color w:val="auto"/>
                <w:sz w:val="21"/>
                <w:szCs w:val="21"/>
              </w:rPr>
            </w:pPr>
            <w:r>
              <w:rPr>
                <w:rFonts w:hint="eastAsia"/>
                <w:color w:val="auto"/>
                <w:kern w:val="0"/>
                <w:szCs w:val="21"/>
                <w:lang w:eastAsia="zh-CN"/>
              </w:rPr>
              <w:t>40%</w:t>
            </w:r>
            <w:r>
              <w:rPr>
                <w:color w:val="auto"/>
                <w:kern w:val="0"/>
                <w:szCs w:val="21"/>
              </w:rPr>
              <w:t>氢氟酸</w:t>
            </w:r>
          </w:p>
        </w:tc>
        <w:tc>
          <w:tcPr>
            <w:tcW w:w="1667" w:type="dxa"/>
            <w:vAlign w:val="center"/>
          </w:tcPr>
          <w:p w14:paraId="4AAED813">
            <w:pPr>
              <w:adjustRightInd w:val="0"/>
              <w:snapToGrid w:val="0"/>
              <w:jc w:val="center"/>
              <w:rPr>
                <w:rFonts w:hint="eastAsia" w:eastAsia="宋体"/>
                <w:color w:val="auto"/>
                <w:sz w:val="21"/>
                <w:szCs w:val="21"/>
                <w:lang w:val="en-US" w:eastAsia="zh-CN"/>
              </w:rPr>
            </w:pPr>
            <w:r>
              <w:rPr>
                <w:color w:val="auto"/>
                <w:sz w:val="21"/>
                <w:szCs w:val="21"/>
              </w:rPr>
              <w:t>0.0</w:t>
            </w:r>
            <w:r>
              <w:rPr>
                <w:rFonts w:hint="eastAsia"/>
                <w:color w:val="auto"/>
                <w:sz w:val="21"/>
                <w:szCs w:val="21"/>
                <w:lang w:val="en-US" w:eastAsia="zh-CN"/>
              </w:rPr>
              <w:t>5</w:t>
            </w:r>
          </w:p>
        </w:tc>
        <w:tc>
          <w:tcPr>
            <w:tcW w:w="2120" w:type="dxa"/>
            <w:vMerge w:val="continue"/>
            <w:vAlign w:val="center"/>
          </w:tcPr>
          <w:p w14:paraId="128C7BEC">
            <w:pPr>
              <w:adjustRightInd w:val="0"/>
              <w:snapToGrid w:val="0"/>
              <w:jc w:val="center"/>
              <w:rPr>
                <w:color w:val="auto"/>
                <w:sz w:val="21"/>
                <w:szCs w:val="21"/>
              </w:rPr>
            </w:pPr>
          </w:p>
        </w:tc>
        <w:tc>
          <w:tcPr>
            <w:tcW w:w="2896" w:type="dxa"/>
            <w:vMerge w:val="continue"/>
            <w:vAlign w:val="center"/>
          </w:tcPr>
          <w:p w14:paraId="7CA05470">
            <w:pPr>
              <w:adjustRightInd w:val="0"/>
              <w:snapToGrid w:val="0"/>
              <w:jc w:val="center"/>
              <w:rPr>
                <w:color w:val="auto"/>
                <w:sz w:val="21"/>
                <w:szCs w:val="21"/>
              </w:rPr>
            </w:pPr>
          </w:p>
        </w:tc>
      </w:tr>
      <w:tr w14:paraId="13DD8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76" w:type="dxa"/>
            <w:vAlign w:val="center"/>
          </w:tcPr>
          <w:p w14:paraId="6D1191DB">
            <w:pPr>
              <w:adjustRightInd w:val="0"/>
              <w:snapToGrid w:val="0"/>
              <w:jc w:val="center"/>
              <w:rPr>
                <w:color w:val="auto"/>
                <w:sz w:val="21"/>
                <w:szCs w:val="21"/>
              </w:rPr>
            </w:pPr>
            <w:r>
              <w:rPr>
                <w:rFonts w:hint="eastAsia"/>
                <w:color w:val="auto"/>
                <w:kern w:val="0"/>
                <w:szCs w:val="21"/>
                <w:lang w:eastAsia="zh-CN"/>
              </w:rPr>
              <w:t>36%</w:t>
            </w:r>
            <w:r>
              <w:rPr>
                <w:color w:val="auto"/>
                <w:kern w:val="0"/>
                <w:szCs w:val="21"/>
              </w:rPr>
              <w:t>盐酸</w:t>
            </w:r>
          </w:p>
        </w:tc>
        <w:tc>
          <w:tcPr>
            <w:tcW w:w="1667" w:type="dxa"/>
            <w:vAlign w:val="center"/>
          </w:tcPr>
          <w:p w14:paraId="4829386E">
            <w:pPr>
              <w:adjustRightInd w:val="0"/>
              <w:snapToGrid w:val="0"/>
              <w:jc w:val="center"/>
              <w:rPr>
                <w:rFonts w:hint="eastAsia" w:eastAsia="宋体"/>
                <w:color w:val="auto"/>
                <w:sz w:val="21"/>
                <w:szCs w:val="21"/>
                <w:lang w:eastAsia="zh-CN"/>
              </w:rPr>
            </w:pPr>
            <w:r>
              <w:rPr>
                <w:color w:val="auto"/>
                <w:sz w:val="21"/>
                <w:szCs w:val="21"/>
              </w:rPr>
              <w:t>0.</w:t>
            </w:r>
            <w:r>
              <w:rPr>
                <w:rFonts w:hint="eastAsia"/>
                <w:color w:val="auto"/>
                <w:sz w:val="21"/>
                <w:szCs w:val="21"/>
                <w:lang w:val="en-US" w:eastAsia="zh-CN"/>
              </w:rPr>
              <w:t>2</w:t>
            </w:r>
          </w:p>
        </w:tc>
        <w:tc>
          <w:tcPr>
            <w:tcW w:w="2120" w:type="dxa"/>
            <w:vMerge w:val="continue"/>
            <w:vAlign w:val="center"/>
          </w:tcPr>
          <w:p w14:paraId="5A094538">
            <w:pPr>
              <w:adjustRightInd w:val="0"/>
              <w:snapToGrid w:val="0"/>
              <w:jc w:val="center"/>
              <w:rPr>
                <w:color w:val="auto"/>
                <w:sz w:val="21"/>
                <w:szCs w:val="21"/>
              </w:rPr>
            </w:pPr>
          </w:p>
        </w:tc>
        <w:tc>
          <w:tcPr>
            <w:tcW w:w="2896" w:type="dxa"/>
            <w:vMerge w:val="continue"/>
            <w:vAlign w:val="center"/>
          </w:tcPr>
          <w:p w14:paraId="6B3B2AD7">
            <w:pPr>
              <w:adjustRightInd w:val="0"/>
              <w:snapToGrid w:val="0"/>
              <w:jc w:val="center"/>
              <w:rPr>
                <w:color w:val="auto"/>
                <w:sz w:val="21"/>
                <w:szCs w:val="21"/>
              </w:rPr>
            </w:pPr>
          </w:p>
        </w:tc>
      </w:tr>
      <w:tr w14:paraId="434DE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76" w:type="dxa"/>
            <w:vAlign w:val="center"/>
          </w:tcPr>
          <w:p w14:paraId="0D58DA4D">
            <w:pPr>
              <w:adjustRightInd w:val="0"/>
              <w:snapToGrid w:val="0"/>
              <w:jc w:val="center"/>
              <w:rPr>
                <w:color w:val="auto"/>
                <w:sz w:val="21"/>
                <w:szCs w:val="21"/>
              </w:rPr>
            </w:pPr>
            <w:r>
              <w:rPr>
                <w:color w:val="auto"/>
                <w:sz w:val="21"/>
                <w:szCs w:val="21"/>
              </w:rPr>
              <w:t>危险固废（不含废酸）</w:t>
            </w:r>
          </w:p>
        </w:tc>
        <w:tc>
          <w:tcPr>
            <w:tcW w:w="1667" w:type="dxa"/>
            <w:vAlign w:val="center"/>
          </w:tcPr>
          <w:p w14:paraId="159D09E3">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28.9</w:t>
            </w:r>
          </w:p>
        </w:tc>
        <w:tc>
          <w:tcPr>
            <w:tcW w:w="2120" w:type="dxa"/>
            <w:vAlign w:val="center"/>
          </w:tcPr>
          <w:p w14:paraId="773881B1">
            <w:pPr>
              <w:adjustRightInd w:val="0"/>
              <w:snapToGrid w:val="0"/>
              <w:jc w:val="center"/>
              <w:rPr>
                <w:color w:val="auto"/>
                <w:sz w:val="21"/>
                <w:szCs w:val="21"/>
              </w:rPr>
            </w:pPr>
            <w:r>
              <w:rPr>
                <w:color w:val="auto"/>
                <w:sz w:val="21"/>
                <w:szCs w:val="21"/>
              </w:rPr>
              <w:t>危废暂存库</w:t>
            </w:r>
          </w:p>
        </w:tc>
        <w:tc>
          <w:tcPr>
            <w:tcW w:w="2896" w:type="dxa"/>
            <w:vAlign w:val="center"/>
          </w:tcPr>
          <w:p w14:paraId="38E488EE">
            <w:pPr>
              <w:adjustRightInd w:val="0"/>
              <w:snapToGrid w:val="0"/>
              <w:jc w:val="center"/>
              <w:rPr>
                <w:color w:val="auto"/>
                <w:sz w:val="21"/>
                <w:szCs w:val="21"/>
              </w:rPr>
            </w:pPr>
            <w:r>
              <w:rPr>
                <w:color w:val="auto"/>
                <w:sz w:val="21"/>
                <w:szCs w:val="21"/>
              </w:rPr>
              <w:t>危险物质贮存</w:t>
            </w:r>
          </w:p>
        </w:tc>
      </w:tr>
      <w:tr w14:paraId="3DF01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376" w:type="dxa"/>
            <w:vAlign w:val="center"/>
          </w:tcPr>
          <w:p w14:paraId="095A73CE">
            <w:pPr>
              <w:adjustRightInd w:val="0"/>
              <w:snapToGrid w:val="0"/>
              <w:jc w:val="center"/>
              <w:rPr>
                <w:color w:val="auto"/>
                <w:sz w:val="21"/>
                <w:szCs w:val="21"/>
              </w:rPr>
            </w:pPr>
            <w:r>
              <w:rPr>
                <w:color w:val="auto"/>
                <w:sz w:val="21"/>
                <w:szCs w:val="21"/>
              </w:rPr>
              <w:t>废酸中氢氟酸</w:t>
            </w:r>
          </w:p>
        </w:tc>
        <w:tc>
          <w:tcPr>
            <w:tcW w:w="1667" w:type="dxa"/>
            <w:vAlign w:val="center"/>
          </w:tcPr>
          <w:p w14:paraId="77FD3624">
            <w:pPr>
              <w:adjustRightInd w:val="0"/>
              <w:snapToGrid w:val="0"/>
              <w:jc w:val="center"/>
              <w:rPr>
                <w:rFonts w:hint="eastAsia" w:eastAsia="宋体"/>
                <w:color w:val="auto"/>
                <w:sz w:val="21"/>
                <w:szCs w:val="21"/>
                <w:lang w:eastAsia="zh-CN"/>
              </w:rPr>
            </w:pPr>
            <w:r>
              <w:rPr>
                <w:rFonts w:hint="eastAsia"/>
                <w:color w:val="auto"/>
                <w:sz w:val="21"/>
                <w:szCs w:val="21"/>
                <w:lang w:val="en-US" w:eastAsia="zh-CN"/>
              </w:rPr>
              <w:t>5</w:t>
            </w:r>
          </w:p>
        </w:tc>
        <w:tc>
          <w:tcPr>
            <w:tcW w:w="2120" w:type="dxa"/>
            <w:vMerge w:val="restart"/>
            <w:vAlign w:val="center"/>
          </w:tcPr>
          <w:p w14:paraId="41102942">
            <w:pPr>
              <w:adjustRightInd w:val="0"/>
              <w:snapToGrid w:val="0"/>
              <w:jc w:val="center"/>
              <w:rPr>
                <w:color w:val="auto"/>
                <w:sz w:val="21"/>
                <w:szCs w:val="21"/>
              </w:rPr>
            </w:pPr>
            <w:r>
              <w:rPr>
                <w:color w:val="auto"/>
                <w:sz w:val="21"/>
                <w:szCs w:val="21"/>
              </w:rPr>
              <w:t>废酸罐</w:t>
            </w:r>
          </w:p>
        </w:tc>
        <w:tc>
          <w:tcPr>
            <w:tcW w:w="2896" w:type="dxa"/>
            <w:vMerge w:val="restart"/>
            <w:vAlign w:val="center"/>
          </w:tcPr>
          <w:p w14:paraId="161FE20B">
            <w:pPr>
              <w:adjustRightInd w:val="0"/>
              <w:snapToGrid w:val="0"/>
              <w:jc w:val="center"/>
              <w:rPr>
                <w:color w:val="auto"/>
                <w:sz w:val="21"/>
                <w:szCs w:val="21"/>
              </w:rPr>
            </w:pPr>
            <w:r>
              <w:rPr>
                <w:color w:val="auto"/>
                <w:sz w:val="21"/>
                <w:szCs w:val="21"/>
              </w:rPr>
              <w:t>危险物质贮存</w:t>
            </w:r>
          </w:p>
        </w:tc>
      </w:tr>
      <w:tr w14:paraId="652AF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76" w:type="dxa"/>
            <w:vAlign w:val="center"/>
          </w:tcPr>
          <w:p w14:paraId="17E6859D">
            <w:pPr>
              <w:adjustRightInd w:val="0"/>
              <w:snapToGrid w:val="0"/>
              <w:jc w:val="center"/>
              <w:rPr>
                <w:color w:val="auto"/>
                <w:sz w:val="21"/>
                <w:szCs w:val="21"/>
              </w:rPr>
            </w:pPr>
            <w:r>
              <w:rPr>
                <w:color w:val="auto"/>
                <w:sz w:val="21"/>
                <w:szCs w:val="21"/>
              </w:rPr>
              <w:t>废酸中盐酸</w:t>
            </w:r>
          </w:p>
        </w:tc>
        <w:tc>
          <w:tcPr>
            <w:tcW w:w="1667" w:type="dxa"/>
            <w:vAlign w:val="center"/>
          </w:tcPr>
          <w:p w14:paraId="57D53CBD">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20</w:t>
            </w:r>
          </w:p>
        </w:tc>
        <w:tc>
          <w:tcPr>
            <w:tcW w:w="2120" w:type="dxa"/>
            <w:vMerge w:val="continue"/>
            <w:vAlign w:val="center"/>
          </w:tcPr>
          <w:p w14:paraId="19E22279">
            <w:pPr>
              <w:adjustRightInd w:val="0"/>
              <w:snapToGrid w:val="0"/>
              <w:jc w:val="center"/>
              <w:rPr>
                <w:color w:val="auto"/>
                <w:sz w:val="21"/>
                <w:szCs w:val="21"/>
              </w:rPr>
            </w:pPr>
          </w:p>
        </w:tc>
        <w:tc>
          <w:tcPr>
            <w:tcW w:w="2896" w:type="dxa"/>
            <w:vMerge w:val="continue"/>
            <w:vAlign w:val="center"/>
          </w:tcPr>
          <w:p w14:paraId="45AC8100">
            <w:pPr>
              <w:adjustRightInd w:val="0"/>
              <w:snapToGrid w:val="0"/>
              <w:jc w:val="center"/>
              <w:rPr>
                <w:color w:val="auto"/>
                <w:sz w:val="21"/>
                <w:szCs w:val="21"/>
              </w:rPr>
            </w:pPr>
          </w:p>
        </w:tc>
      </w:tr>
      <w:tr w14:paraId="1882A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059" w:type="dxa"/>
            <w:gridSpan w:val="4"/>
            <w:vAlign w:val="top"/>
          </w:tcPr>
          <w:p w14:paraId="74E844AD">
            <w:pPr>
              <w:widowControl/>
              <w:textAlignment w:val="center"/>
              <w:rPr>
                <w:color w:val="auto"/>
                <w:kern w:val="0"/>
                <w:szCs w:val="21"/>
              </w:rPr>
            </w:pPr>
            <w:r>
              <w:rPr>
                <w:color w:val="auto"/>
                <w:kern w:val="0"/>
                <w:szCs w:val="21"/>
              </w:rPr>
              <w:t>①包含车间在线、废气和废水环保设施的最大在线量；</w:t>
            </w:r>
          </w:p>
          <w:p w14:paraId="5C461949">
            <w:pPr>
              <w:adjustRightInd w:val="0"/>
              <w:snapToGrid w:val="0"/>
              <w:rPr>
                <w:color w:val="auto"/>
                <w:sz w:val="21"/>
                <w:szCs w:val="21"/>
              </w:rPr>
            </w:pPr>
            <w:r>
              <w:rPr>
                <w:color w:val="auto"/>
                <w:kern w:val="0"/>
                <w:szCs w:val="21"/>
              </w:rPr>
              <w:t>②本</w:t>
            </w:r>
            <w:r>
              <w:rPr>
                <w:rFonts w:hint="eastAsia"/>
                <w:color w:val="auto"/>
                <w:kern w:val="0"/>
                <w:szCs w:val="21"/>
              </w:rPr>
              <w:t>表</w:t>
            </w:r>
            <w:r>
              <w:rPr>
                <w:rFonts w:hint="eastAsia"/>
                <w:color w:val="auto"/>
                <w:kern w:val="0"/>
                <w:szCs w:val="21"/>
                <w:lang w:val="en-US" w:eastAsia="zh-CN"/>
              </w:rPr>
              <w:t>氢氟酸、盐酸最大存在量已折算，具体为：</w:t>
            </w:r>
            <w:r>
              <w:rPr>
                <w:rFonts w:hint="eastAsia"/>
                <w:color w:val="auto"/>
                <w:kern w:val="0"/>
                <w:szCs w:val="21"/>
                <w:lang w:eastAsia="zh-CN"/>
              </w:rPr>
              <w:t>36%</w:t>
            </w:r>
            <w:r>
              <w:rPr>
                <w:color w:val="auto"/>
                <w:kern w:val="0"/>
                <w:szCs w:val="21"/>
              </w:rPr>
              <w:t>盐酸折算为37%盐酸、</w:t>
            </w:r>
            <w:r>
              <w:rPr>
                <w:rFonts w:hint="eastAsia"/>
                <w:color w:val="auto"/>
                <w:kern w:val="0"/>
                <w:szCs w:val="21"/>
                <w:lang w:eastAsia="zh-CN"/>
              </w:rPr>
              <w:t>40%</w:t>
            </w:r>
            <w:r>
              <w:rPr>
                <w:color w:val="auto"/>
                <w:kern w:val="0"/>
                <w:szCs w:val="21"/>
              </w:rPr>
              <w:t>氢氟酸折算为100%氢氟酸。</w:t>
            </w:r>
          </w:p>
        </w:tc>
      </w:tr>
    </w:tbl>
    <w:p w14:paraId="14038146">
      <w:pPr>
        <w:spacing w:line="360" w:lineRule="auto"/>
        <w:outlineLvl w:val="1"/>
        <w:rPr>
          <w:color w:val="auto"/>
          <w:sz w:val="24"/>
        </w:rPr>
      </w:pPr>
      <w:r>
        <w:rPr>
          <w:rFonts w:hint="eastAsia"/>
          <w:color w:val="auto"/>
          <w:sz w:val="24"/>
        </w:rPr>
        <w:t xml:space="preserve">2.2 </w:t>
      </w:r>
      <w:r>
        <w:rPr>
          <w:color w:val="auto"/>
          <w:sz w:val="24"/>
        </w:rPr>
        <w:t>工艺系统危险性调查</w:t>
      </w:r>
    </w:p>
    <w:p w14:paraId="36DE91D1">
      <w:pPr>
        <w:spacing w:line="360" w:lineRule="auto"/>
        <w:ind w:firstLine="480" w:firstLineChars="200"/>
        <w:rPr>
          <w:color w:val="auto"/>
          <w:sz w:val="24"/>
        </w:rPr>
      </w:pPr>
      <w:r>
        <w:rPr>
          <w:color w:val="auto"/>
          <w:sz w:val="24"/>
        </w:rPr>
        <w:t>（1）产品生产工艺</w:t>
      </w:r>
    </w:p>
    <w:p w14:paraId="378642D5">
      <w:pPr>
        <w:spacing w:line="360" w:lineRule="auto"/>
        <w:ind w:firstLine="480" w:firstLineChars="200"/>
        <w:rPr>
          <w:color w:val="auto"/>
          <w:sz w:val="24"/>
        </w:rPr>
      </w:pPr>
      <w:r>
        <w:rPr>
          <w:color w:val="auto"/>
          <w:sz w:val="24"/>
        </w:rPr>
        <w:t>由工程分析章节可知，项目生产过程中，所用生产工艺涉及《建设项目环境风险评价技术导则》（HJ169-2018）表C.1中所列</w:t>
      </w:r>
      <w:r>
        <w:rPr>
          <w:rFonts w:hint="eastAsia"/>
          <w:color w:val="auto"/>
          <w:sz w:val="24"/>
          <w:lang w:val="en-US" w:eastAsia="zh-CN"/>
        </w:rPr>
        <w:t>高温</w:t>
      </w:r>
      <w:r>
        <w:rPr>
          <w:color w:val="auto"/>
          <w:sz w:val="24"/>
        </w:rPr>
        <w:t>生产工艺</w:t>
      </w:r>
      <w:r>
        <w:rPr>
          <w:rFonts w:hint="eastAsia"/>
          <w:color w:val="auto"/>
          <w:sz w:val="24"/>
          <w:lang w:val="en-US" w:eastAsia="zh-CN"/>
        </w:rPr>
        <w:t>等</w:t>
      </w:r>
      <w:r>
        <w:rPr>
          <w:color w:val="auto"/>
          <w:sz w:val="24"/>
        </w:rPr>
        <w:t>。</w:t>
      </w:r>
    </w:p>
    <w:p w14:paraId="2F850FFD">
      <w:pPr>
        <w:spacing w:line="360" w:lineRule="auto"/>
        <w:ind w:firstLine="480" w:firstLineChars="200"/>
        <w:rPr>
          <w:color w:val="auto"/>
          <w:sz w:val="24"/>
        </w:rPr>
      </w:pPr>
      <w:r>
        <w:rPr>
          <w:color w:val="auto"/>
          <w:sz w:val="24"/>
        </w:rPr>
        <w:t>（2）三废处理工艺</w:t>
      </w:r>
    </w:p>
    <w:p w14:paraId="322B6A12">
      <w:pPr>
        <w:spacing w:line="360" w:lineRule="auto"/>
        <w:ind w:firstLine="480" w:firstLineChars="200"/>
        <w:rPr>
          <w:color w:val="auto"/>
          <w:sz w:val="24"/>
        </w:rPr>
      </w:pPr>
      <w:r>
        <w:rPr>
          <w:rFonts w:hint="eastAsia"/>
          <w:color w:val="auto"/>
          <w:sz w:val="24"/>
          <w:lang w:val="en-US" w:eastAsia="zh-CN"/>
        </w:rPr>
        <w:t>具体见上文第四章</w:t>
      </w:r>
      <w:r>
        <w:rPr>
          <w:color w:val="auto"/>
          <w:sz w:val="24"/>
        </w:rPr>
        <w:t>。实行雨污分流；项目废水经调节、中和沉淀、过滤处理后与化粪池处理后的生活污水一起进入外排池纳管排入淮南经济技术开发区工业污水处理厂。本项目新建</w:t>
      </w:r>
      <w:r>
        <w:rPr>
          <w:rFonts w:hint="eastAsia"/>
          <w:color w:val="auto"/>
          <w:sz w:val="24"/>
        </w:rPr>
        <w:t>一个</w:t>
      </w:r>
      <w:r>
        <w:rPr>
          <w:color w:val="auto"/>
          <w:sz w:val="24"/>
        </w:rPr>
        <w:t>面积约</w:t>
      </w:r>
      <w:r>
        <w:rPr>
          <w:rFonts w:hint="eastAsia"/>
          <w:color w:val="auto"/>
          <w:sz w:val="24"/>
        </w:rPr>
        <w:t>2</w:t>
      </w:r>
      <w:r>
        <w:rPr>
          <w:rFonts w:hint="eastAsia"/>
          <w:color w:val="auto"/>
          <w:sz w:val="24"/>
          <w:lang w:val="en-US" w:eastAsia="zh-CN"/>
        </w:rPr>
        <w:t>5</w:t>
      </w:r>
      <w:r>
        <w:rPr>
          <w:color w:val="auto"/>
          <w:sz w:val="24"/>
        </w:rPr>
        <w:t>m</w:t>
      </w:r>
      <w:r>
        <w:rPr>
          <w:color w:val="auto"/>
          <w:sz w:val="24"/>
          <w:vertAlign w:val="superscript"/>
        </w:rPr>
        <w:t>2</w:t>
      </w:r>
      <w:r>
        <w:rPr>
          <w:color w:val="auto"/>
          <w:sz w:val="24"/>
        </w:rPr>
        <w:t>的危废库和面积约</w:t>
      </w:r>
      <w:r>
        <w:rPr>
          <w:rFonts w:hint="eastAsia"/>
          <w:color w:val="auto"/>
          <w:sz w:val="24"/>
          <w:lang w:val="en-US" w:eastAsia="zh-CN"/>
        </w:rPr>
        <w:t>3</w:t>
      </w:r>
      <w:r>
        <w:rPr>
          <w:color w:val="auto"/>
          <w:sz w:val="24"/>
        </w:rPr>
        <w:t>0m</w:t>
      </w:r>
      <w:r>
        <w:rPr>
          <w:color w:val="auto"/>
          <w:sz w:val="24"/>
          <w:vertAlign w:val="superscript"/>
        </w:rPr>
        <w:t>2</w:t>
      </w:r>
      <w:r>
        <w:rPr>
          <w:color w:val="auto"/>
          <w:sz w:val="24"/>
        </w:rPr>
        <w:t>一般固废库，危废厂内暂存后委托有资质单位处置，厂内不设危废处置设施。</w:t>
      </w:r>
    </w:p>
    <w:p w14:paraId="7B695621">
      <w:pPr>
        <w:spacing w:line="360" w:lineRule="auto"/>
        <w:outlineLvl w:val="0"/>
        <w:rPr>
          <w:color w:val="auto"/>
          <w:sz w:val="28"/>
          <w:szCs w:val="28"/>
        </w:rPr>
      </w:pPr>
      <w:bookmarkStart w:id="204" w:name="_Toc13617"/>
      <w:bookmarkStart w:id="205" w:name="_Toc10100"/>
      <w:r>
        <w:rPr>
          <w:color w:val="auto"/>
          <w:sz w:val="28"/>
          <w:szCs w:val="28"/>
        </w:rPr>
        <w:t>3 环境敏感目标调查</w:t>
      </w:r>
      <w:bookmarkEnd w:id="204"/>
      <w:bookmarkEnd w:id="205"/>
    </w:p>
    <w:p w14:paraId="01C84FFC">
      <w:pPr>
        <w:spacing w:line="360" w:lineRule="auto"/>
        <w:ind w:firstLine="480" w:firstLineChars="200"/>
        <w:rPr>
          <w:color w:val="auto"/>
          <w:sz w:val="24"/>
        </w:rPr>
      </w:pPr>
      <w:r>
        <w:rPr>
          <w:color w:val="auto"/>
          <w:sz w:val="24"/>
        </w:rPr>
        <w:t>根据危险物质的影响途径，确定本项目风险评价环境敏感目标如下。</w:t>
      </w:r>
    </w:p>
    <w:p w14:paraId="47145301">
      <w:pPr>
        <w:jc w:val="center"/>
        <w:rPr>
          <w:b/>
          <w:color w:val="auto"/>
        </w:rPr>
      </w:pPr>
      <w:r>
        <w:rPr>
          <w:rFonts w:hint="eastAsia"/>
          <w:b/>
          <w:color w:val="auto"/>
        </w:rPr>
        <w:t>表7.</w:t>
      </w:r>
      <w:r>
        <w:rPr>
          <w:b/>
          <w:color w:val="auto"/>
        </w:rPr>
        <w:t>3</w:t>
      </w:r>
      <w:r>
        <w:rPr>
          <w:rFonts w:hint="eastAsia"/>
          <w:b/>
          <w:color w:val="auto"/>
        </w:rPr>
        <w:t>-1</w:t>
      </w:r>
      <w:r>
        <w:rPr>
          <w:b/>
          <w:color w:val="auto"/>
        </w:rPr>
        <w:t xml:space="preserve">   项目周围主要环境保护目标及敏感特征调查表</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699"/>
        <w:gridCol w:w="850"/>
        <w:gridCol w:w="738"/>
        <w:gridCol w:w="822"/>
        <w:gridCol w:w="448"/>
        <w:gridCol w:w="277"/>
        <w:gridCol w:w="362"/>
        <w:gridCol w:w="1284"/>
        <w:gridCol w:w="465"/>
        <w:gridCol w:w="1146"/>
        <w:gridCol w:w="1262"/>
      </w:tblGrid>
      <w:tr w14:paraId="261EC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99" w:type="dxa"/>
            <w:tcBorders>
              <w:top w:val="single" w:color="auto" w:sz="4" w:space="0"/>
              <w:left w:val="single" w:color="auto" w:sz="4" w:space="0"/>
              <w:bottom w:val="single" w:color="auto" w:sz="4" w:space="0"/>
              <w:right w:val="single" w:color="auto" w:sz="4" w:space="0"/>
            </w:tcBorders>
            <w:vAlign w:val="center"/>
          </w:tcPr>
          <w:p w14:paraId="0E837425">
            <w:pPr>
              <w:snapToGrid w:val="0"/>
              <w:jc w:val="center"/>
              <w:rPr>
                <w:color w:val="auto"/>
                <w:szCs w:val="21"/>
              </w:rPr>
            </w:pPr>
            <w:r>
              <w:rPr>
                <w:color w:val="auto"/>
                <w:szCs w:val="21"/>
              </w:rPr>
              <w:t>类别</w:t>
            </w:r>
          </w:p>
        </w:tc>
        <w:tc>
          <w:tcPr>
            <w:tcW w:w="8353" w:type="dxa"/>
            <w:gridSpan w:val="11"/>
            <w:tcBorders>
              <w:top w:val="single" w:color="auto" w:sz="4" w:space="0"/>
              <w:left w:val="single" w:color="auto" w:sz="4" w:space="0"/>
              <w:bottom w:val="single" w:color="auto" w:sz="4" w:space="0"/>
              <w:right w:val="single" w:color="auto" w:sz="4" w:space="0"/>
            </w:tcBorders>
            <w:vAlign w:val="center"/>
          </w:tcPr>
          <w:p w14:paraId="70460021">
            <w:pPr>
              <w:snapToGrid w:val="0"/>
              <w:jc w:val="center"/>
              <w:rPr>
                <w:color w:val="auto"/>
                <w:szCs w:val="21"/>
              </w:rPr>
            </w:pPr>
            <w:r>
              <w:rPr>
                <w:color w:val="auto"/>
                <w:szCs w:val="21"/>
              </w:rPr>
              <w:t>环境敏感特征</w:t>
            </w:r>
          </w:p>
        </w:tc>
      </w:tr>
      <w:tr w14:paraId="35CF6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restart"/>
            <w:tcBorders>
              <w:top w:val="single" w:color="auto" w:sz="4" w:space="0"/>
              <w:left w:val="single" w:color="auto" w:sz="4" w:space="0"/>
              <w:bottom w:val="single" w:color="auto" w:sz="4" w:space="0"/>
              <w:right w:val="single" w:color="auto" w:sz="4" w:space="0"/>
            </w:tcBorders>
            <w:vAlign w:val="center"/>
          </w:tcPr>
          <w:p w14:paraId="21DBAEAE">
            <w:pPr>
              <w:snapToGrid w:val="0"/>
              <w:jc w:val="center"/>
              <w:rPr>
                <w:color w:val="auto"/>
                <w:szCs w:val="21"/>
              </w:rPr>
            </w:pPr>
            <w:r>
              <w:rPr>
                <w:color w:val="auto"/>
                <w:szCs w:val="21"/>
              </w:rPr>
              <w:t>环境空气</w:t>
            </w:r>
          </w:p>
        </w:tc>
        <w:tc>
          <w:tcPr>
            <w:tcW w:w="8353" w:type="dxa"/>
            <w:gridSpan w:val="11"/>
            <w:tcBorders>
              <w:top w:val="single" w:color="auto" w:sz="4" w:space="0"/>
              <w:left w:val="single" w:color="auto" w:sz="4" w:space="0"/>
              <w:bottom w:val="single" w:color="auto" w:sz="4" w:space="0"/>
              <w:right w:val="single" w:color="auto" w:sz="4" w:space="0"/>
            </w:tcBorders>
            <w:vAlign w:val="center"/>
          </w:tcPr>
          <w:p w14:paraId="08683B7C">
            <w:pPr>
              <w:snapToGrid w:val="0"/>
              <w:jc w:val="center"/>
              <w:rPr>
                <w:color w:val="auto"/>
                <w:szCs w:val="21"/>
              </w:rPr>
            </w:pPr>
            <w:r>
              <w:rPr>
                <w:color w:val="auto"/>
                <w:szCs w:val="21"/>
              </w:rPr>
              <w:t>厂址周边5km范围内</w:t>
            </w:r>
          </w:p>
        </w:tc>
      </w:tr>
      <w:tr w14:paraId="73183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B70D57B">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vAlign w:val="center"/>
          </w:tcPr>
          <w:p w14:paraId="6E71ABD8">
            <w:pPr>
              <w:snapToGrid w:val="0"/>
              <w:jc w:val="center"/>
              <w:rPr>
                <w:color w:val="auto"/>
                <w:szCs w:val="21"/>
              </w:rPr>
            </w:pPr>
            <w:r>
              <w:rPr>
                <w:color w:val="auto"/>
                <w:szCs w:val="21"/>
              </w:rPr>
              <w:t>序号</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8C2BA3A">
            <w:pPr>
              <w:snapToGrid w:val="0"/>
              <w:jc w:val="center"/>
              <w:rPr>
                <w:color w:val="auto"/>
                <w:szCs w:val="21"/>
              </w:rPr>
            </w:pPr>
            <w:r>
              <w:rPr>
                <w:color w:val="auto"/>
                <w:szCs w:val="21"/>
              </w:rPr>
              <w:t>敏感目标名称</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07CDAF1">
            <w:pPr>
              <w:snapToGrid w:val="0"/>
              <w:jc w:val="center"/>
              <w:rPr>
                <w:color w:val="auto"/>
                <w:szCs w:val="21"/>
              </w:rPr>
            </w:pPr>
            <w:r>
              <w:rPr>
                <w:color w:val="auto"/>
                <w:szCs w:val="21"/>
              </w:rPr>
              <w:t>相对方位</w:t>
            </w:r>
          </w:p>
        </w:tc>
        <w:tc>
          <w:tcPr>
            <w:tcW w:w="1284" w:type="dxa"/>
            <w:tcBorders>
              <w:top w:val="single" w:color="auto" w:sz="4" w:space="0"/>
              <w:left w:val="single" w:color="auto" w:sz="4" w:space="0"/>
              <w:bottom w:val="single" w:color="auto" w:sz="4" w:space="0"/>
              <w:right w:val="single" w:color="auto" w:sz="4" w:space="0"/>
            </w:tcBorders>
            <w:vAlign w:val="center"/>
          </w:tcPr>
          <w:p w14:paraId="701EAC65">
            <w:pPr>
              <w:snapToGrid w:val="0"/>
              <w:jc w:val="center"/>
              <w:rPr>
                <w:color w:val="auto"/>
                <w:szCs w:val="21"/>
              </w:rPr>
            </w:pPr>
            <w:r>
              <w:rPr>
                <w:color w:val="auto"/>
                <w:szCs w:val="21"/>
              </w:rPr>
              <w:t>距离/m</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4848E90">
            <w:pPr>
              <w:snapToGrid w:val="0"/>
              <w:jc w:val="center"/>
              <w:rPr>
                <w:color w:val="auto"/>
                <w:szCs w:val="21"/>
              </w:rPr>
            </w:pPr>
            <w:r>
              <w:rPr>
                <w:color w:val="auto"/>
                <w:szCs w:val="21"/>
              </w:rPr>
              <w:t>属性</w:t>
            </w:r>
          </w:p>
        </w:tc>
        <w:tc>
          <w:tcPr>
            <w:tcW w:w="1262" w:type="dxa"/>
            <w:tcBorders>
              <w:top w:val="single" w:color="auto" w:sz="4" w:space="0"/>
              <w:left w:val="single" w:color="auto" w:sz="4" w:space="0"/>
              <w:bottom w:val="single" w:color="auto" w:sz="4" w:space="0"/>
              <w:right w:val="single" w:color="auto" w:sz="4" w:space="0"/>
            </w:tcBorders>
            <w:vAlign w:val="center"/>
          </w:tcPr>
          <w:p w14:paraId="37B6AC27">
            <w:pPr>
              <w:snapToGrid w:val="0"/>
              <w:jc w:val="center"/>
              <w:rPr>
                <w:color w:val="auto"/>
                <w:szCs w:val="21"/>
              </w:rPr>
            </w:pPr>
            <w:r>
              <w:rPr>
                <w:color w:val="auto"/>
                <w:szCs w:val="21"/>
              </w:rPr>
              <w:t>人口数</w:t>
            </w:r>
          </w:p>
        </w:tc>
      </w:tr>
      <w:tr w14:paraId="4C1D0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615AFC0">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ADF6A7F">
            <w:pPr>
              <w:snapToGrid w:val="0"/>
              <w:jc w:val="center"/>
              <w:rPr>
                <w:rFonts w:ascii="Times New Roman" w:hAnsi="Times New Roman" w:eastAsia="宋体" w:cs="Times New Roman"/>
                <w:color w:val="auto"/>
                <w:kern w:val="2"/>
                <w:sz w:val="21"/>
                <w:szCs w:val="21"/>
                <w:lang w:val="en-US" w:eastAsia="zh-CN" w:bidi="ar-SA"/>
              </w:rPr>
            </w:pPr>
            <w:r>
              <w:rPr>
                <w:color w:val="auto"/>
                <w:szCs w:val="21"/>
              </w:rPr>
              <w:t>1</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3C170207">
            <w:pPr>
              <w:snapToGrid w:val="0"/>
              <w:jc w:val="center"/>
              <w:rPr>
                <w:rFonts w:hint="default" w:eastAsia="宋体"/>
                <w:color w:val="auto"/>
                <w:szCs w:val="21"/>
                <w:lang w:val="en-US" w:eastAsia="zh-CN"/>
              </w:rPr>
            </w:pPr>
            <w:r>
              <w:rPr>
                <w:rFonts w:hint="eastAsia"/>
                <w:color w:val="auto"/>
                <w:szCs w:val="21"/>
                <w:lang w:val="en-US" w:eastAsia="zh-CN"/>
              </w:rPr>
              <w:t>园区宿舍楼</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36E75D48">
            <w:pPr>
              <w:snapToGrid w:val="0"/>
              <w:jc w:val="center"/>
              <w:rPr>
                <w:rFonts w:hint="eastAsia" w:eastAsia="宋体"/>
                <w:color w:val="auto"/>
                <w:szCs w:val="21"/>
                <w:lang w:val="en-US" w:eastAsia="zh-CN"/>
              </w:rPr>
            </w:pPr>
            <w:r>
              <w:rPr>
                <w:rFonts w:hint="eastAsia"/>
                <w:color w:val="auto"/>
                <w:szCs w:val="21"/>
                <w:lang w:val="en-US" w:eastAsia="zh-CN"/>
              </w:rPr>
              <w:t>W</w:t>
            </w:r>
          </w:p>
        </w:tc>
        <w:tc>
          <w:tcPr>
            <w:tcW w:w="1284" w:type="dxa"/>
            <w:tcBorders>
              <w:top w:val="single" w:color="auto" w:sz="4" w:space="0"/>
              <w:left w:val="single" w:color="auto" w:sz="4" w:space="0"/>
              <w:bottom w:val="single" w:color="auto" w:sz="4" w:space="0"/>
              <w:right w:val="single" w:color="auto" w:sz="4" w:space="0"/>
            </w:tcBorders>
            <w:vAlign w:val="center"/>
          </w:tcPr>
          <w:p w14:paraId="21110009">
            <w:pPr>
              <w:snapToGrid w:val="0"/>
              <w:jc w:val="center"/>
              <w:rPr>
                <w:rFonts w:hint="default" w:eastAsia="宋体"/>
                <w:color w:val="auto"/>
                <w:szCs w:val="21"/>
                <w:lang w:val="en-US" w:eastAsia="zh-CN"/>
              </w:rPr>
            </w:pPr>
            <w:r>
              <w:rPr>
                <w:rFonts w:hint="eastAsia"/>
                <w:color w:val="auto"/>
                <w:szCs w:val="21"/>
                <w:lang w:val="en-US" w:eastAsia="zh-CN"/>
              </w:rPr>
              <w:t>420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ED6C26C">
            <w:pPr>
              <w:snapToGrid w:val="0"/>
              <w:jc w:val="center"/>
              <w:rPr>
                <w:rFonts w:hint="eastAsia" w:eastAsia="宋体"/>
                <w:color w:val="auto"/>
                <w:szCs w:val="21"/>
                <w:lang w:val="en-US" w:eastAsia="zh-CN"/>
              </w:rPr>
            </w:pPr>
            <w:r>
              <w:rPr>
                <w:rFonts w:hint="eastAsia"/>
                <w:color w:val="auto"/>
                <w:szCs w:val="21"/>
                <w:lang w:val="en-US" w:eastAsia="zh-CN"/>
              </w:rPr>
              <w:t>员工</w:t>
            </w:r>
          </w:p>
        </w:tc>
        <w:tc>
          <w:tcPr>
            <w:tcW w:w="1262" w:type="dxa"/>
            <w:tcBorders>
              <w:top w:val="single" w:color="auto" w:sz="4" w:space="0"/>
              <w:left w:val="single" w:color="auto" w:sz="4" w:space="0"/>
              <w:bottom w:val="single" w:color="auto" w:sz="4" w:space="0"/>
              <w:right w:val="single" w:color="auto" w:sz="4" w:space="0"/>
            </w:tcBorders>
            <w:vAlign w:val="center"/>
          </w:tcPr>
          <w:p w14:paraId="00FB6EB3">
            <w:pPr>
              <w:snapToGrid w:val="0"/>
              <w:jc w:val="center"/>
              <w:rPr>
                <w:rFonts w:hint="default" w:eastAsia="宋体"/>
                <w:color w:val="auto"/>
                <w:szCs w:val="21"/>
                <w:lang w:val="en-US" w:eastAsia="zh-CN"/>
              </w:rPr>
            </w:pPr>
            <w:r>
              <w:rPr>
                <w:rFonts w:hint="eastAsia"/>
                <w:color w:val="auto"/>
                <w:szCs w:val="21"/>
                <w:lang w:val="en-US" w:eastAsia="zh-CN"/>
              </w:rPr>
              <w:t>500</w:t>
            </w:r>
          </w:p>
        </w:tc>
      </w:tr>
      <w:tr w14:paraId="0795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AE105C1">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B94CCCB">
            <w:pPr>
              <w:snapToGrid w:val="0"/>
              <w:jc w:val="center"/>
              <w:rPr>
                <w:rFonts w:ascii="Times New Roman" w:hAnsi="Times New Roman" w:eastAsia="宋体" w:cs="Times New Roman"/>
                <w:color w:val="auto"/>
                <w:kern w:val="2"/>
                <w:sz w:val="21"/>
                <w:szCs w:val="21"/>
                <w:lang w:val="en-US" w:eastAsia="zh-CN" w:bidi="ar-SA"/>
              </w:rPr>
            </w:pPr>
            <w:r>
              <w:rPr>
                <w:color w:val="auto"/>
                <w:szCs w:val="21"/>
              </w:rPr>
              <w:t>2</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08F6FF9">
            <w:pPr>
              <w:snapToGrid w:val="0"/>
              <w:jc w:val="center"/>
              <w:rPr>
                <w:color w:val="auto"/>
                <w:szCs w:val="21"/>
              </w:rPr>
            </w:pPr>
            <w:r>
              <w:rPr>
                <w:color w:val="auto"/>
                <w:szCs w:val="21"/>
              </w:rPr>
              <w:t>淮南农场六队</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71E59CE8">
            <w:pPr>
              <w:snapToGrid w:val="0"/>
              <w:jc w:val="center"/>
              <w:rPr>
                <w:color w:val="auto"/>
                <w:szCs w:val="21"/>
              </w:rPr>
            </w:pPr>
            <w:r>
              <w:rPr>
                <w:color w:val="auto"/>
                <w:szCs w:val="21"/>
              </w:rPr>
              <w:t>E</w:t>
            </w:r>
          </w:p>
        </w:tc>
        <w:tc>
          <w:tcPr>
            <w:tcW w:w="1284" w:type="dxa"/>
            <w:tcBorders>
              <w:top w:val="single" w:color="auto" w:sz="4" w:space="0"/>
              <w:left w:val="single" w:color="auto" w:sz="4" w:space="0"/>
              <w:bottom w:val="single" w:color="auto" w:sz="4" w:space="0"/>
              <w:right w:val="single" w:color="auto" w:sz="4" w:space="0"/>
            </w:tcBorders>
            <w:vAlign w:val="center"/>
          </w:tcPr>
          <w:p w14:paraId="7B7E61CA">
            <w:pPr>
              <w:snapToGrid w:val="0"/>
              <w:jc w:val="center"/>
              <w:rPr>
                <w:color w:val="auto"/>
                <w:szCs w:val="21"/>
              </w:rPr>
            </w:pPr>
            <w:r>
              <w:rPr>
                <w:color w:val="auto"/>
                <w:szCs w:val="21"/>
              </w:rPr>
              <w:t>935</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444FB4D3">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51715C93">
            <w:pPr>
              <w:snapToGrid w:val="0"/>
              <w:jc w:val="center"/>
              <w:rPr>
                <w:color w:val="auto"/>
                <w:szCs w:val="21"/>
              </w:rPr>
            </w:pPr>
            <w:r>
              <w:rPr>
                <w:color w:val="auto"/>
                <w:szCs w:val="21"/>
              </w:rPr>
              <w:t>1900</w:t>
            </w:r>
          </w:p>
        </w:tc>
      </w:tr>
      <w:tr w14:paraId="2291F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0093042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1239B166">
            <w:pPr>
              <w:snapToGrid w:val="0"/>
              <w:jc w:val="center"/>
              <w:rPr>
                <w:rFonts w:ascii="Times New Roman" w:hAnsi="Times New Roman" w:eastAsia="宋体" w:cs="Times New Roman"/>
                <w:color w:val="auto"/>
                <w:kern w:val="2"/>
                <w:sz w:val="21"/>
                <w:szCs w:val="21"/>
                <w:lang w:val="en-US" w:eastAsia="zh-CN" w:bidi="ar-SA"/>
              </w:rPr>
            </w:pPr>
            <w:r>
              <w:rPr>
                <w:color w:val="auto"/>
                <w:szCs w:val="21"/>
              </w:rPr>
              <w:t>3</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3D93B0A">
            <w:pPr>
              <w:snapToGrid w:val="0"/>
              <w:jc w:val="center"/>
              <w:rPr>
                <w:color w:val="auto"/>
                <w:szCs w:val="21"/>
              </w:rPr>
            </w:pPr>
            <w:r>
              <w:rPr>
                <w:color w:val="auto"/>
                <w:szCs w:val="21"/>
              </w:rPr>
              <w:t>农二队</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1CB67FBD">
            <w:pPr>
              <w:snapToGrid w:val="0"/>
              <w:jc w:val="center"/>
              <w:rPr>
                <w:color w:val="auto"/>
                <w:szCs w:val="21"/>
              </w:rPr>
            </w:pPr>
            <w:r>
              <w:rPr>
                <w:color w:val="auto"/>
                <w:szCs w:val="21"/>
              </w:rPr>
              <w:t>E</w:t>
            </w:r>
          </w:p>
        </w:tc>
        <w:tc>
          <w:tcPr>
            <w:tcW w:w="1284" w:type="dxa"/>
            <w:tcBorders>
              <w:top w:val="single" w:color="auto" w:sz="4" w:space="0"/>
              <w:left w:val="single" w:color="auto" w:sz="4" w:space="0"/>
              <w:bottom w:val="single" w:color="auto" w:sz="4" w:space="0"/>
              <w:right w:val="single" w:color="auto" w:sz="4" w:space="0"/>
            </w:tcBorders>
            <w:vAlign w:val="center"/>
          </w:tcPr>
          <w:p w14:paraId="2E1E4458">
            <w:pPr>
              <w:snapToGrid w:val="0"/>
              <w:jc w:val="center"/>
              <w:rPr>
                <w:color w:val="auto"/>
                <w:szCs w:val="21"/>
              </w:rPr>
            </w:pPr>
            <w:r>
              <w:rPr>
                <w:color w:val="auto"/>
                <w:szCs w:val="21"/>
              </w:rPr>
              <w:t>2225</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D5F071C">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97FB9B8">
            <w:pPr>
              <w:snapToGrid w:val="0"/>
              <w:jc w:val="center"/>
              <w:rPr>
                <w:color w:val="auto"/>
                <w:szCs w:val="21"/>
              </w:rPr>
            </w:pPr>
            <w:r>
              <w:rPr>
                <w:color w:val="auto"/>
                <w:szCs w:val="21"/>
              </w:rPr>
              <w:t>400</w:t>
            </w:r>
          </w:p>
        </w:tc>
      </w:tr>
      <w:tr w14:paraId="12B32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1789CA40">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D402D7B">
            <w:pPr>
              <w:snapToGrid w:val="0"/>
              <w:jc w:val="center"/>
              <w:rPr>
                <w:rFonts w:ascii="Times New Roman" w:hAnsi="Times New Roman" w:eastAsia="宋体" w:cs="Times New Roman"/>
                <w:color w:val="auto"/>
                <w:kern w:val="2"/>
                <w:sz w:val="21"/>
                <w:szCs w:val="21"/>
                <w:lang w:val="en-US" w:eastAsia="zh-CN" w:bidi="ar-SA"/>
              </w:rPr>
            </w:pPr>
            <w:r>
              <w:rPr>
                <w:color w:val="auto"/>
                <w:szCs w:val="21"/>
              </w:rPr>
              <w:t>4</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19D13235">
            <w:pPr>
              <w:snapToGrid w:val="0"/>
              <w:jc w:val="center"/>
              <w:rPr>
                <w:color w:val="auto"/>
                <w:szCs w:val="21"/>
              </w:rPr>
            </w:pPr>
            <w:r>
              <w:rPr>
                <w:color w:val="auto"/>
                <w:szCs w:val="21"/>
              </w:rPr>
              <w:t>闫家湖</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FC4C384">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5BE6FAA5">
            <w:pPr>
              <w:snapToGrid w:val="0"/>
              <w:jc w:val="center"/>
              <w:rPr>
                <w:color w:val="auto"/>
                <w:szCs w:val="21"/>
              </w:rPr>
            </w:pPr>
            <w:r>
              <w:rPr>
                <w:color w:val="auto"/>
                <w:szCs w:val="21"/>
              </w:rPr>
              <w:t>1940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62F6EABF">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37845355">
            <w:pPr>
              <w:snapToGrid w:val="0"/>
              <w:jc w:val="center"/>
              <w:rPr>
                <w:color w:val="auto"/>
                <w:szCs w:val="21"/>
              </w:rPr>
            </w:pPr>
            <w:r>
              <w:rPr>
                <w:color w:val="auto"/>
                <w:szCs w:val="21"/>
              </w:rPr>
              <w:t>400</w:t>
            </w:r>
          </w:p>
        </w:tc>
      </w:tr>
      <w:tr w14:paraId="36F48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1C798B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E13CB01">
            <w:pPr>
              <w:snapToGrid w:val="0"/>
              <w:jc w:val="center"/>
              <w:rPr>
                <w:rFonts w:ascii="Times New Roman" w:hAnsi="Times New Roman" w:eastAsia="宋体" w:cs="Times New Roman"/>
                <w:color w:val="auto"/>
                <w:kern w:val="2"/>
                <w:sz w:val="21"/>
                <w:szCs w:val="21"/>
                <w:lang w:val="en-US" w:eastAsia="zh-CN" w:bidi="ar-SA"/>
              </w:rPr>
            </w:pPr>
            <w:r>
              <w:rPr>
                <w:color w:val="auto"/>
                <w:szCs w:val="21"/>
              </w:rPr>
              <w:t>5</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84D7127">
            <w:pPr>
              <w:snapToGrid w:val="0"/>
              <w:jc w:val="center"/>
              <w:rPr>
                <w:color w:val="auto"/>
                <w:szCs w:val="21"/>
              </w:rPr>
            </w:pPr>
            <w:r>
              <w:rPr>
                <w:color w:val="auto"/>
                <w:szCs w:val="21"/>
              </w:rPr>
              <w:t>淮南九龙中学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30C424D6">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66C2FFF8">
            <w:pPr>
              <w:snapToGrid w:val="0"/>
              <w:jc w:val="center"/>
              <w:rPr>
                <w:color w:val="auto"/>
                <w:szCs w:val="21"/>
              </w:rPr>
            </w:pPr>
            <w:r>
              <w:rPr>
                <w:color w:val="auto"/>
                <w:szCs w:val="21"/>
              </w:rPr>
              <w:t>2260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4C5418D">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269E71BF">
            <w:pPr>
              <w:snapToGrid w:val="0"/>
              <w:jc w:val="center"/>
              <w:rPr>
                <w:color w:val="auto"/>
                <w:szCs w:val="21"/>
              </w:rPr>
            </w:pPr>
            <w:r>
              <w:rPr>
                <w:color w:val="auto"/>
                <w:szCs w:val="21"/>
              </w:rPr>
              <w:t>1500</w:t>
            </w:r>
          </w:p>
        </w:tc>
      </w:tr>
      <w:tr w14:paraId="02259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15E5F078">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8104FB4">
            <w:pPr>
              <w:snapToGrid w:val="0"/>
              <w:jc w:val="center"/>
              <w:rPr>
                <w:rFonts w:ascii="Times New Roman" w:hAnsi="Times New Roman" w:eastAsia="宋体" w:cs="Times New Roman"/>
                <w:color w:val="auto"/>
                <w:kern w:val="2"/>
                <w:sz w:val="21"/>
                <w:szCs w:val="21"/>
                <w:lang w:val="en-US" w:eastAsia="zh-CN" w:bidi="ar-SA"/>
              </w:rPr>
            </w:pPr>
            <w:r>
              <w:rPr>
                <w:color w:val="auto"/>
                <w:szCs w:val="21"/>
              </w:rPr>
              <w:t>6</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746391E8">
            <w:pPr>
              <w:snapToGrid w:val="0"/>
              <w:jc w:val="center"/>
              <w:rPr>
                <w:color w:val="auto"/>
                <w:szCs w:val="21"/>
              </w:rPr>
            </w:pPr>
            <w:r>
              <w:rPr>
                <w:color w:val="auto"/>
                <w:szCs w:val="21"/>
              </w:rPr>
              <w:t>西周圩</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7500C4C">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500175CF">
            <w:pPr>
              <w:snapToGrid w:val="0"/>
              <w:jc w:val="center"/>
              <w:rPr>
                <w:color w:val="auto"/>
                <w:szCs w:val="21"/>
              </w:rPr>
            </w:pPr>
            <w:r>
              <w:rPr>
                <w:color w:val="auto"/>
                <w:szCs w:val="21"/>
              </w:rPr>
              <w:t>2300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583FE771">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61474232">
            <w:pPr>
              <w:snapToGrid w:val="0"/>
              <w:jc w:val="center"/>
              <w:rPr>
                <w:color w:val="auto"/>
                <w:szCs w:val="21"/>
              </w:rPr>
            </w:pPr>
            <w:r>
              <w:rPr>
                <w:color w:val="auto"/>
                <w:szCs w:val="21"/>
              </w:rPr>
              <w:t>6600</w:t>
            </w:r>
          </w:p>
        </w:tc>
      </w:tr>
      <w:tr w14:paraId="61716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8"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4324FF4">
            <w:pPr>
              <w:snapToGrid w:val="0"/>
              <w:jc w:val="center"/>
              <w:rPr>
                <w:color w:val="auto"/>
                <w:szCs w:val="21"/>
              </w:rPr>
            </w:pPr>
          </w:p>
        </w:tc>
        <w:tc>
          <w:tcPr>
            <w:tcW w:w="699" w:type="dxa"/>
            <w:tcBorders>
              <w:top w:val="single" w:color="auto" w:sz="4" w:space="0"/>
              <w:left w:val="single" w:color="auto" w:sz="4" w:space="0"/>
              <w:right w:val="single" w:color="auto" w:sz="4" w:space="0"/>
            </w:tcBorders>
            <w:shd w:val="clear" w:color="auto" w:fill="auto"/>
            <w:vAlign w:val="center"/>
          </w:tcPr>
          <w:p w14:paraId="089CAD69">
            <w:pPr>
              <w:snapToGrid w:val="0"/>
              <w:jc w:val="center"/>
              <w:rPr>
                <w:rFonts w:ascii="Times New Roman" w:hAnsi="Times New Roman" w:eastAsia="宋体" w:cs="Times New Roman"/>
                <w:color w:val="auto"/>
                <w:kern w:val="2"/>
                <w:sz w:val="21"/>
                <w:szCs w:val="21"/>
                <w:lang w:val="en-US" w:eastAsia="zh-CN" w:bidi="ar-SA"/>
              </w:rPr>
            </w:pPr>
            <w:r>
              <w:rPr>
                <w:color w:val="auto"/>
                <w:szCs w:val="21"/>
              </w:rPr>
              <w:t>7</w:t>
            </w:r>
          </w:p>
        </w:tc>
        <w:tc>
          <w:tcPr>
            <w:tcW w:w="2410" w:type="dxa"/>
            <w:gridSpan w:val="3"/>
            <w:tcBorders>
              <w:top w:val="single" w:color="auto" w:sz="4" w:space="0"/>
              <w:left w:val="single" w:color="auto" w:sz="4" w:space="0"/>
              <w:right w:val="single" w:color="auto" w:sz="4" w:space="0"/>
            </w:tcBorders>
            <w:vAlign w:val="center"/>
          </w:tcPr>
          <w:p w14:paraId="1EAAA2B8">
            <w:pPr>
              <w:snapToGrid w:val="0"/>
              <w:jc w:val="center"/>
              <w:rPr>
                <w:color w:val="auto"/>
                <w:szCs w:val="21"/>
              </w:rPr>
            </w:pPr>
            <w:r>
              <w:rPr>
                <w:color w:val="auto"/>
                <w:szCs w:val="21"/>
              </w:rPr>
              <w:t>三家村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129C467">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7FCFD771">
            <w:pPr>
              <w:snapToGrid w:val="0"/>
              <w:jc w:val="center"/>
              <w:rPr>
                <w:color w:val="auto"/>
                <w:szCs w:val="21"/>
              </w:rPr>
            </w:pPr>
            <w:r>
              <w:rPr>
                <w:color w:val="auto"/>
                <w:szCs w:val="21"/>
              </w:rPr>
              <w:t>2630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700A248">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338DAA7B">
            <w:pPr>
              <w:snapToGrid w:val="0"/>
              <w:jc w:val="center"/>
              <w:rPr>
                <w:color w:val="auto"/>
                <w:szCs w:val="21"/>
              </w:rPr>
            </w:pPr>
            <w:r>
              <w:rPr>
                <w:color w:val="auto"/>
                <w:szCs w:val="21"/>
              </w:rPr>
              <w:t>750</w:t>
            </w:r>
          </w:p>
        </w:tc>
      </w:tr>
      <w:tr w14:paraId="183C0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8C200E9">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206D451">
            <w:pPr>
              <w:snapToGrid w:val="0"/>
              <w:jc w:val="center"/>
              <w:rPr>
                <w:rFonts w:ascii="Times New Roman" w:hAnsi="Times New Roman" w:eastAsia="宋体" w:cs="Times New Roman"/>
                <w:color w:val="auto"/>
                <w:kern w:val="2"/>
                <w:sz w:val="21"/>
                <w:szCs w:val="21"/>
                <w:lang w:val="en-US" w:eastAsia="zh-CN" w:bidi="ar-SA"/>
              </w:rPr>
            </w:pPr>
            <w:r>
              <w:rPr>
                <w:color w:val="auto"/>
                <w:szCs w:val="21"/>
              </w:rPr>
              <w:t>8</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F699FBE">
            <w:pPr>
              <w:snapToGrid w:val="0"/>
              <w:jc w:val="center"/>
              <w:rPr>
                <w:color w:val="auto"/>
                <w:szCs w:val="21"/>
              </w:rPr>
            </w:pPr>
            <w:r>
              <w:rPr>
                <w:color w:val="auto"/>
                <w:szCs w:val="21"/>
              </w:rPr>
              <w:t>九龙岗第二小学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D7A31EC">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67DFDF93">
            <w:pPr>
              <w:snapToGrid w:val="0"/>
              <w:jc w:val="center"/>
              <w:rPr>
                <w:color w:val="auto"/>
                <w:szCs w:val="21"/>
              </w:rPr>
            </w:pPr>
            <w:r>
              <w:rPr>
                <w:color w:val="auto"/>
                <w:szCs w:val="21"/>
              </w:rPr>
              <w:t>2630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C7EB85D">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6C2EDFB9">
            <w:pPr>
              <w:snapToGrid w:val="0"/>
              <w:jc w:val="center"/>
              <w:rPr>
                <w:color w:val="auto"/>
                <w:szCs w:val="21"/>
              </w:rPr>
            </w:pPr>
            <w:r>
              <w:rPr>
                <w:color w:val="auto"/>
                <w:szCs w:val="21"/>
              </w:rPr>
              <w:t>700</w:t>
            </w:r>
          </w:p>
        </w:tc>
      </w:tr>
      <w:tr w14:paraId="6A244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9EE185C">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5554838">
            <w:pPr>
              <w:snapToGrid w:val="0"/>
              <w:jc w:val="center"/>
              <w:rPr>
                <w:rFonts w:ascii="Times New Roman" w:hAnsi="Times New Roman" w:eastAsia="宋体" w:cs="Times New Roman"/>
                <w:color w:val="auto"/>
                <w:kern w:val="2"/>
                <w:sz w:val="21"/>
                <w:szCs w:val="21"/>
                <w:lang w:val="en-US" w:eastAsia="zh-CN" w:bidi="ar-SA"/>
              </w:rPr>
            </w:pPr>
            <w:r>
              <w:rPr>
                <w:color w:val="auto"/>
                <w:szCs w:val="21"/>
              </w:rPr>
              <w:t>9</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DE28501">
            <w:pPr>
              <w:snapToGrid w:val="0"/>
              <w:jc w:val="center"/>
              <w:rPr>
                <w:color w:val="auto"/>
                <w:szCs w:val="21"/>
              </w:rPr>
            </w:pPr>
            <w:r>
              <w:rPr>
                <w:color w:val="auto"/>
                <w:szCs w:val="21"/>
              </w:rPr>
              <w:t>建设村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7A150EE8">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6632B2B3">
            <w:pPr>
              <w:snapToGrid w:val="0"/>
              <w:jc w:val="center"/>
              <w:rPr>
                <w:color w:val="auto"/>
                <w:szCs w:val="21"/>
              </w:rPr>
            </w:pPr>
            <w:r>
              <w:rPr>
                <w:color w:val="auto"/>
                <w:szCs w:val="21"/>
              </w:rPr>
              <w:t>2920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38438B9A">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3795A375">
            <w:pPr>
              <w:snapToGrid w:val="0"/>
              <w:jc w:val="center"/>
              <w:rPr>
                <w:color w:val="auto"/>
                <w:szCs w:val="21"/>
              </w:rPr>
            </w:pPr>
            <w:r>
              <w:rPr>
                <w:color w:val="auto"/>
                <w:szCs w:val="21"/>
              </w:rPr>
              <w:t>4700</w:t>
            </w:r>
          </w:p>
        </w:tc>
      </w:tr>
      <w:tr w14:paraId="11BD9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16E17CCA">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8855800">
            <w:pPr>
              <w:snapToGrid w:val="0"/>
              <w:jc w:val="center"/>
              <w:rPr>
                <w:rFonts w:ascii="Times New Roman" w:hAnsi="Times New Roman" w:eastAsia="宋体" w:cs="Times New Roman"/>
                <w:color w:val="auto"/>
                <w:kern w:val="2"/>
                <w:sz w:val="21"/>
                <w:szCs w:val="21"/>
                <w:lang w:val="en-US" w:eastAsia="zh-CN" w:bidi="ar-SA"/>
              </w:rPr>
            </w:pPr>
            <w:r>
              <w:rPr>
                <w:color w:val="auto"/>
                <w:szCs w:val="21"/>
              </w:rPr>
              <w:t>10</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142BF9B">
            <w:pPr>
              <w:snapToGrid w:val="0"/>
              <w:jc w:val="center"/>
              <w:rPr>
                <w:color w:val="auto"/>
                <w:szCs w:val="21"/>
              </w:rPr>
            </w:pPr>
            <w:r>
              <w:rPr>
                <w:color w:val="auto"/>
                <w:szCs w:val="21"/>
              </w:rPr>
              <w:t>九龙新村(东区)</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7953F0E8">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7A50B7F3">
            <w:pPr>
              <w:snapToGrid w:val="0"/>
              <w:jc w:val="center"/>
              <w:rPr>
                <w:color w:val="auto"/>
                <w:szCs w:val="21"/>
              </w:rPr>
            </w:pPr>
            <w:r>
              <w:rPr>
                <w:color w:val="auto"/>
                <w:szCs w:val="21"/>
              </w:rPr>
              <w:t>2920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B7C84D1">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2988AAA">
            <w:pPr>
              <w:snapToGrid w:val="0"/>
              <w:jc w:val="center"/>
              <w:rPr>
                <w:color w:val="auto"/>
                <w:szCs w:val="21"/>
              </w:rPr>
            </w:pPr>
            <w:r>
              <w:rPr>
                <w:color w:val="auto"/>
                <w:szCs w:val="21"/>
              </w:rPr>
              <w:t>6800</w:t>
            </w:r>
          </w:p>
        </w:tc>
      </w:tr>
      <w:tr w14:paraId="74DF0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BB88A05">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14FFB80A">
            <w:pPr>
              <w:snapToGrid w:val="0"/>
              <w:jc w:val="center"/>
              <w:rPr>
                <w:rFonts w:ascii="Times New Roman" w:hAnsi="Times New Roman" w:eastAsia="宋体" w:cs="Times New Roman"/>
                <w:color w:val="auto"/>
                <w:kern w:val="2"/>
                <w:sz w:val="21"/>
                <w:szCs w:val="21"/>
                <w:lang w:val="en-US" w:eastAsia="zh-CN" w:bidi="ar-SA"/>
              </w:rPr>
            </w:pPr>
            <w:r>
              <w:rPr>
                <w:color w:val="auto"/>
                <w:szCs w:val="21"/>
              </w:rPr>
              <w:t>11</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F2FAA45">
            <w:pPr>
              <w:snapToGrid w:val="0"/>
              <w:jc w:val="center"/>
              <w:rPr>
                <w:color w:val="auto"/>
                <w:szCs w:val="21"/>
              </w:rPr>
            </w:pPr>
            <w:r>
              <w:rPr>
                <w:color w:val="auto"/>
                <w:szCs w:val="21"/>
              </w:rPr>
              <w:t>大通区第一小学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1E9EFE93">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2DCEFC01">
            <w:pPr>
              <w:snapToGrid w:val="0"/>
              <w:jc w:val="center"/>
              <w:rPr>
                <w:color w:val="auto"/>
                <w:szCs w:val="21"/>
              </w:rPr>
            </w:pPr>
            <w:r>
              <w:rPr>
                <w:color w:val="auto"/>
                <w:szCs w:val="21"/>
              </w:rPr>
              <w:t>3170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BF8F12E">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6AC9C820">
            <w:pPr>
              <w:snapToGrid w:val="0"/>
              <w:jc w:val="center"/>
              <w:rPr>
                <w:color w:val="auto"/>
                <w:szCs w:val="21"/>
              </w:rPr>
            </w:pPr>
            <w:r>
              <w:rPr>
                <w:color w:val="auto"/>
                <w:szCs w:val="21"/>
              </w:rPr>
              <w:t>500</w:t>
            </w:r>
          </w:p>
        </w:tc>
      </w:tr>
      <w:tr w14:paraId="51718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1E6923E">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52D2C1D">
            <w:pPr>
              <w:snapToGrid w:val="0"/>
              <w:jc w:val="center"/>
              <w:rPr>
                <w:rFonts w:ascii="Times New Roman" w:hAnsi="Times New Roman" w:eastAsia="宋体" w:cs="Times New Roman"/>
                <w:color w:val="auto"/>
                <w:kern w:val="2"/>
                <w:sz w:val="21"/>
                <w:szCs w:val="21"/>
                <w:lang w:val="en-US" w:eastAsia="zh-CN" w:bidi="ar-SA"/>
              </w:rPr>
            </w:pPr>
            <w:r>
              <w:rPr>
                <w:color w:val="auto"/>
                <w:szCs w:val="21"/>
              </w:rPr>
              <w:t>12</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3064F9BB">
            <w:pPr>
              <w:snapToGrid w:val="0"/>
              <w:jc w:val="center"/>
              <w:rPr>
                <w:color w:val="auto"/>
                <w:szCs w:val="21"/>
              </w:rPr>
            </w:pPr>
            <w:r>
              <w:rPr>
                <w:color w:val="auto"/>
                <w:szCs w:val="21"/>
              </w:rPr>
              <w:t>顺发·泽润园</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63EE807">
            <w:pPr>
              <w:snapToGrid w:val="0"/>
              <w:jc w:val="center"/>
              <w:rPr>
                <w:color w:val="auto"/>
                <w:szCs w:val="21"/>
              </w:rPr>
            </w:pPr>
            <w:r>
              <w:rPr>
                <w:color w:val="auto"/>
                <w:szCs w:val="21"/>
              </w:rPr>
              <w:t>S</w:t>
            </w:r>
          </w:p>
        </w:tc>
        <w:tc>
          <w:tcPr>
            <w:tcW w:w="1284" w:type="dxa"/>
            <w:tcBorders>
              <w:top w:val="single" w:color="auto" w:sz="4" w:space="0"/>
              <w:left w:val="single" w:color="auto" w:sz="4" w:space="0"/>
              <w:bottom w:val="single" w:color="auto" w:sz="4" w:space="0"/>
              <w:right w:val="single" w:color="auto" w:sz="4" w:space="0"/>
            </w:tcBorders>
            <w:vAlign w:val="center"/>
          </w:tcPr>
          <w:p w14:paraId="75A17BA6">
            <w:pPr>
              <w:snapToGrid w:val="0"/>
              <w:jc w:val="center"/>
              <w:rPr>
                <w:color w:val="auto"/>
                <w:szCs w:val="21"/>
              </w:rPr>
            </w:pPr>
            <w:r>
              <w:rPr>
                <w:color w:val="auto"/>
                <w:szCs w:val="21"/>
              </w:rPr>
              <w:t>1750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3EBC1F69">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1CBAA0BA">
            <w:pPr>
              <w:snapToGrid w:val="0"/>
              <w:jc w:val="center"/>
              <w:rPr>
                <w:color w:val="auto"/>
                <w:szCs w:val="21"/>
              </w:rPr>
            </w:pPr>
            <w:r>
              <w:rPr>
                <w:color w:val="auto"/>
                <w:szCs w:val="21"/>
              </w:rPr>
              <w:t>20000</w:t>
            </w:r>
          </w:p>
        </w:tc>
      </w:tr>
      <w:tr w14:paraId="59988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C95F0C0">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70E7D9B2">
            <w:pPr>
              <w:snapToGrid w:val="0"/>
              <w:jc w:val="center"/>
              <w:rPr>
                <w:rFonts w:ascii="Times New Roman" w:hAnsi="Times New Roman" w:eastAsia="宋体" w:cs="Times New Roman"/>
                <w:color w:val="auto"/>
                <w:kern w:val="2"/>
                <w:sz w:val="21"/>
                <w:szCs w:val="21"/>
                <w:lang w:val="en-US" w:eastAsia="zh-CN" w:bidi="ar-SA"/>
              </w:rPr>
            </w:pPr>
            <w:r>
              <w:rPr>
                <w:color w:val="auto"/>
                <w:szCs w:val="21"/>
              </w:rPr>
              <w:t>13</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6B909AC">
            <w:pPr>
              <w:snapToGrid w:val="0"/>
              <w:jc w:val="center"/>
              <w:rPr>
                <w:color w:val="auto"/>
                <w:szCs w:val="21"/>
              </w:rPr>
            </w:pPr>
            <w:r>
              <w:rPr>
                <w:color w:val="auto"/>
                <w:szCs w:val="21"/>
              </w:rPr>
              <w:t>西张大郢</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62BAE54">
            <w:pPr>
              <w:snapToGrid w:val="0"/>
              <w:jc w:val="center"/>
              <w:rPr>
                <w:color w:val="auto"/>
                <w:szCs w:val="21"/>
              </w:rPr>
            </w:pPr>
            <w:r>
              <w:rPr>
                <w:color w:val="auto"/>
                <w:szCs w:val="21"/>
              </w:rPr>
              <w:t>SW</w:t>
            </w:r>
          </w:p>
        </w:tc>
        <w:tc>
          <w:tcPr>
            <w:tcW w:w="1284" w:type="dxa"/>
            <w:tcBorders>
              <w:top w:val="single" w:color="auto" w:sz="4" w:space="0"/>
              <w:left w:val="single" w:color="auto" w:sz="4" w:space="0"/>
              <w:bottom w:val="single" w:color="auto" w:sz="4" w:space="0"/>
              <w:right w:val="single" w:color="auto" w:sz="4" w:space="0"/>
            </w:tcBorders>
            <w:vAlign w:val="center"/>
          </w:tcPr>
          <w:p w14:paraId="5E85F59F">
            <w:pPr>
              <w:snapToGrid w:val="0"/>
              <w:jc w:val="center"/>
              <w:rPr>
                <w:color w:val="auto"/>
                <w:szCs w:val="21"/>
              </w:rPr>
            </w:pPr>
            <w:r>
              <w:rPr>
                <w:color w:val="auto"/>
                <w:szCs w:val="21"/>
              </w:rPr>
              <w:t>582</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760AE28">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5E8907CC">
            <w:pPr>
              <w:snapToGrid w:val="0"/>
              <w:jc w:val="center"/>
              <w:rPr>
                <w:color w:val="auto"/>
                <w:szCs w:val="21"/>
              </w:rPr>
            </w:pPr>
            <w:r>
              <w:rPr>
                <w:color w:val="auto"/>
                <w:szCs w:val="21"/>
              </w:rPr>
              <w:t>4800</w:t>
            </w:r>
          </w:p>
        </w:tc>
      </w:tr>
      <w:tr w14:paraId="42DAD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A26E431">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1F907CE">
            <w:pPr>
              <w:snapToGrid w:val="0"/>
              <w:jc w:val="center"/>
              <w:rPr>
                <w:rFonts w:ascii="Times New Roman" w:hAnsi="Times New Roman" w:eastAsia="宋体" w:cs="Times New Roman"/>
                <w:color w:val="auto"/>
                <w:kern w:val="2"/>
                <w:sz w:val="21"/>
                <w:szCs w:val="21"/>
                <w:lang w:val="en-US" w:eastAsia="zh-CN" w:bidi="ar-SA"/>
              </w:rPr>
            </w:pPr>
            <w:r>
              <w:rPr>
                <w:color w:val="auto"/>
                <w:szCs w:val="21"/>
              </w:rPr>
              <w:t>14</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285C5064">
            <w:pPr>
              <w:snapToGrid w:val="0"/>
              <w:jc w:val="center"/>
              <w:rPr>
                <w:color w:val="auto"/>
                <w:szCs w:val="21"/>
              </w:rPr>
            </w:pPr>
            <w:r>
              <w:rPr>
                <w:color w:val="auto"/>
                <w:szCs w:val="21"/>
              </w:rPr>
              <w:t>北大学府</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9E441A8">
            <w:pPr>
              <w:snapToGrid w:val="0"/>
              <w:jc w:val="center"/>
              <w:rPr>
                <w:color w:val="auto"/>
                <w:szCs w:val="21"/>
              </w:rPr>
            </w:pPr>
            <w:r>
              <w:rPr>
                <w:color w:val="auto"/>
                <w:szCs w:val="21"/>
              </w:rPr>
              <w:t>SW</w:t>
            </w:r>
          </w:p>
        </w:tc>
        <w:tc>
          <w:tcPr>
            <w:tcW w:w="1284" w:type="dxa"/>
            <w:tcBorders>
              <w:top w:val="single" w:color="auto" w:sz="4" w:space="0"/>
              <w:left w:val="single" w:color="auto" w:sz="4" w:space="0"/>
              <w:bottom w:val="single" w:color="auto" w:sz="4" w:space="0"/>
              <w:right w:val="single" w:color="auto" w:sz="4" w:space="0"/>
            </w:tcBorders>
            <w:vAlign w:val="center"/>
          </w:tcPr>
          <w:p w14:paraId="6994E32D">
            <w:pPr>
              <w:snapToGrid w:val="0"/>
              <w:jc w:val="center"/>
              <w:rPr>
                <w:color w:val="auto"/>
                <w:szCs w:val="21"/>
              </w:rPr>
            </w:pPr>
            <w:r>
              <w:rPr>
                <w:color w:val="auto"/>
                <w:szCs w:val="21"/>
              </w:rPr>
              <w:t>1150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126D1FE">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51BB0453">
            <w:pPr>
              <w:snapToGrid w:val="0"/>
              <w:jc w:val="center"/>
              <w:rPr>
                <w:color w:val="auto"/>
                <w:szCs w:val="21"/>
              </w:rPr>
            </w:pPr>
            <w:r>
              <w:rPr>
                <w:color w:val="auto"/>
                <w:szCs w:val="21"/>
              </w:rPr>
              <w:t>4600</w:t>
            </w:r>
          </w:p>
        </w:tc>
      </w:tr>
      <w:tr w14:paraId="6ABEC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4A186EB">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298579C">
            <w:pPr>
              <w:snapToGrid w:val="0"/>
              <w:jc w:val="center"/>
              <w:rPr>
                <w:rFonts w:ascii="Times New Roman" w:hAnsi="Times New Roman" w:eastAsia="宋体" w:cs="Times New Roman"/>
                <w:color w:val="auto"/>
                <w:kern w:val="2"/>
                <w:sz w:val="21"/>
                <w:szCs w:val="21"/>
                <w:lang w:val="en-US" w:eastAsia="zh-CN" w:bidi="ar-SA"/>
              </w:rPr>
            </w:pPr>
            <w:r>
              <w:rPr>
                <w:color w:val="auto"/>
                <w:szCs w:val="21"/>
              </w:rPr>
              <w:t>15</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1A5225E2">
            <w:pPr>
              <w:snapToGrid w:val="0"/>
              <w:jc w:val="center"/>
              <w:rPr>
                <w:color w:val="auto"/>
                <w:szCs w:val="21"/>
              </w:rPr>
            </w:pPr>
            <w:r>
              <w:rPr>
                <w:color w:val="auto"/>
                <w:szCs w:val="21"/>
              </w:rPr>
              <w:t>淮南十五中</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1CCDA3B">
            <w:pPr>
              <w:snapToGrid w:val="0"/>
              <w:jc w:val="center"/>
              <w:rPr>
                <w:color w:val="auto"/>
                <w:szCs w:val="21"/>
              </w:rPr>
            </w:pPr>
            <w:r>
              <w:rPr>
                <w:color w:val="auto"/>
                <w:szCs w:val="21"/>
              </w:rPr>
              <w:t>SW</w:t>
            </w:r>
          </w:p>
        </w:tc>
        <w:tc>
          <w:tcPr>
            <w:tcW w:w="1284" w:type="dxa"/>
            <w:tcBorders>
              <w:top w:val="single" w:color="auto" w:sz="4" w:space="0"/>
              <w:left w:val="single" w:color="auto" w:sz="4" w:space="0"/>
              <w:bottom w:val="single" w:color="auto" w:sz="4" w:space="0"/>
              <w:right w:val="single" w:color="auto" w:sz="4" w:space="0"/>
            </w:tcBorders>
            <w:vAlign w:val="center"/>
          </w:tcPr>
          <w:p w14:paraId="7E3CBC54">
            <w:pPr>
              <w:snapToGrid w:val="0"/>
              <w:jc w:val="center"/>
              <w:rPr>
                <w:color w:val="auto"/>
                <w:szCs w:val="21"/>
              </w:rPr>
            </w:pPr>
            <w:r>
              <w:rPr>
                <w:color w:val="auto"/>
                <w:szCs w:val="21"/>
              </w:rPr>
              <w:t>1810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73DC12A">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024E2015">
            <w:pPr>
              <w:snapToGrid w:val="0"/>
              <w:jc w:val="center"/>
              <w:rPr>
                <w:color w:val="auto"/>
                <w:szCs w:val="21"/>
              </w:rPr>
            </w:pPr>
            <w:r>
              <w:rPr>
                <w:color w:val="auto"/>
                <w:szCs w:val="21"/>
              </w:rPr>
              <w:t>1300</w:t>
            </w:r>
          </w:p>
        </w:tc>
      </w:tr>
      <w:tr w14:paraId="0542D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118CDAD">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9E0435F">
            <w:pPr>
              <w:snapToGrid w:val="0"/>
              <w:jc w:val="center"/>
              <w:rPr>
                <w:rFonts w:ascii="Times New Roman" w:hAnsi="Times New Roman" w:eastAsia="宋体" w:cs="Times New Roman"/>
                <w:color w:val="auto"/>
                <w:kern w:val="2"/>
                <w:sz w:val="21"/>
                <w:szCs w:val="21"/>
                <w:lang w:val="en-US" w:eastAsia="zh-CN" w:bidi="ar-SA"/>
              </w:rPr>
            </w:pPr>
            <w:r>
              <w:rPr>
                <w:color w:val="auto"/>
                <w:szCs w:val="21"/>
              </w:rPr>
              <w:t>16</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407BAA9">
            <w:pPr>
              <w:snapToGrid w:val="0"/>
              <w:jc w:val="center"/>
              <w:rPr>
                <w:color w:val="auto"/>
                <w:szCs w:val="21"/>
              </w:rPr>
            </w:pPr>
            <w:r>
              <w:rPr>
                <w:color w:val="auto"/>
                <w:szCs w:val="21"/>
              </w:rPr>
              <w:t>九龙新村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F700771">
            <w:pPr>
              <w:snapToGrid w:val="0"/>
              <w:jc w:val="center"/>
              <w:rPr>
                <w:color w:val="auto"/>
                <w:szCs w:val="21"/>
              </w:rPr>
            </w:pPr>
            <w:r>
              <w:rPr>
                <w:color w:val="auto"/>
                <w:szCs w:val="21"/>
              </w:rPr>
              <w:t>SW</w:t>
            </w:r>
          </w:p>
        </w:tc>
        <w:tc>
          <w:tcPr>
            <w:tcW w:w="1284" w:type="dxa"/>
            <w:tcBorders>
              <w:top w:val="single" w:color="auto" w:sz="4" w:space="0"/>
              <w:left w:val="single" w:color="auto" w:sz="4" w:space="0"/>
              <w:bottom w:val="single" w:color="auto" w:sz="4" w:space="0"/>
              <w:right w:val="single" w:color="auto" w:sz="4" w:space="0"/>
            </w:tcBorders>
            <w:vAlign w:val="center"/>
          </w:tcPr>
          <w:p w14:paraId="3CA79C11">
            <w:pPr>
              <w:snapToGrid w:val="0"/>
              <w:jc w:val="center"/>
              <w:rPr>
                <w:color w:val="auto"/>
                <w:szCs w:val="21"/>
              </w:rPr>
            </w:pPr>
            <w:r>
              <w:rPr>
                <w:color w:val="auto"/>
                <w:szCs w:val="21"/>
              </w:rPr>
              <w:t>2070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4D1396DB">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62CD0C6D">
            <w:pPr>
              <w:snapToGrid w:val="0"/>
              <w:jc w:val="center"/>
              <w:rPr>
                <w:color w:val="auto"/>
                <w:szCs w:val="21"/>
              </w:rPr>
            </w:pPr>
            <w:r>
              <w:rPr>
                <w:color w:val="auto"/>
                <w:szCs w:val="21"/>
              </w:rPr>
              <w:t>9600</w:t>
            </w:r>
          </w:p>
        </w:tc>
      </w:tr>
      <w:tr w14:paraId="12705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34104F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123DA020">
            <w:pPr>
              <w:snapToGrid w:val="0"/>
              <w:jc w:val="center"/>
              <w:rPr>
                <w:rFonts w:ascii="Times New Roman" w:hAnsi="Times New Roman" w:eastAsia="宋体" w:cs="Times New Roman"/>
                <w:color w:val="auto"/>
                <w:kern w:val="2"/>
                <w:sz w:val="21"/>
                <w:szCs w:val="21"/>
                <w:lang w:val="en-US" w:eastAsia="zh-CN" w:bidi="ar-SA"/>
              </w:rPr>
            </w:pPr>
            <w:r>
              <w:rPr>
                <w:color w:val="auto"/>
                <w:szCs w:val="21"/>
              </w:rPr>
              <w:t>17</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4A4321A">
            <w:pPr>
              <w:snapToGrid w:val="0"/>
              <w:jc w:val="center"/>
              <w:rPr>
                <w:color w:val="auto"/>
                <w:szCs w:val="21"/>
              </w:rPr>
            </w:pPr>
            <w:r>
              <w:rPr>
                <w:color w:val="auto"/>
                <w:szCs w:val="21"/>
              </w:rPr>
              <w:t>翰城和苑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A0815E5">
            <w:pPr>
              <w:snapToGrid w:val="0"/>
              <w:jc w:val="center"/>
              <w:rPr>
                <w:color w:val="auto"/>
                <w:szCs w:val="21"/>
              </w:rPr>
            </w:pPr>
            <w:r>
              <w:rPr>
                <w:color w:val="auto"/>
                <w:szCs w:val="21"/>
              </w:rPr>
              <w:t>SW</w:t>
            </w:r>
          </w:p>
        </w:tc>
        <w:tc>
          <w:tcPr>
            <w:tcW w:w="1284" w:type="dxa"/>
            <w:tcBorders>
              <w:top w:val="single" w:color="auto" w:sz="4" w:space="0"/>
              <w:left w:val="single" w:color="auto" w:sz="4" w:space="0"/>
              <w:bottom w:val="single" w:color="auto" w:sz="4" w:space="0"/>
              <w:right w:val="single" w:color="auto" w:sz="4" w:space="0"/>
            </w:tcBorders>
            <w:vAlign w:val="center"/>
          </w:tcPr>
          <w:p w14:paraId="2883C439">
            <w:pPr>
              <w:snapToGrid w:val="0"/>
              <w:jc w:val="center"/>
              <w:rPr>
                <w:color w:val="auto"/>
                <w:szCs w:val="21"/>
              </w:rPr>
            </w:pPr>
            <w:r>
              <w:rPr>
                <w:color w:val="auto"/>
                <w:szCs w:val="21"/>
              </w:rPr>
              <w:t>2210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364EFB39">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1E6B499D">
            <w:pPr>
              <w:snapToGrid w:val="0"/>
              <w:jc w:val="center"/>
              <w:rPr>
                <w:color w:val="auto"/>
                <w:szCs w:val="21"/>
              </w:rPr>
            </w:pPr>
            <w:r>
              <w:rPr>
                <w:color w:val="auto"/>
                <w:szCs w:val="21"/>
              </w:rPr>
              <w:t>3000</w:t>
            </w:r>
          </w:p>
        </w:tc>
      </w:tr>
      <w:tr w14:paraId="3D757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8F06AE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6BA94962">
            <w:pPr>
              <w:snapToGrid w:val="0"/>
              <w:jc w:val="center"/>
              <w:rPr>
                <w:rFonts w:ascii="Times New Roman" w:hAnsi="Times New Roman" w:eastAsia="宋体" w:cs="Times New Roman"/>
                <w:color w:val="auto"/>
                <w:kern w:val="2"/>
                <w:sz w:val="21"/>
                <w:szCs w:val="21"/>
                <w:lang w:val="en-US" w:eastAsia="zh-CN" w:bidi="ar-SA"/>
              </w:rPr>
            </w:pPr>
            <w:r>
              <w:rPr>
                <w:color w:val="auto"/>
                <w:szCs w:val="21"/>
              </w:rPr>
              <w:t>18</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27C2A9D">
            <w:pPr>
              <w:snapToGrid w:val="0"/>
              <w:jc w:val="center"/>
              <w:rPr>
                <w:color w:val="auto"/>
                <w:szCs w:val="21"/>
              </w:rPr>
            </w:pPr>
            <w:r>
              <w:rPr>
                <w:color w:val="auto"/>
                <w:szCs w:val="21"/>
              </w:rPr>
              <w:t>林巷村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101E6F9C">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47066DF8">
            <w:pPr>
              <w:snapToGrid w:val="0"/>
              <w:jc w:val="center"/>
              <w:rPr>
                <w:color w:val="auto"/>
                <w:szCs w:val="21"/>
              </w:rPr>
            </w:pPr>
            <w:r>
              <w:rPr>
                <w:color w:val="auto"/>
                <w:szCs w:val="21"/>
              </w:rPr>
              <w:t>1100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A12589F">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28A73043">
            <w:pPr>
              <w:snapToGrid w:val="0"/>
              <w:jc w:val="center"/>
              <w:rPr>
                <w:color w:val="auto"/>
                <w:szCs w:val="21"/>
              </w:rPr>
            </w:pPr>
            <w:r>
              <w:rPr>
                <w:color w:val="auto"/>
                <w:szCs w:val="21"/>
              </w:rPr>
              <w:t>600</w:t>
            </w:r>
          </w:p>
        </w:tc>
      </w:tr>
      <w:tr w14:paraId="245CE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B4D9782">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67EB0E77">
            <w:pPr>
              <w:snapToGrid w:val="0"/>
              <w:jc w:val="center"/>
              <w:rPr>
                <w:rFonts w:ascii="Times New Roman" w:hAnsi="Times New Roman" w:eastAsia="宋体" w:cs="Times New Roman"/>
                <w:color w:val="auto"/>
                <w:kern w:val="2"/>
                <w:sz w:val="21"/>
                <w:szCs w:val="21"/>
                <w:lang w:val="en-US" w:eastAsia="zh-CN" w:bidi="ar-SA"/>
              </w:rPr>
            </w:pPr>
            <w:r>
              <w:rPr>
                <w:color w:val="auto"/>
                <w:szCs w:val="21"/>
              </w:rPr>
              <w:t>19</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C4BE07F">
            <w:pPr>
              <w:snapToGrid w:val="0"/>
              <w:jc w:val="center"/>
              <w:rPr>
                <w:color w:val="auto"/>
                <w:szCs w:val="21"/>
              </w:rPr>
            </w:pPr>
            <w:r>
              <w:rPr>
                <w:color w:val="auto"/>
                <w:szCs w:val="21"/>
              </w:rPr>
              <w:t>锦绣花园</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C0BBCCB">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37B98CC6">
            <w:pPr>
              <w:snapToGrid w:val="0"/>
              <w:jc w:val="center"/>
              <w:rPr>
                <w:color w:val="auto"/>
                <w:szCs w:val="21"/>
              </w:rPr>
            </w:pPr>
            <w:r>
              <w:rPr>
                <w:color w:val="auto"/>
                <w:szCs w:val="21"/>
              </w:rPr>
              <w:t>1510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C0F5FD1">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7C184ABA">
            <w:pPr>
              <w:snapToGrid w:val="0"/>
              <w:jc w:val="center"/>
              <w:rPr>
                <w:color w:val="auto"/>
                <w:szCs w:val="21"/>
              </w:rPr>
            </w:pPr>
            <w:r>
              <w:rPr>
                <w:color w:val="auto"/>
                <w:szCs w:val="21"/>
              </w:rPr>
              <w:t>5000</w:t>
            </w:r>
          </w:p>
        </w:tc>
      </w:tr>
      <w:tr w14:paraId="1BEDB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FBF1566">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95BA200">
            <w:pPr>
              <w:snapToGrid w:val="0"/>
              <w:jc w:val="center"/>
              <w:rPr>
                <w:rFonts w:ascii="Times New Roman" w:hAnsi="Times New Roman" w:eastAsia="宋体" w:cs="Times New Roman"/>
                <w:color w:val="auto"/>
                <w:kern w:val="2"/>
                <w:sz w:val="21"/>
                <w:szCs w:val="21"/>
                <w:lang w:val="en-US" w:eastAsia="zh-CN" w:bidi="ar-SA"/>
              </w:rPr>
            </w:pPr>
            <w:r>
              <w:rPr>
                <w:color w:val="auto"/>
                <w:szCs w:val="21"/>
              </w:rPr>
              <w:t>20</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7E9D972A">
            <w:pPr>
              <w:snapToGrid w:val="0"/>
              <w:jc w:val="center"/>
              <w:rPr>
                <w:color w:val="auto"/>
                <w:szCs w:val="21"/>
              </w:rPr>
            </w:pPr>
            <w:r>
              <w:rPr>
                <w:color w:val="auto"/>
                <w:szCs w:val="21"/>
              </w:rPr>
              <w:t>顾庄</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46977FA">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42F4D755">
            <w:pPr>
              <w:snapToGrid w:val="0"/>
              <w:jc w:val="center"/>
              <w:rPr>
                <w:color w:val="auto"/>
                <w:szCs w:val="21"/>
              </w:rPr>
            </w:pPr>
            <w:r>
              <w:rPr>
                <w:color w:val="auto"/>
                <w:szCs w:val="21"/>
              </w:rPr>
              <w:t>1680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6EF31645">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6F6CFD8E">
            <w:pPr>
              <w:snapToGrid w:val="0"/>
              <w:jc w:val="center"/>
              <w:rPr>
                <w:color w:val="auto"/>
                <w:szCs w:val="21"/>
              </w:rPr>
            </w:pPr>
            <w:r>
              <w:rPr>
                <w:color w:val="auto"/>
                <w:szCs w:val="21"/>
              </w:rPr>
              <w:t>1700</w:t>
            </w:r>
          </w:p>
        </w:tc>
      </w:tr>
      <w:tr w14:paraId="62BBD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2EA1AE6">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957FE5F">
            <w:pPr>
              <w:snapToGrid w:val="0"/>
              <w:jc w:val="center"/>
              <w:rPr>
                <w:rFonts w:ascii="Times New Roman" w:hAnsi="Times New Roman" w:eastAsia="宋体" w:cs="Times New Roman"/>
                <w:color w:val="auto"/>
                <w:kern w:val="2"/>
                <w:sz w:val="21"/>
                <w:szCs w:val="21"/>
                <w:lang w:val="en-US" w:eastAsia="zh-CN" w:bidi="ar-SA"/>
              </w:rPr>
            </w:pPr>
            <w:r>
              <w:rPr>
                <w:color w:val="auto"/>
                <w:szCs w:val="21"/>
              </w:rPr>
              <w:t>21</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34B696C2">
            <w:pPr>
              <w:snapToGrid w:val="0"/>
              <w:jc w:val="center"/>
              <w:rPr>
                <w:color w:val="auto"/>
                <w:szCs w:val="21"/>
              </w:rPr>
            </w:pPr>
            <w:r>
              <w:rPr>
                <w:color w:val="auto"/>
                <w:szCs w:val="21"/>
              </w:rPr>
              <w:t>胡圩村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3FDD5026">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32ACFF53">
            <w:pPr>
              <w:snapToGrid w:val="0"/>
              <w:jc w:val="center"/>
              <w:rPr>
                <w:color w:val="auto"/>
                <w:szCs w:val="21"/>
              </w:rPr>
            </w:pPr>
            <w:r>
              <w:rPr>
                <w:color w:val="auto"/>
                <w:szCs w:val="21"/>
              </w:rPr>
              <w:t>2240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474B24A0">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5645F37">
            <w:pPr>
              <w:snapToGrid w:val="0"/>
              <w:jc w:val="center"/>
              <w:rPr>
                <w:color w:val="auto"/>
                <w:szCs w:val="21"/>
              </w:rPr>
            </w:pPr>
            <w:r>
              <w:rPr>
                <w:color w:val="auto"/>
                <w:szCs w:val="21"/>
              </w:rPr>
              <w:t>6000</w:t>
            </w:r>
          </w:p>
        </w:tc>
      </w:tr>
      <w:tr w14:paraId="3B18C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0098802B">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8F2A0EB">
            <w:pPr>
              <w:snapToGrid w:val="0"/>
              <w:jc w:val="center"/>
              <w:rPr>
                <w:rFonts w:ascii="Times New Roman" w:hAnsi="Times New Roman" w:eastAsia="宋体" w:cs="Times New Roman"/>
                <w:color w:val="auto"/>
                <w:kern w:val="2"/>
                <w:sz w:val="21"/>
                <w:szCs w:val="21"/>
                <w:lang w:val="en-US" w:eastAsia="zh-CN" w:bidi="ar-SA"/>
              </w:rPr>
            </w:pPr>
            <w:r>
              <w:rPr>
                <w:color w:val="auto"/>
                <w:szCs w:val="21"/>
              </w:rPr>
              <w:t>22</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222E8C56">
            <w:pPr>
              <w:snapToGrid w:val="0"/>
              <w:jc w:val="center"/>
              <w:rPr>
                <w:color w:val="auto"/>
                <w:szCs w:val="21"/>
              </w:rPr>
            </w:pPr>
            <w:r>
              <w:rPr>
                <w:color w:val="auto"/>
                <w:szCs w:val="21"/>
              </w:rPr>
              <w:t>瀚城小学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75BC7F73">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5FF19742">
            <w:pPr>
              <w:snapToGrid w:val="0"/>
              <w:jc w:val="center"/>
              <w:rPr>
                <w:color w:val="auto"/>
                <w:szCs w:val="21"/>
              </w:rPr>
            </w:pPr>
            <w:r>
              <w:rPr>
                <w:color w:val="auto"/>
                <w:szCs w:val="21"/>
              </w:rPr>
              <w:t>2240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9CED0FD">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4F466974">
            <w:pPr>
              <w:snapToGrid w:val="0"/>
              <w:jc w:val="center"/>
              <w:rPr>
                <w:color w:val="auto"/>
                <w:szCs w:val="21"/>
              </w:rPr>
            </w:pPr>
            <w:r>
              <w:rPr>
                <w:color w:val="auto"/>
                <w:szCs w:val="21"/>
              </w:rPr>
              <w:t>930</w:t>
            </w:r>
          </w:p>
        </w:tc>
      </w:tr>
      <w:tr w14:paraId="19EE7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9C89CE0">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6D04AC56">
            <w:pPr>
              <w:snapToGrid w:val="0"/>
              <w:jc w:val="center"/>
              <w:rPr>
                <w:rFonts w:ascii="Times New Roman" w:hAnsi="Times New Roman" w:eastAsia="宋体" w:cs="Times New Roman"/>
                <w:color w:val="auto"/>
                <w:kern w:val="2"/>
                <w:sz w:val="21"/>
                <w:szCs w:val="21"/>
                <w:lang w:val="en-US" w:eastAsia="zh-CN" w:bidi="ar-SA"/>
              </w:rPr>
            </w:pPr>
            <w:r>
              <w:rPr>
                <w:color w:val="auto"/>
                <w:szCs w:val="21"/>
              </w:rPr>
              <w:t>23</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11F48298">
            <w:pPr>
              <w:snapToGrid w:val="0"/>
              <w:jc w:val="center"/>
              <w:rPr>
                <w:color w:val="auto"/>
                <w:szCs w:val="21"/>
              </w:rPr>
            </w:pPr>
            <w:r>
              <w:rPr>
                <w:color w:val="auto"/>
                <w:szCs w:val="21"/>
              </w:rPr>
              <w:t>瀚城博苑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2E2A9AD9">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78A42CD6">
            <w:pPr>
              <w:snapToGrid w:val="0"/>
              <w:jc w:val="center"/>
              <w:rPr>
                <w:color w:val="auto"/>
                <w:szCs w:val="21"/>
              </w:rPr>
            </w:pPr>
            <w:r>
              <w:rPr>
                <w:color w:val="auto"/>
                <w:szCs w:val="21"/>
              </w:rPr>
              <w:t>2400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02B7709">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3C365876">
            <w:pPr>
              <w:snapToGrid w:val="0"/>
              <w:jc w:val="center"/>
              <w:rPr>
                <w:color w:val="auto"/>
                <w:szCs w:val="21"/>
              </w:rPr>
            </w:pPr>
            <w:r>
              <w:rPr>
                <w:color w:val="auto"/>
                <w:szCs w:val="21"/>
              </w:rPr>
              <w:t>4300</w:t>
            </w:r>
          </w:p>
        </w:tc>
      </w:tr>
      <w:tr w14:paraId="7B88D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8FAFC2E">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6EE1857B">
            <w:pPr>
              <w:snapToGrid w:val="0"/>
              <w:jc w:val="center"/>
              <w:rPr>
                <w:rFonts w:ascii="Times New Roman" w:hAnsi="Times New Roman" w:eastAsia="宋体" w:cs="Times New Roman"/>
                <w:color w:val="auto"/>
                <w:kern w:val="2"/>
                <w:sz w:val="21"/>
                <w:szCs w:val="21"/>
                <w:lang w:val="en-US" w:eastAsia="zh-CN" w:bidi="ar-SA"/>
              </w:rPr>
            </w:pPr>
            <w:r>
              <w:rPr>
                <w:color w:val="auto"/>
                <w:szCs w:val="21"/>
              </w:rPr>
              <w:t>24</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5E91839">
            <w:pPr>
              <w:snapToGrid w:val="0"/>
              <w:jc w:val="center"/>
              <w:rPr>
                <w:color w:val="auto"/>
                <w:szCs w:val="21"/>
              </w:rPr>
            </w:pPr>
            <w:r>
              <w:rPr>
                <w:color w:val="auto"/>
                <w:szCs w:val="21"/>
              </w:rPr>
              <w:t>大通区林巷小学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6C21541">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64965596">
            <w:pPr>
              <w:snapToGrid w:val="0"/>
              <w:jc w:val="center"/>
              <w:rPr>
                <w:color w:val="auto"/>
                <w:szCs w:val="21"/>
              </w:rPr>
            </w:pPr>
            <w:r>
              <w:rPr>
                <w:color w:val="auto"/>
                <w:szCs w:val="21"/>
              </w:rPr>
              <w:t>1360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1B38002">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49136FFE">
            <w:pPr>
              <w:snapToGrid w:val="0"/>
              <w:jc w:val="center"/>
              <w:rPr>
                <w:color w:val="auto"/>
                <w:szCs w:val="21"/>
              </w:rPr>
            </w:pPr>
            <w:r>
              <w:rPr>
                <w:color w:val="auto"/>
                <w:szCs w:val="21"/>
              </w:rPr>
              <w:t>400</w:t>
            </w:r>
          </w:p>
        </w:tc>
      </w:tr>
      <w:tr w14:paraId="691A7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0C20655">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741FA900">
            <w:pPr>
              <w:snapToGrid w:val="0"/>
              <w:jc w:val="center"/>
              <w:rPr>
                <w:rFonts w:ascii="Times New Roman" w:hAnsi="Times New Roman" w:eastAsia="宋体" w:cs="Times New Roman"/>
                <w:color w:val="auto"/>
                <w:kern w:val="2"/>
                <w:sz w:val="21"/>
                <w:szCs w:val="21"/>
                <w:lang w:val="en-US" w:eastAsia="zh-CN" w:bidi="ar-SA"/>
              </w:rPr>
            </w:pPr>
            <w:r>
              <w:rPr>
                <w:color w:val="auto"/>
                <w:szCs w:val="21"/>
              </w:rPr>
              <w:t>25</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8F9DC6A">
            <w:pPr>
              <w:snapToGrid w:val="0"/>
              <w:jc w:val="center"/>
              <w:rPr>
                <w:color w:val="auto"/>
                <w:szCs w:val="21"/>
              </w:rPr>
            </w:pPr>
            <w:r>
              <w:rPr>
                <w:color w:val="auto"/>
                <w:szCs w:val="21"/>
              </w:rPr>
              <w:t>富宁苑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39FEF63F">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091EC930">
            <w:pPr>
              <w:snapToGrid w:val="0"/>
              <w:jc w:val="center"/>
              <w:rPr>
                <w:color w:val="auto"/>
                <w:szCs w:val="21"/>
              </w:rPr>
            </w:pPr>
            <w:r>
              <w:rPr>
                <w:color w:val="auto"/>
                <w:szCs w:val="21"/>
              </w:rPr>
              <w:t>1540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F304505">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5A2272F4">
            <w:pPr>
              <w:snapToGrid w:val="0"/>
              <w:jc w:val="center"/>
              <w:rPr>
                <w:color w:val="auto"/>
                <w:szCs w:val="21"/>
              </w:rPr>
            </w:pPr>
            <w:r>
              <w:rPr>
                <w:color w:val="auto"/>
                <w:szCs w:val="21"/>
              </w:rPr>
              <w:t>5200</w:t>
            </w:r>
          </w:p>
        </w:tc>
      </w:tr>
      <w:tr w14:paraId="2A062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24EC8C8">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660C4C2D">
            <w:pPr>
              <w:snapToGrid w:val="0"/>
              <w:jc w:val="center"/>
              <w:rPr>
                <w:rFonts w:ascii="Times New Roman" w:hAnsi="Times New Roman" w:eastAsia="宋体" w:cs="Times New Roman"/>
                <w:color w:val="auto"/>
                <w:kern w:val="2"/>
                <w:sz w:val="21"/>
                <w:szCs w:val="21"/>
                <w:lang w:val="en-US" w:eastAsia="zh-CN" w:bidi="ar-SA"/>
              </w:rPr>
            </w:pPr>
            <w:r>
              <w:rPr>
                <w:color w:val="auto"/>
                <w:szCs w:val="21"/>
              </w:rPr>
              <w:t>26</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278E829F">
            <w:pPr>
              <w:snapToGrid w:val="0"/>
              <w:jc w:val="center"/>
              <w:rPr>
                <w:color w:val="auto"/>
                <w:szCs w:val="21"/>
              </w:rPr>
            </w:pPr>
            <w:r>
              <w:rPr>
                <w:color w:val="auto"/>
                <w:szCs w:val="21"/>
              </w:rPr>
              <w:t>七里庙</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5C9086D">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127AC53E">
            <w:pPr>
              <w:snapToGrid w:val="0"/>
              <w:jc w:val="center"/>
              <w:rPr>
                <w:color w:val="auto"/>
                <w:szCs w:val="21"/>
              </w:rPr>
            </w:pPr>
            <w:r>
              <w:rPr>
                <w:color w:val="auto"/>
                <w:szCs w:val="21"/>
              </w:rPr>
              <w:t>2065</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6100EC7D">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71BAE8C4">
            <w:pPr>
              <w:snapToGrid w:val="0"/>
              <w:jc w:val="center"/>
              <w:rPr>
                <w:color w:val="auto"/>
                <w:szCs w:val="21"/>
              </w:rPr>
            </w:pPr>
            <w:r>
              <w:rPr>
                <w:color w:val="auto"/>
                <w:szCs w:val="21"/>
              </w:rPr>
              <w:t>940</w:t>
            </w:r>
          </w:p>
        </w:tc>
      </w:tr>
      <w:tr w14:paraId="34FD5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F5CCD14">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745CB718">
            <w:pPr>
              <w:snapToGrid w:val="0"/>
              <w:jc w:val="center"/>
              <w:rPr>
                <w:rFonts w:ascii="Times New Roman" w:hAnsi="Times New Roman" w:eastAsia="宋体" w:cs="Times New Roman"/>
                <w:color w:val="auto"/>
                <w:kern w:val="2"/>
                <w:sz w:val="21"/>
                <w:szCs w:val="21"/>
                <w:lang w:val="en-US" w:eastAsia="zh-CN" w:bidi="ar-SA"/>
              </w:rPr>
            </w:pPr>
            <w:r>
              <w:rPr>
                <w:color w:val="auto"/>
                <w:szCs w:val="21"/>
              </w:rPr>
              <w:t>27</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DC55783">
            <w:pPr>
              <w:snapToGrid w:val="0"/>
              <w:jc w:val="center"/>
              <w:rPr>
                <w:color w:val="auto"/>
                <w:szCs w:val="21"/>
              </w:rPr>
            </w:pPr>
            <w:r>
              <w:rPr>
                <w:color w:val="auto"/>
                <w:szCs w:val="21"/>
              </w:rPr>
              <w:t>马庄</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D5253CD">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491635C1">
            <w:pPr>
              <w:snapToGrid w:val="0"/>
              <w:jc w:val="center"/>
              <w:rPr>
                <w:color w:val="auto"/>
                <w:szCs w:val="21"/>
              </w:rPr>
            </w:pPr>
            <w:r>
              <w:rPr>
                <w:color w:val="auto"/>
                <w:szCs w:val="21"/>
              </w:rPr>
              <w:t>2060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69848470">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563F57CA">
            <w:pPr>
              <w:snapToGrid w:val="0"/>
              <w:jc w:val="center"/>
              <w:rPr>
                <w:color w:val="auto"/>
                <w:szCs w:val="21"/>
              </w:rPr>
            </w:pPr>
            <w:r>
              <w:rPr>
                <w:color w:val="auto"/>
                <w:szCs w:val="21"/>
              </w:rPr>
              <w:t>1300</w:t>
            </w:r>
          </w:p>
        </w:tc>
      </w:tr>
      <w:tr w14:paraId="4F579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B8FAD6C">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25BB4B7">
            <w:pPr>
              <w:snapToGrid w:val="0"/>
              <w:jc w:val="center"/>
              <w:rPr>
                <w:rFonts w:ascii="Times New Roman" w:hAnsi="Times New Roman" w:eastAsia="宋体" w:cs="Times New Roman"/>
                <w:color w:val="auto"/>
                <w:kern w:val="2"/>
                <w:sz w:val="21"/>
                <w:szCs w:val="21"/>
                <w:lang w:val="en-US" w:eastAsia="zh-CN" w:bidi="ar-SA"/>
              </w:rPr>
            </w:pPr>
            <w:r>
              <w:rPr>
                <w:color w:val="auto"/>
                <w:szCs w:val="21"/>
              </w:rPr>
              <w:t>28</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AC55F7A">
            <w:pPr>
              <w:snapToGrid w:val="0"/>
              <w:jc w:val="center"/>
              <w:rPr>
                <w:color w:val="auto"/>
                <w:szCs w:val="21"/>
              </w:rPr>
            </w:pPr>
            <w:r>
              <w:rPr>
                <w:color w:val="auto"/>
                <w:szCs w:val="21"/>
              </w:rPr>
              <w:t>宫集小学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54E1D497">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7EEEF822">
            <w:pPr>
              <w:snapToGrid w:val="0"/>
              <w:jc w:val="center"/>
              <w:rPr>
                <w:color w:val="auto"/>
                <w:szCs w:val="21"/>
              </w:rPr>
            </w:pPr>
            <w:r>
              <w:rPr>
                <w:color w:val="auto"/>
                <w:szCs w:val="21"/>
              </w:rPr>
              <w:t>2930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4BD08082">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6F18EB3E">
            <w:pPr>
              <w:snapToGrid w:val="0"/>
              <w:jc w:val="center"/>
              <w:rPr>
                <w:color w:val="auto"/>
                <w:szCs w:val="21"/>
              </w:rPr>
            </w:pPr>
            <w:r>
              <w:rPr>
                <w:color w:val="auto"/>
                <w:szCs w:val="21"/>
              </w:rPr>
              <w:t>450</w:t>
            </w:r>
          </w:p>
        </w:tc>
      </w:tr>
      <w:tr w14:paraId="43F1F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F333D76">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41E079B">
            <w:pPr>
              <w:snapToGrid w:val="0"/>
              <w:jc w:val="center"/>
              <w:rPr>
                <w:rFonts w:ascii="Times New Roman" w:hAnsi="Times New Roman" w:eastAsia="宋体" w:cs="Times New Roman"/>
                <w:color w:val="auto"/>
                <w:kern w:val="2"/>
                <w:sz w:val="21"/>
                <w:szCs w:val="21"/>
                <w:lang w:val="en-US" w:eastAsia="zh-CN" w:bidi="ar-SA"/>
              </w:rPr>
            </w:pPr>
            <w:r>
              <w:rPr>
                <w:color w:val="auto"/>
                <w:szCs w:val="21"/>
              </w:rPr>
              <w:t>29</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1401032">
            <w:pPr>
              <w:snapToGrid w:val="0"/>
              <w:jc w:val="center"/>
              <w:rPr>
                <w:color w:val="auto"/>
                <w:szCs w:val="21"/>
              </w:rPr>
            </w:pPr>
            <w:r>
              <w:rPr>
                <w:color w:val="auto"/>
                <w:szCs w:val="21"/>
              </w:rPr>
              <w:t>淮南经济开发区管委会</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2CC519A7">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4F2C2335">
            <w:pPr>
              <w:snapToGrid w:val="0"/>
              <w:jc w:val="center"/>
              <w:rPr>
                <w:color w:val="auto"/>
                <w:szCs w:val="21"/>
              </w:rPr>
            </w:pPr>
            <w:r>
              <w:rPr>
                <w:color w:val="auto"/>
                <w:szCs w:val="21"/>
              </w:rPr>
              <w:t>3270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8278D3A">
            <w:pPr>
              <w:snapToGrid w:val="0"/>
              <w:jc w:val="center"/>
              <w:rPr>
                <w:color w:val="auto"/>
                <w:szCs w:val="21"/>
              </w:rPr>
            </w:pPr>
            <w:r>
              <w:rPr>
                <w:color w:val="auto"/>
                <w:szCs w:val="21"/>
              </w:rPr>
              <w:t>机关单位</w:t>
            </w:r>
          </w:p>
        </w:tc>
        <w:tc>
          <w:tcPr>
            <w:tcW w:w="1262" w:type="dxa"/>
            <w:tcBorders>
              <w:top w:val="single" w:color="auto" w:sz="4" w:space="0"/>
              <w:left w:val="single" w:color="auto" w:sz="4" w:space="0"/>
              <w:bottom w:val="single" w:color="auto" w:sz="4" w:space="0"/>
              <w:right w:val="single" w:color="auto" w:sz="4" w:space="0"/>
            </w:tcBorders>
            <w:vAlign w:val="center"/>
          </w:tcPr>
          <w:p w14:paraId="26443CA9">
            <w:pPr>
              <w:snapToGrid w:val="0"/>
              <w:jc w:val="center"/>
              <w:rPr>
                <w:color w:val="auto"/>
                <w:szCs w:val="21"/>
              </w:rPr>
            </w:pPr>
            <w:r>
              <w:rPr>
                <w:color w:val="auto"/>
                <w:szCs w:val="21"/>
              </w:rPr>
              <w:t>200</w:t>
            </w:r>
          </w:p>
        </w:tc>
      </w:tr>
      <w:tr w14:paraId="3F640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19F3FD8B">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AEDEF1A">
            <w:pPr>
              <w:snapToGrid w:val="0"/>
              <w:jc w:val="center"/>
              <w:rPr>
                <w:rFonts w:ascii="Times New Roman" w:hAnsi="Times New Roman" w:eastAsia="宋体" w:cs="Times New Roman"/>
                <w:color w:val="auto"/>
                <w:kern w:val="2"/>
                <w:sz w:val="21"/>
                <w:szCs w:val="21"/>
                <w:lang w:val="en-US" w:eastAsia="zh-CN" w:bidi="ar-SA"/>
              </w:rPr>
            </w:pPr>
            <w:r>
              <w:rPr>
                <w:color w:val="auto"/>
                <w:szCs w:val="21"/>
              </w:rPr>
              <w:t>30</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231257FD">
            <w:pPr>
              <w:snapToGrid w:val="0"/>
              <w:jc w:val="center"/>
              <w:rPr>
                <w:color w:val="auto"/>
                <w:szCs w:val="21"/>
              </w:rPr>
            </w:pPr>
            <w:r>
              <w:rPr>
                <w:color w:val="auto"/>
                <w:szCs w:val="21"/>
              </w:rPr>
              <w:t>河畔新村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FC590C2">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12B2F54A">
            <w:pPr>
              <w:snapToGrid w:val="0"/>
              <w:jc w:val="center"/>
              <w:rPr>
                <w:color w:val="auto"/>
                <w:szCs w:val="21"/>
              </w:rPr>
            </w:pPr>
            <w:r>
              <w:rPr>
                <w:color w:val="auto"/>
                <w:szCs w:val="21"/>
              </w:rPr>
              <w:t>3899</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831D108">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14773B7">
            <w:pPr>
              <w:snapToGrid w:val="0"/>
              <w:jc w:val="center"/>
              <w:rPr>
                <w:color w:val="auto"/>
                <w:szCs w:val="21"/>
              </w:rPr>
            </w:pPr>
            <w:r>
              <w:rPr>
                <w:color w:val="auto"/>
                <w:szCs w:val="21"/>
              </w:rPr>
              <w:t>1250</w:t>
            </w:r>
          </w:p>
        </w:tc>
      </w:tr>
      <w:tr w14:paraId="626EF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AEB5E1F">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3856381">
            <w:pPr>
              <w:snapToGrid w:val="0"/>
              <w:jc w:val="center"/>
              <w:rPr>
                <w:rFonts w:ascii="Times New Roman" w:hAnsi="Times New Roman" w:eastAsia="宋体" w:cs="Times New Roman"/>
                <w:color w:val="auto"/>
                <w:kern w:val="2"/>
                <w:sz w:val="21"/>
                <w:szCs w:val="21"/>
                <w:lang w:val="en-US" w:eastAsia="zh-CN" w:bidi="ar-SA"/>
              </w:rPr>
            </w:pPr>
            <w:r>
              <w:rPr>
                <w:color w:val="auto"/>
                <w:szCs w:val="21"/>
              </w:rPr>
              <w:t>31</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A7D06BF">
            <w:pPr>
              <w:snapToGrid w:val="0"/>
              <w:jc w:val="center"/>
              <w:rPr>
                <w:color w:val="auto"/>
                <w:szCs w:val="21"/>
              </w:rPr>
            </w:pPr>
            <w:r>
              <w:rPr>
                <w:color w:val="auto"/>
                <w:szCs w:val="21"/>
              </w:rPr>
              <w:t>刘郢村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5587E75F">
            <w:pPr>
              <w:snapToGrid w:val="0"/>
              <w:jc w:val="center"/>
              <w:rPr>
                <w:color w:val="auto"/>
                <w:szCs w:val="21"/>
              </w:rPr>
            </w:pPr>
            <w:r>
              <w:rPr>
                <w:color w:val="auto"/>
                <w:szCs w:val="21"/>
              </w:rPr>
              <w:t>N</w:t>
            </w:r>
          </w:p>
        </w:tc>
        <w:tc>
          <w:tcPr>
            <w:tcW w:w="1284" w:type="dxa"/>
            <w:tcBorders>
              <w:top w:val="single" w:color="auto" w:sz="4" w:space="0"/>
              <w:left w:val="single" w:color="auto" w:sz="4" w:space="0"/>
              <w:bottom w:val="single" w:color="auto" w:sz="4" w:space="0"/>
              <w:right w:val="single" w:color="auto" w:sz="4" w:space="0"/>
            </w:tcBorders>
            <w:vAlign w:val="center"/>
          </w:tcPr>
          <w:p w14:paraId="7507BA58">
            <w:pPr>
              <w:snapToGrid w:val="0"/>
              <w:jc w:val="center"/>
              <w:rPr>
                <w:color w:val="auto"/>
                <w:szCs w:val="21"/>
              </w:rPr>
            </w:pPr>
            <w:r>
              <w:rPr>
                <w:color w:val="auto"/>
                <w:szCs w:val="21"/>
              </w:rPr>
              <w:t>3297</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D639929">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17BF293D">
            <w:pPr>
              <w:snapToGrid w:val="0"/>
              <w:jc w:val="center"/>
              <w:rPr>
                <w:color w:val="auto"/>
                <w:szCs w:val="21"/>
              </w:rPr>
            </w:pPr>
            <w:r>
              <w:rPr>
                <w:color w:val="auto"/>
                <w:szCs w:val="21"/>
              </w:rPr>
              <w:t>1800</w:t>
            </w:r>
          </w:p>
        </w:tc>
      </w:tr>
      <w:tr w14:paraId="126F9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EA21DE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51CB8D6">
            <w:pPr>
              <w:snapToGrid w:val="0"/>
              <w:jc w:val="center"/>
              <w:rPr>
                <w:rFonts w:ascii="Times New Roman" w:hAnsi="Times New Roman" w:eastAsia="宋体" w:cs="Times New Roman"/>
                <w:color w:val="auto"/>
                <w:kern w:val="2"/>
                <w:sz w:val="21"/>
                <w:szCs w:val="21"/>
                <w:lang w:val="en-US" w:eastAsia="zh-CN" w:bidi="ar-SA"/>
              </w:rPr>
            </w:pPr>
            <w:r>
              <w:rPr>
                <w:color w:val="auto"/>
                <w:szCs w:val="21"/>
              </w:rPr>
              <w:t>32</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7CD7E472">
            <w:pPr>
              <w:snapToGrid w:val="0"/>
              <w:jc w:val="center"/>
              <w:rPr>
                <w:color w:val="auto"/>
                <w:szCs w:val="21"/>
              </w:rPr>
            </w:pPr>
            <w:r>
              <w:rPr>
                <w:color w:val="auto"/>
                <w:szCs w:val="21"/>
              </w:rPr>
              <w:t>文华东郡</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1B11F057">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053B4ABC">
            <w:pPr>
              <w:snapToGrid w:val="0"/>
              <w:jc w:val="center"/>
              <w:rPr>
                <w:color w:val="auto"/>
                <w:szCs w:val="21"/>
              </w:rPr>
            </w:pPr>
            <w:r>
              <w:rPr>
                <w:color w:val="auto"/>
                <w:szCs w:val="21"/>
              </w:rPr>
              <w:t>1594</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3B5B1F0">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1BC4170E">
            <w:pPr>
              <w:snapToGrid w:val="0"/>
              <w:jc w:val="center"/>
              <w:rPr>
                <w:color w:val="auto"/>
                <w:szCs w:val="21"/>
              </w:rPr>
            </w:pPr>
            <w:r>
              <w:rPr>
                <w:color w:val="auto"/>
                <w:szCs w:val="21"/>
              </w:rPr>
              <w:t>3600</w:t>
            </w:r>
          </w:p>
        </w:tc>
      </w:tr>
      <w:tr w14:paraId="7390B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3BF6AF8">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4832612">
            <w:pPr>
              <w:snapToGrid w:val="0"/>
              <w:jc w:val="center"/>
              <w:rPr>
                <w:rFonts w:ascii="Times New Roman" w:hAnsi="Times New Roman" w:eastAsia="宋体" w:cs="Times New Roman"/>
                <w:color w:val="auto"/>
                <w:kern w:val="2"/>
                <w:sz w:val="21"/>
                <w:szCs w:val="21"/>
                <w:lang w:val="en-US" w:eastAsia="zh-CN" w:bidi="ar-SA"/>
              </w:rPr>
            </w:pPr>
            <w:r>
              <w:rPr>
                <w:color w:val="auto"/>
                <w:szCs w:val="21"/>
              </w:rPr>
              <w:t>33</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B45144E">
            <w:pPr>
              <w:snapToGrid w:val="0"/>
              <w:jc w:val="center"/>
              <w:rPr>
                <w:color w:val="auto"/>
                <w:szCs w:val="21"/>
              </w:rPr>
            </w:pPr>
            <w:r>
              <w:rPr>
                <w:color w:val="auto"/>
                <w:szCs w:val="21"/>
              </w:rPr>
              <w:t>农一队</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3A7C5581">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47118864">
            <w:pPr>
              <w:snapToGrid w:val="0"/>
              <w:jc w:val="center"/>
              <w:rPr>
                <w:color w:val="auto"/>
                <w:szCs w:val="21"/>
              </w:rPr>
            </w:pPr>
            <w:r>
              <w:rPr>
                <w:color w:val="auto"/>
                <w:szCs w:val="21"/>
              </w:rPr>
              <w:t>2004</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2F86FFB">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28058216">
            <w:pPr>
              <w:snapToGrid w:val="0"/>
              <w:jc w:val="center"/>
              <w:rPr>
                <w:color w:val="auto"/>
                <w:szCs w:val="21"/>
              </w:rPr>
            </w:pPr>
            <w:r>
              <w:rPr>
                <w:color w:val="auto"/>
                <w:szCs w:val="21"/>
              </w:rPr>
              <w:t>1000</w:t>
            </w:r>
          </w:p>
        </w:tc>
      </w:tr>
      <w:tr w14:paraId="05920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F6E014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DAA636C">
            <w:pPr>
              <w:snapToGrid w:val="0"/>
              <w:jc w:val="center"/>
              <w:rPr>
                <w:rFonts w:ascii="Times New Roman" w:hAnsi="Times New Roman" w:eastAsia="宋体" w:cs="Times New Roman"/>
                <w:color w:val="auto"/>
                <w:kern w:val="2"/>
                <w:sz w:val="21"/>
                <w:szCs w:val="21"/>
                <w:lang w:val="en-US" w:eastAsia="zh-CN" w:bidi="ar-SA"/>
              </w:rPr>
            </w:pPr>
            <w:r>
              <w:rPr>
                <w:color w:val="auto"/>
                <w:szCs w:val="21"/>
              </w:rPr>
              <w:t>34</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18DC71F5">
            <w:pPr>
              <w:snapToGrid w:val="0"/>
              <w:jc w:val="center"/>
              <w:rPr>
                <w:color w:val="auto"/>
                <w:szCs w:val="21"/>
              </w:rPr>
            </w:pPr>
            <w:r>
              <w:rPr>
                <w:color w:val="auto"/>
                <w:szCs w:val="21"/>
              </w:rPr>
              <w:t>英才中学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FB78EA8">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28C20CFC">
            <w:pPr>
              <w:snapToGrid w:val="0"/>
              <w:jc w:val="center"/>
              <w:rPr>
                <w:color w:val="auto"/>
                <w:szCs w:val="21"/>
              </w:rPr>
            </w:pPr>
            <w:r>
              <w:rPr>
                <w:color w:val="auto"/>
                <w:szCs w:val="21"/>
              </w:rPr>
              <w:t>2013</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5FF0FE06">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35FAC411">
            <w:pPr>
              <w:snapToGrid w:val="0"/>
              <w:jc w:val="center"/>
              <w:rPr>
                <w:color w:val="auto"/>
                <w:szCs w:val="21"/>
              </w:rPr>
            </w:pPr>
            <w:r>
              <w:rPr>
                <w:color w:val="auto"/>
                <w:szCs w:val="21"/>
              </w:rPr>
              <w:t>300</w:t>
            </w:r>
          </w:p>
        </w:tc>
      </w:tr>
      <w:tr w14:paraId="48A2D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368509C">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B1F54A0">
            <w:pPr>
              <w:snapToGrid w:val="0"/>
              <w:jc w:val="center"/>
              <w:rPr>
                <w:rFonts w:ascii="Times New Roman" w:hAnsi="Times New Roman" w:eastAsia="宋体" w:cs="Times New Roman"/>
                <w:color w:val="auto"/>
                <w:kern w:val="2"/>
                <w:sz w:val="21"/>
                <w:szCs w:val="21"/>
                <w:lang w:val="en-US" w:eastAsia="zh-CN" w:bidi="ar-SA"/>
              </w:rPr>
            </w:pPr>
            <w:r>
              <w:rPr>
                <w:color w:val="auto"/>
                <w:szCs w:val="21"/>
              </w:rPr>
              <w:t>35</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3E9421CA">
            <w:pPr>
              <w:snapToGrid w:val="0"/>
              <w:jc w:val="center"/>
              <w:rPr>
                <w:color w:val="auto"/>
                <w:szCs w:val="21"/>
              </w:rPr>
            </w:pPr>
            <w:r>
              <w:rPr>
                <w:color w:val="auto"/>
                <w:szCs w:val="21"/>
              </w:rPr>
              <w:t>宫集派出所</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D7559A9">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08103752">
            <w:pPr>
              <w:snapToGrid w:val="0"/>
              <w:jc w:val="center"/>
              <w:rPr>
                <w:color w:val="auto"/>
                <w:szCs w:val="21"/>
              </w:rPr>
            </w:pPr>
            <w:r>
              <w:rPr>
                <w:color w:val="auto"/>
                <w:szCs w:val="21"/>
              </w:rPr>
              <w:t>2127</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3B1D9D1A">
            <w:pPr>
              <w:snapToGrid w:val="0"/>
              <w:jc w:val="center"/>
              <w:rPr>
                <w:color w:val="auto"/>
                <w:szCs w:val="21"/>
              </w:rPr>
            </w:pPr>
            <w:r>
              <w:rPr>
                <w:color w:val="auto"/>
                <w:szCs w:val="21"/>
              </w:rPr>
              <w:t>机关单位</w:t>
            </w:r>
          </w:p>
        </w:tc>
        <w:tc>
          <w:tcPr>
            <w:tcW w:w="1262" w:type="dxa"/>
            <w:tcBorders>
              <w:top w:val="single" w:color="auto" w:sz="4" w:space="0"/>
              <w:left w:val="single" w:color="auto" w:sz="4" w:space="0"/>
              <w:bottom w:val="single" w:color="auto" w:sz="4" w:space="0"/>
              <w:right w:val="single" w:color="auto" w:sz="4" w:space="0"/>
            </w:tcBorders>
            <w:vAlign w:val="center"/>
          </w:tcPr>
          <w:p w14:paraId="2654F336">
            <w:pPr>
              <w:snapToGrid w:val="0"/>
              <w:jc w:val="center"/>
              <w:rPr>
                <w:color w:val="auto"/>
                <w:szCs w:val="21"/>
              </w:rPr>
            </w:pPr>
            <w:r>
              <w:rPr>
                <w:rFonts w:hint="eastAsia"/>
                <w:color w:val="auto"/>
                <w:szCs w:val="21"/>
              </w:rPr>
              <w:t>2</w:t>
            </w:r>
            <w:r>
              <w:rPr>
                <w:color w:val="auto"/>
                <w:szCs w:val="21"/>
              </w:rPr>
              <w:t>0</w:t>
            </w:r>
          </w:p>
        </w:tc>
      </w:tr>
      <w:tr w14:paraId="14647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54EED924">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74AC6B93">
            <w:pPr>
              <w:snapToGrid w:val="0"/>
              <w:jc w:val="center"/>
              <w:rPr>
                <w:rFonts w:ascii="Times New Roman" w:hAnsi="Times New Roman" w:eastAsia="宋体" w:cs="Times New Roman"/>
                <w:color w:val="auto"/>
                <w:kern w:val="2"/>
                <w:sz w:val="21"/>
                <w:szCs w:val="21"/>
                <w:lang w:val="en-US" w:eastAsia="zh-CN" w:bidi="ar-SA"/>
              </w:rPr>
            </w:pPr>
            <w:r>
              <w:rPr>
                <w:color w:val="auto"/>
                <w:szCs w:val="21"/>
              </w:rPr>
              <w:t>36</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7334FE05">
            <w:pPr>
              <w:snapToGrid w:val="0"/>
              <w:jc w:val="center"/>
              <w:rPr>
                <w:color w:val="auto"/>
                <w:szCs w:val="21"/>
              </w:rPr>
            </w:pPr>
            <w:r>
              <w:rPr>
                <w:color w:val="auto"/>
                <w:szCs w:val="21"/>
              </w:rPr>
              <w:t>金鑫花园</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5365EEC">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78EDE305">
            <w:pPr>
              <w:snapToGrid w:val="0"/>
              <w:jc w:val="center"/>
              <w:rPr>
                <w:color w:val="auto"/>
                <w:szCs w:val="21"/>
              </w:rPr>
            </w:pPr>
            <w:r>
              <w:rPr>
                <w:color w:val="auto"/>
                <w:szCs w:val="21"/>
              </w:rPr>
              <w:t>2236</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F19A99E">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61CB62FD">
            <w:pPr>
              <w:snapToGrid w:val="0"/>
              <w:jc w:val="center"/>
              <w:rPr>
                <w:color w:val="auto"/>
                <w:szCs w:val="21"/>
              </w:rPr>
            </w:pPr>
            <w:r>
              <w:rPr>
                <w:color w:val="auto"/>
                <w:szCs w:val="21"/>
              </w:rPr>
              <w:t>2800</w:t>
            </w:r>
          </w:p>
        </w:tc>
      </w:tr>
      <w:tr w14:paraId="0BBBF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5334A1B">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A3AF10F">
            <w:pPr>
              <w:snapToGrid w:val="0"/>
              <w:jc w:val="center"/>
              <w:rPr>
                <w:rFonts w:ascii="Times New Roman" w:hAnsi="Times New Roman" w:eastAsia="宋体" w:cs="Times New Roman"/>
                <w:color w:val="auto"/>
                <w:kern w:val="2"/>
                <w:sz w:val="21"/>
                <w:szCs w:val="21"/>
                <w:lang w:val="en-US" w:eastAsia="zh-CN" w:bidi="ar-SA"/>
              </w:rPr>
            </w:pPr>
            <w:r>
              <w:rPr>
                <w:color w:val="auto"/>
                <w:szCs w:val="21"/>
              </w:rPr>
              <w:t>37</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31AD3A90">
            <w:pPr>
              <w:snapToGrid w:val="0"/>
              <w:jc w:val="center"/>
              <w:rPr>
                <w:color w:val="auto"/>
                <w:szCs w:val="21"/>
              </w:rPr>
            </w:pPr>
            <w:r>
              <w:rPr>
                <w:color w:val="auto"/>
                <w:szCs w:val="21"/>
              </w:rPr>
              <w:t>淮南农场五队</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175EC60">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148E1A1E">
            <w:pPr>
              <w:snapToGrid w:val="0"/>
              <w:jc w:val="center"/>
              <w:rPr>
                <w:color w:val="auto"/>
                <w:szCs w:val="21"/>
              </w:rPr>
            </w:pPr>
            <w:r>
              <w:rPr>
                <w:color w:val="auto"/>
                <w:szCs w:val="21"/>
              </w:rPr>
              <w:t>3219</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55DA06F">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7585D6F">
            <w:pPr>
              <w:snapToGrid w:val="0"/>
              <w:jc w:val="center"/>
              <w:rPr>
                <w:color w:val="auto"/>
                <w:szCs w:val="21"/>
              </w:rPr>
            </w:pPr>
            <w:r>
              <w:rPr>
                <w:color w:val="auto"/>
                <w:szCs w:val="21"/>
              </w:rPr>
              <w:t>300</w:t>
            </w:r>
          </w:p>
        </w:tc>
      </w:tr>
      <w:tr w14:paraId="08130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1695F144">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892AB0B">
            <w:pPr>
              <w:snapToGrid w:val="0"/>
              <w:jc w:val="center"/>
              <w:rPr>
                <w:rFonts w:ascii="Times New Roman" w:hAnsi="Times New Roman" w:eastAsia="宋体" w:cs="Times New Roman"/>
                <w:color w:val="auto"/>
                <w:kern w:val="2"/>
                <w:sz w:val="21"/>
                <w:szCs w:val="21"/>
                <w:lang w:val="en-US" w:eastAsia="zh-CN" w:bidi="ar-SA"/>
              </w:rPr>
            </w:pPr>
            <w:r>
              <w:rPr>
                <w:color w:val="auto"/>
                <w:szCs w:val="21"/>
              </w:rPr>
              <w:t>38</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7907DCCE">
            <w:pPr>
              <w:snapToGrid w:val="0"/>
              <w:jc w:val="center"/>
              <w:rPr>
                <w:color w:val="auto"/>
                <w:szCs w:val="21"/>
              </w:rPr>
            </w:pPr>
            <w:r>
              <w:rPr>
                <w:color w:val="auto"/>
                <w:szCs w:val="21"/>
              </w:rPr>
              <w:t>安徽省淮南卫生学校</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3C87318">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5FF116D0">
            <w:pPr>
              <w:snapToGrid w:val="0"/>
              <w:jc w:val="center"/>
              <w:rPr>
                <w:color w:val="auto"/>
                <w:szCs w:val="21"/>
              </w:rPr>
            </w:pPr>
            <w:r>
              <w:rPr>
                <w:color w:val="auto"/>
                <w:szCs w:val="21"/>
              </w:rPr>
              <w:t>4900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6E229B84">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3E708FD8">
            <w:pPr>
              <w:snapToGrid w:val="0"/>
              <w:jc w:val="center"/>
              <w:rPr>
                <w:color w:val="auto"/>
                <w:szCs w:val="21"/>
              </w:rPr>
            </w:pPr>
            <w:r>
              <w:rPr>
                <w:color w:val="auto"/>
                <w:szCs w:val="21"/>
              </w:rPr>
              <w:t>600</w:t>
            </w:r>
          </w:p>
        </w:tc>
      </w:tr>
      <w:tr w14:paraId="125E0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5F01A2F">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08D83C5">
            <w:pPr>
              <w:snapToGrid w:val="0"/>
              <w:jc w:val="center"/>
              <w:rPr>
                <w:rFonts w:ascii="Times New Roman" w:hAnsi="Times New Roman" w:eastAsia="宋体" w:cs="Times New Roman"/>
                <w:color w:val="auto"/>
                <w:kern w:val="2"/>
                <w:sz w:val="21"/>
                <w:szCs w:val="21"/>
                <w:lang w:val="en-US" w:eastAsia="zh-CN" w:bidi="ar-SA"/>
              </w:rPr>
            </w:pPr>
            <w:r>
              <w:rPr>
                <w:color w:val="auto"/>
                <w:szCs w:val="21"/>
              </w:rPr>
              <w:t>39</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27BBE663">
            <w:pPr>
              <w:snapToGrid w:val="0"/>
              <w:jc w:val="center"/>
              <w:rPr>
                <w:color w:val="auto"/>
                <w:szCs w:val="21"/>
              </w:rPr>
            </w:pPr>
            <w:r>
              <w:rPr>
                <w:color w:val="auto"/>
                <w:szCs w:val="21"/>
              </w:rPr>
              <w:t>龙兴园</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7D18BE08">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3F8F41A8">
            <w:pPr>
              <w:snapToGrid w:val="0"/>
              <w:jc w:val="center"/>
              <w:rPr>
                <w:color w:val="auto"/>
                <w:szCs w:val="21"/>
              </w:rPr>
            </w:pPr>
            <w:r>
              <w:rPr>
                <w:color w:val="auto"/>
                <w:szCs w:val="21"/>
              </w:rPr>
              <w:t>4900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C686996">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2D8A4C6A">
            <w:pPr>
              <w:snapToGrid w:val="0"/>
              <w:jc w:val="center"/>
              <w:rPr>
                <w:color w:val="auto"/>
                <w:szCs w:val="21"/>
              </w:rPr>
            </w:pPr>
            <w:r>
              <w:rPr>
                <w:color w:val="auto"/>
                <w:szCs w:val="21"/>
              </w:rPr>
              <w:t>900</w:t>
            </w:r>
          </w:p>
        </w:tc>
      </w:tr>
      <w:tr w14:paraId="618CC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42957E2">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237970A">
            <w:pPr>
              <w:snapToGrid w:val="0"/>
              <w:jc w:val="center"/>
              <w:rPr>
                <w:rFonts w:ascii="Times New Roman" w:hAnsi="Times New Roman" w:eastAsia="宋体" w:cs="Times New Roman"/>
                <w:color w:val="auto"/>
                <w:kern w:val="2"/>
                <w:sz w:val="21"/>
                <w:szCs w:val="21"/>
                <w:lang w:val="en-US" w:eastAsia="zh-CN" w:bidi="ar-SA"/>
              </w:rPr>
            </w:pPr>
            <w:r>
              <w:rPr>
                <w:color w:val="auto"/>
                <w:szCs w:val="21"/>
              </w:rPr>
              <w:t>40</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AA36CEC">
            <w:pPr>
              <w:snapToGrid w:val="0"/>
              <w:jc w:val="center"/>
              <w:rPr>
                <w:color w:val="auto"/>
                <w:szCs w:val="21"/>
              </w:rPr>
            </w:pPr>
            <w:r>
              <w:rPr>
                <w:color w:val="auto"/>
                <w:szCs w:val="21"/>
              </w:rPr>
              <w:t>机床新村小区</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BC8AA90">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041C1A2C">
            <w:pPr>
              <w:snapToGrid w:val="0"/>
              <w:jc w:val="center"/>
              <w:rPr>
                <w:color w:val="auto"/>
                <w:szCs w:val="21"/>
              </w:rPr>
            </w:pPr>
            <w:r>
              <w:rPr>
                <w:color w:val="auto"/>
                <w:szCs w:val="21"/>
              </w:rPr>
              <w:t>4800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28E52B7">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79480C12">
            <w:pPr>
              <w:snapToGrid w:val="0"/>
              <w:jc w:val="center"/>
              <w:rPr>
                <w:color w:val="auto"/>
                <w:szCs w:val="21"/>
              </w:rPr>
            </w:pPr>
            <w:r>
              <w:rPr>
                <w:color w:val="auto"/>
                <w:szCs w:val="21"/>
              </w:rPr>
              <w:t>1000</w:t>
            </w:r>
          </w:p>
        </w:tc>
      </w:tr>
      <w:tr w14:paraId="68DFA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B0D7CF9">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4EC8742">
            <w:pPr>
              <w:snapToGrid w:val="0"/>
              <w:jc w:val="center"/>
              <w:rPr>
                <w:rFonts w:ascii="Times New Roman" w:hAnsi="Times New Roman" w:eastAsia="宋体" w:cs="Times New Roman"/>
                <w:color w:val="auto"/>
                <w:kern w:val="2"/>
                <w:sz w:val="21"/>
                <w:szCs w:val="21"/>
                <w:lang w:val="en-US" w:eastAsia="zh-CN" w:bidi="ar-SA"/>
              </w:rPr>
            </w:pPr>
            <w:r>
              <w:rPr>
                <w:color w:val="auto"/>
                <w:szCs w:val="21"/>
              </w:rPr>
              <w:t>41</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735F834D">
            <w:pPr>
              <w:snapToGrid w:val="0"/>
              <w:jc w:val="center"/>
              <w:rPr>
                <w:color w:val="auto"/>
                <w:szCs w:val="21"/>
              </w:rPr>
            </w:pPr>
            <w:r>
              <w:rPr>
                <w:color w:val="auto"/>
                <w:szCs w:val="21"/>
              </w:rPr>
              <w:t>淮南市第二十三中学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13C3F5C">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013CB13B">
            <w:pPr>
              <w:snapToGrid w:val="0"/>
              <w:jc w:val="center"/>
              <w:rPr>
                <w:color w:val="auto"/>
                <w:szCs w:val="21"/>
              </w:rPr>
            </w:pPr>
            <w:r>
              <w:rPr>
                <w:color w:val="auto"/>
                <w:szCs w:val="21"/>
              </w:rPr>
              <w:t>4900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A2766BA">
            <w:pPr>
              <w:snapToGrid w:val="0"/>
              <w:jc w:val="center"/>
              <w:rPr>
                <w:color w:val="auto"/>
                <w:szCs w:val="21"/>
              </w:rPr>
            </w:pPr>
            <w:r>
              <w:rPr>
                <w:color w:val="auto"/>
                <w:szCs w:val="21"/>
              </w:rPr>
              <w:t>学校</w:t>
            </w:r>
          </w:p>
        </w:tc>
        <w:tc>
          <w:tcPr>
            <w:tcW w:w="1262" w:type="dxa"/>
            <w:tcBorders>
              <w:top w:val="single" w:color="auto" w:sz="4" w:space="0"/>
              <w:left w:val="single" w:color="auto" w:sz="4" w:space="0"/>
              <w:bottom w:val="single" w:color="auto" w:sz="4" w:space="0"/>
              <w:right w:val="single" w:color="auto" w:sz="4" w:space="0"/>
            </w:tcBorders>
            <w:vAlign w:val="center"/>
          </w:tcPr>
          <w:p w14:paraId="46D2000F">
            <w:pPr>
              <w:snapToGrid w:val="0"/>
              <w:jc w:val="center"/>
              <w:rPr>
                <w:color w:val="auto"/>
                <w:szCs w:val="21"/>
              </w:rPr>
            </w:pPr>
            <w:r>
              <w:rPr>
                <w:color w:val="auto"/>
                <w:szCs w:val="21"/>
              </w:rPr>
              <w:t>800</w:t>
            </w:r>
          </w:p>
        </w:tc>
      </w:tr>
      <w:tr w14:paraId="2C7F9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9CA919F">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4F09B6D">
            <w:pPr>
              <w:snapToGrid w:val="0"/>
              <w:jc w:val="center"/>
              <w:rPr>
                <w:rFonts w:ascii="Times New Roman" w:hAnsi="Times New Roman" w:eastAsia="宋体" w:cs="Times New Roman"/>
                <w:color w:val="auto"/>
                <w:kern w:val="2"/>
                <w:sz w:val="21"/>
                <w:szCs w:val="21"/>
                <w:lang w:val="en-US" w:eastAsia="zh-CN" w:bidi="ar-SA"/>
              </w:rPr>
            </w:pPr>
            <w:r>
              <w:rPr>
                <w:color w:val="auto"/>
                <w:szCs w:val="21"/>
              </w:rPr>
              <w:t>42</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D770618">
            <w:pPr>
              <w:snapToGrid w:val="0"/>
              <w:jc w:val="center"/>
              <w:rPr>
                <w:color w:val="auto"/>
                <w:szCs w:val="21"/>
              </w:rPr>
            </w:pPr>
            <w:r>
              <w:rPr>
                <w:color w:val="auto"/>
                <w:szCs w:val="21"/>
              </w:rPr>
              <w:t>东城国际</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73C4DBF">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60DAA59D">
            <w:pPr>
              <w:snapToGrid w:val="0"/>
              <w:jc w:val="center"/>
              <w:rPr>
                <w:color w:val="auto"/>
                <w:szCs w:val="21"/>
              </w:rPr>
            </w:pPr>
            <w:r>
              <w:rPr>
                <w:color w:val="auto"/>
                <w:szCs w:val="21"/>
              </w:rPr>
              <w:t>3100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2AC2C18">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8220739">
            <w:pPr>
              <w:snapToGrid w:val="0"/>
              <w:jc w:val="center"/>
              <w:rPr>
                <w:color w:val="auto"/>
                <w:szCs w:val="21"/>
              </w:rPr>
            </w:pPr>
            <w:r>
              <w:rPr>
                <w:color w:val="auto"/>
                <w:szCs w:val="21"/>
              </w:rPr>
              <w:t>1120</w:t>
            </w:r>
          </w:p>
        </w:tc>
      </w:tr>
      <w:tr w14:paraId="78E5D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5E7A41D">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4E1C022">
            <w:pPr>
              <w:snapToGrid w:val="0"/>
              <w:jc w:val="center"/>
              <w:rPr>
                <w:rFonts w:ascii="Times New Roman" w:hAnsi="Times New Roman" w:eastAsia="宋体" w:cs="Times New Roman"/>
                <w:color w:val="auto"/>
                <w:kern w:val="2"/>
                <w:sz w:val="21"/>
                <w:szCs w:val="21"/>
                <w:lang w:val="en-US" w:eastAsia="zh-CN" w:bidi="ar-SA"/>
              </w:rPr>
            </w:pPr>
            <w:r>
              <w:rPr>
                <w:color w:val="auto"/>
                <w:szCs w:val="21"/>
              </w:rPr>
              <w:t>43</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7FFB62C7">
            <w:pPr>
              <w:snapToGrid w:val="0"/>
              <w:jc w:val="center"/>
              <w:rPr>
                <w:color w:val="auto"/>
                <w:szCs w:val="21"/>
              </w:rPr>
            </w:pPr>
            <w:r>
              <w:rPr>
                <w:color w:val="auto"/>
                <w:szCs w:val="21"/>
              </w:rPr>
              <w:t>寿春老年公寓</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7E53F1BD">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194E6CBB">
            <w:pPr>
              <w:snapToGrid w:val="0"/>
              <w:jc w:val="center"/>
              <w:rPr>
                <w:color w:val="auto"/>
                <w:szCs w:val="21"/>
              </w:rPr>
            </w:pPr>
            <w:r>
              <w:rPr>
                <w:color w:val="auto"/>
                <w:szCs w:val="21"/>
              </w:rPr>
              <w:t>3300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0EF580D">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2F1304FC">
            <w:pPr>
              <w:snapToGrid w:val="0"/>
              <w:jc w:val="center"/>
              <w:rPr>
                <w:color w:val="auto"/>
                <w:szCs w:val="21"/>
              </w:rPr>
            </w:pPr>
            <w:r>
              <w:rPr>
                <w:color w:val="auto"/>
                <w:szCs w:val="21"/>
              </w:rPr>
              <w:t>110</w:t>
            </w:r>
          </w:p>
        </w:tc>
      </w:tr>
      <w:tr w14:paraId="27DA7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8FC49C6">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335864F">
            <w:pPr>
              <w:snapToGrid w:val="0"/>
              <w:jc w:val="center"/>
              <w:rPr>
                <w:rFonts w:ascii="Times New Roman" w:hAnsi="Times New Roman" w:eastAsia="宋体" w:cs="Times New Roman"/>
                <w:color w:val="auto"/>
                <w:kern w:val="2"/>
                <w:sz w:val="21"/>
                <w:szCs w:val="21"/>
                <w:lang w:val="en-US" w:eastAsia="zh-CN" w:bidi="ar-SA"/>
              </w:rPr>
            </w:pPr>
            <w:r>
              <w:rPr>
                <w:color w:val="auto"/>
                <w:szCs w:val="21"/>
              </w:rPr>
              <w:t>44</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B9D0226">
            <w:pPr>
              <w:snapToGrid w:val="0"/>
              <w:jc w:val="center"/>
              <w:rPr>
                <w:color w:val="auto"/>
                <w:szCs w:val="21"/>
              </w:rPr>
            </w:pPr>
            <w:r>
              <w:rPr>
                <w:color w:val="auto"/>
                <w:szCs w:val="21"/>
              </w:rPr>
              <w:t>铂蓝美地</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2219BCC3">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7960C2C9">
            <w:pPr>
              <w:snapToGrid w:val="0"/>
              <w:jc w:val="center"/>
              <w:rPr>
                <w:color w:val="auto"/>
                <w:szCs w:val="21"/>
              </w:rPr>
            </w:pPr>
            <w:r>
              <w:rPr>
                <w:color w:val="auto"/>
                <w:szCs w:val="21"/>
              </w:rPr>
              <w:t>4800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E5D778A">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20848A28">
            <w:pPr>
              <w:snapToGrid w:val="0"/>
              <w:jc w:val="center"/>
              <w:rPr>
                <w:color w:val="auto"/>
                <w:szCs w:val="21"/>
              </w:rPr>
            </w:pPr>
            <w:r>
              <w:rPr>
                <w:color w:val="auto"/>
                <w:szCs w:val="21"/>
              </w:rPr>
              <w:t>910</w:t>
            </w:r>
          </w:p>
        </w:tc>
      </w:tr>
      <w:tr w14:paraId="0A3FA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5964B53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B3D4D87">
            <w:pPr>
              <w:snapToGrid w:val="0"/>
              <w:jc w:val="center"/>
              <w:rPr>
                <w:rFonts w:ascii="Times New Roman" w:hAnsi="Times New Roman" w:eastAsia="宋体" w:cs="Times New Roman"/>
                <w:color w:val="auto"/>
                <w:kern w:val="2"/>
                <w:sz w:val="21"/>
                <w:szCs w:val="21"/>
                <w:lang w:val="en-US" w:eastAsia="zh-CN" w:bidi="ar-SA"/>
              </w:rPr>
            </w:pPr>
            <w:r>
              <w:rPr>
                <w:color w:val="auto"/>
                <w:szCs w:val="21"/>
              </w:rPr>
              <w:t>45</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E702419">
            <w:pPr>
              <w:snapToGrid w:val="0"/>
              <w:jc w:val="center"/>
              <w:rPr>
                <w:color w:val="auto"/>
                <w:szCs w:val="21"/>
              </w:rPr>
            </w:pPr>
            <w:r>
              <w:rPr>
                <w:color w:val="auto"/>
                <w:szCs w:val="21"/>
              </w:rPr>
              <w:t>巴黎春天</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5540DF52">
            <w:pPr>
              <w:snapToGrid w:val="0"/>
              <w:jc w:val="center"/>
              <w:rPr>
                <w:color w:val="auto"/>
                <w:szCs w:val="21"/>
              </w:rPr>
            </w:pPr>
            <w:r>
              <w:rPr>
                <w:color w:val="auto"/>
                <w:szCs w:val="21"/>
              </w:rPr>
              <w:t>NW</w:t>
            </w:r>
          </w:p>
        </w:tc>
        <w:tc>
          <w:tcPr>
            <w:tcW w:w="1284" w:type="dxa"/>
            <w:tcBorders>
              <w:top w:val="single" w:color="auto" w:sz="4" w:space="0"/>
              <w:left w:val="single" w:color="auto" w:sz="4" w:space="0"/>
              <w:bottom w:val="single" w:color="auto" w:sz="4" w:space="0"/>
              <w:right w:val="single" w:color="auto" w:sz="4" w:space="0"/>
            </w:tcBorders>
            <w:vAlign w:val="center"/>
          </w:tcPr>
          <w:p w14:paraId="57C36D90">
            <w:pPr>
              <w:snapToGrid w:val="0"/>
              <w:jc w:val="center"/>
              <w:rPr>
                <w:color w:val="auto"/>
                <w:szCs w:val="21"/>
              </w:rPr>
            </w:pPr>
            <w:r>
              <w:rPr>
                <w:color w:val="auto"/>
                <w:szCs w:val="21"/>
              </w:rPr>
              <w:t>4800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3A2D0C95">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50A116F4">
            <w:pPr>
              <w:snapToGrid w:val="0"/>
              <w:jc w:val="center"/>
              <w:rPr>
                <w:color w:val="auto"/>
                <w:szCs w:val="21"/>
              </w:rPr>
            </w:pPr>
            <w:r>
              <w:rPr>
                <w:color w:val="auto"/>
                <w:szCs w:val="21"/>
              </w:rPr>
              <w:t>1100</w:t>
            </w:r>
          </w:p>
        </w:tc>
      </w:tr>
      <w:tr w14:paraId="75E83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50A2C13D">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74BA7ED1">
            <w:pPr>
              <w:snapToGrid w:val="0"/>
              <w:jc w:val="center"/>
              <w:rPr>
                <w:rFonts w:ascii="Times New Roman" w:hAnsi="Times New Roman" w:eastAsia="宋体" w:cs="Times New Roman"/>
                <w:color w:val="auto"/>
                <w:kern w:val="2"/>
                <w:sz w:val="21"/>
                <w:szCs w:val="21"/>
                <w:lang w:val="en-US" w:eastAsia="zh-CN" w:bidi="ar-SA"/>
              </w:rPr>
            </w:pPr>
            <w:r>
              <w:rPr>
                <w:color w:val="auto"/>
                <w:szCs w:val="21"/>
              </w:rPr>
              <w:t>46</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46CA5E6">
            <w:pPr>
              <w:snapToGrid w:val="0"/>
              <w:jc w:val="center"/>
              <w:rPr>
                <w:color w:val="auto"/>
                <w:szCs w:val="21"/>
              </w:rPr>
            </w:pPr>
            <w:r>
              <w:rPr>
                <w:color w:val="auto"/>
                <w:szCs w:val="21"/>
              </w:rPr>
              <w:t>月伴湾小区</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0961AA3">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5C7D46BB">
            <w:pPr>
              <w:snapToGrid w:val="0"/>
              <w:jc w:val="center"/>
              <w:rPr>
                <w:color w:val="auto"/>
                <w:szCs w:val="21"/>
              </w:rPr>
            </w:pPr>
            <w:r>
              <w:rPr>
                <w:color w:val="auto"/>
                <w:szCs w:val="21"/>
              </w:rPr>
              <w:t>3500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B45CAF3">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5AE69DBA">
            <w:pPr>
              <w:snapToGrid w:val="0"/>
              <w:jc w:val="center"/>
              <w:rPr>
                <w:color w:val="auto"/>
                <w:szCs w:val="21"/>
              </w:rPr>
            </w:pPr>
            <w:r>
              <w:rPr>
                <w:color w:val="auto"/>
                <w:szCs w:val="21"/>
              </w:rPr>
              <w:t>1800</w:t>
            </w:r>
          </w:p>
        </w:tc>
      </w:tr>
      <w:tr w14:paraId="60508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029778C">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152955BE">
            <w:pPr>
              <w:snapToGrid w:val="0"/>
              <w:jc w:val="center"/>
              <w:rPr>
                <w:rFonts w:ascii="Times New Roman" w:hAnsi="Times New Roman" w:eastAsia="宋体" w:cs="Times New Roman"/>
                <w:color w:val="auto"/>
                <w:kern w:val="2"/>
                <w:sz w:val="21"/>
                <w:szCs w:val="21"/>
                <w:lang w:val="en-US" w:eastAsia="zh-CN" w:bidi="ar-SA"/>
              </w:rPr>
            </w:pPr>
            <w:r>
              <w:rPr>
                <w:color w:val="auto"/>
                <w:szCs w:val="21"/>
              </w:rPr>
              <w:t>47</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1073EB5">
            <w:pPr>
              <w:snapToGrid w:val="0"/>
              <w:jc w:val="center"/>
              <w:rPr>
                <w:color w:val="auto"/>
                <w:szCs w:val="21"/>
              </w:rPr>
            </w:pPr>
            <w:r>
              <w:rPr>
                <w:color w:val="auto"/>
                <w:szCs w:val="21"/>
              </w:rPr>
              <w:t>康安家园</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35D8BF15">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4225886B">
            <w:pPr>
              <w:snapToGrid w:val="0"/>
              <w:jc w:val="center"/>
              <w:rPr>
                <w:color w:val="auto"/>
                <w:szCs w:val="21"/>
              </w:rPr>
            </w:pPr>
            <w:r>
              <w:rPr>
                <w:color w:val="auto"/>
                <w:szCs w:val="21"/>
              </w:rPr>
              <w:t>3900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FAD0B3F">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70F9B6CF">
            <w:pPr>
              <w:snapToGrid w:val="0"/>
              <w:jc w:val="center"/>
              <w:rPr>
                <w:color w:val="auto"/>
                <w:szCs w:val="21"/>
              </w:rPr>
            </w:pPr>
            <w:r>
              <w:rPr>
                <w:color w:val="auto"/>
                <w:szCs w:val="21"/>
              </w:rPr>
              <w:t>1500</w:t>
            </w:r>
          </w:p>
        </w:tc>
      </w:tr>
      <w:tr w14:paraId="0E2E9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C8FBB81">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19E55FA2">
            <w:pPr>
              <w:snapToGrid w:val="0"/>
              <w:jc w:val="center"/>
              <w:rPr>
                <w:rFonts w:ascii="Times New Roman" w:hAnsi="Times New Roman" w:eastAsia="宋体" w:cs="Times New Roman"/>
                <w:color w:val="auto"/>
                <w:kern w:val="2"/>
                <w:sz w:val="21"/>
                <w:szCs w:val="21"/>
                <w:lang w:val="en-US" w:eastAsia="zh-CN" w:bidi="ar-SA"/>
              </w:rPr>
            </w:pPr>
            <w:r>
              <w:rPr>
                <w:color w:val="auto"/>
                <w:szCs w:val="21"/>
              </w:rPr>
              <w:t>48</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A04FA40">
            <w:pPr>
              <w:snapToGrid w:val="0"/>
              <w:jc w:val="center"/>
              <w:rPr>
                <w:color w:val="auto"/>
                <w:szCs w:val="21"/>
              </w:rPr>
            </w:pPr>
            <w:r>
              <w:rPr>
                <w:color w:val="auto"/>
                <w:szCs w:val="21"/>
              </w:rPr>
              <w:t>金丰易居</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9A7254A">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7F44EC46">
            <w:pPr>
              <w:snapToGrid w:val="0"/>
              <w:jc w:val="center"/>
              <w:rPr>
                <w:color w:val="auto"/>
                <w:szCs w:val="21"/>
              </w:rPr>
            </w:pPr>
            <w:r>
              <w:rPr>
                <w:color w:val="auto"/>
                <w:szCs w:val="21"/>
              </w:rPr>
              <w:t>3700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3FF77791">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69C88875">
            <w:pPr>
              <w:snapToGrid w:val="0"/>
              <w:jc w:val="center"/>
              <w:rPr>
                <w:color w:val="auto"/>
                <w:szCs w:val="21"/>
              </w:rPr>
            </w:pPr>
            <w:r>
              <w:rPr>
                <w:color w:val="auto"/>
                <w:szCs w:val="21"/>
              </w:rPr>
              <w:t>1350</w:t>
            </w:r>
          </w:p>
        </w:tc>
      </w:tr>
      <w:tr w14:paraId="61B36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099D3F97">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05039637">
            <w:pPr>
              <w:snapToGrid w:val="0"/>
              <w:jc w:val="center"/>
              <w:rPr>
                <w:rFonts w:ascii="Times New Roman" w:hAnsi="Times New Roman" w:eastAsia="宋体" w:cs="Times New Roman"/>
                <w:color w:val="auto"/>
                <w:kern w:val="2"/>
                <w:sz w:val="21"/>
                <w:szCs w:val="21"/>
                <w:lang w:val="en-US" w:eastAsia="zh-CN" w:bidi="ar-SA"/>
              </w:rPr>
            </w:pPr>
            <w:r>
              <w:rPr>
                <w:color w:val="auto"/>
                <w:szCs w:val="21"/>
              </w:rPr>
              <w:t>49</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0F1A827">
            <w:pPr>
              <w:snapToGrid w:val="0"/>
              <w:jc w:val="center"/>
              <w:rPr>
                <w:color w:val="auto"/>
                <w:szCs w:val="21"/>
              </w:rPr>
            </w:pPr>
            <w:r>
              <w:rPr>
                <w:color w:val="auto"/>
                <w:szCs w:val="21"/>
              </w:rPr>
              <w:t>易居东方城</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0FC2C79B">
            <w:pPr>
              <w:snapToGrid w:val="0"/>
              <w:jc w:val="center"/>
              <w:rPr>
                <w:color w:val="auto"/>
                <w:szCs w:val="21"/>
              </w:rPr>
            </w:pPr>
            <w:r>
              <w:rPr>
                <w:color w:val="auto"/>
                <w:szCs w:val="21"/>
              </w:rPr>
              <w:t>W</w:t>
            </w:r>
          </w:p>
        </w:tc>
        <w:tc>
          <w:tcPr>
            <w:tcW w:w="1284" w:type="dxa"/>
            <w:tcBorders>
              <w:top w:val="single" w:color="auto" w:sz="4" w:space="0"/>
              <w:left w:val="single" w:color="auto" w:sz="4" w:space="0"/>
              <w:bottom w:val="single" w:color="auto" w:sz="4" w:space="0"/>
              <w:right w:val="single" w:color="auto" w:sz="4" w:space="0"/>
            </w:tcBorders>
            <w:vAlign w:val="center"/>
          </w:tcPr>
          <w:p w14:paraId="70DCB216">
            <w:pPr>
              <w:snapToGrid w:val="0"/>
              <w:jc w:val="center"/>
              <w:rPr>
                <w:color w:val="auto"/>
                <w:szCs w:val="21"/>
              </w:rPr>
            </w:pPr>
            <w:r>
              <w:rPr>
                <w:color w:val="auto"/>
                <w:szCs w:val="21"/>
              </w:rPr>
              <w:t>3800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C411736">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D0F3DE9">
            <w:pPr>
              <w:snapToGrid w:val="0"/>
              <w:jc w:val="center"/>
              <w:rPr>
                <w:color w:val="auto"/>
                <w:szCs w:val="21"/>
              </w:rPr>
            </w:pPr>
            <w:r>
              <w:rPr>
                <w:color w:val="auto"/>
                <w:szCs w:val="21"/>
              </w:rPr>
              <w:t>1450</w:t>
            </w:r>
          </w:p>
        </w:tc>
      </w:tr>
      <w:tr w14:paraId="3CECE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1B8050E6">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2DB9225">
            <w:pPr>
              <w:snapToGrid w:val="0"/>
              <w:jc w:val="center"/>
              <w:rPr>
                <w:rFonts w:ascii="Times New Roman" w:hAnsi="Times New Roman" w:eastAsia="宋体" w:cs="Times New Roman"/>
                <w:color w:val="auto"/>
                <w:kern w:val="2"/>
                <w:sz w:val="21"/>
                <w:szCs w:val="21"/>
                <w:lang w:val="en-US" w:eastAsia="zh-CN" w:bidi="ar-SA"/>
              </w:rPr>
            </w:pPr>
            <w:r>
              <w:rPr>
                <w:color w:val="auto"/>
                <w:szCs w:val="21"/>
              </w:rPr>
              <w:t>50</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043034C6">
            <w:pPr>
              <w:snapToGrid w:val="0"/>
              <w:jc w:val="center"/>
              <w:rPr>
                <w:color w:val="auto"/>
                <w:szCs w:val="21"/>
              </w:rPr>
            </w:pPr>
            <w:r>
              <w:rPr>
                <w:color w:val="auto"/>
                <w:szCs w:val="21"/>
              </w:rPr>
              <w:t>王庄社区</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5E15E006">
            <w:pPr>
              <w:snapToGrid w:val="0"/>
              <w:jc w:val="center"/>
              <w:rPr>
                <w:color w:val="auto"/>
                <w:szCs w:val="21"/>
              </w:rPr>
            </w:pPr>
            <w:r>
              <w:rPr>
                <w:color w:val="auto"/>
                <w:szCs w:val="21"/>
              </w:rPr>
              <w:t>N</w:t>
            </w:r>
          </w:p>
        </w:tc>
        <w:tc>
          <w:tcPr>
            <w:tcW w:w="1284" w:type="dxa"/>
            <w:tcBorders>
              <w:top w:val="single" w:color="auto" w:sz="4" w:space="0"/>
              <w:left w:val="single" w:color="auto" w:sz="4" w:space="0"/>
              <w:bottom w:val="single" w:color="auto" w:sz="4" w:space="0"/>
              <w:right w:val="single" w:color="auto" w:sz="4" w:space="0"/>
            </w:tcBorders>
            <w:vAlign w:val="center"/>
          </w:tcPr>
          <w:p w14:paraId="78D51E5E">
            <w:pPr>
              <w:snapToGrid w:val="0"/>
              <w:jc w:val="center"/>
              <w:rPr>
                <w:color w:val="auto"/>
                <w:szCs w:val="21"/>
              </w:rPr>
            </w:pPr>
            <w:r>
              <w:rPr>
                <w:color w:val="auto"/>
                <w:szCs w:val="21"/>
              </w:rPr>
              <w:t>4300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37E1D683">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3787C2B8">
            <w:pPr>
              <w:snapToGrid w:val="0"/>
              <w:jc w:val="center"/>
              <w:rPr>
                <w:color w:val="auto"/>
                <w:szCs w:val="21"/>
              </w:rPr>
            </w:pPr>
            <w:r>
              <w:rPr>
                <w:color w:val="auto"/>
                <w:szCs w:val="21"/>
              </w:rPr>
              <w:t>700</w:t>
            </w:r>
          </w:p>
        </w:tc>
      </w:tr>
      <w:tr w14:paraId="16B3E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B35E46B">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5D26E4F4">
            <w:pPr>
              <w:snapToGrid w:val="0"/>
              <w:jc w:val="center"/>
              <w:rPr>
                <w:rFonts w:ascii="Times New Roman" w:hAnsi="Times New Roman" w:eastAsia="宋体" w:cs="Times New Roman"/>
                <w:color w:val="auto"/>
                <w:kern w:val="2"/>
                <w:sz w:val="21"/>
                <w:szCs w:val="21"/>
                <w:lang w:val="en-US" w:eastAsia="zh-CN" w:bidi="ar-SA"/>
              </w:rPr>
            </w:pPr>
            <w:r>
              <w:rPr>
                <w:color w:val="auto"/>
                <w:szCs w:val="21"/>
              </w:rPr>
              <w:t>51</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43C834B0">
            <w:pPr>
              <w:snapToGrid w:val="0"/>
              <w:jc w:val="center"/>
              <w:rPr>
                <w:color w:val="auto"/>
                <w:szCs w:val="21"/>
              </w:rPr>
            </w:pPr>
            <w:r>
              <w:rPr>
                <w:color w:val="auto"/>
                <w:szCs w:val="21"/>
              </w:rPr>
              <w:t>洛河社区</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519F8CB3">
            <w:pPr>
              <w:snapToGrid w:val="0"/>
              <w:jc w:val="center"/>
              <w:rPr>
                <w:color w:val="auto"/>
                <w:szCs w:val="21"/>
              </w:rPr>
            </w:pPr>
            <w:r>
              <w:rPr>
                <w:color w:val="auto"/>
                <w:szCs w:val="21"/>
              </w:rPr>
              <w:t>N</w:t>
            </w:r>
          </w:p>
        </w:tc>
        <w:tc>
          <w:tcPr>
            <w:tcW w:w="1284" w:type="dxa"/>
            <w:tcBorders>
              <w:top w:val="single" w:color="auto" w:sz="4" w:space="0"/>
              <w:left w:val="single" w:color="auto" w:sz="4" w:space="0"/>
              <w:bottom w:val="single" w:color="auto" w:sz="4" w:space="0"/>
              <w:right w:val="single" w:color="auto" w:sz="4" w:space="0"/>
            </w:tcBorders>
            <w:vAlign w:val="center"/>
          </w:tcPr>
          <w:p w14:paraId="02DFFAF3">
            <w:pPr>
              <w:snapToGrid w:val="0"/>
              <w:jc w:val="center"/>
              <w:rPr>
                <w:color w:val="auto"/>
                <w:szCs w:val="21"/>
              </w:rPr>
            </w:pPr>
            <w:r>
              <w:rPr>
                <w:color w:val="auto"/>
                <w:szCs w:val="21"/>
              </w:rPr>
              <w:t>4800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17B4F4BD">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9C4D42F">
            <w:pPr>
              <w:snapToGrid w:val="0"/>
              <w:jc w:val="center"/>
              <w:rPr>
                <w:color w:val="auto"/>
                <w:szCs w:val="21"/>
              </w:rPr>
            </w:pPr>
            <w:r>
              <w:rPr>
                <w:color w:val="auto"/>
                <w:szCs w:val="21"/>
              </w:rPr>
              <w:t>2000</w:t>
            </w:r>
          </w:p>
        </w:tc>
      </w:tr>
      <w:tr w14:paraId="55C32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EC0CA68">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407BA87A">
            <w:pPr>
              <w:snapToGrid w:val="0"/>
              <w:jc w:val="center"/>
              <w:rPr>
                <w:rFonts w:ascii="Times New Roman" w:hAnsi="Times New Roman" w:eastAsia="宋体" w:cs="Times New Roman"/>
                <w:color w:val="auto"/>
                <w:kern w:val="2"/>
                <w:sz w:val="21"/>
                <w:szCs w:val="21"/>
                <w:lang w:val="en-US" w:eastAsia="zh-CN" w:bidi="ar-SA"/>
              </w:rPr>
            </w:pPr>
            <w:r>
              <w:rPr>
                <w:color w:val="auto"/>
                <w:szCs w:val="21"/>
              </w:rPr>
              <w:t>52</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4C99F02">
            <w:pPr>
              <w:snapToGrid w:val="0"/>
              <w:jc w:val="center"/>
              <w:rPr>
                <w:color w:val="auto"/>
                <w:szCs w:val="21"/>
              </w:rPr>
            </w:pPr>
            <w:r>
              <w:rPr>
                <w:color w:val="auto"/>
                <w:szCs w:val="21"/>
              </w:rPr>
              <w:t>方楼村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64A5E1E5">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4FE39273">
            <w:pPr>
              <w:snapToGrid w:val="0"/>
              <w:jc w:val="center"/>
              <w:rPr>
                <w:color w:val="auto"/>
                <w:szCs w:val="21"/>
              </w:rPr>
            </w:pPr>
            <w:r>
              <w:rPr>
                <w:color w:val="auto"/>
                <w:szCs w:val="21"/>
              </w:rPr>
              <w:t>4900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666E4C64">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12741817">
            <w:pPr>
              <w:snapToGrid w:val="0"/>
              <w:jc w:val="center"/>
              <w:rPr>
                <w:color w:val="auto"/>
                <w:szCs w:val="21"/>
              </w:rPr>
            </w:pPr>
            <w:r>
              <w:rPr>
                <w:color w:val="auto"/>
                <w:szCs w:val="21"/>
              </w:rPr>
              <w:t>350</w:t>
            </w:r>
          </w:p>
        </w:tc>
      </w:tr>
      <w:tr w14:paraId="66BA1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E68FD1B">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A3C3C8C">
            <w:pPr>
              <w:snapToGrid w:val="0"/>
              <w:jc w:val="center"/>
              <w:rPr>
                <w:rFonts w:ascii="Times New Roman" w:hAnsi="Times New Roman" w:eastAsia="宋体" w:cs="Times New Roman"/>
                <w:color w:val="auto"/>
                <w:kern w:val="2"/>
                <w:sz w:val="21"/>
                <w:szCs w:val="21"/>
                <w:lang w:val="en-US" w:eastAsia="zh-CN" w:bidi="ar-SA"/>
              </w:rPr>
            </w:pPr>
            <w:r>
              <w:rPr>
                <w:color w:val="auto"/>
                <w:szCs w:val="21"/>
              </w:rPr>
              <w:t>53</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FC47714">
            <w:pPr>
              <w:snapToGrid w:val="0"/>
              <w:jc w:val="center"/>
              <w:rPr>
                <w:color w:val="auto"/>
                <w:szCs w:val="21"/>
              </w:rPr>
            </w:pPr>
            <w:r>
              <w:rPr>
                <w:color w:val="auto"/>
                <w:szCs w:val="21"/>
              </w:rPr>
              <w:t>刘郑村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11E2E77E">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09E2367C">
            <w:pPr>
              <w:snapToGrid w:val="0"/>
              <w:jc w:val="center"/>
              <w:rPr>
                <w:color w:val="auto"/>
                <w:szCs w:val="21"/>
              </w:rPr>
            </w:pPr>
            <w:r>
              <w:rPr>
                <w:color w:val="auto"/>
                <w:szCs w:val="21"/>
              </w:rPr>
              <w:t>4900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4E17C6E">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598C037">
            <w:pPr>
              <w:snapToGrid w:val="0"/>
              <w:jc w:val="center"/>
              <w:rPr>
                <w:color w:val="auto"/>
                <w:szCs w:val="21"/>
              </w:rPr>
            </w:pPr>
            <w:r>
              <w:rPr>
                <w:color w:val="auto"/>
                <w:szCs w:val="21"/>
              </w:rPr>
              <w:t>300</w:t>
            </w:r>
          </w:p>
        </w:tc>
      </w:tr>
      <w:tr w14:paraId="42354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E086F98">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1D63E773">
            <w:pPr>
              <w:snapToGrid w:val="0"/>
              <w:jc w:val="center"/>
              <w:rPr>
                <w:rFonts w:ascii="Times New Roman" w:hAnsi="Times New Roman" w:eastAsia="宋体" w:cs="Times New Roman"/>
                <w:color w:val="auto"/>
                <w:kern w:val="2"/>
                <w:sz w:val="21"/>
                <w:szCs w:val="21"/>
                <w:lang w:val="en-US" w:eastAsia="zh-CN" w:bidi="ar-SA"/>
              </w:rPr>
            </w:pPr>
            <w:r>
              <w:rPr>
                <w:color w:val="auto"/>
                <w:szCs w:val="21"/>
              </w:rPr>
              <w:t>54</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5908DD8">
            <w:pPr>
              <w:snapToGrid w:val="0"/>
              <w:jc w:val="center"/>
              <w:rPr>
                <w:color w:val="auto"/>
                <w:szCs w:val="21"/>
              </w:rPr>
            </w:pPr>
            <w:r>
              <w:rPr>
                <w:color w:val="auto"/>
                <w:szCs w:val="21"/>
              </w:rPr>
              <w:t>顾家圩</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8B26DDA">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5BC2C3A2">
            <w:pPr>
              <w:snapToGrid w:val="0"/>
              <w:jc w:val="center"/>
              <w:rPr>
                <w:color w:val="auto"/>
                <w:szCs w:val="21"/>
              </w:rPr>
            </w:pPr>
            <w:r>
              <w:rPr>
                <w:color w:val="auto"/>
                <w:szCs w:val="21"/>
              </w:rPr>
              <w:t>4900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B38AFBF">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BFC6BEA">
            <w:pPr>
              <w:snapToGrid w:val="0"/>
              <w:jc w:val="center"/>
              <w:rPr>
                <w:color w:val="auto"/>
                <w:szCs w:val="21"/>
              </w:rPr>
            </w:pPr>
            <w:r>
              <w:rPr>
                <w:color w:val="auto"/>
                <w:szCs w:val="21"/>
              </w:rPr>
              <w:t>200</w:t>
            </w:r>
          </w:p>
        </w:tc>
      </w:tr>
      <w:tr w14:paraId="5E4C5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2FC4A03C">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61CC801D">
            <w:pPr>
              <w:snapToGrid w:val="0"/>
              <w:jc w:val="center"/>
              <w:rPr>
                <w:rFonts w:ascii="Times New Roman" w:hAnsi="Times New Roman" w:eastAsia="宋体" w:cs="Times New Roman"/>
                <w:color w:val="auto"/>
                <w:kern w:val="2"/>
                <w:sz w:val="21"/>
                <w:szCs w:val="21"/>
                <w:lang w:val="en-US" w:eastAsia="zh-CN" w:bidi="ar-SA"/>
              </w:rPr>
            </w:pPr>
            <w:r>
              <w:rPr>
                <w:color w:val="auto"/>
                <w:szCs w:val="21"/>
              </w:rPr>
              <w:t>55</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51FFAB6B">
            <w:pPr>
              <w:snapToGrid w:val="0"/>
              <w:jc w:val="center"/>
              <w:rPr>
                <w:color w:val="auto"/>
                <w:szCs w:val="21"/>
              </w:rPr>
            </w:pPr>
            <w:r>
              <w:rPr>
                <w:color w:val="auto"/>
                <w:szCs w:val="21"/>
                <w:lang w:val="zh-CN"/>
              </w:rPr>
              <w:t>红光村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4404B163">
            <w:pPr>
              <w:snapToGrid w:val="0"/>
              <w:jc w:val="center"/>
              <w:rPr>
                <w:color w:val="auto"/>
                <w:szCs w:val="21"/>
              </w:rPr>
            </w:pPr>
            <w:r>
              <w:rPr>
                <w:color w:val="auto"/>
                <w:szCs w:val="21"/>
              </w:rPr>
              <w:t>NE</w:t>
            </w:r>
          </w:p>
        </w:tc>
        <w:tc>
          <w:tcPr>
            <w:tcW w:w="1284" w:type="dxa"/>
            <w:tcBorders>
              <w:top w:val="single" w:color="auto" w:sz="4" w:space="0"/>
              <w:left w:val="single" w:color="auto" w:sz="4" w:space="0"/>
              <w:bottom w:val="single" w:color="auto" w:sz="4" w:space="0"/>
              <w:right w:val="single" w:color="auto" w:sz="4" w:space="0"/>
            </w:tcBorders>
            <w:vAlign w:val="center"/>
          </w:tcPr>
          <w:p w14:paraId="76031484">
            <w:pPr>
              <w:snapToGrid w:val="0"/>
              <w:jc w:val="center"/>
              <w:rPr>
                <w:color w:val="auto"/>
                <w:szCs w:val="21"/>
              </w:rPr>
            </w:pPr>
            <w:r>
              <w:rPr>
                <w:color w:val="auto"/>
                <w:szCs w:val="21"/>
              </w:rPr>
              <w:t>4500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6D149149">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2484E8B6">
            <w:pPr>
              <w:snapToGrid w:val="0"/>
              <w:jc w:val="center"/>
              <w:rPr>
                <w:color w:val="auto"/>
                <w:szCs w:val="21"/>
              </w:rPr>
            </w:pPr>
            <w:r>
              <w:rPr>
                <w:color w:val="auto"/>
                <w:szCs w:val="21"/>
              </w:rPr>
              <w:t>1500</w:t>
            </w:r>
          </w:p>
        </w:tc>
      </w:tr>
      <w:tr w14:paraId="7F050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D1C8562">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2F7EFD3F">
            <w:pPr>
              <w:snapToGrid w:val="0"/>
              <w:jc w:val="center"/>
              <w:rPr>
                <w:rFonts w:ascii="Times New Roman" w:hAnsi="Times New Roman" w:eastAsia="宋体" w:cs="Times New Roman"/>
                <w:color w:val="auto"/>
                <w:kern w:val="2"/>
                <w:sz w:val="21"/>
                <w:szCs w:val="21"/>
                <w:lang w:val="en-US" w:eastAsia="zh-CN" w:bidi="ar-SA"/>
              </w:rPr>
            </w:pPr>
            <w:r>
              <w:rPr>
                <w:color w:val="auto"/>
                <w:szCs w:val="21"/>
              </w:rPr>
              <w:t>56</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3835CD3B">
            <w:pPr>
              <w:snapToGrid w:val="0"/>
              <w:jc w:val="center"/>
              <w:rPr>
                <w:color w:val="auto"/>
                <w:szCs w:val="21"/>
              </w:rPr>
            </w:pPr>
            <w:r>
              <w:rPr>
                <w:color w:val="auto"/>
                <w:szCs w:val="21"/>
                <w:lang w:val="zh-CN"/>
              </w:rPr>
              <w:t>曹店村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1913FC2D">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6EB510DF">
            <w:pPr>
              <w:snapToGrid w:val="0"/>
              <w:jc w:val="center"/>
              <w:rPr>
                <w:color w:val="auto"/>
                <w:szCs w:val="21"/>
              </w:rPr>
            </w:pPr>
            <w:r>
              <w:rPr>
                <w:color w:val="auto"/>
                <w:szCs w:val="21"/>
              </w:rPr>
              <w:t>4800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76853BCF">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6998AF43">
            <w:pPr>
              <w:snapToGrid w:val="0"/>
              <w:jc w:val="center"/>
              <w:rPr>
                <w:color w:val="auto"/>
                <w:szCs w:val="21"/>
              </w:rPr>
            </w:pPr>
            <w:r>
              <w:rPr>
                <w:color w:val="auto"/>
                <w:szCs w:val="21"/>
              </w:rPr>
              <w:t>2000</w:t>
            </w:r>
          </w:p>
        </w:tc>
      </w:tr>
      <w:tr w14:paraId="08B06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32F98293">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1E1C79EB">
            <w:pPr>
              <w:snapToGrid w:val="0"/>
              <w:jc w:val="center"/>
              <w:rPr>
                <w:rFonts w:ascii="Times New Roman" w:hAnsi="Times New Roman" w:eastAsia="宋体" w:cs="Times New Roman"/>
                <w:color w:val="auto"/>
                <w:kern w:val="2"/>
                <w:sz w:val="21"/>
                <w:szCs w:val="21"/>
                <w:lang w:val="en-US" w:eastAsia="zh-CN" w:bidi="ar-SA"/>
              </w:rPr>
            </w:pPr>
            <w:r>
              <w:rPr>
                <w:color w:val="auto"/>
                <w:szCs w:val="21"/>
              </w:rPr>
              <w:t>57</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20FC44D7">
            <w:pPr>
              <w:snapToGrid w:val="0"/>
              <w:jc w:val="center"/>
              <w:rPr>
                <w:color w:val="auto"/>
                <w:szCs w:val="21"/>
              </w:rPr>
            </w:pPr>
            <w:r>
              <w:rPr>
                <w:color w:val="auto"/>
                <w:szCs w:val="21"/>
                <w:lang w:val="zh-CN"/>
              </w:rPr>
              <w:t>九龙岗村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5ED37234">
            <w:pPr>
              <w:snapToGrid w:val="0"/>
              <w:jc w:val="center"/>
              <w:rPr>
                <w:color w:val="auto"/>
                <w:szCs w:val="21"/>
              </w:rPr>
            </w:pPr>
            <w:r>
              <w:rPr>
                <w:color w:val="auto"/>
                <w:szCs w:val="21"/>
              </w:rPr>
              <w:t>SE</w:t>
            </w:r>
          </w:p>
        </w:tc>
        <w:tc>
          <w:tcPr>
            <w:tcW w:w="1284" w:type="dxa"/>
            <w:tcBorders>
              <w:top w:val="single" w:color="auto" w:sz="4" w:space="0"/>
              <w:left w:val="single" w:color="auto" w:sz="4" w:space="0"/>
              <w:bottom w:val="single" w:color="auto" w:sz="4" w:space="0"/>
              <w:right w:val="single" w:color="auto" w:sz="4" w:space="0"/>
            </w:tcBorders>
            <w:vAlign w:val="center"/>
          </w:tcPr>
          <w:p w14:paraId="0AAB28BE">
            <w:pPr>
              <w:snapToGrid w:val="0"/>
              <w:jc w:val="center"/>
              <w:rPr>
                <w:color w:val="auto"/>
                <w:szCs w:val="21"/>
              </w:rPr>
            </w:pPr>
            <w:r>
              <w:rPr>
                <w:color w:val="auto"/>
                <w:szCs w:val="21"/>
              </w:rPr>
              <w:t>4900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58E2184">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2FD6DFB4">
            <w:pPr>
              <w:snapToGrid w:val="0"/>
              <w:jc w:val="center"/>
              <w:rPr>
                <w:color w:val="auto"/>
                <w:szCs w:val="21"/>
              </w:rPr>
            </w:pPr>
            <w:r>
              <w:rPr>
                <w:color w:val="auto"/>
                <w:szCs w:val="21"/>
              </w:rPr>
              <w:t>1500</w:t>
            </w:r>
          </w:p>
        </w:tc>
      </w:tr>
      <w:tr w14:paraId="1F06D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073EB99">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14:paraId="3BA3B5EF">
            <w:pPr>
              <w:snapToGrid w:val="0"/>
              <w:jc w:val="center"/>
              <w:rPr>
                <w:rFonts w:ascii="Times New Roman" w:hAnsi="Times New Roman" w:eastAsia="宋体" w:cs="Times New Roman"/>
                <w:color w:val="auto"/>
                <w:kern w:val="2"/>
                <w:sz w:val="21"/>
                <w:szCs w:val="21"/>
                <w:lang w:val="en-US" w:eastAsia="zh-CN" w:bidi="ar-SA"/>
              </w:rPr>
            </w:pPr>
            <w:r>
              <w:rPr>
                <w:color w:val="auto"/>
                <w:szCs w:val="21"/>
              </w:rPr>
              <w:t>58</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623C26B9">
            <w:pPr>
              <w:adjustRightInd w:val="0"/>
              <w:snapToGrid w:val="0"/>
              <w:jc w:val="center"/>
              <w:rPr>
                <w:color w:val="auto"/>
                <w:lang w:val="zh-CN"/>
              </w:rPr>
            </w:pPr>
            <w:r>
              <w:rPr>
                <w:color w:val="auto"/>
                <w:kern w:val="0"/>
                <w:szCs w:val="21"/>
              </w:rPr>
              <w:t>东方花园小区(陈巷村)</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2BDE029F">
            <w:pPr>
              <w:pStyle w:val="82"/>
              <w:spacing w:line="240" w:lineRule="auto"/>
              <w:ind w:firstLine="0"/>
              <w:contextualSpacing/>
              <w:rPr>
                <w:bCs/>
                <w:color w:val="auto"/>
                <w:szCs w:val="21"/>
                <w:lang w:bidi="en-US"/>
              </w:rPr>
            </w:pPr>
            <w:r>
              <w:rPr>
                <w:color w:val="auto"/>
                <w:kern w:val="0"/>
                <w:szCs w:val="21"/>
              </w:rPr>
              <w:t>SW</w:t>
            </w:r>
          </w:p>
        </w:tc>
        <w:tc>
          <w:tcPr>
            <w:tcW w:w="1284" w:type="dxa"/>
            <w:tcBorders>
              <w:top w:val="single" w:color="auto" w:sz="4" w:space="0"/>
              <w:left w:val="single" w:color="auto" w:sz="4" w:space="0"/>
              <w:bottom w:val="single" w:color="auto" w:sz="4" w:space="0"/>
              <w:right w:val="single" w:color="auto" w:sz="4" w:space="0"/>
            </w:tcBorders>
            <w:vAlign w:val="center"/>
          </w:tcPr>
          <w:p w14:paraId="09BF7291">
            <w:pPr>
              <w:snapToGrid w:val="0"/>
              <w:jc w:val="center"/>
              <w:rPr>
                <w:color w:val="auto"/>
                <w:szCs w:val="21"/>
              </w:rPr>
            </w:pPr>
            <w:r>
              <w:rPr>
                <w:rFonts w:hint="eastAsia"/>
                <w:color w:val="auto"/>
                <w:szCs w:val="21"/>
              </w:rPr>
              <w:t>600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4F58F9EE">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684699E7">
            <w:pPr>
              <w:snapToGrid w:val="0"/>
              <w:jc w:val="center"/>
              <w:rPr>
                <w:color w:val="auto"/>
                <w:szCs w:val="21"/>
              </w:rPr>
            </w:pPr>
            <w:r>
              <w:rPr>
                <w:color w:val="auto"/>
                <w:szCs w:val="21"/>
              </w:rPr>
              <w:t>3000</w:t>
            </w:r>
          </w:p>
        </w:tc>
      </w:tr>
      <w:tr w14:paraId="2C2C0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C3AD6EA">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vAlign w:val="center"/>
          </w:tcPr>
          <w:p w14:paraId="2E6497CF">
            <w:pPr>
              <w:snapToGrid w:val="0"/>
              <w:jc w:val="center"/>
              <w:rPr>
                <w:rFonts w:hint="default" w:eastAsia="宋体"/>
                <w:color w:val="auto"/>
                <w:szCs w:val="21"/>
                <w:lang w:val="en-US" w:eastAsia="zh-CN"/>
              </w:rPr>
            </w:pPr>
            <w:r>
              <w:rPr>
                <w:rFonts w:hint="eastAsia"/>
                <w:color w:val="auto"/>
                <w:szCs w:val="21"/>
                <w:lang w:val="en-US" w:eastAsia="zh-CN"/>
              </w:rPr>
              <w:t>59</w:t>
            </w:r>
          </w:p>
        </w:tc>
        <w:tc>
          <w:tcPr>
            <w:tcW w:w="2410" w:type="dxa"/>
            <w:gridSpan w:val="3"/>
            <w:tcBorders>
              <w:top w:val="single" w:color="auto" w:sz="4" w:space="0"/>
              <w:left w:val="single" w:color="auto" w:sz="4" w:space="0"/>
              <w:bottom w:val="single" w:color="auto" w:sz="4" w:space="0"/>
              <w:right w:val="single" w:color="auto" w:sz="4" w:space="0"/>
            </w:tcBorders>
            <w:vAlign w:val="center"/>
          </w:tcPr>
          <w:p w14:paraId="26AEE26D">
            <w:pPr>
              <w:adjustRightInd w:val="0"/>
              <w:snapToGrid w:val="0"/>
              <w:jc w:val="center"/>
              <w:rPr>
                <w:color w:val="auto"/>
                <w:lang w:val="zh-CN"/>
              </w:rPr>
            </w:pPr>
            <w:r>
              <w:rPr>
                <w:color w:val="auto"/>
                <w:kern w:val="0"/>
                <w:szCs w:val="21"/>
              </w:rPr>
              <w:t>淮南世和双语高级中学</w:t>
            </w:r>
          </w:p>
        </w:tc>
        <w:tc>
          <w:tcPr>
            <w:tcW w:w="1087" w:type="dxa"/>
            <w:gridSpan w:val="3"/>
            <w:tcBorders>
              <w:top w:val="single" w:color="auto" w:sz="4" w:space="0"/>
              <w:left w:val="single" w:color="auto" w:sz="4" w:space="0"/>
              <w:bottom w:val="single" w:color="auto" w:sz="4" w:space="0"/>
              <w:right w:val="single" w:color="auto" w:sz="4" w:space="0"/>
            </w:tcBorders>
            <w:vAlign w:val="center"/>
          </w:tcPr>
          <w:p w14:paraId="2E2E9BBC">
            <w:pPr>
              <w:pStyle w:val="82"/>
              <w:spacing w:line="240" w:lineRule="auto"/>
              <w:ind w:firstLine="0"/>
              <w:contextualSpacing/>
              <w:rPr>
                <w:color w:val="auto"/>
                <w:kern w:val="0"/>
                <w:szCs w:val="21"/>
              </w:rPr>
            </w:pPr>
            <w:r>
              <w:rPr>
                <w:color w:val="auto"/>
                <w:kern w:val="0"/>
                <w:szCs w:val="21"/>
              </w:rPr>
              <w:t>SW</w:t>
            </w:r>
          </w:p>
        </w:tc>
        <w:tc>
          <w:tcPr>
            <w:tcW w:w="1284" w:type="dxa"/>
            <w:tcBorders>
              <w:top w:val="single" w:color="auto" w:sz="4" w:space="0"/>
              <w:left w:val="single" w:color="auto" w:sz="4" w:space="0"/>
              <w:bottom w:val="single" w:color="auto" w:sz="4" w:space="0"/>
              <w:right w:val="single" w:color="auto" w:sz="4" w:space="0"/>
            </w:tcBorders>
            <w:vAlign w:val="center"/>
          </w:tcPr>
          <w:p w14:paraId="0D085404">
            <w:pPr>
              <w:snapToGrid w:val="0"/>
              <w:jc w:val="center"/>
              <w:rPr>
                <w:color w:val="auto"/>
                <w:szCs w:val="21"/>
              </w:rPr>
            </w:pPr>
            <w:r>
              <w:rPr>
                <w:rFonts w:hint="eastAsia"/>
                <w:color w:val="auto"/>
                <w:szCs w:val="21"/>
              </w:rPr>
              <w:t>650</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030B9E20">
            <w:pPr>
              <w:snapToGrid w:val="0"/>
              <w:jc w:val="center"/>
              <w:rPr>
                <w:color w:val="auto"/>
                <w:szCs w:val="21"/>
              </w:rPr>
            </w:pPr>
            <w:r>
              <w:rPr>
                <w:color w:val="auto"/>
                <w:szCs w:val="21"/>
              </w:rPr>
              <w:t>居民</w:t>
            </w:r>
          </w:p>
        </w:tc>
        <w:tc>
          <w:tcPr>
            <w:tcW w:w="1262" w:type="dxa"/>
            <w:tcBorders>
              <w:top w:val="single" w:color="auto" w:sz="4" w:space="0"/>
              <w:left w:val="single" w:color="auto" w:sz="4" w:space="0"/>
              <w:bottom w:val="single" w:color="auto" w:sz="4" w:space="0"/>
              <w:right w:val="single" w:color="auto" w:sz="4" w:space="0"/>
            </w:tcBorders>
            <w:vAlign w:val="center"/>
          </w:tcPr>
          <w:p w14:paraId="4840A111">
            <w:pPr>
              <w:snapToGrid w:val="0"/>
              <w:jc w:val="center"/>
              <w:rPr>
                <w:color w:val="auto"/>
                <w:szCs w:val="21"/>
              </w:rPr>
            </w:pPr>
            <w:r>
              <w:rPr>
                <w:color w:val="auto"/>
                <w:szCs w:val="21"/>
              </w:rPr>
              <w:t>1000</w:t>
            </w:r>
          </w:p>
        </w:tc>
      </w:tr>
      <w:tr w14:paraId="32254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76B62DC7">
            <w:pPr>
              <w:snapToGrid w:val="0"/>
              <w:jc w:val="center"/>
              <w:rPr>
                <w:color w:val="auto"/>
                <w:szCs w:val="21"/>
              </w:rPr>
            </w:pPr>
          </w:p>
        </w:tc>
        <w:tc>
          <w:tcPr>
            <w:tcW w:w="7091" w:type="dxa"/>
            <w:gridSpan w:val="10"/>
            <w:tcBorders>
              <w:top w:val="single" w:color="auto" w:sz="4" w:space="0"/>
              <w:left w:val="single" w:color="auto" w:sz="4" w:space="0"/>
              <w:bottom w:val="single" w:color="auto" w:sz="4" w:space="0"/>
              <w:right w:val="single" w:color="auto" w:sz="4" w:space="0"/>
            </w:tcBorders>
            <w:vAlign w:val="center"/>
          </w:tcPr>
          <w:p w14:paraId="24660234">
            <w:pPr>
              <w:snapToGrid w:val="0"/>
              <w:jc w:val="center"/>
              <w:rPr>
                <w:color w:val="auto"/>
                <w:szCs w:val="21"/>
              </w:rPr>
            </w:pPr>
            <w:r>
              <w:rPr>
                <w:color w:val="auto"/>
                <w:szCs w:val="21"/>
              </w:rPr>
              <w:t>厂址周边5km范围内人口数小计</w:t>
            </w:r>
          </w:p>
        </w:tc>
        <w:tc>
          <w:tcPr>
            <w:tcW w:w="1262" w:type="dxa"/>
            <w:tcBorders>
              <w:top w:val="single" w:color="auto" w:sz="4" w:space="0"/>
              <w:left w:val="single" w:color="auto" w:sz="4" w:space="0"/>
              <w:bottom w:val="single" w:color="auto" w:sz="4" w:space="0"/>
              <w:right w:val="single" w:color="auto" w:sz="4" w:space="0"/>
            </w:tcBorders>
            <w:vAlign w:val="center"/>
          </w:tcPr>
          <w:p w14:paraId="29554089">
            <w:pPr>
              <w:snapToGrid w:val="0"/>
              <w:jc w:val="center"/>
              <w:rPr>
                <w:color w:val="auto"/>
                <w:szCs w:val="21"/>
              </w:rPr>
            </w:pPr>
            <w:r>
              <w:rPr>
                <w:color w:val="auto"/>
                <w:szCs w:val="21"/>
              </w:rPr>
              <w:t>＞50000人</w:t>
            </w:r>
          </w:p>
        </w:tc>
      </w:tr>
      <w:tr w14:paraId="19D0B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40A1253">
            <w:pPr>
              <w:snapToGrid w:val="0"/>
              <w:jc w:val="center"/>
              <w:rPr>
                <w:color w:val="auto"/>
                <w:szCs w:val="21"/>
              </w:rPr>
            </w:pPr>
          </w:p>
        </w:tc>
        <w:tc>
          <w:tcPr>
            <w:tcW w:w="7091" w:type="dxa"/>
            <w:gridSpan w:val="10"/>
            <w:tcBorders>
              <w:top w:val="single" w:color="auto" w:sz="4" w:space="0"/>
              <w:left w:val="single" w:color="auto" w:sz="4" w:space="0"/>
              <w:bottom w:val="single" w:color="auto" w:sz="4" w:space="0"/>
              <w:right w:val="single" w:color="auto" w:sz="4" w:space="0"/>
            </w:tcBorders>
            <w:vAlign w:val="center"/>
          </w:tcPr>
          <w:p w14:paraId="188211A4">
            <w:pPr>
              <w:snapToGrid w:val="0"/>
              <w:jc w:val="center"/>
              <w:rPr>
                <w:color w:val="auto"/>
                <w:szCs w:val="21"/>
              </w:rPr>
            </w:pPr>
            <w:r>
              <w:rPr>
                <w:color w:val="auto"/>
                <w:szCs w:val="21"/>
              </w:rPr>
              <w:t>大气环境敏感程度E值</w:t>
            </w:r>
          </w:p>
        </w:tc>
        <w:tc>
          <w:tcPr>
            <w:tcW w:w="1262" w:type="dxa"/>
            <w:tcBorders>
              <w:top w:val="single" w:color="auto" w:sz="4" w:space="0"/>
              <w:left w:val="single" w:color="auto" w:sz="4" w:space="0"/>
              <w:bottom w:val="single" w:color="auto" w:sz="4" w:space="0"/>
              <w:right w:val="single" w:color="auto" w:sz="4" w:space="0"/>
            </w:tcBorders>
            <w:vAlign w:val="center"/>
          </w:tcPr>
          <w:p w14:paraId="127FBB4F">
            <w:pPr>
              <w:snapToGrid w:val="0"/>
              <w:jc w:val="center"/>
              <w:rPr>
                <w:color w:val="auto"/>
                <w:szCs w:val="21"/>
              </w:rPr>
            </w:pPr>
            <w:r>
              <w:rPr>
                <w:color w:val="auto"/>
                <w:szCs w:val="21"/>
              </w:rPr>
              <w:t>E1</w:t>
            </w:r>
          </w:p>
        </w:tc>
      </w:tr>
      <w:tr w14:paraId="19B9C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restart"/>
            <w:tcBorders>
              <w:top w:val="single" w:color="auto" w:sz="4" w:space="0"/>
              <w:left w:val="single" w:color="auto" w:sz="4" w:space="0"/>
              <w:bottom w:val="single" w:color="auto" w:sz="4" w:space="0"/>
              <w:right w:val="single" w:color="auto" w:sz="4" w:space="0"/>
            </w:tcBorders>
            <w:vAlign w:val="center"/>
          </w:tcPr>
          <w:p w14:paraId="0DA7CC0A">
            <w:pPr>
              <w:snapToGrid w:val="0"/>
              <w:jc w:val="center"/>
              <w:rPr>
                <w:color w:val="auto"/>
                <w:szCs w:val="21"/>
              </w:rPr>
            </w:pPr>
            <w:r>
              <w:rPr>
                <w:color w:val="auto"/>
                <w:szCs w:val="21"/>
              </w:rPr>
              <w:t>地表水</w:t>
            </w:r>
          </w:p>
        </w:tc>
        <w:tc>
          <w:tcPr>
            <w:tcW w:w="8353" w:type="dxa"/>
            <w:gridSpan w:val="11"/>
            <w:tcBorders>
              <w:top w:val="single" w:color="auto" w:sz="4" w:space="0"/>
              <w:left w:val="single" w:color="auto" w:sz="4" w:space="0"/>
              <w:bottom w:val="single" w:color="auto" w:sz="4" w:space="0"/>
              <w:right w:val="single" w:color="auto" w:sz="4" w:space="0"/>
            </w:tcBorders>
            <w:vAlign w:val="center"/>
          </w:tcPr>
          <w:p w14:paraId="53CC8CAB">
            <w:pPr>
              <w:snapToGrid w:val="0"/>
              <w:jc w:val="center"/>
              <w:rPr>
                <w:color w:val="auto"/>
                <w:szCs w:val="21"/>
              </w:rPr>
            </w:pPr>
            <w:r>
              <w:rPr>
                <w:color w:val="auto"/>
                <w:szCs w:val="21"/>
              </w:rPr>
              <w:t>受纳水体</w:t>
            </w:r>
          </w:p>
        </w:tc>
      </w:tr>
      <w:tr w14:paraId="1C668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40236E60">
            <w:pPr>
              <w:snapToGrid w:val="0"/>
              <w:jc w:val="center"/>
              <w:rPr>
                <w:color w:val="auto"/>
                <w:szCs w:val="21"/>
              </w:rPr>
            </w:pPr>
          </w:p>
        </w:tc>
        <w:tc>
          <w:tcPr>
            <w:tcW w:w="1549" w:type="dxa"/>
            <w:gridSpan w:val="2"/>
            <w:tcBorders>
              <w:top w:val="single" w:color="auto" w:sz="4" w:space="0"/>
              <w:left w:val="single" w:color="auto" w:sz="4" w:space="0"/>
              <w:bottom w:val="single" w:color="auto" w:sz="4" w:space="0"/>
              <w:right w:val="single" w:color="auto" w:sz="4" w:space="0"/>
            </w:tcBorders>
            <w:vAlign w:val="center"/>
          </w:tcPr>
          <w:p w14:paraId="694D63C8">
            <w:pPr>
              <w:snapToGrid w:val="0"/>
              <w:jc w:val="center"/>
              <w:rPr>
                <w:color w:val="auto"/>
                <w:szCs w:val="21"/>
              </w:rPr>
            </w:pPr>
            <w:r>
              <w:rPr>
                <w:color w:val="auto"/>
                <w:szCs w:val="21"/>
              </w:rPr>
              <w:t>序号</w:t>
            </w:r>
          </w:p>
        </w:tc>
        <w:tc>
          <w:tcPr>
            <w:tcW w:w="2008" w:type="dxa"/>
            <w:gridSpan w:val="3"/>
            <w:tcBorders>
              <w:top w:val="single" w:color="auto" w:sz="4" w:space="0"/>
              <w:left w:val="single" w:color="auto" w:sz="4" w:space="0"/>
              <w:bottom w:val="single" w:color="auto" w:sz="4" w:space="0"/>
              <w:right w:val="single" w:color="auto" w:sz="4" w:space="0"/>
            </w:tcBorders>
            <w:vAlign w:val="center"/>
          </w:tcPr>
          <w:p w14:paraId="6202C2A3">
            <w:pPr>
              <w:snapToGrid w:val="0"/>
              <w:jc w:val="center"/>
              <w:rPr>
                <w:color w:val="auto"/>
                <w:szCs w:val="21"/>
              </w:rPr>
            </w:pPr>
            <w:r>
              <w:rPr>
                <w:color w:val="auto"/>
                <w:szCs w:val="21"/>
              </w:rPr>
              <w:t>受纳水体名称</w:t>
            </w:r>
          </w:p>
        </w:tc>
        <w:tc>
          <w:tcPr>
            <w:tcW w:w="2388" w:type="dxa"/>
            <w:gridSpan w:val="4"/>
            <w:tcBorders>
              <w:top w:val="single" w:color="auto" w:sz="4" w:space="0"/>
              <w:left w:val="single" w:color="auto" w:sz="4" w:space="0"/>
              <w:bottom w:val="single" w:color="auto" w:sz="4" w:space="0"/>
              <w:right w:val="single" w:color="auto" w:sz="4" w:space="0"/>
            </w:tcBorders>
            <w:vAlign w:val="center"/>
          </w:tcPr>
          <w:p w14:paraId="7EE1E592">
            <w:pPr>
              <w:snapToGrid w:val="0"/>
              <w:jc w:val="center"/>
              <w:rPr>
                <w:color w:val="auto"/>
                <w:szCs w:val="21"/>
              </w:rPr>
            </w:pPr>
            <w:r>
              <w:rPr>
                <w:color w:val="auto"/>
                <w:szCs w:val="21"/>
              </w:rPr>
              <w:t>排放点水域环境功能</w:t>
            </w:r>
          </w:p>
        </w:tc>
        <w:tc>
          <w:tcPr>
            <w:tcW w:w="2408" w:type="dxa"/>
            <w:gridSpan w:val="2"/>
            <w:tcBorders>
              <w:top w:val="single" w:color="auto" w:sz="4" w:space="0"/>
              <w:left w:val="single" w:color="auto" w:sz="4" w:space="0"/>
              <w:bottom w:val="single" w:color="auto" w:sz="4" w:space="0"/>
              <w:right w:val="single" w:color="auto" w:sz="4" w:space="0"/>
            </w:tcBorders>
            <w:vAlign w:val="center"/>
          </w:tcPr>
          <w:p w14:paraId="6A2109C4">
            <w:pPr>
              <w:snapToGrid w:val="0"/>
              <w:jc w:val="center"/>
              <w:rPr>
                <w:color w:val="auto"/>
                <w:szCs w:val="21"/>
              </w:rPr>
            </w:pPr>
            <w:r>
              <w:rPr>
                <w:color w:val="auto"/>
                <w:szCs w:val="21"/>
              </w:rPr>
              <w:t>24h内流经范围/km</w:t>
            </w:r>
          </w:p>
        </w:tc>
      </w:tr>
      <w:tr w14:paraId="08CE0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292107B">
            <w:pPr>
              <w:snapToGrid w:val="0"/>
              <w:jc w:val="center"/>
              <w:rPr>
                <w:color w:val="auto"/>
                <w:szCs w:val="21"/>
              </w:rPr>
            </w:pPr>
          </w:p>
        </w:tc>
        <w:tc>
          <w:tcPr>
            <w:tcW w:w="1549" w:type="dxa"/>
            <w:gridSpan w:val="2"/>
            <w:tcBorders>
              <w:top w:val="single" w:color="auto" w:sz="4" w:space="0"/>
              <w:left w:val="single" w:color="auto" w:sz="4" w:space="0"/>
              <w:bottom w:val="single" w:color="auto" w:sz="4" w:space="0"/>
              <w:right w:val="single" w:color="auto" w:sz="4" w:space="0"/>
            </w:tcBorders>
            <w:vAlign w:val="center"/>
          </w:tcPr>
          <w:p w14:paraId="03F62430">
            <w:pPr>
              <w:snapToGrid w:val="0"/>
              <w:jc w:val="center"/>
              <w:rPr>
                <w:color w:val="auto"/>
                <w:szCs w:val="21"/>
              </w:rPr>
            </w:pPr>
            <w:r>
              <w:rPr>
                <w:color w:val="auto"/>
                <w:szCs w:val="21"/>
              </w:rPr>
              <w:t>1</w:t>
            </w:r>
          </w:p>
        </w:tc>
        <w:tc>
          <w:tcPr>
            <w:tcW w:w="2008" w:type="dxa"/>
            <w:gridSpan w:val="3"/>
            <w:tcBorders>
              <w:top w:val="single" w:color="auto" w:sz="4" w:space="0"/>
              <w:left w:val="single" w:color="auto" w:sz="4" w:space="0"/>
              <w:bottom w:val="single" w:color="auto" w:sz="4" w:space="0"/>
              <w:right w:val="single" w:color="auto" w:sz="4" w:space="0"/>
            </w:tcBorders>
            <w:vAlign w:val="center"/>
          </w:tcPr>
          <w:p w14:paraId="5B2BDAFE">
            <w:pPr>
              <w:snapToGrid w:val="0"/>
              <w:jc w:val="center"/>
              <w:rPr>
                <w:color w:val="auto"/>
                <w:szCs w:val="21"/>
              </w:rPr>
            </w:pPr>
            <w:r>
              <w:rPr>
                <w:color w:val="auto"/>
                <w:szCs w:val="21"/>
              </w:rPr>
              <w:t>内河</w:t>
            </w:r>
          </w:p>
        </w:tc>
        <w:tc>
          <w:tcPr>
            <w:tcW w:w="2388" w:type="dxa"/>
            <w:gridSpan w:val="4"/>
            <w:tcBorders>
              <w:top w:val="single" w:color="auto" w:sz="4" w:space="0"/>
              <w:left w:val="single" w:color="auto" w:sz="4" w:space="0"/>
              <w:bottom w:val="single" w:color="auto" w:sz="4" w:space="0"/>
              <w:right w:val="single" w:color="auto" w:sz="4" w:space="0"/>
            </w:tcBorders>
            <w:vAlign w:val="center"/>
          </w:tcPr>
          <w:p w14:paraId="150FD376">
            <w:pPr>
              <w:snapToGrid w:val="0"/>
              <w:jc w:val="center"/>
              <w:rPr>
                <w:color w:val="auto"/>
                <w:szCs w:val="21"/>
              </w:rPr>
            </w:pPr>
            <w:r>
              <w:rPr>
                <w:color w:val="auto"/>
                <w:szCs w:val="21"/>
              </w:rPr>
              <w:t>Ⅲ类</w:t>
            </w:r>
          </w:p>
        </w:tc>
        <w:tc>
          <w:tcPr>
            <w:tcW w:w="2408" w:type="dxa"/>
            <w:gridSpan w:val="2"/>
            <w:tcBorders>
              <w:top w:val="single" w:color="auto" w:sz="4" w:space="0"/>
              <w:left w:val="single" w:color="auto" w:sz="4" w:space="0"/>
              <w:bottom w:val="single" w:color="auto" w:sz="4" w:space="0"/>
              <w:right w:val="single" w:color="auto" w:sz="4" w:space="0"/>
            </w:tcBorders>
            <w:vAlign w:val="center"/>
          </w:tcPr>
          <w:p w14:paraId="726F92FD">
            <w:pPr>
              <w:snapToGrid w:val="0"/>
              <w:jc w:val="center"/>
              <w:rPr>
                <w:color w:val="auto"/>
                <w:szCs w:val="21"/>
              </w:rPr>
            </w:pPr>
            <w:r>
              <w:rPr>
                <w:color w:val="auto"/>
                <w:szCs w:val="21"/>
              </w:rPr>
              <w:t>/</w:t>
            </w:r>
          </w:p>
        </w:tc>
      </w:tr>
      <w:tr w14:paraId="42215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58996579">
            <w:pPr>
              <w:snapToGrid w:val="0"/>
              <w:jc w:val="center"/>
              <w:rPr>
                <w:color w:val="auto"/>
                <w:szCs w:val="21"/>
              </w:rPr>
            </w:pPr>
          </w:p>
        </w:tc>
        <w:tc>
          <w:tcPr>
            <w:tcW w:w="7091" w:type="dxa"/>
            <w:gridSpan w:val="10"/>
            <w:tcBorders>
              <w:top w:val="single" w:color="auto" w:sz="4" w:space="0"/>
              <w:left w:val="single" w:color="auto" w:sz="4" w:space="0"/>
              <w:bottom w:val="single" w:color="auto" w:sz="4" w:space="0"/>
              <w:right w:val="single" w:color="auto" w:sz="4" w:space="0"/>
            </w:tcBorders>
            <w:vAlign w:val="center"/>
          </w:tcPr>
          <w:p w14:paraId="4F2921B6">
            <w:pPr>
              <w:snapToGrid w:val="0"/>
              <w:jc w:val="center"/>
              <w:rPr>
                <w:color w:val="auto"/>
                <w:szCs w:val="21"/>
              </w:rPr>
            </w:pPr>
            <w:r>
              <w:rPr>
                <w:color w:val="auto"/>
                <w:szCs w:val="21"/>
              </w:rPr>
              <w:t>地表水环境敏感程度E值</w:t>
            </w:r>
          </w:p>
        </w:tc>
        <w:tc>
          <w:tcPr>
            <w:tcW w:w="1262" w:type="dxa"/>
            <w:tcBorders>
              <w:top w:val="single" w:color="auto" w:sz="4" w:space="0"/>
              <w:left w:val="single" w:color="auto" w:sz="4" w:space="0"/>
              <w:bottom w:val="single" w:color="auto" w:sz="4" w:space="0"/>
              <w:right w:val="single" w:color="auto" w:sz="4" w:space="0"/>
            </w:tcBorders>
            <w:vAlign w:val="center"/>
          </w:tcPr>
          <w:p w14:paraId="016407E6">
            <w:pPr>
              <w:snapToGrid w:val="0"/>
              <w:jc w:val="center"/>
              <w:rPr>
                <w:color w:val="auto"/>
                <w:szCs w:val="21"/>
              </w:rPr>
            </w:pPr>
            <w:r>
              <w:rPr>
                <w:color w:val="auto"/>
                <w:szCs w:val="21"/>
              </w:rPr>
              <w:t>E2</w:t>
            </w:r>
          </w:p>
        </w:tc>
      </w:tr>
      <w:tr w14:paraId="2D5F4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restart"/>
            <w:tcBorders>
              <w:top w:val="single" w:color="auto" w:sz="4" w:space="0"/>
              <w:left w:val="single" w:color="auto" w:sz="4" w:space="0"/>
              <w:bottom w:val="single" w:color="auto" w:sz="4" w:space="0"/>
              <w:right w:val="single" w:color="auto" w:sz="4" w:space="0"/>
            </w:tcBorders>
            <w:vAlign w:val="center"/>
          </w:tcPr>
          <w:p w14:paraId="777D6CD7">
            <w:pPr>
              <w:snapToGrid w:val="0"/>
              <w:jc w:val="center"/>
              <w:rPr>
                <w:color w:val="auto"/>
                <w:szCs w:val="21"/>
              </w:rPr>
            </w:pPr>
            <w:r>
              <w:rPr>
                <w:color w:val="auto"/>
                <w:szCs w:val="21"/>
              </w:rPr>
              <w:t>地下水</w:t>
            </w:r>
          </w:p>
        </w:tc>
        <w:tc>
          <w:tcPr>
            <w:tcW w:w="699" w:type="dxa"/>
            <w:tcBorders>
              <w:top w:val="single" w:color="auto" w:sz="4" w:space="0"/>
              <w:left w:val="single" w:color="auto" w:sz="4" w:space="0"/>
              <w:bottom w:val="single" w:color="auto" w:sz="4" w:space="0"/>
              <w:right w:val="single" w:color="auto" w:sz="4" w:space="0"/>
            </w:tcBorders>
            <w:vAlign w:val="center"/>
          </w:tcPr>
          <w:p w14:paraId="5D8CF74E">
            <w:pPr>
              <w:snapToGrid w:val="0"/>
              <w:jc w:val="center"/>
              <w:rPr>
                <w:color w:val="auto"/>
                <w:szCs w:val="21"/>
              </w:rPr>
            </w:pPr>
            <w:r>
              <w:rPr>
                <w:color w:val="auto"/>
                <w:szCs w:val="21"/>
              </w:rPr>
              <w:t>序号</w:t>
            </w:r>
          </w:p>
        </w:tc>
        <w:tc>
          <w:tcPr>
            <w:tcW w:w="1588" w:type="dxa"/>
            <w:gridSpan w:val="2"/>
            <w:tcBorders>
              <w:top w:val="single" w:color="auto" w:sz="4" w:space="0"/>
              <w:left w:val="single" w:color="auto" w:sz="4" w:space="0"/>
              <w:bottom w:val="single" w:color="auto" w:sz="4" w:space="0"/>
              <w:right w:val="single" w:color="auto" w:sz="4" w:space="0"/>
            </w:tcBorders>
            <w:vAlign w:val="center"/>
          </w:tcPr>
          <w:p w14:paraId="6FCCB1FC">
            <w:pPr>
              <w:snapToGrid w:val="0"/>
              <w:jc w:val="center"/>
              <w:rPr>
                <w:color w:val="auto"/>
                <w:szCs w:val="21"/>
              </w:rPr>
            </w:pPr>
            <w:r>
              <w:rPr>
                <w:color w:val="auto"/>
                <w:szCs w:val="21"/>
              </w:rPr>
              <w:t>环境敏感区名称</w:t>
            </w:r>
          </w:p>
        </w:tc>
        <w:tc>
          <w:tcPr>
            <w:tcW w:w="1547" w:type="dxa"/>
            <w:gridSpan w:val="3"/>
            <w:tcBorders>
              <w:top w:val="single" w:color="auto" w:sz="4" w:space="0"/>
              <w:left w:val="single" w:color="auto" w:sz="4" w:space="0"/>
              <w:bottom w:val="single" w:color="auto" w:sz="4" w:space="0"/>
              <w:right w:val="single" w:color="auto" w:sz="4" w:space="0"/>
            </w:tcBorders>
            <w:vAlign w:val="center"/>
          </w:tcPr>
          <w:p w14:paraId="2B567EF2">
            <w:pPr>
              <w:snapToGrid w:val="0"/>
              <w:jc w:val="center"/>
              <w:rPr>
                <w:color w:val="auto"/>
                <w:szCs w:val="21"/>
              </w:rPr>
            </w:pPr>
            <w:r>
              <w:rPr>
                <w:color w:val="auto"/>
                <w:szCs w:val="21"/>
              </w:rPr>
              <w:t>环境敏感特征</w:t>
            </w:r>
          </w:p>
        </w:tc>
        <w:tc>
          <w:tcPr>
            <w:tcW w:w="1646" w:type="dxa"/>
            <w:gridSpan w:val="2"/>
            <w:tcBorders>
              <w:top w:val="single" w:color="auto" w:sz="4" w:space="0"/>
              <w:left w:val="single" w:color="auto" w:sz="4" w:space="0"/>
              <w:bottom w:val="single" w:color="auto" w:sz="4" w:space="0"/>
              <w:right w:val="single" w:color="auto" w:sz="4" w:space="0"/>
            </w:tcBorders>
            <w:vAlign w:val="center"/>
          </w:tcPr>
          <w:p w14:paraId="322CA8E3">
            <w:pPr>
              <w:snapToGrid w:val="0"/>
              <w:jc w:val="center"/>
              <w:rPr>
                <w:color w:val="auto"/>
                <w:szCs w:val="21"/>
              </w:rPr>
            </w:pPr>
            <w:r>
              <w:rPr>
                <w:color w:val="auto"/>
                <w:szCs w:val="21"/>
              </w:rPr>
              <w:t>水质目标</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44754D9D">
            <w:pPr>
              <w:snapToGrid w:val="0"/>
              <w:jc w:val="center"/>
              <w:rPr>
                <w:color w:val="auto"/>
                <w:szCs w:val="21"/>
              </w:rPr>
            </w:pPr>
            <w:r>
              <w:rPr>
                <w:color w:val="auto"/>
                <w:szCs w:val="21"/>
              </w:rPr>
              <w:t>包气带</w:t>
            </w:r>
          </w:p>
          <w:p w14:paraId="72A8B6AD">
            <w:pPr>
              <w:snapToGrid w:val="0"/>
              <w:jc w:val="center"/>
              <w:rPr>
                <w:color w:val="auto"/>
                <w:szCs w:val="21"/>
              </w:rPr>
            </w:pPr>
            <w:r>
              <w:rPr>
                <w:color w:val="auto"/>
                <w:szCs w:val="21"/>
              </w:rPr>
              <w:t>防污性能</w:t>
            </w:r>
          </w:p>
        </w:tc>
        <w:tc>
          <w:tcPr>
            <w:tcW w:w="1262" w:type="dxa"/>
            <w:tcBorders>
              <w:top w:val="single" w:color="auto" w:sz="4" w:space="0"/>
              <w:left w:val="single" w:color="auto" w:sz="4" w:space="0"/>
              <w:bottom w:val="single" w:color="auto" w:sz="4" w:space="0"/>
              <w:right w:val="single" w:color="auto" w:sz="4" w:space="0"/>
            </w:tcBorders>
            <w:vAlign w:val="center"/>
          </w:tcPr>
          <w:p w14:paraId="78D8AB1B">
            <w:pPr>
              <w:snapToGrid w:val="0"/>
              <w:jc w:val="center"/>
              <w:rPr>
                <w:color w:val="auto"/>
                <w:szCs w:val="21"/>
              </w:rPr>
            </w:pPr>
            <w:r>
              <w:rPr>
                <w:color w:val="auto"/>
                <w:szCs w:val="21"/>
              </w:rPr>
              <w:t>与下游厂界距离/m</w:t>
            </w:r>
          </w:p>
        </w:tc>
      </w:tr>
      <w:tr w14:paraId="7672C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5054C692">
            <w:pPr>
              <w:snapToGrid w:val="0"/>
              <w:jc w:val="center"/>
              <w:rPr>
                <w:color w:val="auto"/>
                <w:szCs w:val="21"/>
              </w:rPr>
            </w:pPr>
          </w:p>
        </w:tc>
        <w:tc>
          <w:tcPr>
            <w:tcW w:w="699" w:type="dxa"/>
            <w:tcBorders>
              <w:top w:val="single" w:color="auto" w:sz="4" w:space="0"/>
              <w:left w:val="single" w:color="auto" w:sz="4" w:space="0"/>
              <w:bottom w:val="single" w:color="auto" w:sz="4" w:space="0"/>
              <w:right w:val="single" w:color="auto" w:sz="4" w:space="0"/>
            </w:tcBorders>
            <w:vAlign w:val="center"/>
          </w:tcPr>
          <w:p w14:paraId="0A137106">
            <w:pPr>
              <w:snapToGrid w:val="0"/>
              <w:jc w:val="center"/>
              <w:rPr>
                <w:color w:val="auto"/>
                <w:szCs w:val="21"/>
              </w:rPr>
            </w:pPr>
            <w:r>
              <w:rPr>
                <w:color w:val="auto"/>
                <w:szCs w:val="21"/>
              </w:rPr>
              <w:t>/</w:t>
            </w:r>
          </w:p>
        </w:tc>
        <w:tc>
          <w:tcPr>
            <w:tcW w:w="1588" w:type="dxa"/>
            <w:gridSpan w:val="2"/>
            <w:tcBorders>
              <w:top w:val="single" w:color="auto" w:sz="4" w:space="0"/>
              <w:left w:val="single" w:color="auto" w:sz="4" w:space="0"/>
              <w:bottom w:val="single" w:color="auto" w:sz="4" w:space="0"/>
              <w:right w:val="single" w:color="auto" w:sz="4" w:space="0"/>
            </w:tcBorders>
            <w:vAlign w:val="center"/>
          </w:tcPr>
          <w:p w14:paraId="09DBF065">
            <w:pPr>
              <w:snapToGrid w:val="0"/>
              <w:jc w:val="center"/>
              <w:rPr>
                <w:color w:val="auto"/>
                <w:szCs w:val="21"/>
              </w:rPr>
            </w:pPr>
            <w:r>
              <w:rPr>
                <w:color w:val="auto"/>
                <w:szCs w:val="21"/>
              </w:rPr>
              <w:t>/</w:t>
            </w:r>
          </w:p>
        </w:tc>
        <w:tc>
          <w:tcPr>
            <w:tcW w:w="1547" w:type="dxa"/>
            <w:gridSpan w:val="3"/>
            <w:tcBorders>
              <w:top w:val="single" w:color="auto" w:sz="4" w:space="0"/>
              <w:left w:val="single" w:color="auto" w:sz="4" w:space="0"/>
              <w:bottom w:val="single" w:color="auto" w:sz="4" w:space="0"/>
              <w:right w:val="single" w:color="auto" w:sz="4" w:space="0"/>
            </w:tcBorders>
            <w:vAlign w:val="center"/>
          </w:tcPr>
          <w:p w14:paraId="76E8059F">
            <w:pPr>
              <w:snapToGrid w:val="0"/>
              <w:jc w:val="center"/>
              <w:rPr>
                <w:color w:val="auto"/>
                <w:szCs w:val="21"/>
              </w:rPr>
            </w:pPr>
            <w:r>
              <w:rPr>
                <w:color w:val="auto"/>
                <w:szCs w:val="21"/>
              </w:rPr>
              <w:t>G3</w:t>
            </w:r>
          </w:p>
        </w:tc>
        <w:tc>
          <w:tcPr>
            <w:tcW w:w="1646" w:type="dxa"/>
            <w:gridSpan w:val="2"/>
            <w:tcBorders>
              <w:top w:val="single" w:color="auto" w:sz="4" w:space="0"/>
              <w:left w:val="single" w:color="auto" w:sz="4" w:space="0"/>
              <w:bottom w:val="single" w:color="auto" w:sz="4" w:space="0"/>
              <w:right w:val="single" w:color="auto" w:sz="4" w:space="0"/>
            </w:tcBorders>
            <w:vAlign w:val="center"/>
          </w:tcPr>
          <w:p w14:paraId="28B6E18D">
            <w:pPr>
              <w:snapToGrid w:val="0"/>
              <w:jc w:val="center"/>
              <w:rPr>
                <w:color w:val="auto"/>
                <w:szCs w:val="21"/>
              </w:rPr>
            </w:pPr>
            <w:r>
              <w:rPr>
                <w:color w:val="auto"/>
                <w:szCs w:val="21"/>
              </w:rPr>
              <w:t>/</w:t>
            </w:r>
          </w:p>
        </w:tc>
        <w:tc>
          <w:tcPr>
            <w:tcW w:w="1611" w:type="dxa"/>
            <w:gridSpan w:val="2"/>
            <w:tcBorders>
              <w:top w:val="single" w:color="auto" w:sz="4" w:space="0"/>
              <w:left w:val="single" w:color="auto" w:sz="4" w:space="0"/>
              <w:bottom w:val="single" w:color="auto" w:sz="4" w:space="0"/>
              <w:right w:val="single" w:color="auto" w:sz="4" w:space="0"/>
            </w:tcBorders>
            <w:vAlign w:val="center"/>
          </w:tcPr>
          <w:p w14:paraId="26987F4F">
            <w:pPr>
              <w:snapToGrid w:val="0"/>
              <w:jc w:val="center"/>
              <w:rPr>
                <w:color w:val="auto"/>
                <w:szCs w:val="21"/>
              </w:rPr>
            </w:pPr>
            <w:r>
              <w:rPr>
                <w:color w:val="auto"/>
                <w:szCs w:val="21"/>
              </w:rPr>
              <w:t>D3</w:t>
            </w:r>
          </w:p>
        </w:tc>
        <w:tc>
          <w:tcPr>
            <w:tcW w:w="1262" w:type="dxa"/>
            <w:tcBorders>
              <w:top w:val="single" w:color="auto" w:sz="4" w:space="0"/>
              <w:left w:val="single" w:color="auto" w:sz="4" w:space="0"/>
              <w:bottom w:val="single" w:color="auto" w:sz="4" w:space="0"/>
              <w:right w:val="single" w:color="auto" w:sz="4" w:space="0"/>
            </w:tcBorders>
            <w:vAlign w:val="center"/>
          </w:tcPr>
          <w:p w14:paraId="0627E772">
            <w:pPr>
              <w:snapToGrid w:val="0"/>
              <w:jc w:val="center"/>
              <w:rPr>
                <w:color w:val="auto"/>
                <w:szCs w:val="21"/>
              </w:rPr>
            </w:pPr>
            <w:r>
              <w:rPr>
                <w:color w:val="auto"/>
                <w:szCs w:val="21"/>
              </w:rPr>
              <w:t>/</w:t>
            </w:r>
          </w:p>
        </w:tc>
      </w:tr>
      <w:tr w14:paraId="4DFCE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99" w:type="dxa"/>
            <w:vMerge w:val="continue"/>
            <w:tcBorders>
              <w:top w:val="single" w:color="auto" w:sz="4" w:space="0"/>
              <w:left w:val="single" w:color="auto" w:sz="4" w:space="0"/>
              <w:bottom w:val="single" w:color="auto" w:sz="4" w:space="0"/>
              <w:right w:val="single" w:color="auto" w:sz="4" w:space="0"/>
            </w:tcBorders>
            <w:vAlign w:val="center"/>
          </w:tcPr>
          <w:p w14:paraId="6795BAA2">
            <w:pPr>
              <w:snapToGrid w:val="0"/>
              <w:jc w:val="center"/>
              <w:rPr>
                <w:color w:val="auto"/>
                <w:szCs w:val="21"/>
              </w:rPr>
            </w:pPr>
          </w:p>
        </w:tc>
        <w:tc>
          <w:tcPr>
            <w:tcW w:w="7091" w:type="dxa"/>
            <w:gridSpan w:val="10"/>
            <w:tcBorders>
              <w:top w:val="single" w:color="auto" w:sz="4" w:space="0"/>
              <w:left w:val="single" w:color="auto" w:sz="4" w:space="0"/>
              <w:bottom w:val="single" w:color="auto" w:sz="4" w:space="0"/>
              <w:right w:val="single" w:color="auto" w:sz="4" w:space="0"/>
            </w:tcBorders>
            <w:vAlign w:val="center"/>
          </w:tcPr>
          <w:p w14:paraId="56BC7DC4">
            <w:pPr>
              <w:snapToGrid w:val="0"/>
              <w:jc w:val="center"/>
              <w:rPr>
                <w:color w:val="auto"/>
                <w:szCs w:val="21"/>
              </w:rPr>
            </w:pPr>
            <w:r>
              <w:rPr>
                <w:color w:val="auto"/>
                <w:szCs w:val="21"/>
              </w:rPr>
              <w:t>地下水环境敏感程度E值</w:t>
            </w:r>
          </w:p>
        </w:tc>
        <w:tc>
          <w:tcPr>
            <w:tcW w:w="1262" w:type="dxa"/>
            <w:tcBorders>
              <w:top w:val="single" w:color="auto" w:sz="4" w:space="0"/>
              <w:left w:val="single" w:color="auto" w:sz="4" w:space="0"/>
              <w:bottom w:val="single" w:color="auto" w:sz="4" w:space="0"/>
              <w:right w:val="single" w:color="auto" w:sz="4" w:space="0"/>
            </w:tcBorders>
            <w:vAlign w:val="center"/>
          </w:tcPr>
          <w:p w14:paraId="4C5F2B51">
            <w:pPr>
              <w:snapToGrid w:val="0"/>
              <w:jc w:val="center"/>
              <w:rPr>
                <w:color w:val="auto"/>
                <w:szCs w:val="21"/>
              </w:rPr>
            </w:pPr>
            <w:r>
              <w:rPr>
                <w:color w:val="auto"/>
                <w:szCs w:val="21"/>
              </w:rPr>
              <w:t>E3</w:t>
            </w:r>
          </w:p>
        </w:tc>
      </w:tr>
    </w:tbl>
    <w:p w14:paraId="59D8BBB4">
      <w:pPr>
        <w:spacing w:line="360" w:lineRule="auto"/>
        <w:jc w:val="center"/>
        <w:rPr>
          <w:color w:val="auto"/>
        </w:rPr>
        <w:sectPr>
          <w:pgSz w:w="11905" w:h="16838"/>
          <w:pgMar w:top="1701" w:right="1531" w:bottom="1701" w:left="1531" w:header="851" w:footer="850" w:gutter="0"/>
          <w:cols w:space="720" w:num="1"/>
          <w:docGrid w:linePitch="312" w:charSpace="0"/>
        </w:sectPr>
      </w:pPr>
    </w:p>
    <w:p w14:paraId="47E95DB6">
      <w:pPr>
        <w:spacing w:line="360" w:lineRule="auto"/>
        <w:jc w:val="center"/>
        <w:rPr>
          <w:color w:val="auto"/>
        </w:rPr>
      </w:pPr>
      <w:r>
        <w:rPr>
          <w:color w:val="auto"/>
        </w:rPr>
        <w:object>
          <v:shape id="_x0000_i1034" o:spt="75" type="#_x0000_t75" style="height:661.5pt;width:656.25pt;" o:ole="t" filled="f" o:preferrelative="t" stroked="f" coordsize="21600,21600">
            <v:path/>
            <v:fill on="f" focussize="0,0"/>
            <v:stroke on="f"/>
            <v:imagedata r:id="rId44" o:title=""/>
            <o:lock v:ext="edit" aspectratio="f"/>
            <w10:wrap type="none"/>
            <w10:anchorlock/>
          </v:shape>
          <o:OLEObject Type="Embed" ProgID="Visio.Drawing.15" ShapeID="_x0000_i1034" DrawAspect="Content" ObjectID="_1468075738" r:id="rId43">
            <o:LockedField>false</o:LockedField>
          </o:OLEObject>
        </w:object>
      </w:r>
    </w:p>
    <w:p w14:paraId="7FC7CCD3">
      <w:pPr>
        <w:spacing w:line="360" w:lineRule="auto"/>
        <w:jc w:val="center"/>
        <w:rPr>
          <w:color w:val="auto"/>
          <w:szCs w:val="21"/>
        </w:rPr>
      </w:pPr>
      <w:r>
        <w:rPr>
          <w:b/>
          <w:color w:val="auto"/>
          <w:szCs w:val="21"/>
        </w:rPr>
        <w:t>图</w:t>
      </w:r>
      <w:r>
        <w:rPr>
          <w:rFonts w:hint="eastAsia"/>
          <w:b/>
          <w:color w:val="auto"/>
          <w:szCs w:val="21"/>
          <w:lang w:val="en-US" w:eastAsia="zh-CN"/>
        </w:rPr>
        <w:t>7.</w:t>
      </w:r>
      <w:r>
        <w:rPr>
          <w:rFonts w:hint="eastAsia"/>
          <w:b/>
          <w:color w:val="auto"/>
          <w:szCs w:val="21"/>
        </w:rPr>
        <w:t>3-1</w:t>
      </w:r>
      <w:r>
        <w:rPr>
          <w:b/>
          <w:color w:val="auto"/>
          <w:szCs w:val="21"/>
        </w:rPr>
        <w:t xml:space="preserve">  周边风险敏感点分布图</w:t>
      </w:r>
    </w:p>
    <w:p w14:paraId="6ECA6F79">
      <w:pPr>
        <w:spacing w:line="360" w:lineRule="auto"/>
        <w:outlineLvl w:val="0"/>
        <w:rPr>
          <w:rFonts w:hint="eastAsia"/>
          <w:color w:val="auto"/>
          <w:sz w:val="28"/>
          <w:szCs w:val="28"/>
        </w:rPr>
        <w:sectPr>
          <w:pgSz w:w="23811" w:h="16838" w:orient="landscape"/>
          <w:pgMar w:top="1531" w:right="1701" w:bottom="1531" w:left="1701" w:header="851" w:footer="850" w:gutter="0"/>
          <w:cols w:space="720" w:num="1"/>
          <w:docGrid w:linePitch="312" w:charSpace="0"/>
        </w:sectPr>
      </w:pPr>
      <w:bookmarkStart w:id="206" w:name="_Toc23663"/>
    </w:p>
    <w:p w14:paraId="5EB5F2B6">
      <w:pPr>
        <w:spacing w:line="360" w:lineRule="auto"/>
        <w:outlineLvl w:val="0"/>
        <w:rPr>
          <w:color w:val="auto"/>
          <w:sz w:val="28"/>
          <w:szCs w:val="28"/>
        </w:rPr>
      </w:pPr>
      <w:bookmarkStart w:id="207" w:name="_Toc23786"/>
      <w:r>
        <w:rPr>
          <w:rFonts w:hint="eastAsia"/>
          <w:color w:val="auto"/>
          <w:sz w:val="28"/>
          <w:szCs w:val="28"/>
        </w:rPr>
        <w:t xml:space="preserve">4 </w:t>
      </w:r>
      <w:r>
        <w:rPr>
          <w:color w:val="auto"/>
          <w:sz w:val="28"/>
          <w:szCs w:val="28"/>
        </w:rPr>
        <w:t>确定评价等级</w:t>
      </w:r>
      <w:bookmarkEnd w:id="206"/>
      <w:bookmarkEnd w:id="207"/>
    </w:p>
    <w:p w14:paraId="68A3C504">
      <w:pPr>
        <w:autoSpaceDE w:val="0"/>
        <w:autoSpaceDN w:val="0"/>
        <w:adjustRightInd w:val="0"/>
        <w:spacing w:line="360" w:lineRule="auto"/>
        <w:ind w:firstLine="480" w:firstLineChars="200"/>
        <w:rPr>
          <w:color w:val="auto"/>
          <w:sz w:val="24"/>
        </w:rPr>
      </w:pPr>
      <w:r>
        <w:rPr>
          <w:color w:val="auto"/>
          <w:sz w:val="24"/>
        </w:rPr>
        <w:t>（1）P的分级确定</w:t>
      </w:r>
    </w:p>
    <w:p w14:paraId="51BD70A6">
      <w:pPr>
        <w:autoSpaceDE w:val="0"/>
        <w:autoSpaceDN w:val="0"/>
        <w:adjustRightInd w:val="0"/>
        <w:spacing w:line="360" w:lineRule="auto"/>
        <w:ind w:firstLine="480" w:firstLineChars="200"/>
        <w:rPr>
          <w:color w:val="auto"/>
          <w:sz w:val="24"/>
        </w:rPr>
      </w:pPr>
      <w:r>
        <w:rPr>
          <w:color w:val="auto"/>
          <w:sz w:val="24"/>
        </w:rPr>
        <w:t>①危险物质数量与临界量比值（Q）</w:t>
      </w:r>
    </w:p>
    <w:p w14:paraId="103B03AA">
      <w:pPr>
        <w:spacing w:line="360" w:lineRule="auto"/>
        <w:ind w:firstLine="480" w:firstLineChars="200"/>
        <w:rPr>
          <w:color w:val="auto"/>
          <w:sz w:val="24"/>
        </w:rPr>
      </w:pPr>
      <w:r>
        <w:rPr>
          <w:color w:val="auto"/>
          <w:sz w:val="24"/>
        </w:rPr>
        <w:t>本项目比值Q情况见</w:t>
      </w:r>
      <w:r>
        <w:rPr>
          <w:rFonts w:hint="eastAsia"/>
          <w:color w:val="auto"/>
          <w:sz w:val="24"/>
        </w:rPr>
        <w:t>下表</w:t>
      </w:r>
      <w:r>
        <w:rPr>
          <w:color w:val="auto"/>
          <w:sz w:val="24"/>
        </w:rPr>
        <w:t>。</w:t>
      </w:r>
    </w:p>
    <w:p w14:paraId="2573611F">
      <w:pPr>
        <w:jc w:val="center"/>
        <w:rPr>
          <w:b/>
          <w:color w:val="auto"/>
          <w:szCs w:val="21"/>
        </w:rPr>
      </w:pPr>
      <w:r>
        <w:rPr>
          <w:rFonts w:hint="eastAsia"/>
          <w:b/>
          <w:color w:val="auto"/>
          <w:szCs w:val="21"/>
        </w:rPr>
        <w:t>表7.4-1</w:t>
      </w:r>
      <w:r>
        <w:rPr>
          <w:b/>
          <w:color w:val="auto"/>
          <w:szCs w:val="21"/>
        </w:rPr>
        <w:t xml:space="preserve">  </w:t>
      </w:r>
      <w:r>
        <w:rPr>
          <w:b/>
          <w:color w:val="auto"/>
          <w:szCs w:val="21"/>
          <w:lang w:val="en-GB"/>
        </w:rPr>
        <w:t>建设项目</w:t>
      </w:r>
      <w:r>
        <w:rPr>
          <w:b/>
          <w:color w:val="auto"/>
          <w:szCs w:val="21"/>
        </w:rPr>
        <w:t>Q值确定表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
        <w:gridCol w:w="924"/>
        <w:gridCol w:w="1543"/>
        <w:gridCol w:w="1398"/>
        <w:gridCol w:w="1727"/>
        <w:gridCol w:w="1263"/>
        <w:gridCol w:w="1556"/>
      </w:tblGrid>
      <w:tr w14:paraId="7B0B5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69965DE0">
            <w:pPr>
              <w:adjustRightInd w:val="0"/>
              <w:snapToGrid w:val="0"/>
              <w:jc w:val="center"/>
              <w:rPr>
                <w:b/>
                <w:bCs/>
                <w:color w:val="auto"/>
                <w:szCs w:val="21"/>
              </w:rPr>
            </w:pPr>
            <w:r>
              <w:rPr>
                <w:b/>
                <w:bCs/>
                <w:color w:val="auto"/>
                <w:szCs w:val="21"/>
              </w:rPr>
              <w:t>序号</w:t>
            </w:r>
          </w:p>
        </w:tc>
        <w:tc>
          <w:tcPr>
            <w:tcW w:w="2467" w:type="dxa"/>
            <w:gridSpan w:val="2"/>
            <w:tcBorders>
              <w:top w:val="single" w:color="auto" w:sz="4" w:space="0"/>
              <w:left w:val="nil"/>
              <w:bottom w:val="single" w:color="auto" w:sz="4" w:space="0"/>
              <w:right w:val="single" w:color="auto" w:sz="4" w:space="0"/>
            </w:tcBorders>
            <w:vAlign w:val="center"/>
          </w:tcPr>
          <w:p w14:paraId="6F64E463">
            <w:pPr>
              <w:adjustRightInd w:val="0"/>
              <w:snapToGrid w:val="0"/>
              <w:jc w:val="center"/>
              <w:rPr>
                <w:b/>
                <w:bCs/>
                <w:color w:val="auto"/>
                <w:szCs w:val="21"/>
              </w:rPr>
            </w:pPr>
            <w:r>
              <w:rPr>
                <w:b/>
                <w:bCs/>
                <w:color w:val="auto"/>
                <w:szCs w:val="21"/>
              </w:rPr>
              <w:t>物质名称</w:t>
            </w:r>
          </w:p>
        </w:tc>
        <w:tc>
          <w:tcPr>
            <w:tcW w:w="1398" w:type="dxa"/>
            <w:tcBorders>
              <w:top w:val="single" w:color="auto" w:sz="4" w:space="0"/>
              <w:left w:val="nil"/>
              <w:bottom w:val="single" w:color="auto" w:sz="4" w:space="0"/>
              <w:right w:val="single" w:color="auto" w:sz="4" w:space="0"/>
            </w:tcBorders>
            <w:vAlign w:val="center"/>
          </w:tcPr>
          <w:p w14:paraId="173A9D0A">
            <w:pPr>
              <w:adjustRightInd w:val="0"/>
              <w:snapToGrid w:val="0"/>
              <w:jc w:val="center"/>
              <w:rPr>
                <w:b/>
                <w:bCs/>
                <w:color w:val="auto"/>
                <w:szCs w:val="21"/>
              </w:rPr>
            </w:pPr>
            <w:r>
              <w:rPr>
                <w:b/>
                <w:bCs/>
                <w:color w:val="auto"/>
                <w:szCs w:val="21"/>
              </w:rPr>
              <w:t>CAS号</w:t>
            </w:r>
          </w:p>
        </w:tc>
        <w:tc>
          <w:tcPr>
            <w:tcW w:w="1727" w:type="dxa"/>
            <w:tcBorders>
              <w:top w:val="single" w:color="auto" w:sz="4" w:space="0"/>
              <w:left w:val="nil"/>
              <w:bottom w:val="single" w:color="auto" w:sz="4" w:space="0"/>
              <w:right w:val="single" w:color="auto" w:sz="4" w:space="0"/>
            </w:tcBorders>
            <w:vAlign w:val="center"/>
          </w:tcPr>
          <w:p w14:paraId="1B2497B3">
            <w:pPr>
              <w:adjustRightInd w:val="0"/>
              <w:snapToGrid w:val="0"/>
              <w:jc w:val="center"/>
              <w:rPr>
                <w:b/>
                <w:bCs/>
                <w:color w:val="auto"/>
                <w:szCs w:val="21"/>
              </w:rPr>
            </w:pPr>
            <w:r>
              <w:rPr>
                <w:b/>
                <w:bCs/>
                <w:color w:val="auto"/>
                <w:szCs w:val="21"/>
              </w:rPr>
              <w:t>最大存在量（t）</w:t>
            </w:r>
          </w:p>
        </w:tc>
        <w:tc>
          <w:tcPr>
            <w:tcW w:w="1263" w:type="dxa"/>
            <w:tcBorders>
              <w:top w:val="single" w:color="auto" w:sz="4" w:space="0"/>
              <w:left w:val="nil"/>
              <w:bottom w:val="single" w:color="auto" w:sz="4" w:space="0"/>
              <w:right w:val="single" w:color="auto" w:sz="4" w:space="0"/>
            </w:tcBorders>
            <w:vAlign w:val="center"/>
          </w:tcPr>
          <w:p w14:paraId="6750D572">
            <w:pPr>
              <w:adjustRightInd w:val="0"/>
              <w:snapToGrid w:val="0"/>
              <w:jc w:val="center"/>
              <w:rPr>
                <w:b/>
                <w:bCs/>
                <w:color w:val="auto"/>
                <w:szCs w:val="21"/>
              </w:rPr>
            </w:pPr>
            <w:r>
              <w:rPr>
                <w:b/>
                <w:bCs/>
                <w:color w:val="auto"/>
                <w:szCs w:val="21"/>
              </w:rPr>
              <w:t>临界量（t）</w:t>
            </w:r>
          </w:p>
        </w:tc>
        <w:tc>
          <w:tcPr>
            <w:tcW w:w="1556" w:type="dxa"/>
            <w:tcBorders>
              <w:top w:val="single" w:color="auto" w:sz="4" w:space="0"/>
              <w:left w:val="nil"/>
              <w:bottom w:val="single" w:color="auto" w:sz="4" w:space="0"/>
              <w:right w:val="single" w:color="auto" w:sz="4" w:space="0"/>
            </w:tcBorders>
            <w:vAlign w:val="center"/>
          </w:tcPr>
          <w:p w14:paraId="5579AEC3">
            <w:pPr>
              <w:adjustRightInd w:val="0"/>
              <w:snapToGrid w:val="0"/>
              <w:jc w:val="center"/>
              <w:rPr>
                <w:b/>
                <w:bCs/>
                <w:color w:val="auto"/>
                <w:szCs w:val="21"/>
              </w:rPr>
            </w:pPr>
            <w:r>
              <w:rPr>
                <w:b/>
                <w:bCs/>
                <w:color w:val="auto"/>
                <w:szCs w:val="21"/>
              </w:rPr>
              <w:t>危险物质Q值</w:t>
            </w:r>
          </w:p>
        </w:tc>
      </w:tr>
      <w:tr w14:paraId="108BE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3EDC6BD7">
            <w:pPr>
              <w:adjustRightInd w:val="0"/>
              <w:snapToGrid w:val="0"/>
              <w:jc w:val="center"/>
              <w:rPr>
                <w:color w:val="auto"/>
                <w:szCs w:val="21"/>
              </w:rPr>
            </w:pPr>
            <w:r>
              <w:rPr>
                <w:color w:val="auto"/>
                <w:szCs w:val="21"/>
              </w:rPr>
              <w:t>1</w:t>
            </w:r>
          </w:p>
        </w:tc>
        <w:tc>
          <w:tcPr>
            <w:tcW w:w="924" w:type="dxa"/>
            <w:vMerge w:val="restart"/>
            <w:tcBorders>
              <w:top w:val="single" w:color="auto" w:sz="4" w:space="0"/>
              <w:left w:val="nil"/>
              <w:right w:val="single" w:color="auto" w:sz="4" w:space="0"/>
            </w:tcBorders>
            <w:vAlign w:val="center"/>
          </w:tcPr>
          <w:p w14:paraId="5212CFEF">
            <w:pPr>
              <w:adjustRightInd w:val="0"/>
              <w:snapToGrid w:val="0"/>
              <w:jc w:val="center"/>
              <w:rPr>
                <w:color w:val="auto"/>
                <w:szCs w:val="21"/>
              </w:rPr>
            </w:pPr>
            <w:r>
              <w:rPr>
                <w:color w:val="auto"/>
                <w:szCs w:val="21"/>
              </w:rPr>
              <w:t>仓库/罐区</w:t>
            </w:r>
          </w:p>
        </w:tc>
        <w:tc>
          <w:tcPr>
            <w:tcW w:w="1543" w:type="dxa"/>
            <w:tcBorders>
              <w:top w:val="single" w:color="auto" w:sz="4" w:space="0"/>
              <w:left w:val="single" w:color="auto" w:sz="4" w:space="0"/>
              <w:bottom w:val="single" w:color="auto" w:sz="4" w:space="0"/>
              <w:right w:val="single" w:color="auto" w:sz="4" w:space="0"/>
            </w:tcBorders>
            <w:vAlign w:val="center"/>
          </w:tcPr>
          <w:p w14:paraId="69AF058C">
            <w:pPr>
              <w:adjustRightInd w:val="0"/>
              <w:snapToGrid w:val="0"/>
              <w:jc w:val="center"/>
              <w:rPr>
                <w:color w:val="auto"/>
                <w:szCs w:val="21"/>
              </w:rPr>
            </w:pPr>
            <w:r>
              <w:rPr>
                <w:color w:val="auto"/>
                <w:szCs w:val="21"/>
              </w:rPr>
              <w:t>氯化氢</w:t>
            </w:r>
          </w:p>
        </w:tc>
        <w:tc>
          <w:tcPr>
            <w:tcW w:w="1398" w:type="dxa"/>
            <w:tcBorders>
              <w:top w:val="single" w:color="auto" w:sz="4" w:space="0"/>
              <w:left w:val="nil"/>
              <w:bottom w:val="single" w:color="auto" w:sz="4" w:space="0"/>
              <w:right w:val="single" w:color="auto" w:sz="4" w:space="0"/>
            </w:tcBorders>
            <w:vAlign w:val="center"/>
          </w:tcPr>
          <w:p w14:paraId="25C4843C">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4DD7CAC0">
            <w:pPr>
              <w:adjustRightInd w:val="0"/>
              <w:snapToGrid w:val="0"/>
              <w:jc w:val="center"/>
              <w:rPr>
                <w:color w:val="auto"/>
                <w:szCs w:val="21"/>
              </w:rPr>
            </w:pPr>
            <w:r>
              <w:rPr>
                <w:rFonts w:hint="default"/>
                <w:color w:val="auto"/>
                <w:szCs w:val="21"/>
                <w:lang w:val="en-US" w:eastAsia="zh-CN"/>
              </w:rPr>
              <w:t>0.8</w:t>
            </w:r>
          </w:p>
        </w:tc>
        <w:tc>
          <w:tcPr>
            <w:tcW w:w="1263" w:type="dxa"/>
            <w:tcBorders>
              <w:top w:val="single" w:color="auto" w:sz="4" w:space="0"/>
              <w:left w:val="nil"/>
              <w:bottom w:val="single" w:color="auto" w:sz="4" w:space="0"/>
              <w:right w:val="single" w:color="auto" w:sz="4" w:space="0"/>
            </w:tcBorders>
            <w:vAlign w:val="center"/>
          </w:tcPr>
          <w:p w14:paraId="4D1593DB">
            <w:pPr>
              <w:adjustRightInd w:val="0"/>
              <w:snapToGrid w:val="0"/>
              <w:jc w:val="center"/>
              <w:rPr>
                <w:color w:val="auto"/>
                <w:szCs w:val="21"/>
              </w:rPr>
            </w:pPr>
            <w:r>
              <w:rPr>
                <w:color w:val="auto"/>
                <w:szCs w:val="21"/>
              </w:rPr>
              <w:t>2.5</w:t>
            </w:r>
          </w:p>
        </w:tc>
        <w:tc>
          <w:tcPr>
            <w:tcW w:w="1556" w:type="dxa"/>
            <w:tcBorders>
              <w:top w:val="single" w:color="auto" w:sz="4" w:space="0"/>
              <w:left w:val="nil"/>
              <w:bottom w:val="single" w:color="auto" w:sz="4" w:space="0"/>
              <w:right w:val="single" w:color="auto" w:sz="4" w:space="0"/>
            </w:tcBorders>
            <w:vAlign w:val="center"/>
          </w:tcPr>
          <w:p w14:paraId="7FB61A92">
            <w:pPr>
              <w:adjustRightInd w:val="0"/>
              <w:snapToGrid w:val="0"/>
              <w:jc w:val="center"/>
              <w:rPr>
                <w:rFonts w:hint="eastAsia"/>
                <w:color w:val="auto"/>
                <w:szCs w:val="21"/>
                <w:lang w:val="en-US" w:eastAsia="zh-CN"/>
              </w:rPr>
            </w:pPr>
            <w:r>
              <w:rPr>
                <w:rFonts w:hint="default"/>
                <w:color w:val="auto"/>
                <w:szCs w:val="21"/>
                <w:lang w:val="en-US" w:eastAsia="zh-CN"/>
              </w:rPr>
              <w:t xml:space="preserve">0.32 </w:t>
            </w:r>
          </w:p>
        </w:tc>
      </w:tr>
      <w:tr w14:paraId="68DA1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32451105">
            <w:pPr>
              <w:adjustRightInd w:val="0"/>
              <w:snapToGrid w:val="0"/>
              <w:jc w:val="center"/>
              <w:rPr>
                <w:color w:val="auto"/>
                <w:szCs w:val="21"/>
              </w:rPr>
            </w:pPr>
            <w:r>
              <w:rPr>
                <w:color w:val="auto"/>
                <w:szCs w:val="21"/>
              </w:rPr>
              <w:t>2</w:t>
            </w:r>
          </w:p>
        </w:tc>
        <w:tc>
          <w:tcPr>
            <w:tcW w:w="924" w:type="dxa"/>
            <w:vMerge w:val="continue"/>
            <w:tcBorders>
              <w:left w:val="nil"/>
              <w:right w:val="single" w:color="auto" w:sz="4" w:space="0"/>
            </w:tcBorders>
            <w:vAlign w:val="center"/>
          </w:tcPr>
          <w:p w14:paraId="50BD9473">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5ABCA978">
            <w:pPr>
              <w:adjustRightInd w:val="0"/>
              <w:snapToGrid w:val="0"/>
              <w:jc w:val="center"/>
              <w:rPr>
                <w:color w:val="auto"/>
                <w:szCs w:val="21"/>
              </w:rPr>
            </w:pPr>
            <w:r>
              <w:rPr>
                <w:rFonts w:hint="eastAsia"/>
                <w:color w:val="auto"/>
                <w:kern w:val="0"/>
                <w:szCs w:val="21"/>
                <w:lang w:eastAsia="zh-CN"/>
              </w:rPr>
              <w:t>40%</w:t>
            </w:r>
            <w:r>
              <w:rPr>
                <w:color w:val="auto"/>
                <w:kern w:val="0"/>
                <w:szCs w:val="21"/>
              </w:rPr>
              <w:t>氢氟酸</w:t>
            </w:r>
          </w:p>
        </w:tc>
        <w:tc>
          <w:tcPr>
            <w:tcW w:w="1398" w:type="dxa"/>
            <w:tcBorders>
              <w:top w:val="single" w:color="auto" w:sz="4" w:space="0"/>
              <w:left w:val="nil"/>
              <w:bottom w:val="single" w:color="auto" w:sz="4" w:space="0"/>
              <w:right w:val="single" w:color="auto" w:sz="4" w:space="0"/>
            </w:tcBorders>
            <w:vAlign w:val="center"/>
          </w:tcPr>
          <w:p w14:paraId="6DE7ECFA">
            <w:pPr>
              <w:adjustRightInd w:val="0"/>
              <w:snapToGrid w:val="0"/>
              <w:jc w:val="center"/>
              <w:rPr>
                <w:color w:val="auto"/>
                <w:szCs w:val="21"/>
              </w:rPr>
            </w:pPr>
            <w:r>
              <w:rPr>
                <w:color w:val="auto"/>
                <w:szCs w:val="21"/>
              </w:rPr>
              <w:t>7664-39-3</w:t>
            </w:r>
          </w:p>
        </w:tc>
        <w:tc>
          <w:tcPr>
            <w:tcW w:w="1727" w:type="dxa"/>
            <w:tcBorders>
              <w:top w:val="single" w:color="auto" w:sz="4" w:space="0"/>
              <w:left w:val="nil"/>
              <w:bottom w:val="single" w:color="auto" w:sz="4" w:space="0"/>
              <w:right w:val="single" w:color="auto" w:sz="4" w:space="0"/>
            </w:tcBorders>
            <w:vAlign w:val="center"/>
          </w:tcPr>
          <w:p w14:paraId="6F13A657">
            <w:pPr>
              <w:adjustRightInd w:val="0"/>
              <w:snapToGrid w:val="0"/>
              <w:jc w:val="center"/>
              <w:rPr>
                <w:rFonts w:hint="default"/>
                <w:color w:val="auto"/>
                <w:szCs w:val="21"/>
                <w:lang w:val="en-US" w:eastAsia="zh-CN"/>
              </w:rPr>
            </w:pPr>
            <w:r>
              <w:rPr>
                <w:rFonts w:hint="default"/>
                <w:color w:val="auto"/>
                <w:szCs w:val="21"/>
                <w:lang w:val="en-US" w:eastAsia="zh-CN"/>
              </w:rPr>
              <w:t>19.2</w:t>
            </w:r>
          </w:p>
        </w:tc>
        <w:tc>
          <w:tcPr>
            <w:tcW w:w="1263" w:type="dxa"/>
            <w:tcBorders>
              <w:top w:val="single" w:color="auto" w:sz="4" w:space="0"/>
              <w:left w:val="nil"/>
              <w:bottom w:val="single" w:color="auto" w:sz="4" w:space="0"/>
              <w:right w:val="single" w:color="auto" w:sz="4" w:space="0"/>
            </w:tcBorders>
            <w:vAlign w:val="center"/>
          </w:tcPr>
          <w:p w14:paraId="2E793002">
            <w:pPr>
              <w:adjustRightInd w:val="0"/>
              <w:snapToGrid w:val="0"/>
              <w:jc w:val="center"/>
              <w:rPr>
                <w:color w:val="auto"/>
                <w:szCs w:val="21"/>
              </w:rPr>
            </w:pPr>
            <w:r>
              <w:rPr>
                <w:color w:val="auto"/>
                <w:szCs w:val="21"/>
              </w:rPr>
              <w:t>1</w:t>
            </w:r>
          </w:p>
        </w:tc>
        <w:tc>
          <w:tcPr>
            <w:tcW w:w="1556" w:type="dxa"/>
            <w:tcBorders>
              <w:top w:val="single" w:color="auto" w:sz="4" w:space="0"/>
              <w:left w:val="nil"/>
              <w:bottom w:val="single" w:color="auto" w:sz="4" w:space="0"/>
              <w:right w:val="single" w:color="auto" w:sz="4" w:space="0"/>
            </w:tcBorders>
            <w:vAlign w:val="center"/>
          </w:tcPr>
          <w:p w14:paraId="24EC6C21">
            <w:pPr>
              <w:adjustRightInd w:val="0"/>
              <w:snapToGrid w:val="0"/>
              <w:jc w:val="center"/>
              <w:rPr>
                <w:rFonts w:hint="default"/>
                <w:color w:val="auto"/>
                <w:szCs w:val="21"/>
                <w:lang w:val="en-US" w:eastAsia="zh-CN"/>
              </w:rPr>
            </w:pPr>
            <w:r>
              <w:rPr>
                <w:rFonts w:hint="default"/>
                <w:color w:val="auto"/>
                <w:szCs w:val="21"/>
                <w:lang w:val="en-US" w:eastAsia="zh-CN"/>
              </w:rPr>
              <w:t xml:space="preserve">19.20 </w:t>
            </w:r>
          </w:p>
        </w:tc>
      </w:tr>
      <w:tr w14:paraId="712F5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07AE50D0">
            <w:pPr>
              <w:adjustRightInd w:val="0"/>
              <w:snapToGrid w:val="0"/>
              <w:jc w:val="center"/>
              <w:rPr>
                <w:color w:val="auto"/>
                <w:szCs w:val="21"/>
              </w:rPr>
            </w:pPr>
            <w:r>
              <w:rPr>
                <w:color w:val="auto"/>
                <w:szCs w:val="21"/>
              </w:rPr>
              <w:t>3</w:t>
            </w:r>
          </w:p>
        </w:tc>
        <w:tc>
          <w:tcPr>
            <w:tcW w:w="924" w:type="dxa"/>
            <w:vMerge w:val="continue"/>
            <w:tcBorders>
              <w:left w:val="nil"/>
              <w:right w:val="single" w:color="auto" w:sz="4" w:space="0"/>
            </w:tcBorders>
            <w:vAlign w:val="center"/>
          </w:tcPr>
          <w:p w14:paraId="28887601">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6BB3B0B5">
            <w:pPr>
              <w:adjustRightInd w:val="0"/>
              <w:snapToGrid w:val="0"/>
              <w:jc w:val="center"/>
              <w:rPr>
                <w:color w:val="auto"/>
                <w:szCs w:val="21"/>
              </w:rPr>
            </w:pPr>
            <w:r>
              <w:rPr>
                <w:rFonts w:hint="eastAsia"/>
                <w:color w:val="auto"/>
                <w:kern w:val="0"/>
                <w:szCs w:val="21"/>
                <w:lang w:eastAsia="zh-CN"/>
              </w:rPr>
              <w:t>36%</w:t>
            </w:r>
            <w:r>
              <w:rPr>
                <w:color w:val="auto"/>
                <w:kern w:val="0"/>
                <w:szCs w:val="21"/>
              </w:rPr>
              <w:t>盐酸</w:t>
            </w:r>
          </w:p>
        </w:tc>
        <w:tc>
          <w:tcPr>
            <w:tcW w:w="1398" w:type="dxa"/>
            <w:tcBorders>
              <w:top w:val="single" w:color="auto" w:sz="4" w:space="0"/>
              <w:left w:val="nil"/>
              <w:bottom w:val="single" w:color="auto" w:sz="4" w:space="0"/>
              <w:right w:val="single" w:color="auto" w:sz="4" w:space="0"/>
            </w:tcBorders>
            <w:vAlign w:val="center"/>
          </w:tcPr>
          <w:p w14:paraId="093D9F81">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0F34CBAC">
            <w:pPr>
              <w:adjustRightInd w:val="0"/>
              <w:snapToGrid w:val="0"/>
              <w:jc w:val="center"/>
              <w:rPr>
                <w:rFonts w:hint="default"/>
                <w:color w:val="auto"/>
                <w:szCs w:val="21"/>
                <w:lang w:val="en-US" w:eastAsia="zh-CN"/>
              </w:rPr>
            </w:pPr>
            <w:r>
              <w:rPr>
                <w:rFonts w:hint="default"/>
                <w:color w:val="auto"/>
                <w:szCs w:val="21"/>
                <w:lang w:val="en-US" w:eastAsia="zh-CN"/>
              </w:rPr>
              <w:t>46.7</w:t>
            </w:r>
          </w:p>
        </w:tc>
        <w:tc>
          <w:tcPr>
            <w:tcW w:w="1263" w:type="dxa"/>
            <w:tcBorders>
              <w:top w:val="single" w:color="auto" w:sz="4" w:space="0"/>
              <w:left w:val="nil"/>
              <w:bottom w:val="single" w:color="auto" w:sz="4" w:space="0"/>
              <w:right w:val="single" w:color="auto" w:sz="4" w:space="0"/>
            </w:tcBorders>
            <w:vAlign w:val="center"/>
          </w:tcPr>
          <w:p w14:paraId="5D8D2F61">
            <w:pPr>
              <w:adjustRightInd w:val="0"/>
              <w:snapToGrid w:val="0"/>
              <w:jc w:val="center"/>
              <w:rPr>
                <w:color w:val="auto"/>
                <w:szCs w:val="21"/>
              </w:rPr>
            </w:pPr>
            <w:r>
              <w:rPr>
                <w:color w:val="auto"/>
                <w:szCs w:val="21"/>
              </w:rPr>
              <w:t>7.5</w:t>
            </w:r>
          </w:p>
        </w:tc>
        <w:tc>
          <w:tcPr>
            <w:tcW w:w="1556" w:type="dxa"/>
            <w:tcBorders>
              <w:top w:val="single" w:color="auto" w:sz="4" w:space="0"/>
              <w:left w:val="nil"/>
              <w:bottom w:val="single" w:color="auto" w:sz="4" w:space="0"/>
              <w:right w:val="single" w:color="auto" w:sz="4" w:space="0"/>
            </w:tcBorders>
            <w:vAlign w:val="center"/>
          </w:tcPr>
          <w:p w14:paraId="31E313E8">
            <w:pPr>
              <w:adjustRightInd w:val="0"/>
              <w:snapToGrid w:val="0"/>
              <w:jc w:val="center"/>
              <w:rPr>
                <w:rFonts w:hint="default"/>
                <w:color w:val="auto"/>
                <w:szCs w:val="21"/>
                <w:lang w:val="en-US" w:eastAsia="zh-CN"/>
              </w:rPr>
            </w:pPr>
            <w:r>
              <w:rPr>
                <w:rFonts w:hint="default"/>
                <w:color w:val="auto"/>
                <w:szCs w:val="21"/>
                <w:lang w:val="en-US" w:eastAsia="zh-CN"/>
              </w:rPr>
              <w:t xml:space="preserve">6.23 </w:t>
            </w:r>
          </w:p>
        </w:tc>
      </w:tr>
      <w:tr w14:paraId="73AF4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7A946A8C">
            <w:pPr>
              <w:adjustRightInd w:val="0"/>
              <w:snapToGrid w:val="0"/>
              <w:jc w:val="center"/>
              <w:rPr>
                <w:color w:val="auto"/>
                <w:szCs w:val="21"/>
              </w:rPr>
            </w:pPr>
            <w:r>
              <w:rPr>
                <w:color w:val="auto"/>
                <w:szCs w:val="21"/>
              </w:rPr>
              <w:t>4</w:t>
            </w:r>
          </w:p>
        </w:tc>
        <w:tc>
          <w:tcPr>
            <w:tcW w:w="924" w:type="dxa"/>
            <w:vMerge w:val="continue"/>
            <w:tcBorders>
              <w:left w:val="nil"/>
              <w:bottom w:val="single" w:color="auto" w:sz="4" w:space="0"/>
              <w:right w:val="single" w:color="auto" w:sz="4" w:space="0"/>
            </w:tcBorders>
            <w:vAlign w:val="center"/>
          </w:tcPr>
          <w:p w14:paraId="68EC7A4E">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7CF9D2B2">
            <w:pPr>
              <w:adjustRightInd w:val="0"/>
              <w:snapToGrid w:val="0"/>
              <w:jc w:val="center"/>
              <w:rPr>
                <w:color w:val="auto"/>
                <w:szCs w:val="21"/>
              </w:rPr>
            </w:pPr>
            <w:r>
              <w:rPr>
                <w:color w:val="auto"/>
                <w:szCs w:val="21"/>
              </w:rPr>
              <w:t>油类物质</w:t>
            </w:r>
          </w:p>
        </w:tc>
        <w:tc>
          <w:tcPr>
            <w:tcW w:w="1398" w:type="dxa"/>
            <w:tcBorders>
              <w:top w:val="single" w:color="auto" w:sz="4" w:space="0"/>
              <w:left w:val="nil"/>
              <w:bottom w:val="single" w:color="auto" w:sz="4" w:space="0"/>
              <w:right w:val="single" w:color="auto" w:sz="4" w:space="0"/>
            </w:tcBorders>
            <w:vAlign w:val="center"/>
          </w:tcPr>
          <w:p w14:paraId="6A977EAD">
            <w:pPr>
              <w:adjustRightInd w:val="0"/>
              <w:snapToGrid w:val="0"/>
              <w:jc w:val="center"/>
              <w:rPr>
                <w:color w:val="auto"/>
                <w:szCs w:val="21"/>
              </w:rPr>
            </w:pPr>
            <w:r>
              <w:rPr>
                <w:color w:val="auto"/>
                <w:szCs w:val="21"/>
              </w:rPr>
              <w:t>/</w:t>
            </w:r>
          </w:p>
        </w:tc>
        <w:tc>
          <w:tcPr>
            <w:tcW w:w="1727" w:type="dxa"/>
            <w:tcBorders>
              <w:top w:val="single" w:color="auto" w:sz="4" w:space="0"/>
              <w:left w:val="nil"/>
              <w:bottom w:val="single" w:color="auto" w:sz="4" w:space="0"/>
              <w:right w:val="single" w:color="auto" w:sz="4" w:space="0"/>
            </w:tcBorders>
            <w:vAlign w:val="center"/>
          </w:tcPr>
          <w:p w14:paraId="3023C659">
            <w:pPr>
              <w:adjustRightInd w:val="0"/>
              <w:snapToGrid w:val="0"/>
              <w:jc w:val="center"/>
              <w:rPr>
                <w:color w:val="auto"/>
                <w:szCs w:val="21"/>
              </w:rPr>
            </w:pPr>
            <w:r>
              <w:rPr>
                <w:rFonts w:hint="default"/>
                <w:color w:val="auto"/>
                <w:szCs w:val="21"/>
                <w:lang w:val="en-US" w:eastAsia="zh-CN"/>
              </w:rPr>
              <w:t>0.16</w:t>
            </w:r>
          </w:p>
        </w:tc>
        <w:tc>
          <w:tcPr>
            <w:tcW w:w="1263" w:type="dxa"/>
            <w:tcBorders>
              <w:top w:val="single" w:color="auto" w:sz="4" w:space="0"/>
              <w:left w:val="nil"/>
              <w:bottom w:val="single" w:color="auto" w:sz="4" w:space="0"/>
              <w:right w:val="single" w:color="auto" w:sz="4" w:space="0"/>
            </w:tcBorders>
            <w:vAlign w:val="center"/>
          </w:tcPr>
          <w:p w14:paraId="3892DE5B">
            <w:pPr>
              <w:adjustRightInd w:val="0"/>
              <w:snapToGrid w:val="0"/>
              <w:jc w:val="center"/>
              <w:rPr>
                <w:color w:val="auto"/>
                <w:szCs w:val="21"/>
              </w:rPr>
            </w:pPr>
            <w:r>
              <w:rPr>
                <w:color w:val="auto"/>
                <w:szCs w:val="21"/>
              </w:rPr>
              <w:t>2500</w:t>
            </w:r>
          </w:p>
        </w:tc>
        <w:tc>
          <w:tcPr>
            <w:tcW w:w="1556" w:type="dxa"/>
            <w:tcBorders>
              <w:top w:val="single" w:color="auto" w:sz="4" w:space="0"/>
              <w:left w:val="nil"/>
              <w:bottom w:val="single" w:color="auto" w:sz="4" w:space="0"/>
              <w:right w:val="single" w:color="auto" w:sz="4" w:space="0"/>
            </w:tcBorders>
            <w:vAlign w:val="center"/>
          </w:tcPr>
          <w:p w14:paraId="2D9E216F">
            <w:pPr>
              <w:adjustRightInd w:val="0"/>
              <w:snapToGrid w:val="0"/>
              <w:jc w:val="center"/>
              <w:rPr>
                <w:rFonts w:hint="eastAsia"/>
                <w:color w:val="auto"/>
                <w:szCs w:val="21"/>
                <w:lang w:val="en-US" w:eastAsia="zh-CN"/>
              </w:rPr>
            </w:pPr>
            <w:r>
              <w:rPr>
                <w:rFonts w:hint="default"/>
                <w:color w:val="auto"/>
                <w:szCs w:val="21"/>
                <w:lang w:val="en-US" w:eastAsia="zh-CN"/>
              </w:rPr>
              <w:t xml:space="preserve">0.0001 </w:t>
            </w:r>
          </w:p>
        </w:tc>
      </w:tr>
      <w:tr w14:paraId="2ED58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0BB3EB40">
            <w:pPr>
              <w:adjustRightInd w:val="0"/>
              <w:snapToGrid w:val="0"/>
              <w:jc w:val="center"/>
              <w:rPr>
                <w:color w:val="auto"/>
                <w:szCs w:val="21"/>
              </w:rPr>
            </w:pPr>
            <w:r>
              <w:rPr>
                <w:color w:val="auto"/>
                <w:szCs w:val="21"/>
              </w:rPr>
              <w:t>5</w:t>
            </w:r>
          </w:p>
        </w:tc>
        <w:tc>
          <w:tcPr>
            <w:tcW w:w="924" w:type="dxa"/>
            <w:vMerge w:val="restart"/>
            <w:tcBorders>
              <w:top w:val="single" w:color="auto" w:sz="4" w:space="0"/>
              <w:left w:val="nil"/>
              <w:right w:val="single" w:color="auto" w:sz="4" w:space="0"/>
            </w:tcBorders>
            <w:vAlign w:val="center"/>
          </w:tcPr>
          <w:p w14:paraId="29472E95">
            <w:pPr>
              <w:adjustRightInd w:val="0"/>
              <w:snapToGrid w:val="0"/>
              <w:jc w:val="center"/>
              <w:rPr>
                <w:color w:val="auto"/>
                <w:szCs w:val="21"/>
              </w:rPr>
            </w:pPr>
            <w:r>
              <w:rPr>
                <w:color w:val="auto"/>
                <w:szCs w:val="21"/>
              </w:rPr>
              <w:t>废酸罐</w:t>
            </w:r>
          </w:p>
        </w:tc>
        <w:tc>
          <w:tcPr>
            <w:tcW w:w="1543" w:type="dxa"/>
            <w:tcBorders>
              <w:top w:val="single" w:color="auto" w:sz="4" w:space="0"/>
              <w:left w:val="single" w:color="auto" w:sz="4" w:space="0"/>
              <w:bottom w:val="single" w:color="auto" w:sz="4" w:space="0"/>
              <w:right w:val="single" w:color="auto" w:sz="4" w:space="0"/>
            </w:tcBorders>
            <w:vAlign w:val="center"/>
          </w:tcPr>
          <w:p w14:paraId="0BDA61F6">
            <w:pPr>
              <w:adjustRightInd w:val="0"/>
              <w:snapToGrid w:val="0"/>
              <w:jc w:val="center"/>
              <w:rPr>
                <w:color w:val="auto"/>
                <w:szCs w:val="21"/>
              </w:rPr>
            </w:pPr>
            <w:r>
              <w:rPr>
                <w:rFonts w:hint="eastAsia"/>
                <w:color w:val="auto"/>
                <w:kern w:val="0"/>
                <w:szCs w:val="21"/>
                <w:lang w:eastAsia="zh-CN"/>
              </w:rPr>
              <w:t>40%</w:t>
            </w:r>
            <w:r>
              <w:rPr>
                <w:color w:val="auto"/>
                <w:kern w:val="0"/>
                <w:szCs w:val="21"/>
              </w:rPr>
              <w:t>氢氟酸</w:t>
            </w:r>
          </w:p>
        </w:tc>
        <w:tc>
          <w:tcPr>
            <w:tcW w:w="1398" w:type="dxa"/>
            <w:tcBorders>
              <w:top w:val="single" w:color="auto" w:sz="4" w:space="0"/>
              <w:left w:val="nil"/>
              <w:bottom w:val="single" w:color="auto" w:sz="4" w:space="0"/>
              <w:right w:val="single" w:color="auto" w:sz="4" w:space="0"/>
            </w:tcBorders>
            <w:vAlign w:val="center"/>
          </w:tcPr>
          <w:p w14:paraId="3A012FDF">
            <w:pPr>
              <w:adjustRightInd w:val="0"/>
              <w:snapToGrid w:val="0"/>
              <w:jc w:val="center"/>
              <w:rPr>
                <w:color w:val="auto"/>
                <w:szCs w:val="21"/>
              </w:rPr>
            </w:pPr>
            <w:r>
              <w:rPr>
                <w:color w:val="auto"/>
                <w:szCs w:val="21"/>
              </w:rPr>
              <w:t>7664-39-3</w:t>
            </w:r>
          </w:p>
        </w:tc>
        <w:tc>
          <w:tcPr>
            <w:tcW w:w="1727" w:type="dxa"/>
            <w:tcBorders>
              <w:top w:val="single" w:color="auto" w:sz="4" w:space="0"/>
              <w:left w:val="nil"/>
              <w:bottom w:val="single" w:color="auto" w:sz="4" w:space="0"/>
              <w:right w:val="single" w:color="auto" w:sz="4" w:space="0"/>
            </w:tcBorders>
            <w:vAlign w:val="center"/>
          </w:tcPr>
          <w:p w14:paraId="6AB4AAF4">
            <w:pPr>
              <w:adjustRightInd w:val="0"/>
              <w:snapToGrid w:val="0"/>
              <w:jc w:val="center"/>
              <w:rPr>
                <w:color w:val="auto"/>
                <w:szCs w:val="21"/>
              </w:rPr>
            </w:pPr>
            <w:r>
              <w:rPr>
                <w:rFonts w:hint="default"/>
                <w:color w:val="auto"/>
                <w:szCs w:val="21"/>
                <w:lang w:val="en-US" w:eastAsia="zh-CN"/>
              </w:rPr>
              <w:t>5</w:t>
            </w:r>
          </w:p>
        </w:tc>
        <w:tc>
          <w:tcPr>
            <w:tcW w:w="1263" w:type="dxa"/>
            <w:tcBorders>
              <w:top w:val="single" w:color="auto" w:sz="4" w:space="0"/>
              <w:left w:val="nil"/>
              <w:bottom w:val="single" w:color="auto" w:sz="4" w:space="0"/>
              <w:right w:val="single" w:color="auto" w:sz="4" w:space="0"/>
            </w:tcBorders>
            <w:vAlign w:val="center"/>
          </w:tcPr>
          <w:p w14:paraId="45BF2131">
            <w:pPr>
              <w:adjustRightInd w:val="0"/>
              <w:snapToGrid w:val="0"/>
              <w:jc w:val="center"/>
              <w:rPr>
                <w:color w:val="auto"/>
                <w:szCs w:val="21"/>
              </w:rPr>
            </w:pPr>
            <w:r>
              <w:rPr>
                <w:color w:val="auto"/>
                <w:szCs w:val="21"/>
              </w:rPr>
              <w:t>1</w:t>
            </w:r>
          </w:p>
        </w:tc>
        <w:tc>
          <w:tcPr>
            <w:tcW w:w="1556" w:type="dxa"/>
            <w:tcBorders>
              <w:top w:val="single" w:color="auto" w:sz="4" w:space="0"/>
              <w:left w:val="nil"/>
              <w:bottom w:val="single" w:color="auto" w:sz="4" w:space="0"/>
              <w:right w:val="single" w:color="auto" w:sz="4" w:space="0"/>
            </w:tcBorders>
            <w:vAlign w:val="center"/>
          </w:tcPr>
          <w:p w14:paraId="7EC20C42">
            <w:pPr>
              <w:adjustRightInd w:val="0"/>
              <w:snapToGrid w:val="0"/>
              <w:jc w:val="center"/>
              <w:rPr>
                <w:rFonts w:hint="eastAsia"/>
                <w:color w:val="auto"/>
                <w:szCs w:val="21"/>
                <w:lang w:val="en-US" w:eastAsia="zh-CN"/>
              </w:rPr>
            </w:pPr>
            <w:r>
              <w:rPr>
                <w:rFonts w:hint="default"/>
                <w:color w:val="auto"/>
                <w:szCs w:val="21"/>
                <w:lang w:val="en-US" w:eastAsia="zh-CN"/>
              </w:rPr>
              <w:t xml:space="preserve">5.00 </w:t>
            </w:r>
          </w:p>
        </w:tc>
      </w:tr>
      <w:tr w14:paraId="21F41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2E370337">
            <w:pPr>
              <w:adjustRightInd w:val="0"/>
              <w:snapToGrid w:val="0"/>
              <w:jc w:val="center"/>
              <w:rPr>
                <w:color w:val="auto"/>
                <w:szCs w:val="21"/>
              </w:rPr>
            </w:pPr>
            <w:r>
              <w:rPr>
                <w:color w:val="auto"/>
                <w:szCs w:val="21"/>
              </w:rPr>
              <w:t>6</w:t>
            </w:r>
          </w:p>
        </w:tc>
        <w:tc>
          <w:tcPr>
            <w:tcW w:w="924" w:type="dxa"/>
            <w:vMerge w:val="continue"/>
            <w:tcBorders>
              <w:left w:val="nil"/>
              <w:bottom w:val="single" w:color="auto" w:sz="4" w:space="0"/>
              <w:right w:val="single" w:color="auto" w:sz="4" w:space="0"/>
            </w:tcBorders>
            <w:vAlign w:val="center"/>
          </w:tcPr>
          <w:p w14:paraId="4FBF06FB">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25FAD459">
            <w:pPr>
              <w:adjustRightInd w:val="0"/>
              <w:snapToGrid w:val="0"/>
              <w:jc w:val="center"/>
              <w:rPr>
                <w:color w:val="auto"/>
                <w:szCs w:val="21"/>
              </w:rPr>
            </w:pPr>
            <w:r>
              <w:rPr>
                <w:rFonts w:hint="eastAsia"/>
                <w:color w:val="auto"/>
                <w:kern w:val="0"/>
                <w:szCs w:val="21"/>
                <w:lang w:eastAsia="zh-CN"/>
              </w:rPr>
              <w:t>36%</w:t>
            </w:r>
            <w:r>
              <w:rPr>
                <w:color w:val="auto"/>
                <w:kern w:val="0"/>
                <w:szCs w:val="21"/>
              </w:rPr>
              <w:t>盐酸</w:t>
            </w:r>
          </w:p>
        </w:tc>
        <w:tc>
          <w:tcPr>
            <w:tcW w:w="1398" w:type="dxa"/>
            <w:tcBorders>
              <w:top w:val="single" w:color="auto" w:sz="4" w:space="0"/>
              <w:left w:val="nil"/>
              <w:bottom w:val="single" w:color="auto" w:sz="4" w:space="0"/>
              <w:right w:val="single" w:color="auto" w:sz="4" w:space="0"/>
            </w:tcBorders>
            <w:vAlign w:val="center"/>
          </w:tcPr>
          <w:p w14:paraId="02BB915D">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413C171F">
            <w:pPr>
              <w:adjustRightInd w:val="0"/>
              <w:snapToGrid w:val="0"/>
              <w:jc w:val="center"/>
              <w:rPr>
                <w:color w:val="auto"/>
                <w:szCs w:val="21"/>
              </w:rPr>
            </w:pPr>
            <w:r>
              <w:rPr>
                <w:rFonts w:hint="default"/>
                <w:color w:val="auto"/>
                <w:szCs w:val="21"/>
                <w:lang w:val="en-US" w:eastAsia="zh-CN"/>
              </w:rPr>
              <w:t>20</w:t>
            </w:r>
          </w:p>
        </w:tc>
        <w:tc>
          <w:tcPr>
            <w:tcW w:w="1263" w:type="dxa"/>
            <w:tcBorders>
              <w:top w:val="single" w:color="auto" w:sz="4" w:space="0"/>
              <w:left w:val="nil"/>
              <w:bottom w:val="single" w:color="auto" w:sz="4" w:space="0"/>
              <w:right w:val="single" w:color="auto" w:sz="4" w:space="0"/>
            </w:tcBorders>
            <w:vAlign w:val="center"/>
          </w:tcPr>
          <w:p w14:paraId="4EC89E33">
            <w:pPr>
              <w:adjustRightInd w:val="0"/>
              <w:snapToGrid w:val="0"/>
              <w:jc w:val="center"/>
              <w:rPr>
                <w:color w:val="auto"/>
                <w:szCs w:val="21"/>
              </w:rPr>
            </w:pPr>
            <w:r>
              <w:rPr>
                <w:color w:val="auto"/>
                <w:szCs w:val="21"/>
              </w:rPr>
              <w:t>7.5</w:t>
            </w:r>
          </w:p>
        </w:tc>
        <w:tc>
          <w:tcPr>
            <w:tcW w:w="1556" w:type="dxa"/>
            <w:tcBorders>
              <w:top w:val="single" w:color="auto" w:sz="4" w:space="0"/>
              <w:left w:val="nil"/>
              <w:bottom w:val="single" w:color="auto" w:sz="4" w:space="0"/>
              <w:right w:val="single" w:color="auto" w:sz="4" w:space="0"/>
            </w:tcBorders>
            <w:vAlign w:val="center"/>
          </w:tcPr>
          <w:p w14:paraId="7B91CA5E">
            <w:pPr>
              <w:adjustRightInd w:val="0"/>
              <w:snapToGrid w:val="0"/>
              <w:jc w:val="center"/>
              <w:rPr>
                <w:rFonts w:hint="eastAsia"/>
                <w:color w:val="auto"/>
                <w:szCs w:val="21"/>
                <w:lang w:val="en-US" w:eastAsia="zh-CN"/>
              </w:rPr>
            </w:pPr>
            <w:r>
              <w:rPr>
                <w:rFonts w:hint="default"/>
                <w:color w:val="auto"/>
                <w:szCs w:val="21"/>
                <w:lang w:val="en-US" w:eastAsia="zh-CN"/>
              </w:rPr>
              <w:t xml:space="preserve">2.67 </w:t>
            </w:r>
          </w:p>
        </w:tc>
      </w:tr>
      <w:tr w14:paraId="7ECE8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26A915BB">
            <w:pPr>
              <w:adjustRightInd w:val="0"/>
              <w:snapToGrid w:val="0"/>
              <w:jc w:val="center"/>
              <w:rPr>
                <w:color w:val="auto"/>
                <w:szCs w:val="21"/>
              </w:rPr>
            </w:pPr>
            <w:r>
              <w:rPr>
                <w:color w:val="auto"/>
                <w:szCs w:val="21"/>
              </w:rPr>
              <w:t>7</w:t>
            </w:r>
          </w:p>
        </w:tc>
        <w:tc>
          <w:tcPr>
            <w:tcW w:w="924" w:type="dxa"/>
            <w:vMerge w:val="restart"/>
            <w:tcBorders>
              <w:top w:val="single" w:color="auto" w:sz="4" w:space="0"/>
              <w:left w:val="nil"/>
              <w:right w:val="single" w:color="auto" w:sz="4" w:space="0"/>
            </w:tcBorders>
            <w:vAlign w:val="center"/>
          </w:tcPr>
          <w:p w14:paraId="4048218C">
            <w:pPr>
              <w:adjustRightInd w:val="0"/>
              <w:snapToGrid w:val="0"/>
              <w:jc w:val="center"/>
              <w:rPr>
                <w:color w:val="auto"/>
                <w:szCs w:val="21"/>
              </w:rPr>
            </w:pPr>
            <w:r>
              <w:rPr>
                <w:color w:val="auto"/>
                <w:szCs w:val="21"/>
              </w:rPr>
              <w:t>车间在线量</w:t>
            </w:r>
            <w:r>
              <w:rPr>
                <w:color w:val="auto"/>
                <w:kern w:val="0"/>
                <w:szCs w:val="21"/>
                <w:vertAlign w:val="superscript"/>
              </w:rPr>
              <w:t>①</w:t>
            </w:r>
          </w:p>
        </w:tc>
        <w:tc>
          <w:tcPr>
            <w:tcW w:w="1543" w:type="dxa"/>
            <w:tcBorders>
              <w:top w:val="single" w:color="auto" w:sz="4" w:space="0"/>
              <w:left w:val="single" w:color="auto" w:sz="4" w:space="0"/>
              <w:bottom w:val="single" w:color="auto" w:sz="4" w:space="0"/>
              <w:right w:val="single" w:color="auto" w:sz="4" w:space="0"/>
            </w:tcBorders>
            <w:vAlign w:val="center"/>
          </w:tcPr>
          <w:p w14:paraId="41208096">
            <w:pPr>
              <w:adjustRightInd w:val="0"/>
              <w:snapToGrid w:val="0"/>
              <w:jc w:val="center"/>
              <w:rPr>
                <w:color w:val="auto"/>
                <w:szCs w:val="21"/>
              </w:rPr>
            </w:pPr>
            <w:r>
              <w:rPr>
                <w:color w:val="auto"/>
                <w:szCs w:val="21"/>
              </w:rPr>
              <w:t>氯化氢</w:t>
            </w:r>
          </w:p>
        </w:tc>
        <w:tc>
          <w:tcPr>
            <w:tcW w:w="1398" w:type="dxa"/>
            <w:tcBorders>
              <w:top w:val="single" w:color="auto" w:sz="4" w:space="0"/>
              <w:left w:val="nil"/>
              <w:bottom w:val="single" w:color="auto" w:sz="4" w:space="0"/>
              <w:right w:val="single" w:color="auto" w:sz="4" w:space="0"/>
            </w:tcBorders>
            <w:vAlign w:val="center"/>
          </w:tcPr>
          <w:p w14:paraId="256F9F1E">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368227B0">
            <w:pPr>
              <w:adjustRightInd w:val="0"/>
              <w:snapToGrid w:val="0"/>
              <w:jc w:val="center"/>
              <w:rPr>
                <w:color w:val="auto"/>
                <w:szCs w:val="21"/>
              </w:rPr>
            </w:pPr>
            <w:r>
              <w:rPr>
                <w:rFonts w:hint="default"/>
                <w:color w:val="auto"/>
                <w:szCs w:val="21"/>
                <w:lang w:val="en-US" w:eastAsia="zh-CN"/>
              </w:rPr>
              <w:t>0.05</w:t>
            </w:r>
          </w:p>
        </w:tc>
        <w:tc>
          <w:tcPr>
            <w:tcW w:w="1263" w:type="dxa"/>
            <w:tcBorders>
              <w:top w:val="single" w:color="auto" w:sz="4" w:space="0"/>
              <w:left w:val="nil"/>
              <w:bottom w:val="single" w:color="auto" w:sz="4" w:space="0"/>
              <w:right w:val="single" w:color="auto" w:sz="4" w:space="0"/>
            </w:tcBorders>
            <w:vAlign w:val="center"/>
          </w:tcPr>
          <w:p w14:paraId="655C8834">
            <w:pPr>
              <w:adjustRightInd w:val="0"/>
              <w:snapToGrid w:val="0"/>
              <w:jc w:val="center"/>
              <w:rPr>
                <w:color w:val="auto"/>
                <w:szCs w:val="21"/>
              </w:rPr>
            </w:pPr>
            <w:r>
              <w:rPr>
                <w:color w:val="auto"/>
                <w:szCs w:val="21"/>
              </w:rPr>
              <w:t>2.5</w:t>
            </w:r>
          </w:p>
        </w:tc>
        <w:tc>
          <w:tcPr>
            <w:tcW w:w="1556" w:type="dxa"/>
            <w:tcBorders>
              <w:top w:val="single" w:color="auto" w:sz="4" w:space="0"/>
              <w:left w:val="nil"/>
              <w:bottom w:val="single" w:color="auto" w:sz="4" w:space="0"/>
              <w:right w:val="single" w:color="auto" w:sz="4" w:space="0"/>
            </w:tcBorders>
            <w:vAlign w:val="center"/>
          </w:tcPr>
          <w:p w14:paraId="1FDE12F2">
            <w:pPr>
              <w:adjustRightInd w:val="0"/>
              <w:snapToGrid w:val="0"/>
              <w:jc w:val="center"/>
              <w:rPr>
                <w:rFonts w:hint="eastAsia"/>
                <w:color w:val="auto"/>
                <w:szCs w:val="21"/>
                <w:lang w:val="en-US" w:eastAsia="zh-CN"/>
              </w:rPr>
            </w:pPr>
            <w:r>
              <w:rPr>
                <w:rFonts w:hint="default"/>
                <w:color w:val="auto"/>
                <w:szCs w:val="21"/>
                <w:lang w:val="en-US" w:eastAsia="zh-CN"/>
              </w:rPr>
              <w:t xml:space="preserve">0.02 </w:t>
            </w:r>
          </w:p>
        </w:tc>
      </w:tr>
      <w:tr w14:paraId="71EC5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7F2EF0C6">
            <w:pPr>
              <w:adjustRightInd w:val="0"/>
              <w:snapToGrid w:val="0"/>
              <w:jc w:val="center"/>
              <w:rPr>
                <w:color w:val="auto"/>
                <w:szCs w:val="21"/>
              </w:rPr>
            </w:pPr>
            <w:r>
              <w:rPr>
                <w:color w:val="auto"/>
                <w:szCs w:val="21"/>
              </w:rPr>
              <w:t>8</w:t>
            </w:r>
          </w:p>
        </w:tc>
        <w:tc>
          <w:tcPr>
            <w:tcW w:w="924" w:type="dxa"/>
            <w:vMerge w:val="continue"/>
            <w:tcBorders>
              <w:left w:val="nil"/>
              <w:right w:val="single" w:color="auto" w:sz="4" w:space="0"/>
            </w:tcBorders>
            <w:vAlign w:val="center"/>
          </w:tcPr>
          <w:p w14:paraId="7F0FA797">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35A52790">
            <w:pPr>
              <w:adjustRightInd w:val="0"/>
              <w:snapToGrid w:val="0"/>
              <w:jc w:val="center"/>
              <w:rPr>
                <w:color w:val="auto"/>
                <w:szCs w:val="21"/>
              </w:rPr>
            </w:pPr>
            <w:r>
              <w:rPr>
                <w:rFonts w:hint="eastAsia"/>
                <w:color w:val="auto"/>
                <w:kern w:val="0"/>
                <w:szCs w:val="21"/>
                <w:lang w:eastAsia="zh-CN"/>
              </w:rPr>
              <w:t>40%</w:t>
            </w:r>
            <w:r>
              <w:rPr>
                <w:color w:val="auto"/>
                <w:kern w:val="0"/>
                <w:szCs w:val="21"/>
              </w:rPr>
              <w:t>氢氟酸</w:t>
            </w:r>
          </w:p>
        </w:tc>
        <w:tc>
          <w:tcPr>
            <w:tcW w:w="1398" w:type="dxa"/>
            <w:tcBorders>
              <w:top w:val="single" w:color="auto" w:sz="4" w:space="0"/>
              <w:left w:val="nil"/>
              <w:bottom w:val="single" w:color="auto" w:sz="4" w:space="0"/>
              <w:right w:val="single" w:color="auto" w:sz="4" w:space="0"/>
            </w:tcBorders>
            <w:vAlign w:val="center"/>
          </w:tcPr>
          <w:p w14:paraId="794C99FA">
            <w:pPr>
              <w:adjustRightInd w:val="0"/>
              <w:snapToGrid w:val="0"/>
              <w:jc w:val="center"/>
              <w:rPr>
                <w:color w:val="auto"/>
                <w:szCs w:val="21"/>
              </w:rPr>
            </w:pPr>
            <w:r>
              <w:rPr>
                <w:color w:val="auto"/>
                <w:szCs w:val="21"/>
              </w:rPr>
              <w:t>7664-39-3</w:t>
            </w:r>
          </w:p>
        </w:tc>
        <w:tc>
          <w:tcPr>
            <w:tcW w:w="1727" w:type="dxa"/>
            <w:tcBorders>
              <w:top w:val="single" w:color="auto" w:sz="4" w:space="0"/>
              <w:left w:val="nil"/>
              <w:bottom w:val="single" w:color="auto" w:sz="4" w:space="0"/>
              <w:right w:val="single" w:color="auto" w:sz="4" w:space="0"/>
            </w:tcBorders>
            <w:vAlign w:val="center"/>
          </w:tcPr>
          <w:p w14:paraId="7C79B9DB">
            <w:pPr>
              <w:adjustRightInd w:val="0"/>
              <w:snapToGrid w:val="0"/>
              <w:jc w:val="center"/>
              <w:rPr>
                <w:color w:val="auto"/>
                <w:szCs w:val="21"/>
              </w:rPr>
            </w:pPr>
            <w:r>
              <w:rPr>
                <w:rFonts w:hint="default"/>
                <w:color w:val="auto"/>
                <w:szCs w:val="21"/>
                <w:lang w:val="en-US" w:eastAsia="zh-CN"/>
              </w:rPr>
              <w:t>0.05</w:t>
            </w:r>
          </w:p>
        </w:tc>
        <w:tc>
          <w:tcPr>
            <w:tcW w:w="1263" w:type="dxa"/>
            <w:tcBorders>
              <w:top w:val="single" w:color="auto" w:sz="4" w:space="0"/>
              <w:left w:val="nil"/>
              <w:bottom w:val="single" w:color="auto" w:sz="4" w:space="0"/>
              <w:right w:val="single" w:color="auto" w:sz="4" w:space="0"/>
            </w:tcBorders>
            <w:vAlign w:val="center"/>
          </w:tcPr>
          <w:p w14:paraId="506967E8">
            <w:pPr>
              <w:adjustRightInd w:val="0"/>
              <w:snapToGrid w:val="0"/>
              <w:jc w:val="center"/>
              <w:rPr>
                <w:color w:val="auto"/>
                <w:szCs w:val="21"/>
              </w:rPr>
            </w:pPr>
            <w:r>
              <w:rPr>
                <w:color w:val="auto"/>
                <w:szCs w:val="21"/>
              </w:rPr>
              <w:t>1</w:t>
            </w:r>
          </w:p>
        </w:tc>
        <w:tc>
          <w:tcPr>
            <w:tcW w:w="1556" w:type="dxa"/>
            <w:tcBorders>
              <w:top w:val="single" w:color="auto" w:sz="4" w:space="0"/>
              <w:left w:val="nil"/>
              <w:bottom w:val="single" w:color="auto" w:sz="4" w:space="0"/>
              <w:right w:val="single" w:color="auto" w:sz="4" w:space="0"/>
            </w:tcBorders>
            <w:vAlign w:val="center"/>
          </w:tcPr>
          <w:p w14:paraId="50B07C6C">
            <w:pPr>
              <w:adjustRightInd w:val="0"/>
              <w:snapToGrid w:val="0"/>
              <w:jc w:val="center"/>
              <w:rPr>
                <w:rFonts w:hint="eastAsia"/>
                <w:color w:val="auto"/>
                <w:szCs w:val="21"/>
                <w:lang w:val="en-US" w:eastAsia="zh-CN"/>
              </w:rPr>
            </w:pPr>
            <w:r>
              <w:rPr>
                <w:rFonts w:hint="default"/>
                <w:color w:val="auto"/>
                <w:szCs w:val="21"/>
                <w:lang w:val="en-US" w:eastAsia="zh-CN"/>
              </w:rPr>
              <w:t xml:space="preserve">0.05 </w:t>
            </w:r>
          </w:p>
        </w:tc>
      </w:tr>
      <w:tr w14:paraId="18A22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0250FDC7">
            <w:pPr>
              <w:adjustRightInd w:val="0"/>
              <w:snapToGrid w:val="0"/>
              <w:jc w:val="center"/>
              <w:rPr>
                <w:color w:val="auto"/>
                <w:szCs w:val="21"/>
              </w:rPr>
            </w:pPr>
            <w:r>
              <w:rPr>
                <w:color w:val="auto"/>
                <w:szCs w:val="21"/>
              </w:rPr>
              <w:t>9</w:t>
            </w:r>
          </w:p>
        </w:tc>
        <w:tc>
          <w:tcPr>
            <w:tcW w:w="924" w:type="dxa"/>
            <w:vMerge w:val="continue"/>
            <w:tcBorders>
              <w:left w:val="nil"/>
              <w:bottom w:val="single" w:color="auto" w:sz="4" w:space="0"/>
              <w:right w:val="single" w:color="auto" w:sz="4" w:space="0"/>
            </w:tcBorders>
            <w:vAlign w:val="center"/>
          </w:tcPr>
          <w:p w14:paraId="141A4245">
            <w:pPr>
              <w:adjustRightInd w:val="0"/>
              <w:snapToGrid w:val="0"/>
              <w:jc w:val="center"/>
              <w:rPr>
                <w:color w:val="auto"/>
                <w:szCs w:val="21"/>
              </w:rPr>
            </w:pPr>
          </w:p>
        </w:tc>
        <w:tc>
          <w:tcPr>
            <w:tcW w:w="1543" w:type="dxa"/>
            <w:tcBorders>
              <w:top w:val="single" w:color="auto" w:sz="4" w:space="0"/>
              <w:left w:val="single" w:color="auto" w:sz="4" w:space="0"/>
              <w:bottom w:val="single" w:color="auto" w:sz="4" w:space="0"/>
              <w:right w:val="single" w:color="auto" w:sz="4" w:space="0"/>
            </w:tcBorders>
            <w:vAlign w:val="center"/>
          </w:tcPr>
          <w:p w14:paraId="6A683136">
            <w:pPr>
              <w:adjustRightInd w:val="0"/>
              <w:snapToGrid w:val="0"/>
              <w:jc w:val="center"/>
              <w:rPr>
                <w:color w:val="auto"/>
                <w:szCs w:val="21"/>
              </w:rPr>
            </w:pPr>
            <w:r>
              <w:rPr>
                <w:rFonts w:hint="eastAsia"/>
                <w:color w:val="auto"/>
                <w:kern w:val="0"/>
                <w:szCs w:val="21"/>
                <w:lang w:eastAsia="zh-CN"/>
              </w:rPr>
              <w:t>36%</w:t>
            </w:r>
            <w:r>
              <w:rPr>
                <w:color w:val="auto"/>
                <w:kern w:val="0"/>
                <w:szCs w:val="21"/>
              </w:rPr>
              <w:t>盐酸</w:t>
            </w:r>
          </w:p>
        </w:tc>
        <w:tc>
          <w:tcPr>
            <w:tcW w:w="1398" w:type="dxa"/>
            <w:tcBorders>
              <w:top w:val="single" w:color="auto" w:sz="4" w:space="0"/>
              <w:left w:val="nil"/>
              <w:bottom w:val="single" w:color="auto" w:sz="4" w:space="0"/>
              <w:right w:val="single" w:color="auto" w:sz="4" w:space="0"/>
            </w:tcBorders>
            <w:vAlign w:val="center"/>
          </w:tcPr>
          <w:p w14:paraId="12E14CC1">
            <w:pPr>
              <w:adjustRightInd w:val="0"/>
              <w:snapToGrid w:val="0"/>
              <w:jc w:val="center"/>
              <w:rPr>
                <w:color w:val="auto"/>
                <w:szCs w:val="21"/>
              </w:rPr>
            </w:pPr>
            <w:r>
              <w:rPr>
                <w:color w:val="auto"/>
                <w:szCs w:val="21"/>
              </w:rPr>
              <w:t>7647-01-0</w:t>
            </w:r>
          </w:p>
        </w:tc>
        <w:tc>
          <w:tcPr>
            <w:tcW w:w="1727" w:type="dxa"/>
            <w:tcBorders>
              <w:top w:val="single" w:color="auto" w:sz="4" w:space="0"/>
              <w:left w:val="nil"/>
              <w:bottom w:val="single" w:color="auto" w:sz="4" w:space="0"/>
              <w:right w:val="single" w:color="auto" w:sz="4" w:space="0"/>
            </w:tcBorders>
            <w:vAlign w:val="center"/>
          </w:tcPr>
          <w:p w14:paraId="6400C0F7">
            <w:pPr>
              <w:adjustRightInd w:val="0"/>
              <w:snapToGrid w:val="0"/>
              <w:jc w:val="center"/>
              <w:rPr>
                <w:color w:val="auto"/>
                <w:szCs w:val="21"/>
              </w:rPr>
            </w:pPr>
            <w:r>
              <w:rPr>
                <w:rFonts w:hint="default"/>
                <w:color w:val="auto"/>
                <w:szCs w:val="21"/>
                <w:lang w:val="en-US" w:eastAsia="zh-CN"/>
              </w:rPr>
              <w:t>0.2</w:t>
            </w:r>
          </w:p>
        </w:tc>
        <w:tc>
          <w:tcPr>
            <w:tcW w:w="1263" w:type="dxa"/>
            <w:tcBorders>
              <w:top w:val="single" w:color="auto" w:sz="4" w:space="0"/>
              <w:left w:val="nil"/>
              <w:bottom w:val="single" w:color="auto" w:sz="4" w:space="0"/>
              <w:right w:val="single" w:color="auto" w:sz="4" w:space="0"/>
            </w:tcBorders>
            <w:vAlign w:val="center"/>
          </w:tcPr>
          <w:p w14:paraId="0279AC4D">
            <w:pPr>
              <w:adjustRightInd w:val="0"/>
              <w:snapToGrid w:val="0"/>
              <w:jc w:val="center"/>
              <w:rPr>
                <w:color w:val="auto"/>
                <w:szCs w:val="21"/>
              </w:rPr>
            </w:pPr>
            <w:r>
              <w:rPr>
                <w:color w:val="auto"/>
                <w:szCs w:val="21"/>
              </w:rPr>
              <w:t>7.5</w:t>
            </w:r>
          </w:p>
        </w:tc>
        <w:tc>
          <w:tcPr>
            <w:tcW w:w="1556" w:type="dxa"/>
            <w:tcBorders>
              <w:top w:val="single" w:color="auto" w:sz="4" w:space="0"/>
              <w:left w:val="nil"/>
              <w:bottom w:val="single" w:color="auto" w:sz="4" w:space="0"/>
              <w:right w:val="single" w:color="auto" w:sz="4" w:space="0"/>
            </w:tcBorders>
            <w:vAlign w:val="center"/>
          </w:tcPr>
          <w:p w14:paraId="1C45D115">
            <w:pPr>
              <w:adjustRightInd w:val="0"/>
              <w:snapToGrid w:val="0"/>
              <w:jc w:val="center"/>
              <w:rPr>
                <w:rFonts w:hint="eastAsia"/>
                <w:color w:val="auto"/>
                <w:szCs w:val="21"/>
                <w:lang w:val="en-US" w:eastAsia="zh-CN"/>
              </w:rPr>
            </w:pPr>
            <w:r>
              <w:rPr>
                <w:rFonts w:hint="default"/>
                <w:color w:val="auto"/>
                <w:szCs w:val="21"/>
                <w:lang w:val="en-US" w:eastAsia="zh-CN"/>
              </w:rPr>
              <w:t xml:space="preserve">0.03 </w:t>
            </w:r>
          </w:p>
        </w:tc>
      </w:tr>
      <w:tr w14:paraId="69B63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tcBorders>
              <w:top w:val="single" w:color="auto" w:sz="4" w:space="0"/>
              <w:left w:val="single" w:color="auto" w:sz="4" w:space="0"/>
              <w:bottom w:val="single" w:color="auto" w:sz="4" w:space="0"/>
              <w:right w:val="single" w:color="auto" w:sz="4" w:space="0"/>
            </w:tcBorders>
            <w:vAlign w:val="center"/>
          </w:tcPr>
          <w:p w14:paraId="1EB628DC">
            <w:pPr>
              <w:adjustRightInd w:val="0"/>
              <w:snapToGrid w:val="0"/>
              <w:jc w:val="center"/>
              <w:rPr>
                <w:color w:val="auto"/>
                <w:szCs w:val="21"/>
              </w:rPr>
            </w:pPr>
            <w:r>
              <w:rPr>
                <w:color w:val="auto"/>
                <w:szCs w:val="21"/>
              </w:rPr>
              <w:t>10</w:t>
            </w:r>
          </w:p>
        </w:tc>
        <w:tc>
          <w:tcPr>
            <w:tcW w:w="924" w:type="dxa"/>
            <w:tcBorders>
              <w:top w:val="single" w:color="auto" w:sz="4" w:space="0"/>
              <w:left w:val="nil"/>
              <w:right w:val="single" w:color="auto" w:sz="4" w:space="0"/>
            </w:tcBorders>
            <w:vAlign w:val="center"/>
          </w:tcPr>
          <w:p w14:paraId="1450DDC1">
            <w:pPr>
              <w:adjustRightInd w:val="0"/>
              <w:snapToGrid w:val="0"/>
              <w:jc w:val="center"/>
              <w:rPr>
                <w:color w:val="auto"/>
                <w:szCs w:val="21"/>
              </w:rPr>
            </w:pPr>
            <w:r>
              <w:rPr>
                <w:color w:val="auto"/>
                <w:szCs w:val="21"/>
              </w:rPr>
              <w:t>危废仓库</w:t>
            </w:r>
          </w:p>
        </w:tc>
        <w:tc>
          <w:tcPr>
            <w:tcW w:w="1543" w:type="dxa"/>
            <w:tcBorders>
              <w:top w:val="single" w:color="auto" w:sz="4" w:space="0"/>
              <w:left w:val="single" w:color="auto" w:sz="4" w:space="0"/>
              <w:bottom w:val="single" w:color="auto" w:sz="4" w:space="0"/>
              <w:right w:val="single" w:color="auto" w:sz="4" w:space="0"/>
            </w:tcBorders>
            <w:vAlign w:val="center"/>
          </w:tcPr>
          <w:p w14:paraId="7ADC9970">
            <w:pPr>
              <w:adjustRightInd w:val="0"/>
              <w:snapToGrid w:val="0"/>
              <w:jc w:val="center"/>
              <w:rPr>
                <w:color w:val="auto"/>
                <w:szCs w:val="21"/>
              </w:rPr>
            </w:pPr>
            <w:r>
              <w:rPr>
                <w:color w:val="auto"/>
                <w:szCs w:val="21"/>
              </w:rPr>
              <w:t>危险固废（不含废酸）</w:t>
            </w:r>
          </w:p>
        </w:tc>
        <w:tc>
          <w:tcPr>
            <w:tcW w:w="1398" w:type="dxa"/>
            <w:tcBorders>
              <w:top w:val="single" w:color="auto" w:sz="4" w:space="0"/>
              <w:left w:val="nil"/>
              <w:bottom w:val="single" w:color="auto" w:sz="4" w:space="0"/>
              <w:right w:val="single" w:color="auto" w:sz="4" w:space="0"/>
            </w:tcBorders>
            <w:vAlign w:val="center"/>
          </w:tcPr>
          <w:p w14:paraId="2342EFF9">
            <w:pPr>
              <w:adjustRightInd w:val="0"/>
              <w:snapToGrid w:val="0"/>
              <w:jc w:val="center"/>
              <w:rPr>
                <w:color w:val="auto"/>
                <w:szCs w:val="21"/>
              </w:rPr>
            </w:pPr>
            <w:r>
              <w:rPr>
                <w:color w:val="auto"/>
                <w:szCs w:val="21"/>
              </w:rPr>
              <w:t>/</w:t>
            </w:r>
          </w:p>
        </w:tc>
        <w:tc>
          <w:tcPr>
            <w:tcW w:w="1727" w:type="dxa"/>
            <w:tcBorders>
              <w:top w:val="single" w:color="auto" w:sz="4" w:space="0"/>
              <w:left w:val="nil"/>
              <w:bottom w:val="single" w:color="auto" w:sz="4" w:space="0"/>
              <w:right w:val="single" w:color="auto" w:sz="4" w:space="0"/>
            </w:tcBorders>
            <w:shd w:val="clear" w:color="auto" w:fill="auto"/>
            <w:vAlign w:val="center"/>
          </w:tcPr>
          <w:p w14:paraId="6D60C507">
            <w:pPr>
              <w:adjustRightInd w:val="0"/>
              <w:snapToGrid w:val="0"/>
              <w:jc w:val="center"/>
              <w:rPr>
                <w:rFonts w:hint="default"/>
                <w:color w:val="auto"/>
                <w:szCs w:val="21"/>
                <w:lang w:val="en-US" w:eastAsia="zh-CN"/>
              </w:rPr>
            </w:pPr>
            <w:r>
              <w:rPr>
                <w:rFonts w:hint="default"/>
                <w:color w:val="auto"/>
                <w:szCs w:val="21"/>
                <w:lang w:val="en-US" w:eastAsia="zh-CN"/>
              </w:rPr>
              <w:t>28.9</w:t>
            </w:r>
          </w:p>
        </w:tc>
        <w:tc>
          <w:tcPr>
            <w:tcW w:w="1263" w:type="dxa"/>
            <w:tcBorders>
              <w:top w:val="single" w:color="auto" w:sz="4" w:space="0"/>
              <w:left w:val="nil"/>
              <w:bottom w:val="single" w:color="auto" w:sz="4" w:space="0"/>
              <w:right w:val="single" w:color="auto" w:sz="4" w:space="0"/>
            </w:tcBorders>
            <w:vAlign w:val="center"/>
          </w:tcPr>
          <w:p w14:paraId="66715FF6">
            <w:pPr>
              <w:adjustRightInd w:val="0"/>
              <w:snapToGrid w:val="0"/>
              <w:jc w:val="center"/>
              <w:rPr>
                <w:color w:val="auto"/>
                <w:szCs w:val="21"/>
              </w:rPr>
            </w:pPr>
            <w:r>
              <w:rPr>
                <w:color w:val="auto"/>
                <w:szCs w:val="21"/>
              </w:rPr>
              <w:t>50</w:t>
            </w:r>
          </w:p>
        </w:tc>
        <w:tc>
          <w:tcPr>
            <w:tcW w:w="1556" w:type="dxa"/>
            <w:tcBorders>
              <w:top w:val="single" w:color="auto" w:sz="4" w:space="0"/>
              <w:left w:val="nil"/>
              <w:bottom w:val="single" w:color="auto" w:sz="4" w:space="0"/>
              <w:right w:val="single" w:color="auto" w:sz="4" w:space="0"/>
            </w:tcBorders>
            <w:vAlign w:val="center"/>
          </w:tcPr>
          <w:p w14:paraId="780FB175">
            <w:pPr>
              <w:adjustRightInd w:val="0"/>
              <w:snapToGrid w:val="0"/>
              <w:jc w:val="center"/>
              <w:rPr>
                <w:rFonts w:hint="default"/>
                <w:color w:val="auto"/>
                <w:szCs w:val="21"/>
                <w:lang w:val="en-US" w:eastAsia="zh-CN"/>
              </w:rPr>
            </w:pPr>
            <w:r>
              <w:rPr>
                <w:rFonts w:hint="default"/>
                <w:color w:val="auto"/>
                <w:szCs w:val="21"/>
                <w:lang w:val="en-US" w:eastAsia="zh-CN"/>
              </w:rPr>
              <w:t xml:space="preserve">0.58 </w:t>
            </w:r>
          </w:p>
        </w:tc>
      </w:tr>
      <w:tr w14:paraId="1E552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87" w:type="dxa"/>
            <w:gridSpan w:val="6"/>
            <w:tcBorders>
              <w:top w:val="single" w:color="auto" w:sz="4" w:space="0"/>
              <w:left w:val="single" w:color="auto" w:sz="4" w:space="0"/>
              <w:bottom w:val="single" w:color="auto" w:sz="4" w:space="0"/>
              <w:right w:val="single" w:color="auto" w:sz="4" w:space="0"/>
            </w:tcBorders>
            <w:vAlign w:val="center"/>
          </w:tcPr>
          <w:p w14:paraId="00558976">
            <w:pPr>
              <w:adjustRightInd w:val="0"/>
              <w:snapToGrid w:val="0"/>
              <w:jc w:val="center"/>
              <w:rPr>
                <w:color w:val="auto"/>
                <w:szCs w:val="21"/>
              </w:rPr>
            </w:pPr>
            <w:r>
              <w:rPr>
                <w:color w:val="auto"/>
                <w:szCs w:val="21"/>
              </w:rPr>
              <w:t>合计</w:t>
            </w:r>
          </w:p>
        </w:tc>
        <w:tc>
          <w:tcPr>
            <w:tcW w:w="1556" w:type="dxa"/>
            <w:tcBorders>
              <w:top w:val="single" w:color="auto" w:sz="4" w:space="0"/>
              <w:left w:val="nil"/>
              <w:bottom w:val="single" w:color="auto" w:sz="4" w:space="0"/>
              <w:right w:val="single" w:color="auto" w:sz="4" w:space="0"/>
            </w:tcBorders>
            <w:vAlign w:val="center"/>
          </w:tcPr>
          <w:p w14:paraId="6F02505D">
            <w:pPr>
              <w:adjustRightInd w:val="0"/>
              <w:snapToGrid w:val="0"/>
              <w:jc w:val="center"/>
              <w:rPr>
                <w:rFonts w:hint="default"/>
                <w:color w:val="auto"/>
                <w:szCs w:val="21"/>
                <w:lang w:val="en-US" w:eastAsia="zh-CN"/>
              </w:rPr>
            </w:pPr>
            <w:r>
              <w:rPr>
                <w:rFonts w:hint="eastAsia"/>
                <w:color w:val="auto"/>
                <w:szCs w:val="21"/>
                <w:lang w:val="en-US" w:eastAsia="zh-CN"/>
              </w:rPr>
              <w:t xml:space="preserve">34.09 </w:t>
            </w:r>
          </w:p>
        </w:tc>
      </w:tr>
      <w:tr w14:paraId="36C25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43" w:type="dxa"/>
            <w:gridSpan w:val="7"/>
            <w:tcBorders>
              <w:top w:val="single" w:color="auto" w:sz="4" w:space="0"/>
              <w:left w:val="single" w:color="auto" w:sz="4" w:space="0"/>
              <w:bottom w:val="single" w:color="auto" w:sz="4" w:space="0"/>
              <w:right w:val="single" w:color="auto" w:sz="4" w:space="0"/>
            </w:tcBorders>
          </w:tcPr>
          <w:p w14:paraId="4DD39F2D">
            <w:pPr>
              <w:widowControl/>
              <w:textAlignment w:val="center"/>
              <w:rPr>
                <w:color w:val="auto"/>
                <w:kern w:val="0"/>
                <w:szCs w:val="21"/>
              </w:rPr>
            </w:pPr>
            <w:r>
              <w:rPr>
                <w:color w:val="auto"/>
                <w:kern w:val="0"/>
                <w:szCs w:val="21"/>
              </w:rPr>
              <w:t>①包含车间在线、废气和废水环保设施的最大在线量；</w:t>
            </w:r>
          </w:p>
          <w:p w14:paraId="7F859BF4">
            <w:pPr>
              <w:adjustRightInd w:val="0"/>
              <w:snapToGrid w:val="0"/>
              <w:rPr>
                <w:color w:val="auto"/>
                <w:szCs w:val="21"/>
              </w:rPr>
            </w:pPr>
            <w:r>
              <w:rPr>
                <w:color w:val="auto"/>
                <w:kern w:val="0"/>
                <w:szCs w:val="21"/>
              </w:rPr>
              <w:t>②本</w:t>
            </w:r>
            <w:r>
              <w:rPr>
                <w:rFonts w:hint="eastAsia"/>
                <w:color w:val="auto"/>
                <w:kern w:val="0"/>
                <w:szCs w:val="21"/>
              </w:rPr>
              <w:t>表</w:t>
            </w:r>
            <w:r>
              <w:rPr>
                <w:rFonts w:hint="eastAsia"/>
                <w:color w:val="auto"/>
                <w:kern w:val="0"/>
                <w:szCs w:val="21"/>
                <w:lang w:val="en-US" w:eastAsia="zh-CN"/>
              </w:rPr>
              <w:t>氢氟酸、盐酸最大存在量已折算，具体为：</w:t>
            </w:r>
            <w:r>
              <w:rPr>
                <w:rFonts w:hint="eastAsia"/>
                <w:color w:val="auto"/>
                <w:kern w:val="0"/>
                <w:szCs w:val="21"/>
                <w:lang w:eastAsia="zh-CN"/>
              </w:rPr>
              <w:t>36%</w:t>
            </w:r>
            <w:r>
              <w:rPr>
                <w:color w:val="auto"/>
                <w:kern w:val="0"/>
                <w:szCs w:val="21"/>
              </w:rPr>
              <w:t>盐酸折算为37%盐酸、</w:t>
            </w:r>
            <w:r>
              <w:rPr>
                <w:rFonts w:hint="eastAsia"/>
                <w:color w:val="auto"/>
                <w:kern w:val="0"/>
                <w:szCs w:val="21"/>
                <w:lang w:eastAsia="zh-CN"/>
              </w:rPr>
              <w:t>40%</w:t>
            </w:r>
            <w:r>
              <w:rPr>
                <w:color w:val="auto"/>
                <w:kern w:val="0"/>
                <w:szCs w:val="21"/>
              </w:rPr>
              <w:t>氢氟酸折算为100%氢氟酸。</w:t>
            </w:r>
          </w:p>
        </w:tc>
      </w:tr>
    </w:tbl>
    <w:p w14:paraId="094590F5">
      <w:pPr>
        <w:autoSpaceDE w:val="0"/>
        <w:autoSpaceDN w:val="0"/>
        <w:adjustRightInd w:val="0"/>
        <w:snapToGrid w:val="0"/>
        <w:spacing w:line="360" w:lineRule="auto"/>
        <w:ind w:firstLine="480" w:firstLineChars="200"/>
        <w:rPr>
          <w:color w:val="auto"/>
          <w:sz w:val="24"/>
        </w:rPr>
      </w:pPr>
      <w:r>
        <w:rPr>
          <w:color w:val="auto"/>
          <w:sz w:val="24"/>
        </w:rPr>
        <w:t>由上述分析结果可知，全厂10≤Q＜100。</w:t>
      </w:r>
    </w:p>
    <w:p w14:paraId="31A97912">
      <w:pPr>
        <w:autoSpaceDE w:val="0"/>
        <w:autoSpaceDN w:val="0"/>
        <w:adjustRightInd w:val="0"/>
        <w:spacing w:line="360" w:lineRule="auto"/>
        <w:ind w:firstLine="480" w:firstLineChars="200"/>
        <w:rPr>
          <w:color w:val="auto"/>
          <w:sz w:val="24"/>
        </w:rPr>
      </w:pPr>
      <w:r>
        <w:rPr>
          <w:color w:val="auto"/>
          <w:sz w:val="24"/>
        </w:rPr>
        <w:t>②行业及生产工艺（M）</w:t>
      </w:r>
    </w:p>
    <w:p w14:paraId="51007E12">
      <w:pPr>
        <w:autoSpaceDE w:val="0"/>
        <w:autoSpaceDN w:val="0"/>
        <w:adjustRightInd w:val="0"/>
        <w:spacing w:line="360" w:lineRule="auto"/>
        <w:ind w:firstLine="480" w:firstLineChars="200"/>
        <w:rPr>
          <w:color w:val="auto"/>
          <w:sz w:val="24"/>
        </w:rPr>
      </w:pPr>
      <w:r>
        <w:rPr>
          <w:color w:val="auto"/>
          <w:sz w:val="24"/>
        </w:rPr>
        <w:t>分析项目所属行业及生产工艺特点，根据风险导则附表C.1 评估生产工艺情况。具有多套工艺单元的项目，对每套生产工艺分别评分并求和。将 M 划分为(1)M＞20；(2)10＜M≤20；(3)5＜M≤10；(4)M=5，分别以 M1、M2、M3 和 M4 表示。</w:t>
      </w:r>
    </w:p>
    <w:p w14:paraId="1913085B">
      <w:pPr>
        <w:autoSpaceDE w:val="0"/>
        <w:autoSpaceDN w:val="0"/>
        <w:adjustRightInd w:val="0"/>
        <w:jc w:val="center"/>
        <w:rPr>
          <w:b/>
          <w:color w:val="auto"/>
          <w:sz w:val="18"/>
          <w:szCs w:val="18"/>
        </w:rPr>
      </w:pPr>
      <w:r>
        <w:rPr>
          <w:rFonts w:hint="eastAsia"/>
          <w:b/>
          <w:color w:val="auto"/>
          <w:szCs w:val="21"/>
        </w:rPr>
        <w:t>表7.</w:t>
      </w:r>
      <w:r>
        <w:rPr>
          <w:b/>
          <w:color w:val="auto"/>
          <w:szCs w:val="21"/>
        </w:rPr>
        <w:t>4</w:t>
      </w:r>
      <w:r>
        <w:rPr>
          <w:rFonts w:hint="eastAsia"/>
          <w:b/>
          <w:color w:val="auto"/>
          <w:szCs w:val="21"/>
        </w:rPr>
        <w:t>-2</w:t>
      </w:r>
      <w:r>
        <w:rPr>
          <w:b/>
          <w:color w:val="auto"/>
          <w:szCs w:val="21"/>
        </w:rPr>
        <w:t xml:space="preserve">   建设项目M值确定表</w:t>
      </w:r>
    </w:p>
    <w:tbl>
      <w:tblPr>
        <w:tblStyle w:val="3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1032"/>
        <w:gridCol w:w="4485"/>
        <w:gridCol w:w="812"/>
        <w:gridCol w:w="696"/>
        <w:gridCol w:w="1479"/>
      </w:tblGrid>
      <w:tr w14:paraId="5FF1F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03" w:type="dxa"/>
            <w:shd w:val="clear" w:color="auto" w:fill="FFFFFF"/>
            <w:vAlign w:val="center"/>
          </w:tcPr>
          <w:p w14:paraId="7D190BD2">
            <w:pPr>
              <w:jc w:val="center"/>
              <w:rPr>
                <w:color w:val="auto"/>
                <w:szCs w:val="21"/>
              </w:rPr>
            </w:pPr>
            <w:r>
              <w:rPr>
                <w:color w:val="auto"/>
                <w:szCs w:val="21"/>
              </w:rPr>
              <w:t>行业</w:t>
            </w:r>
          </w:p>
        </w:tc>
        <w:tc>
          <w:tcPr>
            <w:tcW w:w="4805" w:type="dxa"/>
            <w:shd w:val="clear" w:color="auto" w:fill="FFFFFF"/>
            <w:tcMar>
              <w:top w:w="0" w:type="dxa"/>
              <w:left w:w="0" w:type="dxa"/>
              <w:bottom w:w="0" w:type="dxa"/>
              <w:right w:w="0" w:type="dxa"/>
            </w:tcMar>
            <w:vAlign w:val="center"/>
          </w:tcPr>
          <w:p w14:paraId="401F6EC0">
            <w:pPr>
              <w:jc w:val="center"/>
              <w:rPr>
                <w:color w:val="auto"/>
                <w:szCs w:val="21"/>
              </w:rPr>
            </w:pPr>
            <w:r>
              <w:rPr>
                <w:color w:val="auto"/>
                <w:szCs w:val="21"/>
              </w:rPr>
              <w:t>评估依据</w:t>
            </w:r>
          </w:p>
        </w:tc>
        <w:tc>
          <w:tcPr>
            <w:tcW w:w="868" w:type="dxa"/>
            <w:shd w:val="clear" w:color="auto" w:fill="FFFFFF"/>
            <w:tcMar>
              <w:top w:w="0" w:type="dxa"/>
              <w:left w:w="0" w:type="dxa"/>
              <w:bottom w:w="0" w:type="dxa"/>
              <w:right w:w="0" w:type="dxa"/>
            </w:tcMar>
            <w:vAlign w:val="center"/>
          </w:tcPr>
          <w:p w14:paraId="529C1314">
            <w:pPr>
              <w:jc w:val="center"/>
              <w:rPr>
                <w:color w:val="auto"/>
                <w:szCs w:val="21"/>
              </w:rPr>
            </w:pPr>
            <w:r>
              <w:rPr>
                <w:color w:val="auto"/>
                <w:szCs w:val="21"/>
              </w:rPr>
              <w:t>分值</w:t>
            </w:r>
          </w:p>
        </w:tc>
        <w:tc>
          <w:tcPr>
            <w:tcW w:w="742" w:type="dxa"/>
            <w:shd w:val="clear" w:color="auto" w:fill="FFFFFF"/>
            <w:vAlign w:val="center"/>
          </w:tcPr>
          <w:p w14:paraId="5531391C">
            <w:pPr>
              <w:jc w:val="center"/>
              <w:rPr>
                <w:color w:val="auto"/>
                <w:szCs w:val="21"/>
              </w:rPr>
            </w:pPr>
            <w:r>
              <w:rPr>
                <w:color w:val="auto"/>
                <w:szCs w:val="21"/>
              </w:rPr>
              <w:t>本项目分值</w:t>
            </w:r>
          </w:p>
        </w:tc>
        <w:tc>
          <w:tcPr>
            <w:tcW w:w="1582" w:type="dxa"/>
            <w:shd w:val="clear" w:color="auto" w:fill="FFFFFF"/>
            <w:vAlign w:val="center"/>
          </w:tcPr>
          <w:p w14:paraId="5A6AF4AD">
            <w:pPr>
              <w:jc w:val="center"/>
              <w:rPr>
                <w:color w:val="auto"/>
                <w:szCs w:val="21"/>
              </w:rPr>
            </w:pPr>
            <w:r>
              <w:rPr>
                <w:color w:val="auto"/>
                <w:szCs w:val="21"/>
              </w:rPr>
              <w:t>取值依据</w:t>
            </w:r>
          </w:p>
        </w:tc>
      </w:tr>
      <w:tr w14:paraId="65F7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03" w:type="dxa"/>
            <w:vMerge w:val="restart"/>
            <w:shd w:val="clear" w:color="auto" w:fill="FFFFFF"/>
            <w:vAlign w:val="center"/>
          </w:tcPr>
          <w:p w14:paraId="6DC94B13">
            <w:pPr>
              <w:rPr>
                <w:color w:val="auto"/>
                <w:szCs w:val="21"/>
              </w:rPr>
            </w:pPr>
            <w:r>
              <w:rPr>
                <w:color w:val="auto"/>
                <w:szCs w:val="21"/>
              </w:rPr>
              <w:t>石化、化工、医药、轻工、化纤、有色冶炼等</w:t>
            </w:r>
          </w:p>
        </w:tc>
        <w:tc>
          <w:tcPr>
            <w:tcW w:w="4805" w:type="dxa"/>
            <w:shd w:val="clear" w:color="auto" w:fill="FFFFFF"/>
            <w:tcMar>
              <w:top w:w="0" w:type="dxa"/>
              <w:left w:w="0" w:type="dxa"/>
              <w:bottom w:w="0" w:type="dxa"/>
              <w:right w:w="0" w:type="dxa"/>
            </w:tcMar>
            <w:vAlign w:val="center"/>
          </w:tcPr>
          <w:p w14:paraId="05440375">
            <w:pPr>
              <w:rPr>
                <w:color w:val="auto"/>
                <w:szCs w:val="21"/>
              </w:rPr>
            </w:pPr>
            <w:r>
              <w:rPr>
                <w:color w:val="auto"/>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868" w:type="dxa"/>
            <w:shd w:val="clear" w:color="auto" w:fill="FFFFFF"/>
            <w:tcMar>
              <w:top w:w="0" w:type="dxa"/>
              <w:left w:w="0" w:type="dxa"/>
              <w:bottom w:w="0" w:type="dxa"/>
              <w:right w:w="0" w:type="dxa"/>
            </w:tcMar>
            <w:vAlign w:val="center"/>
          </w:tcPr>
          <w:p w14:paraId="022E789F">
            <w:pPr>
              <w:jc w:val="center"/>
              <w:rPr>
                <w:color w:val="auto"/>
                <w:szCs w:val="21"/>
              </w:rPr>
            </w:pPr>
            <w:r>
              <w:rPr>
                <w:color w:val="auto"/>
                <w:szCs w:val="21"/>
              </w:rPr>
              <w:t>10/套</w:t>
            </w:r>
          </w:p>
        </w:tc>
        <w:tc>
          <w:tcPr>
            <w:tcW w:w="742" w:type="dxa"/>
            <w:shd w:val="clear" w:color="auto" w:fill="FFFFFF"/>
            <w:vAlign w:val="center"/>
          </w:tcPr>
          <w:p w14:paraId="1853E7D4">
            <w:pPr>
              <w:jc w:val="center"/>
              <w:rPr>
                <w:rFonts w:hint="default" w:eastAsia="宋体"/>
                <w:color w:val="auto"/>
                <w:szCs w:val="21"/>
                <w:lang w:val="en-US" w:eastAsia="zh-CN"/>
              </w:rPr>
            </w:pPr>
            <w:r>
              <w:rPr>
                <w:rFonts w:hint="eastAsia"/>
                <w:color w:val="auto"/>
                <w:szCs w:val="21"/>
                <w:lang w:val="en-US" w:eastAsia="zh-CN"/>
              </w:rPr>
              <w:t>0</w:t>
            </w:r>
          </w:p>
        </w:tc>
        <w:tc>
          <w:tcPr>
            <w:tcW w:w="1582" w:type="dxa"/>
            <w:shd w:val="clear" w:color="auto" w:fill="FFFFFF"/>
            <w:vAlign w:val="center"/>
          </w:tcPr>
          <w:p w14:paraId="4A1927EB">
            <w:pPr>
              <w:jc w:val="center"/>
              <w:rPr>
                <w:rFonts w:hint="default" w:eastAsia="宋体"/>
                <w:color w:val="auto"/>
                <w:szCs w:val="21"/>
                <w:lang w:val="en-US" w:eastAsia="zh-CN"/>
              </w:rPr>
            </w:pPr>
            <w:r>
              <w:rPr>
                <w:color w:val="auto"/>
                <w:szCs w:val="21"/>
              </w:rPr>
              <w:t>不涉及</w:t>
            </w:r>
          </w:p>
        </w:tc>
      </w:tr>
      <w:tr w14:paraId="3EB7A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03" w:type="dxa"/>
            <w:vMerge w:val="continue"/>
            <w:shd w:val="clear" w:color="auto" w:fill="FFFFFF"/>
            <w:vAlign w:val="center"/>
          </w:tcPr>
          <w:p w14:paraId="2BA6518A">
            <w:pPr>
              <w:rPr>
                <w:color w:val="auto"/>
                <w:szCs w:val="21"/>
              </w:rPr>
            </w:pPr>
          </w:p>
        </w:tc>
        <w:tc>
          <w:tcPr>
            <w:tcW w:w="4805" w:type="dxa"/>
            <w:shd w:val="clear" w:color="auto" w:fill="FFFFFF"/>
            <w:tcMar>
              <w:top w:w="0" w:type="dxa"/>
              <w:left w:w="0" w:type="dxa"/>
              <w:bottom w:w="0" w:type="dxa"/>
              <w:right w:w="0" w:type="dxa"/>
            </w:tcMar>
            <w:vAlign w:val="center"/>
          </w:tcPr>
          <w:p w14:paraId="0D91D757">
            <w:pPr>
              <w:rPr>
                <w:color w:val="auto"/>
                <w:szCs w:val="21"/>
              </w:rPr>
            </w:pPr>
            <w:r>
              <w:rPr>
                <w:color w:val="auto"/>
                <w:szCs w:val="21"/>
              </w:rPr>
              <w:t>无机酸制酸工艺、焦化工艺</w:t>
            </w:r>
          </w:p>
        </w:tc>
        <w:tc>
          <w:tcPr>
            <w:tcW w:w="868" w:type="dxa"/>
            <w:shd w:val="clear" w:color="auto" w:fill="FFFFFF"/>
            <w:tcMar>
              <w:top w:w="0" w:type="dxa"/>
              <w:left w:w="0" w:type="dxa"/>
              <w:bottom w:w="0" w:type="dxa"/>
              <w:right w:w="0" w:type="dxa"/>
            </w:tcMar>
            <w:vAlign w:val="center"/>
          </w:tcPr>
          <w:p w14:paraId="09DD8725">
            <w:pPr>
              <w:jc w:val="center"/>
              <w:rPr>
                <w:color w:val="auto"/>
                <w:szCs w:val="21"/>
              </w:rPr>
            </w:pPr>
            <w:r>
              <w:rPr>
                <w:color w:val="auto"/>
                <w:szCs w:val="21"/>
              </w:rPr>
              <w:t>5/套</w:t>
            </w:r>
          </w:p>
        </w:tc>
        <w:tc>
          <w:tcPr>
            <w:tcW w:w="742" w:type="dxa"/>
            <w:shd w:val="clear" w:color="auto" w:fill="FFFFFF"/>
            <w:vAlign w:val="center"/>
          </w:tcPr>
          <w:p w14:paraId="1D37B245">
            <w:pPr>
              <w:jc w:val="center"/>
              <w:rPr>
                <w:color w:val="auto"/>
                <w:szCs w:val="21"/>
              </w:rPr>
            </w:pPr>
            <w:r>
              <w:rPr>
                <w:color w:val="auto"/>
                <w:szCs w:val="21"/>
              </w:rPr>
              <w:t>0</w:t>
            </w:r>
          </w:p>
        </w:tc>
        <w:tc>
          <w:tcPr>
            <w:tcW w:w="1582" w:type="dxa"/>
            <w:shd w:val="clear" w:color="auto" w:fill="FFFFFF"/>
            <w:vAlign w:val="center"/>
          </w:tcPr>
          <w:p w14:paraId="0521B501">
            <w:pPr>
              <w:jc w:val="center"/>
              <w:rPr>
                <w:color w:val="auto"/>
                <w:szCs w:val="21"/>
              </w:rPr>
            </w:pPr>
            <w:r>
              <w:rPr>
                <w:color w:val="auto"/>
                <w:szCs w:val="21"/>
              </w:rPr>
              <w:t>不涉及</w:t>
            </w:r>
          </w:p>
        </w:tc>
      </w:tr>
      <w:tr w14:paraId="0FED2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03" w:type="dxa"/>
            <w:vMerge w:val="continue"/>
            <w:shd w:val="clear" w:color="auto" w:fill="FFFFFF"/>
            <w:vAlign w:val="center"/>
          </w:tcPr>
          <w:p w14:paraId="6120B4AB">
            <w:pPr>
              <w:rPr>
                <w:color w:val="auto"/>
                <w:szCs w:val="21"/>
              </w:rPr>
            </w:pPr>
          </w:p>
        </w:tc>
        <w:tc>
          <w:tcPr>
            <w:tcW w:w="4805" w:type="dxa"/>
            <w:shd w:val="clear" w:color="auto" w:fill="FFFFFF"/>
            <w:tcMar>
              <w:top w:w="0" w:type="dxa"/>
              <w:left w:w="0" w:type="dxa"/>
              <w:bottom w:w="0" w:type="dxa"/>
              <w:right w:w="0" w:type="dxa"/>
            </w:tcMar>
            <w:vAlign w:val="center"/>
          </w:tcPr>
          <w:p w14:paraId="35E983CF">
            <w:pPr>
              <w:rPr>
                <w:color w:val="auto"/>
                <w:szCs w:val="21"/>
              </w:rPr>
            </w:pPr>
            <w:r>
              <w:rPr>
                <w:color w:val="auto"/>
                <w:szCs w:val="21"/>
              </w:rPr>
              <w:t>其他高温或高压，且涉及</w:t>
            </w:r>
            <w:r>
              <w:rPr>
                <w:rFonts w:hint="eastAsia"/>
                <w:color w:val="auto"/>
                <w:szCs w:val="21"/>
                <w:lang w:val="en-US" w:eastAsia="zh-CN"/>
              </w:rPr>
              <w:t>危险</w:t>
            </w:r>
            <w:r>
              <w:rPr>
                <w:color w:val="auto"/>
                <w:szCs w:val="21"/>
              </w:rPr>
              <w:t>物质的工艺过程</w:t>
            </w:r>
            <w:r>
              <w:rPr>
                <w:color w:val="auto"/>
                <w:szCs w:val="21"/>
                <w:vertAlign w:val="superscript"/>
              </w:rPr>
              <w:t>a</w:t>
            </w:r>
            <w:r>
              <w:rPr>
                <w:color w:val="auto"/>
                <w:szCs w:val="21"/>
              </w:rPr>
              <w:t>、危险物质贮存罐区</w:t>
            </w:r>
          </w:p>
        </w:tc>
        <w:tc>
          <w:tcPr>
            <w:tcW w:w="868" w:type="dxa"/>
            <w:shd w:val="clear" w:color="auto" w:fill="FFFFFF"/>
            <w:tcMar>
              <w:top w:w="0" w:type="dxa"/>
              <w:left w:w="0" w:type="dxa"/>
              <w:bottom w:w="0" w:type="dxa"/>
              <w:right w:w="0" w:type="dxa"/>
            </w:tcMar>
            <w:vAlign w:val="center"/>
          </w:tcPr>
          <w:p w14:paraId="0DF9E636">
            <w:pPr>
              <w:jc w:val="center"/>
              <w:rPr>
                <w:color w:val="auto"/>
                <w:szCs w:val="21"/>
              </w:rPr>
            </w:pPr>
            <w:r>
              <w:rPr>
                <w:color w:val="auto"/>
                <w:szCs w:val="21"/>
              </w:rPr>
              <w:t>5/套（罐区）</w:t>
            </w:r>
          </w:p>
        </w:tc>
        <w:tc>
          <w:tcPr>
            <w:tcW w:w="742" w:type="dxa"/>
            <w:shd w:val="clear" w:color="auto" w:fill="FFFFFF"/>
            <w:vAlign w:val="center"/>
          </w:tcPr>
          <w:p w14:paraId="7B59E040">
            <w:pPr>
              <w:jc w:val="center"/>
              <w:rPr>
                <w:rFonts w:hint="default" w:eastAsia="宋体"/>
                <w:color w:val="auto"/>
                <w:szCs w:val="21"/>
                <w:lang w:val="en-US" w:eastAsia="zh-CN"/>
              </w:rPr>
            </w:pPr>
            <w:r>
              <w:rPr>
                <w:rFonts w:hint="eastAsia"/>
                <w:color w:val="auto"/>
                <w:szCs w:val="21"/>
                <w:lang w:val="en-US" w:eastAsia="zh-CN"/>
              </w:rPr>
              <w:t>15</w:t>
            </w:r>
          </w:p>
        </w:tc>
        <w:tc>
          <w:tcPr>
            <w:tcW w:w="1582" w:type="dxa"/>
            <w:shd w:val="clear" w:color="auto" w:fill="FFFFFF"/>
            <w:vAlign w:val="center"/>
          </w:tcPr>
          <w:p w14:paraId="1C5C0835">
            <w:pPr>
              <w:jc w:val="center"/>
              <w:rPr>
                <w:rFonts w:hint="default" w:eastAsia="宋体"/>
                <w:color w:val="auto"/>
                <w:szCs w:val="21"/>
                <w:lang w:val="en-US" w:eastAsia="zh-CN"/>
              </w:rPr>
            </w:pPr>
            <w:r>
              <w:rPr>
                <w:rFonts w:hint="eastAsia"/>
                <w:color w:val="auto"/>
                <w:szCs w:val="21"/>
                <w:lang w:val="en-US" w:eastAsia="zh-CN"/>
              </w:rPr>
              <w:t>涉及2套高温工艺、1套罐区，15分</w:t>
            </w:r>
          </w:p>
        </w:tc>
      </w:tr>
      <w:tr w14:paraId="592E0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03" w:type="dxa"/>
            <w:shd w:val="clear" w:color="auto" w:fill="FFFFFF"/>
            <w:vAlign w:val="center"/>
          </w:tcPr>
          <w:p w14:paraId="154A5BC4">
            <w:pPr>
              <w:rPr>
                <w:color w:val="auto"/>
                <w:szCs w:val="21"/>
              </w:rPr>
            </w:pPr>
            <w:r>
              <w:rPr>
                <w:color w:val="auto"/>
                <w:szCs w:val="21"/>
              </w:rPr>
              <w:t>管道、港口/码头等</w:t>
            </w:r>
          </w:p>
        </w:tc>
        <w:tc>
          <w:tcPr>
            <w:tcW w:w="4805" w:type="dxa"/>
            <w:shd w:val="clear" w:color="auto" w:fill="FFFFFF"/>
            <w:tcMar>
              <w:top w:w="0" w:type="dxa"/>
              <w:left w:w="0" w:type="dxa"/>
              <w:bottom w:w="0" w:type="dxa"/>
              <w:right w:w="0" w:type="dxa"/>
            </w:tcMar>
            <w:vAlign w:val="center"/>
          </w:tcPr>
          <w:p w14:paraId="7167843A">
            <w:pPr>
              <w:rPr>
                <w:color w:val="auto"/>
                <w:szCs w:val="21"/>
              </w:rPr>
            </w:pPr>
            <w:r>
              <w:rPr>
                <w:color w:val="auto"/>
                <w:szCs w:val="21"/>
              </w:rPr>
              <w:t>涉及危险物质管道运输项目、港口/码头等</w:t>
            </w:r>
          </w:p>
        </w:tc>
        <w:tc>
          <w:tcPr>
            <w:tcW w:w="868" w:type="dxa"/>
            <w:shd w:val="clear" w:color="auto" w:fill="FFFFFF"/>
            <w:tcMar>
              <w:top w:w="0" w:type="dxa"/>
              <w:left w:w="0" w:type="dxa"/>
              <w:bottom w:w="0" w:type="dxa"/>
              <w:right w:w="0" w:type="dxa"/>
            </w:tcMar>
            <w:vAlign w:val="center"/>
          </w:tcPr>
          <w:p w14:paraId="54A07B99">
            <w:pPr>
              <w:jc w:val="center"/>
              <w:rPr>
                <w:color w:val="auto"/>
                <w:szCs w:val="21"/>
              </w:rPr>
            </w:pPr>
            <w:r>
              <w:rPr>
                <w:color w:val="auto"/>
                <w:szCs w:val="21"/>
              </w:rPr>
              <w:t>10</w:t>
            </w:r>
          </w:p>
        </w:tc>
        <w:tc>
          <w:tcPr>
            <w:tcW w:w="742" w:type="dxa"/>
            <w:shd w:val="clear" w:color="auto" w:fill="FFFFFF"/>
            <w:vAlign w:val="center"/>
          </w:tcPr>
          <w:p w14:paraId="31F72504">
            <w:pPr>
              <w:jc w:val="center"/>
              <w:rPr>
                <w:color w:val="auto"/>
                <w:szCs w:val="21"/>
              </w:rPr>
            </w:pPr>
            <w:r>
              <w:rPr>
                <w:color w:val="auto"/>
                <w:szCs w:val="21"/>
              </w:rPr>
              <w:t>0</w:t>
            </w:r>
          </w:p>
        </w:tc>
        <w:tc>
          <w:tcPr>
            <w:tcW w:w="1582" w:type="dxa"/>
            <w:shd w:val="clear" w:color="auto" w:fill="FFFFFF"/>
            <w:vAlign w:val="center"/>
          </w:tcPr>
          <w:p w14:paraId="3D00ABD4">
            <w:pPr>
              <w:jc w:val="center"/>
              <w:rPr>
                <w:color w:val="auto"/>
                <w:szCs w:val="21"/>
              </w:rPr>
            </w:pPr>
            <w:r>
              <w:rPr>
                <w:color w:val="auto"/>
                <w:szCs w:val="21"/>
              </w:rPr>
              <w:t>不属于该行业</w:t>
            </w:r>
          </w:p>
        </w:tc>
      </w:tr>
      <w:tr w14:paraId="4A909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03" w:type="dxa"/>
            <w:shd w:val="clear" w:color="auto" w:fill="FFFFFF"/>
            <w:vAlign w:val="center"/>
          </w:tcPr>
          <w:p w14:paraId="0A6C8FE8">
            <w:pPr>
              <w:rPr>
                <w:color w:val="auto"/>
                <w:szCs w:val="21"/>
              </w:rPr>
            </w:pPr>
            <w:r>
              <w:rPr>
                <w:color w:val="auto"/>
                <w:szCs w:val="21"/>
              </w:rPr>
              <w:t>石油天然气</w:t>
            </w:r>
          </w:p>
        </w:tc>
        <w:tc>
          <w:tcPr>
            <w:tcW w:w="4805" w:type="dxa"/>
            <w:shd w:val="clear" w:color="auto" w:fill="FFFFFF"/>
            <w:tcMar>
              <w:top w:w="0" w:type="dxa"/>
              <w:left w:w="0" w:type="dxa"/>
              <w:bottom w:w="0" w:type="dxa"/>
              <w:right w:w="0" w:type="dxa"/>
            </w:tcMar>
            <w:vAlign w:val="center"/>
          </w:tcPr>
          <w:p w14:paraId="64565720">
            <w:pPr>
              <w:rPr>
                <w:color w:val="auto"/>
                <w:szCs w:val="21"/>
              </w:rPr>
            </w:pPr>
            <w:r>
              <w:rPr>
                <w:color w:val="auto"/>
                <w:szCs w:val="21"/>
              </w:rPr>
              <w:t>石油、天然气、页岩气开采（含净化），气库（不含加气站的气库），油库（不含加气站的油库）、输油管线</w:t>
            </w:r>
            <w:r>
              <w:rPr>
                <w:color w:val="auto"/>
                <w:szCs w:val="21"/>
                <w:vertAlign w:val="superscript"/>
              </w:rPr>
              <w:t>b</w:t>
            </w:r>
            <w:r>
              <w:rPr>
                <w:color w:val="auto"/>
                <w:szCs w:val="21"/>
              </w:rPr>
              <w:t>（不含城镇燃气管线）</w:t>
            </w:r>
          </w:p>
        </w:tc>
        <w:tc>
          <w:tcPr>
            <w:tcW w:w="868" w:type="dxa"/>
            <w:shd w:val="clear" w:color="auto" w:fill="FFFFFF"/>
            <w:tcMar>
              <w:top w:w="0" w:type="dxa"/>
              <w:left w:w="0" w:type="dxa"/>
              <w:bottom w:w="0" w:type="dxa"/>
              <w:right w:w="0" w:type="dxa"/>
            </w:tcMar>
            <w:vAlign w:val="center"/>
          </w:tcPr>
          <w:p w14:paraId="3456C29B">
            <w:pPr>
              <w:jc w:val="center"/>
              <w:rPr>
                <w:color w:val="auto"/>
                <w:szCs w:val="21"/>
              </w:rPr>
            </w:pPr>
            <w:r>
              <w:rPr>
                <w:color w:val="auto"/>
                <w:szCs w:val="21"/>
              </w:rPr>
              <w:t>10</w:t>
            </w:r>
          </w:p>
        </w:tc>
        <w:tc>
          <w:tcPr>
            <w:tcW w:w="742" w:type="dxa"/>
            <w:shd w:val="clear" w:color="auto" w:fill="FFFFFF"/>
            <w:vAlign w:val="center"/>
          </w:tcPr>
          <w:p w14:paraId="033650A4">
            <w:pPr>
              <w:jc w:val="center"/>
              <w:rPr>
                <w:color w:val="auto"/>
                <w:szCs w:val="21"/>
              </w:rPr>
            </w:pPr>
            <w:r>
              <w:rPr>
                <w:color w:val="auto"/>
                <w:szCs w:val="21"/>
              </w:rPr>
              <w:t>0</w:t>
            </w:r>
          </w:p>
        </w:tc>
        <w:tc>
          <w:tcPr>
            <w:tcW w:w="1582" w:type="dxa"/>
            <w:shd w:val="clear" w:color="auto" w:fill="FFFFFF"/>
            <w:vAlign w:val="center"/>
          </w:tcPr>
          <w:p w14:paraId="2150A684">
            <w:pPr>
              <w:jc w:val="center"/>
              <w:rPr>
                <w:color w:val="auto"/>
                <w:szCs w:val="21"/>
              </w:rPr>
            </w:pPr>
            <w:r>
              <w:rPr>
                <w:color w:val="auto"/>
                <w:szCs w:val="21"/>
              </w:rPr>
              <w:t>不属于该行业</w:t>
            </w:r>
          </w:p>
        </w:tc>
      </w:tr>
      <w:tr w14:paraId="74603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103" w:type="dxa"/>
            <w:shd w:val="clear" w:color="auto" w:fill="FFFFFF"/>
            <w:vAlign w:val="center"/>
          </w:tcPr>
          <w:p w14:paraId="566C8F7F">
            <w:pPr>
              <w:rPr>
                <w:color w:val="auto"/>
                <w:szCs w:val="21"/>
              </w:rPr>
            </w:pPr>
            <w:r>
              <w:rPr>
                <w:color w:val="auto"/>
                <w:szCs w:val="21"/>
              </w:rPr>
              <w:t>其他</w:t>
            </w:r>
          </w:p>
        </w:tc>
        <w:tc>
          <w:tcPr>
            <w:tcW w:w="4805" w:type="dxa"/>
            <w:shd w:val="clear" w:color="auto" w:fill="FFFFFF"/>
            <w:tcMar>
              <w:top w:w="0" w:type="dxa"/>
              <w:left w:w="0" w:type="dxa"/>
              <w:bottom w:w="0" w:type="dxa"/>
              <w:right w:w="0" w:type="dxa"/>
            </w:tcMar>
            <w:vAlign w:val="center"/>
          </w:tcPr>
          <w:p w14:paraId="4C2E44B0">
            <w:pPr>
              <w:rPr>
                <w:color w:val="auto"/>
                <w:szCs w:val="21"/>
              </w:rPr>
            </w:pPr>
            <w:r>
              <w:rPr>
                <w:color w:val="auto"/>
                <w:szCs w:val="21"/>
              </w:rPr>
              <w:t>涉及危险物质使用、贮存的项目</w:t>
            </w:r>
          </w:p>
        </w:tc>
        <w:tc>
          <w:tcPr>
            <w:tcW w:w="868" w:type="dxa"/>
            <w:shd w:val="clear" w:color="auto" w:fill="FFFFFF"/>
            <w:tcMar>
              <w:top w:w="0" w:type="dxa"/>
              <w:left w:w="0" w:type="dxa"/>
              <w:bottom w:w="0" w:type="dxa"/>
              <w:right w:w="0" w:type="dxa"/>
            </w:tcMar>
            <w:vAlign w:val="center"/>
          </w:tcPr>
          <w:p w14:paraId="6B03FA02">
            <w:pPr>
              <w:jc w:val="center"/>
              <w:rPr>
                <w:color w:val="auto"/>
                <w:szCs w:val="21"/>
              </w:rPr>
            </w:pPr>
            <w:r>
              <w:rPr>
                <w:color w:val="auto"/>
                <w:szCs w:val="21"/>
              </w:rPr>
              <w:t>5</w:t>
            </w:r>
          </w:p>
        </w:tc>
        <w:tc>
          <w:tcPr>
            <w:tcW w:w="742" w:type="dxa"/>
            <w:shd w:val="clear" w:color="auto" w:fill="FFFFFF"/>
            <w:vAlign w:val="center"/>
          </w:tcPr>
          <w:p w14:paraId="678D7499">
            <w:pPr>
              <w:jc w:val="center"/>
              <w:rPr>
                <w:rFonts w:hint="eastAsia" w:eastAsia="宋体"/>
                <w:color w:val="auto"/>
                <w:szCs w:val="21"/>
                <w:lang w:eastAsia="zh-CN"/>
              </w:rPr>
            </w:pPr>
            <w:r>
              <w:rPr>
                <w:rFonts w:hint="eastAsia"/>
                <w:color w:val="auto"/>
                <w:szCs w:val="21"/>
                <w:lang w:val="en-US" w:eastAsia="zh-CN"/>
              </w:rPr>
              <w:t>/</w:t>
            </w:r>
          </w:p>
        </w:tc>
        <w:tc>
          <w:tcPr>
            <w:tcW w:w="1582" w:type="dxa"/>
            <w:shd w:val="clear" w:color="auto" w:fill="FFFFFF"/>
            <w:vAlign w:val="center"/>
          </w:tcPr>
          <w:p w14:paraId="09C6B179">
            <w:pPr>
              <w:jc w:val="center"/>
              <w:rPr>
                <w:rFonts w:hint="default" w:eastAsia="宋体"/>
                <w:color w:val="auto"/>
                <w:szCs w:val="21"/>
                <w:lang w:val="en-US" w:eastAsia="zh-CN"/>
              </w:rPr>
            </w:pPr>
            <w:r>
              <w:rPr>
                <w:rFonts w:hint="eastAsia"/>
                <w:color w:val="auto"/>
                <w:szCs w:val="21"/>
                <w:lang w:val="en-US" w:eastAsia="zh-CN"/>
              </w:rPr>
              <w:t>上文已折算</w:t>
            </w:r>
          </w:p>
        </w:tc>
      </w:tr>
      <w:tr w14:paraId="20031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5908" w:type="dxa"/>
            <w:gridSpan w:val="2"/>
            <w:shd w:val="clear" w:color="auto" w:fill="FFFFFF"/>
            <w:vAlign w:val="center"/>
          </w:tcPr>
          <w:p w14:paraId="43CFD33B">
            <w:pPr>
              <w:jc w:val="center"/>
              <w:rPr>
                <w:color w:val="auto"/>
                <w:szCs w:val="21"/>
              </w:rPr>
            </w:pPr>
            <w:r>
              <w:rPr>
                <w:color w:val="auto"/>
                <w:szCs w:val="21"/>
              </w:rPr>
              <w:t>合计</w:t>
            </w:r>
          </w:p>
        </w:tc>
        <w:tc>
          <w:tcPr>
            <w:tcW w:w="868" w:type="dxa"/>
            <w:shd w:val="clear" w:color="auto" w:fill="FFFFFF"/>
            <w:tcMar>
              <w:top w:w="0" w:type="dxa"/>
              <w:left w:w="0" w:type="dxa"/>
              <w:bottom w:w="0" w:type="dxa"/>
              <w:right w:w="0" w:type="dxa"/>
            </w:tcMar>
            <w:vAlign w:val="center"/>
          </w:tcPr>
          <w:p w14:paraId="43348019">
            <w:pPr>
              <w:jc w:val="center"/>
              <w:rPr>
                <w:color w:val="auto"/>
                <w:szCs w:val="21"/>
              </w:rPr>
            </w:pPr>
            <w:r>
              <w:rPr>
                <w:color w:val="auto"/>
                <w:szCs w:val="21"/>
              </w:rPr>
              <w:t>/</w:t>
            </w:r>
          </w:p>
        </w:tc>
        <w:tc>
          <w:tcPr>
            <w:tcW w:w="742" w:type="dxa"/>
            <w:shd w:val="clear" w:color="auto" w:fill="FFFFFF"/>
            <w:vAlign w:val="center"/>
          </w:tcPr>
          <w:p w14:paraId="2D7B0939">
            <w:pPr>
              <w:jc w:val="center"/>
              <w:rPr>
                <w:rFonts w:hint="default" w:eastAsia="宋体"/>
                <w:color w:val="auto"/>
                <w:szCs w:val="21"/>
                <w:lang w:val="en-US" w:eastAsia="zh-CN"/>
              </w:rPr>
            </w:pPr>
            <w:r>
              <w:rPr>
                <w:rFonts w:hint="eastAsia"/>
                <w:color w:val="auto"/>
                <w:szCs w:val="21"/>
                <w:lang w:val="en-US" w:eastAsia="zh-CN"/>
              </w:rPr>
              <w:t>15</w:t>
            </w:r>
          </w:p>
        </w:tc>
        <w:tc>
          <w:tcPr>
            <w:tcW w:w="1582" w:type="dxa"/>
            <w:shd w:val="clear" w:color="auto" w:fill="FFFFFF"/>
            <w:vAlign w:val="center"/>
          </w:tcPr>
          <w:p w14:paraId="77B5CE26">
            <w:pPr>
              <w:jc w:val="center"/>
              <w:rPr>
                <w:color w:val="auto"/>
                <w:szCs w:val="21"/>
              </w:rPr>
            </w:pPr>
            <w:r>
              <w:rPr>
                <w:color w:val="auto"/>
                <w:szCs w:val="21"/>
              </w:rPr>
              <w:t>/</w:t>
            </w:r>
          </w:p>
        </w:tc>
      </w:tr>
      <w:tr w14:paraId="2CF8F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9100" w:type="dxa"/>
            <w:gridSpan w:val="5"/>
            <w:shd w:val="clear" w:color="auto" w:fill="FFFFFF"/>
            <w:vAlign w:val="center"/>
          </w:tcPr>
          <w:p w14:paraId="2A8D4B26">
            <w:pPr>
              <w:rPr>
                <w:color w:val="auto"/>
                <w:szCs w:val="21"/>
              </w:rPr>
            </w:pPr>
            <w:r>
              <w:rPr>
                <w:color w:val="auto"/>
                <w:szCs w:val="21"/>
              </w:rPr>
              <w:t>a：高温指工艺温度≥300℃，高压指压力容器的设计压力（P）≥10.0MPa；</w:t>
            </w:r>
          </w:p>
          <w:p w14:paraId="2E4D83BA">
            <w:pPr>
              <w:rPr>
                <w:color w:val="auto"/>
                <w:szCs w:val="21"/>
              </w:rPr>
            </w:pPr>
            <w:r>
              <w:rPr>
                <w:color w:val="auto"/>
                <w:szCs w:val="21"/>
              </w:rPr>
              <w:t>b：长输管道运输项目应按站场、管线分段进行评价</w:t>
            </w:r>
          </w:p>
        </w:tc>
      </w:tr>
    </w:tbl>
    <w:p w14:paraId="4E8DD4AC">
      <w:pPr>
        <w:autoSpaceDE w:val="0"/>
        <w:autoSpaceDN w:val="0"/>
        <w:adjustRightInd w:val="0"/>
        <w:spacing w:line="360" w:lineRule="auto"/>
        <w:ind w:firstLine="480" w:firstLineChars="200"/>
        <w:rPr>
          <w:color w:val="auto"/>
          <w:sz w:val="24"/>
        </w:rPr>
      </w:pPr>
      <w:r>
        <w:rPr>
          <w:color w:val="auto"/>
          <w:sz w:val="24"/>
        </w:rPr>
        <w:t>根据上表分析结果可知本项目M值为</w:t>
      </w:r>
      <w:r>
        <w:rPr>
          <w:rFonts w:hint="eastAsia"/>
          <w:color w:val="auto"/>
          <w:sz w:val="24"/>
          <w:lang w:val="en-US" w:eastAsia="zh-CN"/>
        </w:rPr>
        <w:t>20</w:t>
      </w:r>
      <w:r>
        <w:rPr>
          <w:color w:val="auto"/>
          <w:sz w:val="24"/>
        </w:rPr>
        <w:t>，等级为M</w:t>
      </w:r>
      <w:r>
        <w:rPr>
          <w:rFonts w:hint="eastAsia"/>
          <w:color w:val="auto"/>
          <w:sz w:val="24"/>
          <w:lang w:val="en-US" w:eastAsia="zh-CN"/>
        </w:rPr>
        <w:t>2</w:t>
      </w:r>
      <w:r>
        <w:rPr>
          <w:color w:val="auto"/>
          <w:sz w:val="24"/>
        </w:rPr>
        <w:t>。</w:t>
      </w:r>
    </w:p>
    <w:p w14:paraId="6AF6826E">
      <w:pPr>
        <w:autoSpaceDE w:val="0"/>
        <w:autoSpaceDN w:val="0"/>
        <w:adjustRightInd w:val="0"/>
        <w:spacing w:line="360" w:lineRule="auto"/>
        <w:ind w:firstLine="480" w:firstLineChars="200"/>
        <w:rPr>
          <w:color w:val="auto"/>
          <w:sz w:val="24"/>
        </w:rPr>
      </w:pPr>
      <w:r>
        <w:rPr>
          <w:color w:val="auto"/>
          <w:sz w:val="24"/>
        </w:rPr>
        <w:t>③危险物质及工艺系统危险性（P）的确定</w:t>
      </w:r>
    </w:p>
    <w:p w14:paraId="2D846DE9">
      <w:pPr>
        <w:autoSpaceDE w:val="0"/>
        <w:autoSpaceDN w:val="0"/>
        <w:adjustRightInd w:val="0"/>
        <w:spacing w:line="360" w:lineRule="auto"/>
        <w:ind w:firstLine="480" w:firstLineChars="200"/>
        <w:rPr>
          <w:color w:val="auto"/>
          <w:sz w:val="24"/>
        </w:rPr>
      </w:pPr>
      <w:r>
        <w:rPr>
          <w:color w:val="auto"/>
          <w:sz w:val="24"/>
        </w:rPr>
        <w:t>根据危险物质数量与临界量Q和行业及生产工艺M，按照风险导则附录C表C.2确定危险物质及工艺系统危险等级P。</w:t>
      </w:r>
    </w:p>
    <w:p w14:paraId="5A045006">
      <w:pPr>
        <w:autoSpaceDE w:val="0"/>
        <w:autoSpaceDN w:val="0"/>
        <w:adjustRightInd w:val="0"/>
        <w:jc w:val="center"/>
        <w:rPr>
          <w:b/>
          <w:color w:val="auto"/>
          <w:sz w:val="18"/>
          <w:szCs w:val="18"/>
        </w:rPr>
      </w:pPr>
      <w:r>
        <w:rPr>
          <w:rFonts w:hint="eastAsia"/>
          <w:b/>
          <w:color w:val="auto"/>
          <w:szCs w:val="21"/>
        </w:rPr>
        <w:t>表7.4-3</w:t>
      </w:r>
      <w:r>
        <w:rPr>
          <w:b/>
          <w:color w:val="auto"/>
          <w:szCs w:val="21"/>
        </w:rPr>
        <w:t xml:space="preserve">  危险物质及工艺系统危险性等级判断P</w:t>
      </w:r>
    </w:p>
    <w:tbl>
      <w:tblPr>
        <w:tblStyle w:val="32"/>
        <w:tblW w:w="85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10"/>
        <w:gridCol w:w="1248"/>
        <w:gridCol w:w="1248"/>
        <w:gridCol w:w="1248"/>
        <w:gridCol w:w="1250"/>
      </w:tblGrid>
      <w:tr w14:paraId="735EBC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275" w:type="dxa"/>
            <w:vMerge w:val="restart"/>
            <w:tcBorders>
              <w:left w:val="single" w:color="auto" w:sz="4" w:space="0"/>
            </w:tcBorders>
            <w:vAlign w:val="center"/>
          </w:tcPr>
          <w:p w14:paraId="1663944A">
            <w:pPr>
              <w:autoSpaceDE w:val="0"/>
              <w:autoSpaceDN w:val="0"/>
              <w:adjustRightInd w:val="0"/>
              <w:spacing w:line="312" w:lineRule="atLeast"/>
              <w:jc w:val="center"/>
              <w:textAlignment w:val="baseline"/>
              <w:rPr>
                <w:color w:val="auto"/>
                <w:szCs w:val="21"/>
              </w:rPr>
            </w:pPr>
            <w:r>
              <w:rPr>
                <w:color w:val="auto"/>
                <w:szCs w:val="21"/>
              </w:rPr>
              <w:t>危险物质数量与临界量比值Q</w:t>
            </w:r>
          </w:p>
        </w:tc>
        <w:tc>
          <w:tcPr>
            <w:tcW w:w="4662" w:type="dxa"/>
            <w:gridSpan w:val="4"/>
            <w:tcBorders>
              <w:right w:val="single" w:color="auto" w:sz="4" w:space="0"/>
            </w:tcBorders>
            <w:vAlign w:val="center"/>
          </w:tcPr>
          <w:p w14:paraId="7A37252F">
            <w:pPr>
              <w:autoSpaceDE w:val="0"/>
              <w:autoSpaceDN w:val="0"/>
              <w:adjustRightInd w:val="0"/>
              <w:spacing w:line="312" w:lineRule="atLeast"/>
              <w:jc w:val="center"/>
              <w:textAlignment w:val="baseline"/>
              <w:rPr>
                <w:color w:val="auto"/>
                <w:szCs w:val="21"/>
              </w:rPr>
            </w:pPr>
            <w:r>
              <w:rPr>
                <w:color w:val="auto"/>
                <w:szCs w:val="21"/>
              </w:rPr>
              <w:t>行业及生产工艺M</w:t>
            </w:r>
          </w:p>
        </w:tc>
      </w:tr>
      <w:tr w14:paraId="003BB5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275" w:type="dxa"/>
            <w:vMerge w:val="continue"/>
            <w:tcBorders>
              <w:left w:val="single" w:color="auto" w:sz="4" w:space="0"/>
            </w:tcBorders>
            <w:vAlign w:val="center"/>
          </w:tcPr>
          <w:p w14:paraId="13CAA2FD">
            <w:pPr>
              <w:autoSpaceDE w:val="0"/>
              <w:autoSpaceDN w:val="0"/>
              <w:adjustRightInd w:val="0"/>
              <w:spacing w:line="312" w:lineRule="atLeast"/>
              <w:jc w:val="center"/>
              <w:textAlignment w:val="baseline"/>
              <w:rPr>
                <w:color w:val="auto"/>
                <w:szCs w:val="21"/>
              </w:rPr>
            </w:pPr>
          </w:p>
        </w:tc>
        <w:tc>
          <w:tcPr>
            <w:tcW w:w="1165" w:type="dxa"/>
            <w:vAlign w:val="center"/>
          </w:tcPr>
          <w:p w14:paraId="1DA7C931">
            <w:pPr>
              <w:autoSpaceDE w:val="0"/>
              <w:autoSpaceDN w:val="0"/>
              <w:adjustRightInd w:val="0"/>
              <w:spacing w:line="312" w:lineRule="atLeast"/>
              <w:jc w:val="center"/>
              <w:textAlignment w:val="baseline"/>
              <w:rPr>
                <w:color w:val="auto"/>
                <w:szCs w:val="21"/>
              </w:rPr>
            </w:pPr>
            <w:r>
              <w:rPr>
                <w:color w:val="auto"/>
                <w:szCs w:val="21"/>
              </w:rPr>
              <w:t>M1</w:t>
            </w:r>
          </w:p>
        </w:tc>
        <w:tc>
          <w:tcPr>
            <w:tcW w:w="1165" w:type="dxa"/>
            <w:vAlign w:val="center"/>
          </w:tcPr>
          <w:p w14:paraId="56656252">
            <w:pPr>
              <w:autoSpaceDE w:val="0"/>
              <w:autoSpaceDN w:val="0"/>
              <w:adjustRightInd w:val="0"/>
              <w:spacing w:line="312" w:lineRule="atLeast"/>
              <w:jc w:val="center"/>
              <w:textAlignment w:val="baseline"/>
              <w:rPr>
                <w:color w:val="auto"/>
                <w:szCs w:val="21"/>
              </w:rPr>
            </w:pPr>
            <w:r>
              <w:rPr>
                <w:color w:val="auto"/>
                <w:szCs w:val="21"/>
              </w:rPr>
              <w:t>M2</w:t>
            </w:r>
          </w:p>
        </w:tc>
        <w:tc>
          <w:tcPr>
            <w:tcW w:w="1165" w:type="dxa"/>
            <w:vAlign w:val="center"/>
          </w:tcPr>
          <w:p w14:paraId="3A158380">
            <w:pPr>
              <w:autoSpaceDE w:val="0"/>
              <w:autoSpaceDN w:val="0"/>
              <w:adjustRightInd w:val="0"/>
              <w:spacing w:line="312" w:lineRule="atLeast"/>
              <w:jc w:val="center"/>
              <w:textAlignment w:val="baseline"/>
              <w:rPr>
                <w:color w:val="auto"/>
                <w:szCs w:val="21"/>
              </w:rPr>
            </w:pPr>
            <w:r>
              <w:rPr>
                <w:color w:val="auto"/>
                <w:szCs w:val="21"/>
              </w:rPr>
              <w:t>M3</w:t>
            </w:r>
          </w:p>
        </w:tc>
        <w:tc>
          <w:tcPr>
            <w:tcW w:w="1167" w:type="dxa"/>
            <w:tcBorders>
              <w:right w:val="single" w:color="auto" w:sz="4" w:space="0"/>
            </w:tcBorders>
            <w:vAlign w:val="center"/>
          </w:tcPr>
          <w:p w14:paraId="54515199">
            <w:pPr>
              <w:autoSpaceDE w:val="0"/>
              <w:autoSpaceDN w:val="0"/>
              <w:adjustRightInd w:val="0"/>
              <w:spacing w:line="312" w:lineRule="atLeast"/>
              <w:jc w:val="center"/>
              <w:textAlignment w:val="baseline"/>
              <w:rPr>
                <w:color w:val="auto"/>
                <w:szCs w:val="21"/>
              </w:rPr>
            </w:pPr>
            <w:r>
              <w:rPr>
                <w:color w:val="auto"/>
                <w:szCs w:val="21"/>
              </w:rPr>
              <w:t>M4</w:t>
            </w:r>
          </w:p>
        </w:tc>
      </w:tr>
      <w:tr w14:paraId="5CAB1B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27" w:hRule="atLeast"/>
          <w:jc w:val="center"/>
        </w:trPr>
        <w:tc>
          <w:tcPr>
            <w:tcW w:w="3275" w:type="dxa"/>
            <w:tcBorders>
              <w:left w:val="single" w:color="auto" w:sz="4" w:space="0"/>
            </w:tcBorders>
            <w:vAlign w:val="center"/>
          </w:tcPr>
          <w:p w14:paraId="4D49A858">
            <w:pPr>
              <w:autoSpaceDE w:val="0"/>
              <w:autoSpaceDN w:val="0"/>
              <w:adjustRightInd w:val="0"/>
              <w:spacing w:line="312" w:lineRule="atLeast"/>
              <w:jc w:val="center"/>
              <w:textAlignment w:val="baseline"/>
              <w:rPr>
                <w:color w:val="auto"/>
                <w:szCs w:val="21"/>
              </w:rPr>
            </w:pPr>
            <w:r>
              <w:rPr>
                <w:color w:val="auto"/>
                <w:szCs w:val="21"/>
              </w:rPr>
              <w:t>Q≥100</w:t>
            </w:r>
          </w:p>
        </w:tc>
        <w:tc>
          <w:tcPr>
            <w:tcW w:w="1165" w:type="dxa"/>
            <w:vAlign w:val="center"/>
          </w:tcPr>
          <w:p w14:paraId="73A1DD5E">
            <w:pPr>
              <w:autoSpaceDE w:val="0"/>
              <w:autoSpaceDN w:val="0"/>
              <w:adjustRightInd w:val="0"/>
              <w:spacing w:line="312" w:lineRule="atLeast"/>
              <w:jc w:val="center"/>
              <w:textAlignment w:val="baseline"/>
              <w:rPr>
                <w:color w:val="auto"/>
                <w:szCs w:val="21"/>
              </w:rPr>
            </w:pPr>
            <w:r>
              <w:rPr>
                <w:color w:val="auto"/>
                <w:szCs w:val="21"/>
              </w:rPr>
              <w:t>P1</w:t>
            </w:r>
          </w:p>
        </w:tc>
        <w:tc>
          <w:tcPr>
            <w:tcW w:w="1165" w:type="dxa"/>
            <w:vAlign w:val="center"/>
          </w:tcPr>
          <w:p w14:paraId="7D9AABE9">
            <w:pPr>
              <w:autoSpaceDE w:val="0"/>
              <w:autoSpaceDN w:val="0"/>
              <w:adjustRightInd w:val="0"/>
              <w:spacing w:line="312" w:lineRule="atLeast"/>
              <w:jc w:val="center"/>
              <w:textAlignment w:val="baseline"/>
              <w:rPr>
                <w:color w:val="auto"/>
                <w:szCs w:val="21"/>
              </w:rPr>
            </w:pPr>
            <w:r>
              <w:rPr>
                <w:color w:val="auto"/>
                <w:szCs w:val="21"/>
              </w:rPr>
              <w:t>P1</w:t>
            </w:r>
          </w:p>
        </w:tc>
        <w:tc>
          <w:tcPr>
            <w:tcW w:w="1165" w:type="dxa"/>
            <w:vAlign w:val="center"/>
          </w:tcPr>
          <w:p w14:paraId="5FDA7365">
            <w:pPr>
              <w:autoSpaceDE w:val="0"/>
              <w:autoSpaceDN w:val="0"/>
              <w:adjustRightInd w:val="0"/>
              <w:spacing w:line="312" w:lineRule="atLeast"/>
              <w:jc w:val="center"/>
              <w:textAlignment w:val="baseline"/>
              <w:rPr>
                <w:color w:val="auto"/>
                <w:szCs w:val="21"/>
              </w:rPr>
            </w:pPr>
            <w:r>
              <w:rPr>
                <w:color w:val="auto"/>
                <w:szCs w:val="21"/>
              </w:rPr>
              <w:t>P2</w:t>
            </w:r>
          </w:p>
        </w:tc>
        <w:tc>
          <w:tcPr>
            <w:tcW w:w="1167" w:type="dxa"/>
            <w:tcBorders>
              <w:right w:val="single" w:color="auto" w:sz="4" w:space="0"/>
            </w:tcBorders>
            <w:vAlign w:val="center"/>
          </w:tcPr>
          <w:p w14:paraId="0AEABCAF">
            <w:pPr>
              <w:autoSpaceDE w:val="0"/>
              <w:autoSpaceDN w:val="0"/>
              <w:adjustRightInd w:val="0"/>
              <w:spacing w:line="312" w:lineRule="atLeast"/>
              <w:jc w:val="center"/>
              <w:textAlignment w:val="baseline"/>
              <w:rPr>
                <w:color w:val="auto"/>
                <w:szCs w:val="21"/>
              </w:rPr>
            </w:pPr>
            <w:r>
              <w:rPr>
                <w:color w:val="auto"/>
                <w:szCs w:val="21"/>
              </w:rPr>
              <w:t>P3</w:t>
            </w:r>
          </w:p>
        </w:tc>
      </w:tr>
      <w:tr w14:paraId="56C2B9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275" w:type="dxa"/>
            <w:tcBorders>
              <w:left w:val="single" w:color="auto" w:sz="4" w:space="0"/>
            </w:tcBorders>
            <w:vAlign w:val="center"/>
          </w:tcPr>
          <w:p w14:paraId="02E5F9F1">
            <w:pPr>
              <w:autoSpaceDE w:val="0"/>
              <w:autoSpaceDN w:val="0"/>
              <w:adjustRightInd w:val="0"/>
              <w:spacing w:line="312" w:lineRule="atLeast"/>
              <w:jc w:val="center"/>
              <w:textAlignment w:val="baseline"/>
              <w:rPr>
                <w:color w:val="auto"/>
                <w:szCs w:val="21"/>
              </w:rPr>
            </w:pPr>
            <w:r>
              <w:rPr>
                <w:color w:val="auto"/>
                <w:szCs w:val="21"/>
              </w:rPr>
              <w:t>10≤Q＜100</w:t>
            </w:r>
          </w:p>
        </w:tc>
        <w:tc>
          <w:tcPr>
            <w:tcW w:w="1165" w:type="dxa"/>
            <w:vAlign w:val="center"/>
          </w:tcPr>
          <w:p w14:paraId="563773BB">
            <w:pPr>
              <w:autoSpaceDE w:val="0"/>
              <w:autoSpaceDN w:val="0"/>
              <w:adjustRightInd w:val="0"/>
              <w:spacing w:line="312" w:lineRule="atLeast"/>
              <w:jc w:val="center"/>
              <w:textAlignment w:val="baseline"/>
              <w:rPr>
                <w:color w:val="auto"/>
                <w:szCs w:val="21"/>
              </w:rPr>
            </w:pPr>
            <w:r>
              <w:rPr>
                <w:color w:val="auto"/>
                <w:szCs w:val="21"/>
              </w:rPr>
              <w:t>P1</w:t>
            </w:r>
          </w:p>
        </w:tc>
        <w:tc>
          <w:tcPr>
            <w:tcW w:w="1165" w:type="dxa"/>
            <w:vAlign w:val="center"/>
          </w:tcPr>
          <w:p w14:paraId="210062A7">
            <w:pPr>
              <w:autoSpaceDE w:val="0"/>
              <w:autoSpaceDN w:val="0"/>
              <w:adjustRightInd w:val="0"/>
              <w:spacing w:line="312" w:lineRule="atLeast"/>
              <w:jc w:val="center"/>
              <w:textAlignment w:val="baseline"/>
              <w:rPr>
                <w:color w:val="auto"/>
                <w:szCs w:val="21"/>
              </w:rPr>
            </w:pPr>
            <w:r>
              <w:rPr>
                <w:b/>
                <w:bCs/>
                <w:color w:val="auto"/>
                <w:szCs w:val="21"/>
              </w:rPr>
              <w:t>P2</w:t>
            </w:r>
          </w:p>
        </w:tc>
        <w:tc>
          <w:tcPr>
            <w:tcW w:w="1165" w:type="dxa"/>
            <w:vAlign w:val="center"/>
          </w:tcPr>
          <w:p w14:paraId="3FB93533">
            <w:pPr>
              <w:autoSpaceDE w:val="0"/>
              <w:autoSpaceDN w:val="0"/>
              <w:adjustRightInd w:val="0"/>
              <w:spacing w:line="312" w:lineRule="atLeast"/>
              <w:jc w:val="center"/>
              <w:textAlignment w:val="baseline"/>
              <w:rPr>
                <w:color w:val="auto"/>
                <w:szCs w:val="21"/>
              </w:rPr>
            </w:pPr>
            <w:r>
              <w:rPr>
                <w:color w:val="auto"/>
                <w:szCs w:val="21"/>
              </w:rPr>
              <w:t>P3</w:t>
            </w:r>
          </w:p>
        </w:tc>
        <w:tc>
          <w:tcPr>
            <w:tcW w:w="1167" w:type="dxa"/>
            <w:tcBorders>
              <w:right w:val="single" w:color="auto" w:sz="4" w:space="0"/>
            </w:tcBorders>
            <w:vAlign w:val="center"/>
          </w:tcPr>
          <w:p w14:paraId="451C95A2">
            <w:pPr>
              <w:autoSpaceDE w:val="0"/>
              <w:autoSpaceDN w:val="0"/>
              <w:adjustRightInd w:val="0"/>
              <w:spacing w:line="312" w:lineRule="atLeast"/>
              <w:jc w:val="center"/>
              <w:textAlignment w:val="baseline"/>
              <w:rPr>
                <w:color w:val="auto"/>
                <w:szCs w:val="21"/>
              </w:rPr>
            </w:pPr>
            <w:r>
              <w:rPr>
                <w:b w:val="0"/>
                <w:bCs w:val="0"/>
                <w:color w:val="auto"/>
                <w:szCs w:val="21"/>
              </w:rPr>
              <w:t>P4</w:t>
            </w:r>
          </w:p>
        </w:tc>
      </w:tr>
      <w:tr w14:paraId="025A99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3275" w:type="dxa"/>
            <w:tcBorders>
              <w:left w:val="single" w:color="auto" w:sz="4" w:space="0"/>
            </w:tcBorders>
            <w:vAlign w:val="center"/>
          </w:tcPr>
          <w:p w14:paraId="6FC21757">
            <w:pPr>
              <w:autoSpaceDE w:val="0"/>
              <w:autoSpaceDN w:val="0"/>
              <w:adjustRightInd w:val="0"/>
              <w:spacing w:line="312" w:lineRule="atLeast"/>
              <w:jc w:val="center"/>
              <w:textAlignment w:val="baseline"/>
              <w:rPr>
                <w:color w:val="auto"/>
                <w:szCs w:val="21"/>
              </w:rPr>
            </w:pPr>
            <w:r>
              <w:rPr>
                <w:color w:val="auto"/>
                <w:szCs w:val="21"/>
              </w:rPr>
              <w:t>1≤Q＜10</w:t>
            </w:r>
          </w:p>
        </w:tc>
        <w:tc>
          <w:tcPr>
            <w:tcW w:w="1165" w:type="dxa"/>
            <w:vAlign w:val="center"/>
          </w:tcPr>
          <w:p w14:paraId="4A500716">
            <w:pPr>
              <w:autoSpaceDE w:val="0"/>
              <w:autoSpaceDN w:val="0"/>
              <w:adjustRightInd w:val="0"/>
              <w:spacing w:line="312" w:lineRule="atLeast"/>
              <w:jc w:val="center"/>
              <w:textAlignment w:val="baseline"/>
              <w:rPr>
                <w:color w:val="auto"/>
                <w:szCs w:val="21"/>
              </w:rPr>
            </w:pPr>
            <w:r>
              <w:rPr>
                <w:color w:val="auto"/>
                <w:szCs w:val="21"/>
              </w:rPr>
              <w:t>P2</w:t>
            </w:r>
          </w:p>
        </w:tc>
        <w:tc>
          <w:tcPr>
            <w:tcW w:w="1165" w:type="dxa"/>
            <w:vAlign w:val="center"/>
          </w:tcPr>
          <w:p w14:paraId="72F770CE">
            <w:pPr>
              <w:autoSpaceDE w:val="0"/>
              <w:autoSpaceDN w:val="0"/>
              <w:adjustRightInd w:val="0"/>
              <w:spacing w:line="312" w:lineRule="atLeast"/>
              <w:jc w:val="center"/>
              <w:textAlignment w:val="baseline"/>
              <w:rPr>
                <w:color w:val="auto"/>
                <w:szCs w:val="21"/>
              </w:rPr>
            </w:pPr>
            <w:r>
              <w:rPr>
                <w:color w:val="auto"/>
                <w:szCs w:val="21"/>
              </w:rPr>
              <w:t>P3</w:t>
            </w:r>
          </w:p>
        </w:tc>
        <w:tc>
          <w:tcPr>
            <w:tcW w:w="1165" w:type="dxa"/>
            <w:vAlign w:val="center"/>
          </w:tcPr>
          <w:p w14:paraId="66ACB179">
            <w:pPr>
              <w:autoSpaceDE w:val="0"/>
              <w:autoSpaceDN w:val="0"/>
              <w:adjustRightInd w:val="0"/>
              <w:spacing w:line="312" w:lineRule="atLeast"/>
              <w:jc w:val="center"/>
              <w:textAlignment w:val="baseline"/>
              <w:rPr>
                <w:color w:val="auto"/>
                <w:szCs w:val="21"/>
              </w:rPr>
            </w:pPr>
            <w:r>
              <w:rPr>
                <w:color w:val="auto"/>
                <w:szCs w:val="21"/>
              </w:rPr>
              <w:t>P4</w:t>
            </w:r>
          </w:p>
        </w:tc>
        <w:tc>
          <w:tcPr>
            <w:tcW w:w="1167" w:type="dxa"/>
            <w:tcBorders>
              <w:right w:val="single" w:color="auto" w:sz="4" w:space="0"/>
            </w:tcBorders>
            <w:vAlign w:val="center"/>
          </w:tcPr>
          <w:p w14:paraId="73C3F12B">
            <w:pPr>
              <w:autoSpaceDE w:val="0"/>
              <w:autoSpaceDN w:val="0"/>
              <w:adjustRightInd w:val="0"/>
              <w:spacing w:line="312" w:lineRule="atLeast"/>
              <w:jc w:val="center"/>
              <w:textAlignment w:val="baseline"/>
              <w:rPr>
                <w:color w:val="auto"/>
                <w:szCs w:val="21"/>
              </w:rPr>
            </w:pPr>
            <w:r>
              <w:rPr>
                <w:color w:val="auto"/>
                <w:szCs w:val="21"/>
              </w:rPr>
              <w:t>P4</w:t>
            </w:r>
          </w:p>
        </w:tc>
      </w:tr>
    </w:tbl>
    <w:p w14:paraId="61E3C836">
      <w:pPr>
        <w:autoSpaceDE w:val="0"/>
        <w:autoSpaceDN w:val="0"/>
        <w:adjustRightInd w:val="0"/>
        <w:spacing w:line="360" w:lineRule="auto"/>
        <w:ind w:firstLine="480" w:firstLineChars="200"/>
        <w:rPr>
          <w:color w:val="auto"/>
          <w:sz w:val="24"/>
        </w:rPr>
      </w:pPr>
      <w:r>
        <w:rPr>
          <w:color w:val="auto"/>
          <w:sz w:val="24"/>
        </w:rPr>
        <w:t>对照表格可得，本项目P等级为P</w:t>
      </w:r>
      <w:r>
        <w:rPr>
          <w:rFonts w:hint="eastAsia"/>
          <w:color w:val="auto"/>
          <w:sz w:val="24"/>
          <w:lang w:val="en-US" w:eastAsia="zh-CN"/>
        </w:rPr>
        <w:t>2</w:t>
      </w:r>
      <w:r>
        <w:rPr>
          <w:color w:val="auto"/>
          <w:sz w:val="24"/>
        </w:rPr>
        <w:t>。</w:t>
      </w:r>
    </w:p>
    <w:p w14:paraId="75445323">
      <w:pPr>
        <w:autoSpaceDE w:val="0"/>
        <w:autoSpaceDN w:val="0"/>
        <w:adjustRightInd w:val="0"/>
        <w:spacing w:line="360" w:lineRule="auto"/>
        <w:ind w:firstLine="480" w:firstLineChars="200"/>
        <w:rPr>
          <w:color w:val="auto"/>
          <w:sz w:val="24"/>
        </w:rPr>
      </w:pPr>
      <w:r>
        <w:rPr>
          <w:color w:val="auto"/>
          <w:sz w:val="24"/>
        </w:rPr>
        <w:t>（2）E的分级确定</w:t>
      </w:r>
    </w:p>
    <w:p w14:paraId="6BD46CA6">
      <w:pPr>
        <w:autoSpaceDE w:val="0"/>
        <w:autoSpaceDN w:val="0"/>
        <w:adjustRightInd w:val="0"/>
        <w:spacing w:line="360" w:lineRule="auto"/>
        <w:ind w:firstLine="480" w:firstLineChars="200"/>
        <w:rPr>
          <w:color w:val="auto"/>
          <w:sz w:val="24"/>
        </w:rPr>
      </w:pPr>
      <w:r>
        <w:rPr>
          <w:color w:val="auto"/>
          <w:sz w:val="24"/>
        </w:rPr>
        <w:t>①大气环境敏感程度</w:t>
      </w:r>
    </w:p>
    <w:p w14:paraId="057E12A1">
      <w:pPr>
        <w:autoSpaceDE w:val="0"/>
        <w:autoSpaceDN w:val="0"/>
        <w:adjustRightInd w:val="0"/>
        <w:spacing w:line="360" w:lineRule="auto"/>
        <w:ind w:firstLine="480" w:firstLineChars="200"/>
        <w:rPr>
          <w:color w:val="auto"/>
          <w:sz w:val="24"/>
        </w:rPr>
      </w:pPr>
      <w:r>
        <w:rPr>
          <w:color w:val="auto"/>
          <w:sz w:val="24"/>
        </w:rPr>
        <w:t>依据环境敏感目标环境敏感性及人口密度划分环境风险受体的敏感性，共分为三种类型，E1为环境高度敏感区，E2为环境中度敏感区，E3为环境低度敏感区，根据附表D.1分级原则，本项目大气环境敏感程度分级见下表。</w:t>
      </w:r>
    </w:p>
    <w:p w14:paraId="62149502">
      <w:pPr>
        <w:adjustRightInd w:val="0"/>
        <w:snapToGrid w:val="0"/>
        <w:spacing w:beforeLines="25" w:afterLines="25"/>
        <w:ind w:firstLine="422"/>
        <w:jc w:val="center"/>
        <w:outlineLvl w:val="3"/>
        <w:rPr>
          <w:b/>
          <w:bCs/>
          <w:color w:val="auto"/>
          <w:szCs w:val="21"/>
        </w:rPr>
      </w:pPr>
      <w:r>
        <w:rPr>
          <w:rFonts w:hint="eastAsia"/>
          <w:b/>
          <w:bCs/>
          <w:color w:val="auto"/>
          <w:szCs w:val="21"/>
        </w:rPr>
        <w:t>表7.4-4</w:t>
      </w:r>
      <w:r>
        <w:rPr>
          <w:b/>
          <w:bCs/>
          <w:color w:val="auto"/>
          <w:szCs w:val="21"/>
        </w:rPr>
        <w:t xml:space="preserve">   本项目大气环境敏感程度分级</w:t>
      </w:r>
    </w:p>
    <w:tbl>
      <w:tblPr>
        <w:tblStyle w:val="32"/>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7998"/>
      </w:tblGrid>
      <w:tr w14:paraId="6D5C3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22" w:type="dxa"/>
            <w:vAlign w:val="center"/>
          </w:tcPr>
          <w:p w14:paraId="04278C89">
            <w:pPr>
              <w:widowControl/>
              <w:adjustRightInd w:val="0"/>
              <w:snapToGrid w:val="0"/>
              <w:spacing w:line="280" w:lineRule="exact"/>
              <w:jc w:val="center"/>
              <w:rPr>
                <w:color w:val="auto"/>
                <w:kern w:val="0"/>
              </w:rPr>
            </w:pPr>
            <w:r>
              <w:rPr>
                <w:color w:val="auto"/>
                <w:kern w:val="0"/>
              </w:rPr>
              <w:t>分级</w:t>
            </w:r>
          </w:p>
        </w:tc>
        <w:tc>
          <w:tcPr>
            <w:tcW w:w="7998" w:type="dxa"/>
            <w:vAlign w:val="center"/>
          </w:tcPr>
          <w:p w14:paraId="162098CA">
            <w:pPr>
              <w:widowControl/>
              <w:adjustRightInd w:val="0"/>
              <w:snapToGrid w:val="0"/>
              <w:spacing w:line="280" w:lineRule="exact"/>
              <w:jc w:val="center"/>
              <w:rPr>
                <w:color w:val="auto"/>
                <w:kern w:val="0"/>
              </w:rPr>
            </w:pPr>
            <w:r>
              <w:rPr>
                <w:color w:val="auto"/>
                <w:kern w:val="0"/>
              </w:rPr>
              <w:t>大气环境敏感性</w:t>
            </w:r>
          </w:p>
        </w:tc>
      </w:tr>
      <w:tr w14:paraId="4BBEF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2" w:type="dxa"/>
            <w:vAlign w:val="center"/>
          </w:tcPr>
          <w:p w14:paraId="50016FA4">
            <w:pPr>
              <w:widowControl/>
              <w:adjustRightInd w:val="0"/>
              <w:snapToGrid w:val="0"/>
              <w:spacing w:line="280" w:lineRule="exact"/>
              <w:jc w:val="center"/>
              <w:rPr>
                <w:color w:val="auto"/>
                <w:kern w:val="0"/>
              </w:rPr>
            </w:pPr>
            <w:r>
              <w:rPr>
                <w:color w:val="auto"/>
                <w:kern w:val="0"/>
              </w:rPr>
              <w:t>E1</w:t>
            </w:r>
          </w:p>
        </w:tc>
        <w:tc>
          <w:tcPr>
            <w:tcW w:w="7998" w:type="dxa"/>
            <w:vAlign w:val="center"/>
          </w:tcPr>
          <w:p w14:paraId="469A642B">
            <w:pPr>
              <w:widowControl/>
              <w:adjustRightInd w:val="0"/>
              <w:snapToGrid w:val="0"/>
              <w:spacing w:line="280" w:lineRule="exact"/>
              <w:jc w:val="center"/>
              <w:rPr>
                <w:color w:val="auto"/>
                <w:kern w:val="0"/>
              </w:rPr>
            </w:pPr>
            <w:r>
              <w:rPr>
                <w:color w:val="auto"/>
                <w:kern w:val="0"/>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3C5AE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2" w:type="dxa"/>
            <w:vAlign w:val="center"/>
          </w:tcPr>
          <w:p w14:paraId="518AB272">
            <w:pPr>
              <w:widowControl/>
              <w:adjustRightInd w:val="0"/>
              <w:snapToGrid w:val="0"/>
              <w:spacing w:line="280" w:lineRule="exact"/>
              <w:jc w:val="center"/>
              <w:rPr>
                <w:color w:val="auto"/>
                <w:kern w:val="0"/>
              </w:rPr>
            </w:pPr>
            <w:r>
              <w:rPr>
                <w:color w:val="auto"/>
                <w:kern w:val="0"/>
              </w:rPr>
              <w:t>E2</w:t>
            </w:r>
          </w:p>
        </w:tc>
        <w:tc>
          <w:tcPr>
            <w:tcW w:w="7998" w:type="dxa"/>
            <w:vAlign w:val="center"/>
          </w:tcPr>
          <w:p w14:paraId="55132870">
            <w:pPr>
              <w:widowControl/>
              <w:adjustRightInd w:val="0"/>
              <w:snapToGrid w:val="0"/>
              <w:spacing w:line="280" w:lineRule="exact"/>
              <w:rPr>
                <w:color w:val="auto"/>
                <w:kern w:val="0"/>
              </w:rPr>
            </w:pPr>
            <w:r>
              <w:rPr>
                <w:color w:val="auto"/>
                <w:kern w:val="0"/>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5AFFE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2" w:type="dxa"/>
            <w:vAlign w:val="center"/>
          </w:tcPr>
          <w:p w14:paraId="6CBF9AB3">
            <w:pPr>
              <w:widowControl/>
              <w:adjustRightInd w:val="0"/>
              <w:snapToGrid w:val="0"/>
              <w:spacing w:line="280" w:lineRule="exact"/>
              <w:jc w:val="center"/>
              <w:rPr>
                <w:color w:val="auto"/>
                <w:kern w:val="0"/>
              </w:rPr>
            </w:pPr>
            <w:r>
              <w:rPr>
                <w:color w:val="auto"/>
                <w:kern w:val="0"/>
              </w:rPr>
              <w:t>E3</w:t>
            </w:r>
          </w:p>
        </w:tc>
        <w:tc>
          <w:tcPr>
            <w:tcW w:w="7998" w:type="dxa"/>
            <w:vAlign w:val="center"/>
          </w:tcPr>
          <w:p w14:paraId="6DC71E92">
            <w:pPr>
              <w:widowControl/>
              <w:adjustRightInd w:val="0"/>
              <w:snapToGrid w:val="0"/>
              <w:spacing w:line="280" w:lineRule="exact"/>
              <w:rPr>
                <w:color w:val="auto"/>
                <w:kern w:val="0"/>
                <w:szCs w:val="21"/>
              </w:rPr>
            </w:pPr>
            <w:r>
              <w:rPr>
                <w:color w:val="auto"/>
                <w:kern w:val="0"/>
              </w:rPr>
              <w:t>周边5km范围内居住区、医疗卫生、文化教育、科研、行政办公等机构人口总数小于1万人；或周边500m范围内人口总数小于500人；油气、化学品输送管线管段周边200m范围内，每千米管段人口数小于100人</w:t>
            </w:r>
          </w:p>
        </w:tc>
      </w:tr>
      <w:tr w14:paraId="61F30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20" w:type="dxa"/>
            <w:gridSpan w:val="2"/>
            <w:vAlign w:val="center"/>
          </w:tcPr>
          <w:p w14:paraId="07B9F9FF">
            <w:pPr>
              <w:widowControl/>
              <w:adjustRightInd w:val="0"/>
              <w:snapToGrid w:val="0"/>
              <w:spacing w:line="280" w:lineRule="exact"/>
              <w:rPr>
                <w:color w:val="auto"/>
                <w:kern w:val="0"/>
              </w:rPr>
            </w:pPr>
            <w:r>
              <w:rPr>
                <w:color w:val="auto"/>
                <w:kern w:val="0"/>
              </w:rPr>
              <w:t>本项目大气环境敏感程度为E1</w:t>
            </w:r>
          </w:p>
        </w:tc>
      </w:tr>
    </w:tbl>
    <w:p w14:paraId="6463B351">
      <w:pPr>
        <w:autoSpaceDE w:val="0"/>
        <w:autoSpaceDN w:val="0"/>
        <w:adjustRightInd w:val="0"/>
        <w:spacing w:line="360" w:lineRule="auto"/>
        <w:ind w:firstLine="480" w:firstLineChars="200"/>
        <w:rPr>
          <w:color w:val="auto"/>
          <w:sz w:val="24"/>
        </w:rPr>
      </w:pPr>
      <w:r>
        <w:rPr>
          <w:color w:val="auto"/>
          <w:sz w:val="24"/>
        </w:rPr>
        <w:t>②地表水环境敏感程度</w:t>
      </w:r>
    </w:p>
    <w:p w14:paraId="31E33DA4">
      <w:pPr>
        <w:autoSpaceDE w:val="0"/>
        <w:autoSpaceDN w:val="0"/>
        <w:adjustRightInd w:val="0"/>
        <w:spacing w:line="360" w:lineRule="auto"/>
        <w:ind w:firstLine="480" w:firstLineChars="200"/>
        <w:rPr>
          <w:color w:val="auto"/>
          <w:sz w:val="24"/>
        </w:rPr>
      </w:pPr>
      <w:r>
        <w:rPr>
          <w:color w:val="auto"/>
          <w:sz w:val="24"/>
        </w:rPr>
        <w:t>地表水环境敏感程度E由事故情况下危险物质泄漏到水体的排放点受纳地表水体功能敏感性（F）与下游环境敏感目标分级（S）共同决定。根据附录推荐的分级原则，本项目地表水体功能敏感性（F）判定与下游环境敏感目标分级（S）情况分别如下。</w:t>
      </w:r>
    </w:p>
    <w:p w14:paraId="3950A70E">
      <w:pPr>
        <w:adjustRightInd w:val="0"/>
        <w:snapToGrid w:val="0"/>
        <w:spacing w:beforeLines="25" w:afterLines="25"/>
        <w:ind w:firstLine="422"/>
        <w:jc w:val="center"/>
        <w:outlineLvl w:val="3"/>
        <w:rPr>
          <w:b/>
          <w:bCs/>
          <w:color w:val="auto"/>
          <w:szCs w:val="21"/>
        </w:rPr>
      </w:pPr>
      <w:r>
        <w:rPr>
          <w:rFonts w:hint="eastAsia"/>
          <w:b/>
          <w:bCs/>
          <w:color w:val="auto"/>
          <w:szCs w:val="21"/>
        </w:rPr>
        <w:t>表7.4-5</w:t>
      </w:r>
      <w:r>
        <w:rPr>
          <w:b/>
          <w:bCs/>
          <w:color w:val="auto"/>
          <w:szCs w:val="21"/>
        </w:rPr>
        <w:t xml:space="preserve">   本项目地表水功能敏感性判定情况</w:t>
      </w:r>
    </w:p>
    <w:tbl>
      <w:tblPr>
        <w:tblStyle w:val="32"/>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7450"/>
      </w:tblGrid>
      <w:tr w14:paraId="1332D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0" w:type="dxa"/>
            <w:tcBorders>
              <w:top w:val="single" w:color="auto" w:sz="4" w:space="0"/>
              <w:left w:val="single" w:color="auto" w:sz="4" w:space="0"/>
              <w:bottom w:val="single" w:color="auto" w:sz="4" w:space="0"/>
              <w:right w:val="single" w:color="auto" w:sz="4" w:space="0"/>
            </w:tcBorders>
            <w:vAlign w:val="center"/>
          </w:tcPr>
          <w:p w14:paraId="5A351722">
            <w:pPr>
              <w:spacing w:line="280" w:lineRule="exact"/>
              <w:jc w:val="center"/>
              <w:rPr>
                <w:color w:val="auto"/>
                <w:kern w:val="0"/>
              </w:rPr>
            </w:pPr>
            <w:r>
              <w:rPr>
                <w:color w:val="auto"/>
              </w:rPr>
              <w:t>敏感性</w:t>
            </w:r>
          </w:p>
        </w:tc>
        <w:tc>
          <w:tcPr>
            <w:tcW w:w="7450" w:type="dxa"/>
            <w:tcBorders>
              <w:top w:val="single" w:color="auto" w:sz="4" w:space="0"/>
              <w:left w:val="nil"/>
              <w:bottom w:val="single" w:color="auto" w:sz="4" w:space="0"/>
              <w:right w:val="single" w:color="auto" w:sz="4" w:space="0"/>
            </w:tcBorders>
            <w:vAlign w:val="center"/>
          </w:tcPr>
          <w:p w14:paraId="7B1970FB">
            <w:pPr>
              <w:spacing w:line="280" w:lineRule="exact"/>
              <w:jc w:val="center"/>
              <w:rPr>
                <w:color w:val="auto"/>
                <w:kern w:val="0"/>
              </w:rPr>
            </w:pPr>
            <w:r>
              <w:rPr>
                <w:color w:val="auto"/>
              </w:rPr>
              <w:t>地表水环境敏感特征</w:t>
            </w:r>
          </w:p>
        </w:tc>
      </w:tr>
      <w:tr w14:paraId="090A0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0" w:type="dxa"/>
            <w:tcBorders>
              <w:top w:val="single" w:color="auto" w:sz="4" w:space="0"/>
              <w:left w:val="single" w:color="auto" w:sz="4" w:space="0"/>
              <w:bottom w:val="single" w:color="auto" w:sz="4" w:space="0"/>
              <w:right w:val="single" w:color="auto" w:sz="4" w:space="0"/>
            </w:tcBorders>
            <w:vAlign w:val="center"/>
          </w:tcPr>
          <w:p w14:paraId="11FC72F5">
            <w:pPr>
              <w:spacing w:line="280" w:lineRule="exact"/>
              <w:jc w:val="center"/>
              <w:rPr>
                <w:color w:val="auto"/>
                <w:kern w:val="0"/>
              </w:rPr>
            </w:pPr>
            <w:r>
              <w:rPr>
                <w:color w:val="auto"/>
              </w:rPr>
              <w:t>敏感 F1</w:t>
            </w:r>
          </w:p>
        </w:tc>
        <w:tc>
          <w:tcPr>
            <w:tcW w:w="7450" w:type="dxa"/>
            <w:tcBorders>
              <w:top w:val="single" w:color="auto" w:sz="4" w:space="0"/>
              <w:left w:val="nil"/>
              <w:bottom w:val="single" w:color="auto" w:sz="4" w:space="0"/>
              <w:right w:val="single" w:color="auto" w:sz="4" w:space="0"/>
            </w:tcBorders>
            <w:vAlign w:val="center"/>
          </w:tcPr>
          <w:p w14:paraId="1B9777BE">
            <w:pPr>
              <w:spacing w:line="280" w:lineRule="exact"/>
              <w:rPr>
                <w:color w:val="auto"/>
                <w:kern w:val="0"/>
                <w:szCs w:val="21"/>
              </w:rPr>
            </w:pPr>
            <w:r>
              <w:rPr>
                <w:color w:val="auto"/>
              </w:rPr>
              <w:t>排放点进入地表水水域环境功能为Ⅱ类及以上，或海水水质分类第一类；</w:t>
            </w:r>
          </w:p>
          <w:p w14:paraId="7B5CF0A3">
            <w:pPr>
              <w:spacing w:line="280" w:lineRule="exact"/>
              <w:rPr>
                <w:color w:val="auto"/>
                <w:kern w:val="0"/>
              </w:rPr>
            </w:pPr>
            <w:r>
              <w:rPr>
                <w:color w:val="auto"/>
              </w:rPr>
              <w:t>或以发生事故时，危险物质泄漏到水体的排放点算起，排放进入受纳河流最大流速时，24 h 流经范围内涉跨国界的</w:t>
            </w:r>
          </w:p>
        </w:tc>
      </w:tr>
      <w:tr w14:paraId="171E1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0" w:type="dxa"/>
            <w:tcBorders>
              <w:top w:val="single" w:color="auto" w:sz="4" w:space="0"/>
              <w:left w:val="single" w:color="auto" w:sz="4" w:space="0"/>
              <w:bottom w:val="single" w:color="auto" w:sz="4" w:space="0"/>
              <w:right w:val="single" w:color="auto" w:sz="4" w:space="0"/>
            </w:tcBorders>
            <w:vAlign w:val="center"/>
          </w:tcPr>
          <w:p w14:paraId="412E0510">
            <w:pPr>
              <w:spacing w:line="280" w:lineRule="exact"/>
              <w:jc w:val="center"/>
              <w:rPr>
                <w:color w:val="auto"/>
                <w:kern w:val="0"/>
              </w:rPr>
            </w:pPr>
            <w:r>
              <w:rPr>
                <w:color w:val="auto"/>
              </w:rPr>
              <w:t>较敏感 F2</w:t>
            </w:r>
          </w:p>
        </w:tc>
        <w:tc>
          <w:tcPr>
            <w:tcW w:w="7450" w:type="dxa"/>
            <w:tcBorders>
              <w:top w:val="single" w:color="auto" w:sz="4" w:space="0"/>
              <w:left w:val="nil"/>
              <w:bottom w:val="single" w:color="auto" w:sz="4" w:space="0"/>
              <w:right w:val="single" w:color="auto" w:sz="4" w:space="0"/>
            </w:tcBorders>
            <w:vAlign w:val="center"/>
          </w:tcPr>
          <w:p w14:paraId="3F55070D">
            <w:pPr>
              <w:spacing w:line="280" w:lineRule="exact"/>
              <w:rPr>
                <w:color w:val="auto"/>
                <w:kern w:val="0"/>
                <w:szCs w:val="21"/>
              </w:rPr>
            </w:pPr>
            <w:r>
              <w:rPr>
                <w:color w:val="auto"/>
              </w:rPr>
              <w:t>排放点进入地表水水域环境功能为Ⅲ类，或海水水质分类第二类；</w:t>
            </w:r>
          </w:p>
          <w:p w14:paraId="419D8F49">
            <w:pPr>
              <w:spacing w:line="280" w:lineRule="exact"/>
              <w:rPr>
                <w:color w:val="auto"/>
                <w:kern w:val="0"/>
              </w:rPr>
            </w:pPr>
            <w:r>
              <w:rPr>
                <w:color w:val="auto"/>
              </w:rPr>
              <w:t>或以发生事故时，危险物质泄漏到水体的排放点算起，排放进入受纳河流最大流速时，24 h 流经范围内涉跨省界的</w:t>
            </w:r>
          </w:p>
        </w:tc>
      </w:tr>
      <w:tr w14:paraId="74B79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0" w:type="dxa"/>
            <w:tcBorders>
              <w:top w:val="single" w:color="auto" w:sz="4" w:space="0"/>
              <w:left w:val="single" w:color="auto" w:sz="4" w:space="0"/>
              <w:bottom w:val="single" w:color="auto" w:sz="4" w:space="0"/>
              <w:right w:val="single" w:color="auto" w:sz="4" w:space="0"/>
            </w:tcBorders>
            <w:vAlign w:val="center"/>
          </w:tcPr>
          <w:p w14:paraId="1AF727C0">
            <w:pPr>
              <w:spacing w:line="280" w:lineRule="exact"/>
              <w:jc w:val="center"/>
              <w:rPr>
                <w:color w:val="auto"/>
                <w:kern w:val="0"/>
              </w:rPr>
            </w:pPr>
            <w:r>
              <w:rPr>
                <w:color w:val="auto"/>
              </w:rPr>
              <w:t>低敏感 F3</w:t>
            </w:r>
          </w:p>
        </w:tc>
        <w:tc>
          <w:tcPr>
            <w:tcW w:w="7450" w:type="dxa"/>
            <w:tcBorders>
              <w:top w:val="single" w:color="auto" w:sz="4" w:space="0"/>
              <w:left w:val="nil"/>
              <w:bottom w:val="single" w:color="auto" w:sz="4" w:space="0"/>
              <w:right w:val="single" w:color="auto" w:sz="4" w:space="0"/>
            </w:tcBorders>
            <w:vAlign w:val="center"/>
          </w:tcPr>
          <w:p w14:paraId="10330BA1">
            <w:pPr>
              <w:spacing w:line="280" w:lineRule="exact"/>
              <w:jc w:val="center"/>
              <w:rPr>
                <w:color w:val="auto"/>
                <w:kern w:val="0"/>
              </w:rPr>
            </w:pPr>
            <w:r>
              <w:rPr>
                <w:color w:val="auto"/>
              </w:rPr>
              <w:t>上述地区之外的其他地区</w:t>
            </w:r>
          </w:p>
        </w:tc>
      </w:tr>
      <w:tr w14:paraId="03B96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20" w:type="dxa"/>
            <w:gridSpan w:val="2"/>
            <w:tcBorders>
              <w:top w:val="single" w:color="auto" w:sz="4" w:space="0"/>
              <w:left w:val="single" w:color="auto" w:sz="4" w:space="0"/>
              <w:bottom w:val="single" w:color="auto" w:sz="4" w:space="0"/>
              <w:right w:val="single" w:color="auto" w:sz="4" w:space="0"/>
            </w:tcBorders>
            <w:vAlign w:val="center"/>
          </w:tcPr>
          <w:p w14:paraId="1BB2236E">
            <w:pPr>
              <w:spacing w:line="280" w:lineRule="exact"/>
              <w:rPr>
                <w:color w:val="auto"/>
                <w:kern w:val="0"/>
              </w:rPr>
            </w:pPr>
            <w:r>
              <w:rPr>
                <w:color w:val="auto"/>
              </w:rPr>
              <w:t>本项目地表水功能敏感性为F2</w:t>
            </w:r>
          </w:p>
        </w:tc>
      </w:tr>
    </w:tbl>
    <w:p w14:paraId="44AE6D47">
      <w:pPr>
        <w:adjustRightInd w:val="0"/>
        <w:snapToGrid w:val="0"/>
        <w:spacing w:beforeLines="25" w:afterLines="25"/>
        <w:ind w:firstLine="422"/>
        <w:jc w:val="center"/>
        <w:outlineLvl w:val="3"/>
        <w:rPr>
          <w:b/>
          <w:bCs/>
          <w:color w:val="auto"/>
          <w:szCs w:val="21"/>
        </w:rPr>
      </w:pPr>
      <w:r>
        <w:rPr>
          <w:rFonts w:hint="eastAsia"/>
          <w:b/>
          <w:bCs/>
          <w:color w:val="auto"/>
          <w:szCs w:val="21"/>
        </w:rPr>
        <w:t>表7.4-6</w:t>
      </w:r>
      <w:r>
        <w:rPr>
          <w:b/>
          <w:bCs/>
          <w:color w:val="auto"/>
          <w:szCs w:val="21"/>
        </w:rPr>
        <w:t xml:space="preserve">   本项目地表水环境敏感目标分级</w:t>
      </w:r>
    </w:p>
    <w:tbl>
      <w:tblPr>
        <w:tblStyle w:val="32"/>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7885"/>
      </w:tblGrid>
      <w:tr w14:paraId="2A1F0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35" w:type="dxa"/>
            <w:tcBorders>
              <w:top w:val="single" w:color="auto" w:sz="4" w:space="0"/>
              <w:left w:val="single" w:color="auto" w:sz="4" w:space="0"/>
              <w:bottom w:val="single" w:color="auto" w:sz="4" w:space="0"/>
              <w:right w:val="single" w:color="auto" w:sz="4" w:space="0"/>
            </w:tcBorders>
            <w:vAlign w:val="center"/>
          </w:tcPr>
          <w:p w14:paraId="73D8993A">
            <w:pPr>
              <w:spacing w:line="280" w:lineRule="exact"/>
              <w:jc w:val="center"/>
              <w:rPr>
                <w:color w:val="auto"/>
                <w:kern w:val="0"/>
              </w:rPr>
            </w:pPr>
            <w:r>
              <w:rPr>
                <w:color w:val="auto"/>
              </w:rPr>
              <w:t>分级</w:t>
            </w:r>
          </w:p>
        </w:tc>
        <w:tc>
          <w:tcPr>
            <w:tcW w:w="7885" w:type="dxa"/>
            <w:tcBorders>
              <w:top w:val="single" w:color="auto" w:sz="4" w:space="0"/>
              <w:left w:val="nil"/>
              <w:bottom w:val="single" w:color="auto" w:sz="4" w:space="0"/>
              <w:right w:val="single" w:color="auto" w:sz="4" w:space="0"/>
            </w:tcBorders>
            <w:vAlign w:val="center"/>
          </w:tcPr>
          <w:p w14:paraId="4A6FD11A">
            <w:pPr>
              <w:spacing w:line="280" w:lineRule="exact"/>
              <w:jc w:val="center"/>
              <w:rPr>
                <w:color w:val="auto"/>
                <w:kern w:val="0"/>
              </w:rPr>
            </w:pPr>
            <w:r>
              <w:rPr>
                <w:color w:val="auto"/>
              </w:rPr>
              <w:t>环境敏感目标</w:t>
            </w:r>
          </w:p>
        </w:tc>
      </w:tr>
      <w:tr w14:paraId="59879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dxa"/>
            <w:tcBorders>
              <w:top w:val="single" w:color="auto" w:sz="4" w:space="0"/>
              <w:left w:val="single" w:color="auto" w:sz="4" w:space="0"/>
              <w:bottom w:val="single" w:color="auto" w:sz="4" w:space="0"/>
              <w:right w:val="single" w:color="auto" w:sz="4" w:space="0"/>
            </w:tcBorders>
            <w:vAlign w:val="center"/>
          </w:tcPr>
          <w:p w14:paraId="2628B5B1">
            <w:pPr>
              <w:spacing w:line="280" w:lineRule="exact"/>
              <w:jc w:val="center"/>
              <w:rPr>
                <w:color w:val="auto"/>
                <w:kern w:val="0"/>
              </w:rPr>
            </w:pPr>
            <w:r>
              <w:rPr>
                <w:color w:val="auto"/>
              </w:rPr>
              <w:t>S1</w:t>
            </w:r>
          </w:p>
        </w:tc>
        <w:tc>
          <w:tcPr>
            <w:tcW w:w="7885" w:type="dxa"/>
            <w:tcBorders>
              <w:top w:val="single" w:color="auto" w:sz="4" w:space="0"/>
              <w:left w:val="nil"/>
              <w:bottom w:val="single" w:color="auto" w:sz="4" w:space="0"/>
              <w:right w:val="single" w:color="auto" w:sz="4" w:space="0"/>
            </w:tcBorders>
            <w:vAlign w:val="center"/>
          </w:tcPr>
          <w:p w14:paraId="139B3146">
            <w:pPr>
              <w:spacing w:line="280" w:lineRule="exact"/>
              <w:rPr>
                <w:color w:val="auto"/>
                <w:kern w:val="0"/>
              </w:rPr>
            </w:pPr>
            <w:r>
              <w:rPr>
                <w:color w:val="auto"/>
              </w:rPr>
              <w:t>发生事故时，危险物质泄漏到内陆水体的排放点下游（顺水流向）10 km 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15BA1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dxa"/>
            <w:tcBorders>
              <w:top w:val="single" w:color="auto" w:sz="4" w:space="0"/>
              <w:left w:val="single" w:color="auto" w:sz="4" w:space="0"/>
              <w:bottom w:val="single" w:color="auto" w:sz="4" w:space="0"/>
              <w:right w:val="single" w:color="auto" w:sz="4" w:space="0"/>
            </w:tcBorders>
            <w:vAlign w:val="center"/>
          </w:tcPr>
          <w:p w14:paraId="3D8F185F">
            <w:pPr>
              <w:spacing w:line="280" w:lineRule="exact"/>
              <w:jc w:val="center"/>
              <w:rPr>
                <w:color w:val="auto"/>
                <w:kern w:val="0"/>
              </w:rPr>
            </w:pPr>
            <w:r>
              <w:rPr>
                <w:color w:val="auto"/>
              </w:rPr>
              <w:t>S2</w:t>
            </w:r>
          </w:p>
        </w:tc>
        <w:tc>
          <w:tcPr>
            <w:tcW w:w="7885" w:type="dxa"/>
            <w:tcBorders>
              <w:top w:val="single" w:color="auto" w:sz="4" w:space="0"/>
              <w:left w:val="nil"/>
              <w:bottom w:val="single" w:color="auto" w:sz="4" w:space="0"/>
              <w:right w:val="single" w:color="auto" w:sz="4" w:space="0"/>
            </w:tcBorders>
            <w:vAlign w:val="center"/>
          </w:tcPr>
          <w:p w14:paraId="2587C98F">
            <w:pPr>
              <w:spacing w:line="280" w:lineRule="exact"/>
              <w:rPr>
                <w:color w:val="auto"/>
                <w:kern w:val="0"/>
              </w:rPr>
            </w:pPr>
            <w:r>
              <w:rPr>
                <w:color w:val="auto"/>
              </w:rPr>
              <w:t>发生事故时，危险物质泄漏到内陆水体的排放点下游（顺水流向）10 km 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31A5F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dxa"/>
            <w:tcBorders>
              <w:top w:val="single" w:color="auto" w:sz="4" w:space="0"/>
              <w:left w:val="single" w:color="auto" w:sz="4" w:space="0"/>
              <w:bottom w:val="single" w:color="auto" w:sz="4" w:space="0"/>
              <w:right w:val="single" w:color="auto" w:sz="4" w:space="0"/>
            </w:tcBorders>
            <w:vAlign w:val="center"/>
          </w:tcPr>
          <w:p w14:paraId="055ABD93">
            <w:pPr>
              <w:spacing w:line="280" w:lineRule="exact"/>
              <w:jc w:val="center"/>
              <w:rPr>
                <w:color w:val="auto"/>
                <w:kern w:val="0"/>
              </w:rPr>
            </w:pPr>
            <w:r>
              <w:rPr>
                <w:color w:val="auto"/>
              </w:rPr>
              <w:t>S3</w:t>
            </w:r>
          </w:p>
        </w:tc>
        <w:tc>
          <w:tcPr>
            <w:tcW w:w="7885" w:type="dxa"/>
            <w:tcBorders>
              <w:top w:val="single" w:color="auto" w:sz="4" w:space="0"/>
              <w:left w:val="nil"/>
              <w:bottom w:val="single" w:color="auto" w:sz="4" w:space="0"/>
              <w:right w:val="single" w:color="auto" w:sz="4" w:space="0"/>
            </w:tcBorders>
            <w:vAlign w:val="center"/>
          </w:tcPr>
          <w:p w14:paraId="6CC0B04F">
            <w:pPr>
              <w:spacing w:line="280" w:lineRule="exact"/>
              <w:rPr>
                <w:color w:val="auto"/>
                <w:kern w:val="0"/>
              </w:rPr>
            </w:pPr>
            <w:r>
              <w:rPr>
                <w:color w:val="auto"/>
              </w:rPr>
              <w:t>排放点下游（顺水流向）10 km 范围、近岸海域一个潮周期水质点可能达到的最大水平距离的两倍范围内无上述类型1 和类型2 包括的敏感保护目标</w:t>
            </w:r>
          </w:p>
        </w:tc>
      </w:tr>
      <w:tr w14:paraId="5B003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20" w:type="dxa"/>
            <w:gridSpan w:val="2"/>
            <w:tcBorders>
              <w:top w:val="single" w:color="auto" w:sz="4" w:space="0"/>
              <w:left w:val="single" w:color="auto" w:sz="4" w:space="0"/>
              <w:bottom w:val="single" w:color="auto" w:sz="4" w:space="0"/>
              <w:right w:val="single" w:color="auto" w:sz="4" w:space="0"/>
            </w:tcBorders>
            <w:vAlign w:val="center"/>
          </w:tcPr>
          <w:p w14:paraId="4C235E03">
            <w:pPr>
              <w:spacing w:line="280" w:lineRule="exact"/>
              <w:rPr>
                <w:color w:val="auto"/>
              </w:rPr>
            </w:pPr>
            <w:r>
              <w:rPr>
                <w:color w:val="auto"/>
              </w:rPr>
              <w:t>根据调查，本项目地表水功能敏感性为S</w:t>
            </w:r>
            <w:r>
              <w:rPr>
                <w:rFonts w:hint="eastAsia"/>
                <w:color w:val="auto"/>
                <w:lang w:val="en-US" w:eastAsia="zh-CN"/>
              </w:rPr>
              <w:t>2</w:t>
            </w:r>
          </w:p>
        </w:tc>
      </w:tr>
    </w:tbl>
    <w:p w14:paraId="570D4569">
      <w:pPr>
        <w:autoSpaceDE w:val="0"/>
        <w:autoSpaceDN w:val="0"/>
        <w:adjustRightInd w:val="0"/>
        <w:spacing w:line="360" w:lineRule="auto"/>
        <w:ind w:firstLine="480" w:firstLineChars="200"/>
        <w:rPr>
          <w:color w:val="auto"/>
          <w:sz w:val="24"/>
        </w:rPr>
      </w:pPr>
      <w:r>
        <w:rPr>
          <w:color w:val="auto"/>
          <w:sz w:val="24"/>
        </w:rPr>
        <w:t>因此，根据附表D.2，本项目地表水环境敏感程度判定情况见下表。</w:t>
      </w:r>
    </w:p>
    <w:p w14:paraId="2EF93B20">
      <w:pPr>
        <w:adjustRightInd w:val="0"/>
        <w:snapToGrid w:val="0"/>
        <w:spacing w:beforeLines="25" w:afterLines="25"/>
        <w:ind w:firstLine="422"/>
        <w:jc w:val="center"/>
        <w:outlineLvl w:val="3"/>
        <w:rPr>
          <w:b/>
          <w:bCs/>
          <w:color w:val="auto"/>
          <w:szCs w:val="21"/>
        </w:rPr>
      </w:pPr>
      <w:r>
        <w:rPr>
          <w:rFonts w:hint="eastAsia"/>
          <w:b/>
          <w:bCs/>
          <w:color w:val="auto"/>
          <w:szCs w:val="21"/>
        </w:rPr>
        <w:t xml:space="preserve">表7.4-7 </w:t>
      </w:r>
      <w:r>
        <w:rPr>
          <w:b/>
          <w:bCs/>
          <w:color w:val="auto"/>
          <w:szCs w:val="21"/>
        </w:rPr>
        <w:t xml:space="preserve"> 本项目地表水环境敏感程度分级</w:t>
      </w:r>
    </w:p>
    <w:tbl>
      <w:tblPr>
        <w:tblStyle w:val="32"/>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4"/>
        <w:gridCol w:w="1959"/>
        <w:gridCol w:w="2152"/>
        <w:gridCol w:w="2025"/>
      </w:tblGrid>
      <w:tr w14:paraId="509AF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dxa"/>
            <w:vMerge w:val="restart"/>
            <w:tcBorders>
              <w:top w:val="single" w:color="auto" w:sz="4" w:space="0"/>
              <w:left w:val="single" w:color="auto" w:sz="4" w:space="0"/>
              <w:bottom w:val="single" w:color="auto" w:sz="4" w:space="0"/>
              <w:right w:val="single" w:color="auto" w:sz="4" w:space="0"/>
            </w:tcBorders>
            <w:vAlign w:val="center"/>
          </w:tcPr>
          <w:p w14:paraId="68278472">
            <w:pPr>
              <w:spacing w:line="300" w:lineRule="exact"/>
              <w:jc w:val="center"/>
              <w:rPr>
                <w:color w:val="auto"/>
                <w:kern w:val="0"/>
              </w:rPr>
            </w:pPr>
            <w:r>
              <w:rPr>
                <w:color w:val="auto"/>
              </w:rPr>
              <w:t>环境敏感目标</w:t>
            </w:r>
          </w:p>
        </w:tc>
        <w:tc>
          <w:tcPr>
            <w:tcW w:w="6136" w:type="dxa"/>
            <w:gridSpan w:val="3"/>
            <w:tcBorders>
              <w:top w:val="single" w:color="auto" w:sz="4" w:space="0"/>
              <w:left w:val="nil"/>
              <w:bottom w:val="single" w:color="auto" w:sz="4" w:space="0"/>
              <w:right w:val="single" w:color="auto" w:sz="4" w:space="0"/>
            </w:tcBorders>
            <w:vAlign w:val="center"/>
          </w:tcPr>
          <w:p w14:paraId="019D7005">
            <w:pPr>
              <w:spacing w:line="300" w:lineRule="exact"/>
              <w:jc w:val="center"/>
              <w:rPr>
                <w:color w:val="auto"/>
                <w:kern w:val="0"/>
              </w:rPr>
            </w:pPr>
            <w:r>
              <w:rPr>
                <w:color w:val="auto"/>
              </w:rPr>
              <w:t>地表水功能敏感性</w:t>
            </w:r>
          </w:p>
        </w:tc>
      </w:tr>
      <w:tr w14:paraId="265D9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dxa"/>
            <w:vMerge w:val="continue"/>
            <w:tcBorders>
              <w:top w:val="single" w:color="auto" w:sz="4" w:space="0"/>
              <w:left w:val="single" w:color="auto" w:sz="4" w:space="0"/>
              <w:bottom w:val="single" w:color="auto" w:sz="4" w:space="0"/>
              <w:right w:val="single" w:color="auto" w:sz="4" w:space="0"/>
            </w:tcBorders>
            <w:vAlign w:val="center"/>
          </w:tcPr>
          <w:p w14:paraId="69A188D9">
            <w:pPr>
              <w:widowControl/>
              <w:spacing w:line="300" w:lineRule="exact"/>
              <w:jc w:val="left"/>
              <w:rPr>
                <w:color w:val="auto"/>
                <w:kern w:val="0"/>
                <w:szCs w:val="21"/>
              </w:rPr>
            </w:pPr>
          </w:p>
        </w:tc>
        <w:tc>
          <w:tcPr>
            <w:tcW w:w="1959" w:type="dxa"/>
            <w:tcBorders>
              <w:top w:val="single" w:color="auto" w:sz="4" w:space="0"/>
              <w:left w:val="nil"/>
              <w:bottom w:val="single" w:color="auto" w:sz="4" w:space="0"/>
              <w:right w:val="single" w:color="auto" w:sz="4" w:space="0"/>
            </w:tcBorders>
            <w:vAlign w:val="center"/>
          </w:tcPr>
          <w:p w14:paraId="2C33C01F">
            <w:pPr>
              <w:spacing w:line="300" w:lineRule="exact"/>
              <w:jc w:val="center"/>
              <w:rPr>
                <w:color w:val="auto"/>
                <w:kern w:val="0"/>
              </w:rPr>
            </w:pPr>
            <w:r>
              <w:rPr>
                <w:color w:val="auto"/>
              </w:rPr>
              <w:t>F1</w:t>
            </w:r>
          </w:p>
        </w:tc>
        <w:tc>
          <w:tcPr>
            <w:tcW w:w="2152" w:type="dxa"/>
            <w:tcBorders>
              <w:top w:val="single" w:color="auto" w:sz="4" w:space="0"/>
              <w:left w:val="nil"/>
              <w:bottom w:val="single" w:color="auto" w:sz="4" w:space="0"/>
              <w:right w:val="single" w:color="auto" w:sz="4" w:space="0"/>
            </w:tcBorders>
            <w:vAlign w:val="center"/>
          </w:tcPr>
          <w:p w14:paraId="680FA651">
            <w:pPr>
              <w:spacing w:line="300" w:lineRule="exact"/>
              <w:jc w:val="center"/>
              <w:rPr>
                <w:b/>
                <w:color w:val="auto"/>
                <w:kern w:val="0"/>
              </w:rPr>
            </w:pPr>
            <w:r>
              <w:rPr>
                <w:b/>
                <w:color w:val="auto"/>
              </w:rPr>
              <w:t>F2</w:t>
            </w:r>
          </w:p>
        </w:tc>
        <w:tc>
          <w:tcPr>
            <w:tcW w:w="2025" w:type="dxa"/>
            <w:tcBorders>
              <w:top w:val="single" w:color="auto" w:sz="4" w:space="0"/>
              <w:left w:val="nil"/>
              <w:bottom w:val="single" w:color="auto" w:sz="4" w:space="0"/>
              <w:right w:val="single" w:color="auto" w:sz="4" w:space="0"/>
            </w:tcBorders>
            <w:vAlign w:val="center"/>
          </w:tcPr>
          <w:p w14:paraId="46973264">
            <w:pPr>
              <w:spacing w:line="300" w:lineRule="exact"/>
              <w:jc w:val="center"/>
              <w:rPr>
                <w:color w:val="auto"/>
                <w:kern w:val="0"/>
              </w:rPr>
            </w:pPr>
            <w:r>
              <w:rPr>
                <w:color w:val="auto"/>
              </w:rPr>
              <w:t>F3</w:t>
            </w:r>
          </w:p>
        </w:tc>
      </w:tr>
      <w:tr w14:paraId="2EF56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dxa"/>
            <w:tcBorders>
              <w:top w:val="single" w:color="auto" w:sz="4" w:space="0"/>
              <w:left w:val="single" w:color="auto" w:sz="4" w:space="0"/>
              <w:bottom w:val="single" w:color="auto" w:sz="4" w:space="0"/>
              <w:right w:val="single" w:color="auto" w:sz="4" w:space="0"/>
            </w:tcBorders>
            <w:vAlign w:val="center"/>
          </w:tcPr>
          <w:p w14:paraId="049610BE">
            <w:pPr>
              <w:spacing w:line="300" w:lineRule="exact"/>
              <w:jc w:val="center"/>
              <w:rPr>
                <w:color w:val="auto"/>
                <w:kern w:val="0"/>
              </w:rPr>
            </w:pPr>
            <w:r>
              <w:rPr>
                <w:color w:val="auto"/>
              </w:rPr>
              <w:t>S1</w:t>
            </w:r>
          </w:p>
        </w:tc>
        <w:tc>
          <w:tcPr>
            <w:tcW w:w="1959" w:type="dxa"/>
            <w:tcBorders>
              <w:top w:val="single" w:color="auto" w:sz="4" w:space="0"/>
              <w:left w:val="nil"/>
              <w:bottom w:val="single" w:color="auto" w:sz="4" w:space="0"/>
              <w:right w:val="single" w:color="auto" w:sz="4" w:space="0"/>
            </w:tcBorders>
            <w:vAlign w:val="center"/>
          </w:tcPr>
          <w:p w14:paraId="5A144563">
            <w:pPr>
              <w:spacing w:line="300" w:lineRule="exact"/>
              <w:jc w:val="center"/>
              <w:rPr>
                <w:color w:val="auto"/>
                <w:kern w:val="0"/>
              </w:rPr>
            </w:pPr>
            <w:r>
              <w:rPr>
                <w:color w:val="auto"/>
              </w:rPr>
              <w:t>E1</w:t>
            </w:r>
          </w:p>
        </w:tc>
        <w:tc>
          <w:tcPr>
            <w:tcW w:w="2152" w:type="dxa"/>
            <w:tcBorders>
              <w:top w:val="single" w:color="auto" w:sz="4" w:space="0"/>
              <w:left w:val="nil"/>
              <w:bottom w:val="single" w:color="auto" w:sz="4" w:space="0"/>
              <w:right w:val="single" w:color="auto" w:sz="4" w:space="0"/>
            </w:tcBorders>
            <w:vAlign w:val="center"/>
          </w:tcPr>
          <w:p w14:paraId="11BB354F">
            <w:pPr>
              <w:spacing w:line="300" w:lineRule="exact"/>
              <w:jc w:val="center"/>
              <w:rPr>
                <w:b/>
                <w:color w:val="auto"/>
                <w:kern w:val="0"/>
              </w:rPr>
            </w:pPr>
            <w:r>
              <w:rPr>
                <w:b w:val="0"/>
                <w:bCs/>
                <w:color w:val="auto"/>
              </w:rPr>
              <w:t>E1</w:t>
            </w:r>
          </w:p>
        </w:tc>
        <w:tc>
          <w:tcPr>
            <w:tcW w:w="2025" w:type="dxa"/>
            <w:tcBorders>
              <w:top w:val="single" w:color="auto" w:sz="4" w:space="0"/>
              <w:left w:val="nil"/>
              <w:bottom w:val="single" w:color="auto" w:sz="4" w:space="0"/>
              <w:right w:val="single" w:color="auto" w:sz="4" w:space="0"/>
            </w:tcBorders>
            <w:vAlign w:val="center"/>
          </w:tcPr>
          <w:p w14:paraId="7A60F865">
            <w:pPr>
              <w:spacing w:line="300" w:lineRule="exact"/>
              <w:jc w:val="center"/>
              <w:rPr>
                <w:color w:val="auto"/>
                <w:kern w:val="0"/>
              </w:rPr>
            </w:pPr>
            <w:r>
              <w:rPr>
                <w:color w:val="auto"/>
              </w:rPr>
              <w:t>E2</w:t>
            </w:r>
          </w:p>
        </w:tc>
      </w:tr>
      <w:tr w14:paraId="05BBA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dxa"/>
            <w:tcBorders>
              <w:top w:val="single" w:color="auto" w:sz="4" w:space="0"/>
              <w:left w:val="single" w:color="auto" w:sz="4" w:space="0"/>
              <w:bottom w:val="single" w:color="auto" w:sz="4" w:space="0"/>
              <w:right w:val="single" w:color="auto" w:sz="4" w:space="0"/>
            </w:tcBorders>
            <w:vAlign w:val="center"/>
          </w:tcPr>
          <w:p w14:paraId="69F17869">
            <w:pPr>
              <w:spacing w:line="300" w:lineRule="exact"/>
              <w:jc w:val="center"/>
              <w:rPr>
                <w:b/>
                <w:bCs/>
                <w:color w:val="auto"/>
                <w:kern w:val="0"/>
              </w:rPr>
            </w:pPr>
            <w:r>
              <w:rPr>
                <w:b/>
                <w:bCs/>
                <w:color w:val="auto"/>
              </w:rPr>
              <w:t>S2</w:t>
            </w:r>
          </w:p>
        </w:tc>
        <w:tc>
          <w:tcPr>
            <w:tcW w:w="1959" w:type="dxa"/>
            <w:tcBorders>
              <w:top w:val="single" w:color="auto" w:sz="4" w:space="0"/>
              <w:left w:val="nil"/>
              <w:bottom w:val="single" w:color="auto" w:sz="4" w:space="0"/>
              <w:right w:val="single" w:color="auto" w:sz="4" w:space="0"/>
            </w:tcBorders>
            <w:vAlign w:val="center"/>
          </w:tcPr>
          <w:p w14:paraId="4CDE6929">
            <w:pPr>
              <w:spacing w:line="300" w:lineRule="exact"/>
              <w:jc w:val="center"/>
              <w:rPr>
                <w:b/>
                <w:bCs/>
                <w:color w:val="auto"/>
                <w:kern w:val="0"/>
              </w:rPr>
            </w:pPr>
            <w:r>
              <w:rPr>
                <w:b w:val="0"/>
                <w:bCs w:val="0"/>
                <w:color w:val="auto"/>
              </w:rPr>
              <w:t>E1</w:t>
            </w:r>
          </w:p>
        </w:tc>
        <w:tc>
          <w:tcPr>
            <w:tcW w:w="2152" w:type="dxa"/>
            <w:tcBorders>
              <w:top w:val="single" w:color="auto" w:sz="4" w:space="0"/>
              <w:left w:val="nil"/>
              <w:bottom w:val="single" w:color="auto" w:sz="4" w:space="0"/>
              <w:right w:val="single" w:color="auto" w:sz="4" w:space="0"/>
            </w:tcBorders>
            <w:vAlign w:val="center"/>
          </w:tcPr>
          <w:p w14:paraId="02A13342">
            <w:pPr>
              <w:spacing w:line="300" w:lineRule="exact"/>
              <w:jc w:val="center"/>
              <w:rPr>
                <w:b/>
                <w:bCs/>
                <w:color w:val="auto"/>
                <w:kern w:val="0"/>
              </w:rPr>
            </w:pPr>
            <w:r>
              <w:rPr>
                <w:b/>
                <w:bCs/>
                <w:color w:val="auto"/>
              </w:rPr>
              <w:t>E2</w:t>
            </w:r>
          </w:p>
        </w:tc>
        <w:tc>
          <w:tcPr>
            <w:tcW w:w="2025" w:type="dxa"/>
            <w:tcBorders>
              <w:top w:val="single" w:color="auto" w:sz="4" w:space="0"/>
              <w:left w:val="nil"/>
              <w:bottom w:val="single" w:color="auto" w:sz="4" w:space="0"/>
              <w:right w:val="single" w:color="auto" w:sz="4" w:space="0"/>
            </w:tcBorders>
            <w:vAlign w:val="center"/>
          </w:tcPr>
          <w:p w14:paraId="3513EF90">
            <w:pPr>
              <w:spacing w:line="300" w:lineRule="exact"/>
              <w:jc w:val="center"/>
              <w:rPr>
                <w:b/>
                <w:bCs/>
                <w:color w:val="auto"/>
                <w:kern w:val="0"/>
              </w:rPr>
            </w:pPr>
            <w:r>
              <w:rPr>
                <w:b w:val="0"/>
                <w:bCs w:val="0"/>
                <w:color w:val="auto"/>
              </w:rPr>
              <w:t>E3</w:t>
            </w:r>
          </w:p>
        </w:tc>
      </w:tr>
      <w:tr w14:paraId="67EBB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584" w:type="dxa"/>
            <w:tcBorders>
              <w:top w:val="single" w:color="auto" w:sz="4" w:space="0"/>
              <w:left w:val="single" w:color="auto" w:sz="4" w:space="0"/>
              <w:bottom w:val="single" w:color="auto" w:sz="4" w:space="0"/>
              <w:right w:val="single" w:color="auto" w:sz="4" w:space="0"/>
            </w:tcBorders>
            <w:vAlign w:val="center"/>
          </w:tcPr>
          <w:p w14:paraId="23247E1A">
            <w:pPr>
              <w:spacing w:line="300" w:lineRule="exact"/>
              <w:jc w:val="center"/>
              <w:rPr>
                <w:b w:val="0"/>
                <w:bCs/>
                <w:color w:val="auto"/>
                <w:kern w:val="0"/>
              </w:rPr>
            </w:pPr>
            <w:r>
              <w:rPr>
                <w:b w:val="0"/>
                <w:bCs/>
                <w:color w:val="auto"/>
              </w:rPr>
              <w:t>S3</w:t>
            </w:r>
          </w:p>
        </w:tc>
        <w:tc>
          <w:tcPr>
            <w:tcW w:w="1959" w:type="dxa"/>
            <w:tcBorders>
              <w:top w:val="single" w:color="auto" w:sz="4" w:space="0"/>
              <w:left w:val="nil"/>
              <w:bottom w:val="single" w:color="auto" w:sz="4" w:space="0"/>
              <w:right w:val="single" w:color="auto" w:sz="4" w:space="0"/>
            </w:tcBorders>
            <w:vAlign w:val="center"/>
          </w:tcPr>
          <w:p w14:paraId="49680A7B">
            <w:pPr>
              <w:spacing w:line="300" w:lineRule="exact"/>
              <w:jc w:val="center"/>
              <w:rPr>
                <w:b w:val="0"/>
                <w:bCs/>
                <w:color w:val="auto"/>
                <w:kern w:val="0"/>
              </w:rPr>
            </w:pPr>
            <w:r>
              <w:rPr>
                <w:b w:val="0"/>
                <w:bCs/>
                <w:color w:val="auto"/>
              </w:rPr>
              <w:t>E1</w:t>
            </w:r>
          </w:p>
        </w:tc>
        <w:tc>
          <w:tcPr>
            <w:tcW w:w="2152" w:type="dxa"/>
            <w:tcBorders>
              <w:top w:val="single" w:color="auto" w:sz="4" w:space="0"/>
              <w:left w:val="nil"/>
              <w:bottom w:val="single" w:color="auto" w:sz="4" w:space="0"/>
              <w:right w:val="single" w:color="auto" w:sz="4" w:space="0"/>
            </w:tcBorders>
            <w:vAlign w:val="center"/>
          </w:tcPr>
          <w:p w14:paraId="673AE64C">
            <w:pPr>
              <w:spacing w:line="300" w:lineRule="exact"/>
              <w:jc w:val="center"/>
              <w:rPr>
                <w:b w:val="0"/>
                <w:bCs/>
                <w:color w:val="auto"/>
                <w:kern w:val="0"/>
              </w:rPr>
            </w:pPr>
            <w:r>
              <w:rPr>
                <w:b w:val="0"/>
                <w:bCs/>
                <w:color w:val="auto"/>
              </w:rPr>
              <w:t>E2</w:t>
            </w:r>
          </w:p>
        </w:tc>
        <w:tc>
          <w:tcPr>
            <w:tcW w:w="2025" w:type="dxa"/>
            <w:tcBorders>
              <w:top w:val="single" w:color="auto" w:sz="4" w:space="0"/>
              <w:left w:val="nil"/>
              <w:bottom w:val="single" w:color="auto" w:sz="4" w:space="0"/>
              <w:right w:val="single" w:color="auto" w:sz="4" w:space="0"/>
            </w:tcBorders>
            <w:vAlign w:val="center"/>
          </w:tcPr>
          <w:p w14:paraId="2D9B8993">
            <w:pPr>
              <w:spacing w:line="300" w:lineRule="exact"/>
              <w:jc w:val="center"/>
              <w:rPr>
                <w:b w:val="0"/>
                <w:bCs/>
                <w:color w:val="auto"/>
                <w:kern w:val="0"/>
              </w:rPr>
            </w:pPr>
            <w:r>
              <w:rPr>
                <w:b w:val="0"/>
                <w:bCs/>
                <w:color w:val="auto"/>
              </w:rPr>
              <w:t>E3</w:t>
            </w:r>
          </w:p>
        </w:tc>
      </w:tr>
      <w:tr w14:paraId="00515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20" w:type="dxa"/>
            <w:gridSpan w:val="4"/>
            <w:tcBorders>
              <w:top w:val="single" w:color="auto" w:sz="4" w:space="0"/>
              <w:left w:val="single" w:color="auto" w:sz="4" w:space="0"/>
              <w:bottom w:val="single" w:color="auto" w:sz="4" w:space="0"/>
              <w:right w:val="single" w:color="auto" w:sz="4" w:space="0"/>
            </w:tcBorders>
            <w:vAlign w:val="center"/>
          </w:tcPr>
          <w:p w14:paraId="445BD135">
            <w:pPr>
              <w:spacing w:line="300" w:lineRule="exact"/>
              <w:rPr>
                <w:color w:val="auto"/>
                <w:kern w:val="0"/>
              </w:rPr>
            </w:pPr>
            <w:r>
              <w:rPr>
                <w:color w:val="auto"/>
              </w:rPr>
              <w:t>本项目地表水环境敏感程度分级为E2</w:t>
            </w:r>
          </w:p>
        </w:tc>
      </w:tr>
    </w:tbl>
    <w:p w14:paraId="6963E36A">
      <w:pPr>
        <w:autoSpaceDE w:val="0"/>
        <w:autoSpaceDN w:val="0"/>
        <w:adjustRightInd w:val="0"/>
        <w:spacing w:line="360" w:lineRule="auto"/>
        <w:ind w:firstLine="480" w:firstLineChars="200"/>
        <w:rPr>
          <w:color w:val="auto"/>
          <w:sz w:val="24"/>
        </w:rPr>
      </w:pPr>
      <w:r>
        <w:rPr>
          <w:color w:val="auto"/>
          <w:sz w:val="24"/>
        </w:rPr>
        <w:t>③地下水环境敏感程度</w:t>
      </w:r>
    </w:p>
    <w:p w14:paraId="2D2077DE">
      <w:pPr>
        <w:autoSpaceDE w:val="0"/>
        <w:autoSpaceDN w:val="0"/>
        <w:adjustRightInd w:val="0"/>
        <w:spacing w:line="360" w:lineRule="auto"/>
        <w:ind w:firstLine="480" w:firstLineChars="200"/>
        <w:rPr>
          <w:color w:val="auto"/>
          <w:sz w:val="24"/>
        </w:rPr>
      </w:pPr>
      <w:r>
        <w:rPr>
          <w:color w:val="auto"/>
          <w:sz w:val="24"/>
        </w:rPr>
        <w:t>地下水环境敏感程度E由地下水功能敏感性（G）与包气带防污性能（D）共同决定。根据附录推荐的分级原则，本项目地下水功能敏感性（G）与包气带防污性能（D）分级情况分别见下表。</w:t>
      </w:r>
    </w:p>
    <w:p w14:paraId="64A862CA">
      <w:pPr>
        <w:adjustRightInd w:val="0"/>
        <w:snapToGrid w:val="0"/>
        <w:spacing w:beforeLines="25" w:afterLines="25"/>
        <w:ind w:firstLine="422"/>
        <w:jc w:val="center"/>
        <w:outlineLvl w:val="3"/>
        <w:rPr>
          <w:b/>
          <w:bCs/>
          <w:color w:val="auto"/>
          <w:szCs w:val="21"/>
        </w:rPr>
      </w:pPr>
      <w:r>
        <w:rPr>
          <w:rFonts w:hint="eastAsia"/>
          <w:b/>
          <w:bCs/>
          <w:color w:val="auto"/>
          <w:szCs w:val="21"/>
        </w:rPr>
        <w:t>表7.4-8</w:t>
      </w:r>
      <w:r>
        <w:rPr>
          <w:b/>
          <w:bCs/>
          <w:color w:val="auto"/>
          <w:szCs w:val="21"/>
        </w:rPr>
        <w:t xml:space="preserve">   本项目地下水功能敏感性判定情况</w:t>
      </w:r>
    </w:p>
    <w:tbl>
      <w:tblPr>
        <w:tblStyle w:val="3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7520"/>
      </w:tblGrid>
      <w:tr w14:paraId="64EDB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00" w:type="dxa"/>
            <w:tcBorders>
              <w:top w:val="single" w:color="auto" w:sz="4" w:space="0"/>
              <w:left w:val="single" w:color="auto" w:sz="4" w:space="0"/>
              <w:bottom w:val="single" w:color="auto" w:sz="4" w:space="0"/>
              <w:right w:val="single" w:color="auto" w:sz="4" w:space="0"/>
            </w:tcBorders>
            <w:vAlign w:val="center"/>
          </w:tcPr>
          <w:p w14:paraId="1B69600D">
            <w:pPr>
              <w:spacing w:line="300" w:lineRule="exact"/>
              <w:jc w:val="center"/>
              <w:rPr>
                <w:color w:val="auto"/>
                <w:kern w:val="0"/>
              </w:rPr>
            </w:pPr>
            <w:r>
              <w:rPr>
                <w:color w:val="auto"/>
              </w:rPr>
              <w:t>敏感性</w:t>
            </w:r>
          </w:p>
        </w:tc>
        <w:tc>
          <w:tcPr>
            <w:tcW w:w="7520" w:type="dxa"/>
            <w:tcBorders>
              <w:top w:val="single" w:color="auto" w:sz="4" w:space="0"/>
              <w:left w:val="nil"/>
              <w:bottom w:val="single" w:color="auto" w:sz="4" w:space="0"/>
              <w:right w:val="single" w:color="auto" w:sz="4" w:space="0"/>
            </w:tcBorders>
            <w:vAlign w:val="center"/>
          </w:tcPr>
          <w:p w14:paraId="68698660">
            <w:pPr>
              <w:spacing w:line="300" w:lineRule="exact"/>
              <w:jc w:val="center"/>
              <w:rPr>
                <w:color w:val="auto"/>
                <w:kern w:val="0"/>
              </w:rPr>
            </w:pPr>
            <w:r>
              <w:rPr>
                <w:color w:val="auto"/>
              </w:rPr>
              <w:t>地下水环境敏感特征</w:t>
            </w:r>
          </w:p>
        </w:tc>
      </w:tr>
      <w:tr w14:paraId="09D53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auto" w:sz="4" w:space="0"/>
              <w:left w:val="single" w:color="auto" w:sz="4" w:space="0"/>
              <w:bottom w:val="single" w:color="auto" w:sz="4" w:space="0"/>
              <w:right w:val="single" w:color="auto" w:sz="4" w:space="0"/>
            </w:tcBorders>
            <w:vAlign w:val="center"/>
          </w:tcPr>
          <w:p w14:paraId="138CF8B6">
            <w:pPr>
              <w:spacing w:line="300" w:lineRule="exact"/>
              <w:jc w:val="center"/>
              <w:rPr>
                <w:color w:val="auto"/>
                <w:kern w:val="0"/>
              </w:rPr>
            </w:pPr>
            <w:r>
              <w:rPr>
                <w:color w:val="auto"/>
              </w:rPr>
              <w:t>敏感G1</w:t>
            </w:r>
          </w:p>
        </w:tc>
        <w:tc>
          <w:tcPr>
            <w:tcW w:w="7520" w:type="dxa"/>
            <w:tcBorders>
              <w:top w:val="single" w:color="auto" w:sz="4" w:space="0"/>
              <w:left w:val="nil"/>
              <w:bottom w:val="single" w:color="auto" w:sz="4" w:space="0"/>
              <w:right w:val="single" w:color="auto" w:sz="4" w:space="0"/>
            </w:tcBorders>
            <w:vAlign w:val="center"/>
          </w:tcPr>
          <w:p w14:paraId="17A4ABEB">
            <w:pPr>
              <w:spacing w:line="280" w:lineRule="exact"/>
              <w:rPr>
                <w:color w:val="auto"/>
                <w:kern w:val="0"/>
              </w:rPr>
            </w:pPr>
            <w:r>
              <w:rPr>
                <w:color w:val="auto"/>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7755F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auto" w:sz="4" w:space="0"/>
              <w:left w:val="single" w:color="auto" w:sz="4" w:space="0"/>
              <w:bottom w:val="single" w:color="auto" w:sz="4" w:space="0"/>
              <w:right w:val="single" w:color="auto" w:sz="4" w:space="0"/>
            </w:tcBorders>
            <w:vAlign w:val="center"/>
          </w:tcPr>
          <w:p w14:paraId="3EBA4B31">
            <w:pPr>
              <w:spacing w:line="300" w:lineRule="exact"/>
              <w:jc w:val="center"/>
              <w:rPr>
                <w:color w:val="auto"/>
                <w:kern w:val="0"/>
              </w:rPr>
            </w:pPr>
            <w:r>
              <w:rPr>
                <w:color w:val="auto"/>
              </w:rPr>
              <w:t>较敏感G2</w:t>
            </w:r>
          </w:p>
        </w:tc>
        <w:tc>
          <w:tcPr>
            <w:tcW w:w="7520" w:type="dxa"/>
            <w:tcBorders>
              <w:top w:val="single" w:color="auto" w:sz="4" w:space="0"/>
              <w:left w:val="nil"/>
              <w:bottom w:val="single" w:color="auto" w:sz="4" w:space="0"/>
              <w:right w:val="single" w:color="auto" w:sz="4" w:space="0"/>
            </w:tcBorders>
            <w:vAlign w:val="center"/>
          </w:tcPr>
          <w:p w14:paraId="10C4F8AD">
            <w:pPr>
              <w:spacing w:line="280" w:lineRule="exact"/>
              <w:rPr>
                <w:color w:val="auto"/>
                <w:kern w:val="0"/>
              </w:rPr>
            </w:pPr>
            <w:r>
              <w:rPr>
                <w:color w:val="auto"/>
              </w:rPr>
              <w:t>集中式饮用水水源（包括已建成的在用、备用、应急水源，在建和规划的饮用水</w:t>
            </w:r>
            <w:r>
              <w:rPr>
                <w:color w:val="auto"/>
                <w:spacing w:val="-4"/>
              </w:rPr>
              <w:t>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14:paraId="7FDEB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dxa"/>
            <w:tcBorders>
              <w:top w:val="single" w:color="auto" w:sz="4" w:space="0"/>
              <w:left w:val="single" w:color="auto" w:sz="4" w:space="0"/>
              <w:bottom w:val="single" w:color="auto" w:sz="4" w:space="0"/>
              <w:right w:val="single" w:color="auto" w:sz="4" w:space="0"/>
            </w:tcBorders>
            <w:vAlign w:val="center"/>
          </w:tcPr>
          <w:p w14:paraId="5BB399B8">
            <w:pPr>
              <w:spacing w:line="300" w:lineRule="exact"/>
              <w:jc w:val="center"/>
              <w:rPr>
                <w:color w:val="auto"/>
                <w:kern w:val="0"/>
              </w:rPr>
            </w:pPr>
            <w:r>
              <w:rPr>
                <w:color w:val="auto"/>
              </w:rPr>
              <w:t>不敏感G3</w:t>
            </w:r>
          </w:p>
        </w:tc>
        <w:tc>
          <w:tcPr>
            <w:tcW w:w="7520" w:type="dxa"/>
            <w:tcBorders>
              <w:top w:val="single" w:color="auto" w:sz="4" w:space="0"/>
              <w:left w:val="nil"/>
              <w:bottom w:val="single" w:color="auto" w:sz="4" w:space="0"/>
              <w:right w:val="single" w:color="auto" w:sz="4" w:space="0"/>
            </w:tcBorders>
            <w:vAlign w:val="center"/>
          </w:tcPr>
          <w:p w14:paraId="680E5B51">
            <w:pPr>
              <w:spacing w:line="300" w:lineRule="exact"/>
              <w:jc w:val="center"/>
              <w:rPr>
                <w:color w:val="auto"/>
                <w:kern w:val="0"/>
              </w:rPr>
            </w:pPr>
            <w:r>
              <w:rPr>
                <w:color w:val="auto"/>
              </w:rPr>
              <w:t>上述地区之外的其他地区</w:t>
            </w:r>
          </w:p>
        </w:tc>
      </w:tr>
      <w:tr w14:paraId="22689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gridSpan w:val="2"/>
            <w:tcBorders>
              <w:top w:val="single" w:color="auto" w:sz="4" w:space="0"/>
              <w:left w:val="single" w:color="auto" w:sz="4" w:space="0"/>
              <w:bottom w:val="single" w:color="auto" w:sz="4" w:space="0"/>
              <w:right w:val="single" w:color="auto" w:sz="4" w:space="0"/>
            </w:tcBorders>
            <w:vAlign w:val="center"/>
          </w:tcPr>
          <w:p w14:paraId="0CA4534F">
            <w:pPr>
              <w:spacing w:line="300" w:lineRule="exact"/>
              <w:rPr>
                <w:color w:val="auto"/>
                <w:kern w:val="0"/>
              </w:rPr>
            </w:pPr>
            <w:r>
              <w:rPr>
                <w:color w:val="auto"/>
              </w:rPr>
              <w:t>a“环境敏感区”是指《建设项目环境影响评价分类管理名录》中所界定的涉及地下水的环境敏感区</w:t>
            </w:r>
          </w:p>
        </w:tc>
      </w:tr>
      <w:tr w14:paraId="3E664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gridSpan w:val="2"/>
            <w:tcBorders>
              <w:top w:val="single" w:color="auto" w:sz="4" w:space="0"/>
              <w:left w:val="single" w:color="auto" w:sz="4" w:space="0"/>
              <w:bottom w:val="single" w:color="auto" w:sz="4" w:space="0"/>
              <w:right w:val="single" w:color="auto" w:sz="4" w:space="0"/>
            </w:tcBorders>
            <w:vAlign w:val="center"/>
          </w:tcPr>
          <w:p w14:paraId="3E45737C">
            <w:pPr>
              <w:spacing w:line="300" w:lineRule="exact"/>
              <w:rPr>
                <w:color w:val="auto"/>
                <w:kern w:val="0"/>
              </w:rPr>
            </w:pPr>
            <w:r>
              <w:rPr>
                <w:color w:val="auto"/>
              </w:rPr>
              <w:t>根据调查，本项目地下水环境敏感性为G3</w:t>
            </w:r>
          </w:p>
        </w:tc>
      </w:tr>
    </w:tbl>
    <w:p w14:paraId="648D6457">
      <w:pPr>
        <w:adjustRightInd w:val="0"/>
        <w:snapToGrid w:val="0"/>
        <w:spacing w:beforeLines="25" w:afterLines="25"/>
        <w:ind w:firstLine="422"/>
        <w:jc w:val="center"/>
        <w:outlineLvl w:val="3"/>
        <w:rPr>
          <w:b/>
          <w:bCs/>
          <w:color w:val="auto"/>
          <w:szCs w:val="21"/>
        </w:rPr>
      </w:pPr>
      <w:r>
        <w:rPr>
          <w:rFonts w:hint="eastAsia"/>
          <w:b/>
          <w:bCs/>
          <w:color w:val="auto"/>
          <w:szCs w:val="21"/>
        </w:rPr>
        <w:t>表7.4-9</w:t>
      </w:r>
      <w:r>
        <w:rPr>
          <w:b/>
          <w:bCs/>
          <w:color w:val="auto"/>
          <w:szCs w:val="21"/>
        </w:rPr>
        <w:t xml:space="preserve">  本项目包气带防污性能分级</w:t>
      </w:r>
    </w:p>
    <w:tbl>
      <w:tblPr>
        <w:tblStyle w:val="3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7304"/>
      </w:tblGrid>
      <w:tr w14:paraId="75DA2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6" w:type="dxa"/>
            <w:tcBorders>
              <w:top w:val="single" w:color="auto" w:sz="4" w:space="0"/>
              <w:left w:val="single" w:color="auto" w:sz="4" w:space="0"/>
              <w:bottom w:val="single" w:color="auto" w:sz="4" w:space="0"/>
              <w:right w:val="single" w:color="auto" w:sz="4" w:space="0"/>
            </w:tcBorders>
            <w:vAlign w:val="center"/>
          </w:tcPr>
          <w:p w14:paraId="6CFCCA2B">
            <w:pPr>
              <w:spacing w:line="280" w:lineRule="exact"/>
              <w:jc w:val="center"/>
              <w:rPr>
                <w:color w:val="auto"/>
                <w:kern w:val="0"/>
              </w:rPr>
            </w:pPr>
            <w:r>
              <w:rPr>
                <w:color w:val="auto"/>
              </w:rPr>
              <w:t>分级</w:t>
            </w:r>
          </w:p>
        </w:tc>
        <w:tc>
          <w:tcPr>
            <w:tcW w:w="7304" w:type="dxa"/>
            <w:tcBorders>
              <w:top w:val="single" w:color="auto" w:sz="4" w:space="0"/>
              <w:left w:val="nil"/>
              <w:bottom w:val="single" w:color="auto" w:sz="4" w:space="0"/>
              <w:right w:val="single" w:color="auto" w:sz="4" w:space="0"/>
            </w:tcBorders>
            <w:vAlign w:val="center"/>
          </w:tcPr>
          <w:p w14:paraId="08C9F9BB">
            <w:pPr>
              <w:spacing w:line="280" w:lineRule="exact"/>
              <w:jc w:val="center"/>
              <w:rPr>
                <w:color w:val="auto"/>
                <w:kern w:val="0"/>
              </w:rPr>
            </w:pPr>
            <w:r>
              <w:rPr>
                <w:color w:val="auto"/>
              </w:rPr>
              <w:t>包气带岩土的渗透性能</w:t>
            </w:r>
          </w:p>
        </w:tc>
      </w:tr>
      <w:tr w14:paraId="3A014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6" w:type="dxa"/>
            <w:tcBorders>
              <w:top w:val="single" w:color="auto" w:sz="4" w:space="0"/>
              <w:left w:val="single" w:color="auto" w:sz="4" w:space="0"/>
              <w:bottom w:val="single" w:color="auto" w:sz="4" w:space="0"/>
              <w:right w:val="single" w:color="auto" w:sz="4" w:space="0"/>
            </w:tcBorders>
            <w:vAlign w:val="center"/>
          </w:tcPr>
          <w:p w14:paraId="487FF991">
            <w:pPr>
              <w:spacing w:line="280" w:lineRule="exact"/>
              <w:jc w:val="center"/>
              <w:rPr>
                <w:color w:val="auto"/>
                <w:kern w:val="0"/>
              </w:rPr>
            </w:pPr>
            <w:r>
              <w:rPr>
                <w:color w:val="auto"/>
              </w:rPr>
              <w:t>D3</w:t>
            </w:r>
          </w:p>
        </w:tc>
        <w:tc>
          <w:tcPr>
            <w:tcW w:w="7304" w:type="dxa"/>
            <w:tcBorders>
              <w:top w:val="single" w:color="auto" w:sz="4" w:space="0"/>
              <w:left w:val="nil"/>
              <w:bottom w:val="single" w:color="auto" w:sz="4" w:space="0"/>
              <w:right w:val="single" w:color="auto" w:sz="4" w:space="0"/>
            </w:tcBorders>
            <w:vAlign w:val="center"/>
          </w:tcPr>
          <w:p w14:paraId="00273910">
            <w:pPr>
              <w:spacing w:line="280" w:lineRule="exact"/>
              <w:jc w:val="center"/>
              <w:rPr>
                <w:color w:val="auto"/>
                <w:kern w:val="0"/>
              </w:rPr>
            </w:pPr>
            <w:r>
              <w:rPr>
                <w:color w:val="auto"/>
              </w:rPr>
              <w:t>Mb≥1.0m，K≤1.0×10</w:t>
            </w:r>
            <w:r>
              <w:rPr>
                <w:color w:val="auto"/>
                <w:vertAlign w:val="superscript"/>
              </w:rPr>
              <w:t>-6</w:t>
            </w:r>
            <w:r>
              <w:rPr>
                <w:color w:val="auto"/>
              </w:rPr>
              <w:t>cm/s，且分布连续、稳定</w:t>
            </w:r>
          </w:p>
        </w:tc>
      </w:tr>
      <w:tr w14:paraId="10228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6" w:type="dxa"/>
            <w:tcBorders>
              <w:top w:val="single" w:color="auto" w:sz="4" w:space="0"/>
              <w:left w:val="single" w:color="auto" w:sz="4" w:space="0"/>
              <w:bottom w:val="single" w:color="auto" w:sz="4" w:space="0"/>
              <w:right w:val="single" w:color="auto" w:sz="4" w:space="0"/>
            </w:tcBorders>
            <w:vAlign w:val="center"/>
          </w:tcPr>
          <w:p w14:paraId="60F27D53">
            <w:pPr>
              <w:spacing w:line="280" w:lineRule="exact"/>
              <w:jc w:val="center"/>
              <w:rPr>
                <w:color w:val="auto"/>
                <w:kern w:val="0"/>
              </w:rPr>
            </w:pPr>
            <w:r>
              <w:rPr>
                <w:color w:val="auto"/>
              </w:rPr>
              <w:t>D2</w:t>
            </w:r>
          </w:p>
        </w:tc>
        <w:tc>
          <w:tcPr>
            <w:tcW w:w="7304" w:type="dxa"/>
            <w:tcBorders>
              <w:top w:val="single" w:color="auto" w:sz="4" w:space="0"/>
              <w:left w:val="nil"/>
              <w:bottom w:val="single" w:color="auto" w:sz="4" w:space="0"/>
              <w:right w:val="single" w:color="auto" w:sz="4" w:space="0"/>
            </w:tcBorders>
            <w:vAlign w:val="center"/>
          </w:tcPr>
          <w:p w14:paraId="32A0B010">
            <w:pPr>
              <w:spacing w:line="280" w:lineRule="exact"/>
              <w:jc w:val="center"/>
              <w:rPr>
                <w:color w:val="auto"/>
                <w:kern w:val="0"/>
                <w:szCs w:val="21"/>
              </w:rPr>
            </w:pPr>
            <w:r>
              <w:rPr>
                <w:color w:val="auto"/>
              </w:rPr>
              <w:t>0.5m≤Mb&lt;1.0m，K≤1.0×10</w:t>
            </w:r>
            <w:r>
              <w:rPr>
                <w:color w:val="auto"/>
                <w:vertAlign w:val="superscript"/>
              </w:rPr>
              <w:t>-6</w:t>
            </w:r>
            <w:r>
              <w:rPr>
                <w:color w:val="auto"/>
              </w:rPr>
              <w:t>cm/s，且分布连续、稳定</w:t>
            </w:r>
          </w:p>
          <w:p w14:paraId="4F37B396">
            <w:pPr>
              <w:spacing w:line="280" w:lineRule="exact"/>
              <w:jc w:val="center"/>
              <w:rPr>
                <w:color w:val="auto"/>
                <w:kern w:val="0"/>
              </w:rPr>
            </w:pPr>
            <w:r>
              <w:rPr>
                <w:color w:val="auto"/>
              </w:rPr>
              <w:t>Mb≥1.0m，1.0×10</w:t>
            </w:r>
            <w:r>
              <w:rPr>
                <w:color w:val="auto"/>
                <w:vertAlign w:val="superscript"/>
              </w:rPr>
              <w:t>-6</w:t>
            </w:r>
            <w:r>
              <w:rPr>
                <w:color w:val="auto"/>
              </w:rPr>
              <w:t>cm/s＜K≤1.0×10</w:t>
            </w:r>
            <w:r>
              <w:rPr>
                <w:color w:val="auto"/>
                <w:vertAlign w:val="superscript"/>
              </w:rPr>
              <w:t>-4</w:t>
            </w:r>
            <w:r>
              <w:rPr>
                <w:color w:val="auto"/>
              </w:rPr>
              <w:t>cm/s，且分布连续、稳定</w:t>
            </w:r>
          </w:p>
        </w:tc>
      </w:tr>
      <w:tr w14:paraId="18845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6" w:type="dxa"/>
            <w:tcBorders>
              <w:top w:val="single" w:color="auto" w:sz="4" w:space="0"/>
              <w:left w:val="single" w:color="auto" w:sz="4" w:space="0"/>
              <w:bottom w:val="single" w:color="auto" w:sz="4" w:space="0"/>
              <w:right w:val="single" w:color="auto" w:sz="4" w:space="0"/>
            </w:tcBorders>
            <w:vAlign w:val="center"/>
          </w:tcPr>
          <w:p w14:paraId="0D34299E">
            <w:pPr>
              <w:spacing w:line="280" w:lineRule="exact"/>
              <w:jc w:val="center"/>
              <w:rPr>
                <w:color w:val="auto"/>
                <w:kern w:val="0"/>
              </w:rPr>
            </w:pPr>
            <w:r>
              <w:rPr>
                <w:color w:val="auto"/>
              </w:rPr>
              <w:t>D1</w:t>
            </w:r>
          </w:p>
        </w:tc>
        <w:tc>
          <w:tcPr>
            <w:tcW w:w="7304" w:type="dxa"/>
            <w:tcBorders>
              <w:top w:val="single" w:color="auto" w:sz="4" w:space="0"/>
              <w:left w:val="nil"/>
              <w:bottom w:val="single" w:color="auto" w:sz="4" w:space="0"/>
              <w:right w:val="single" w:color="auto" w:sz="4" w:space="0"/>
            </w:tcBorders>
            <w:vAlign w:val="center"/>
          </w:tcPr>
          <w:p w14:paraId="2BA41DCB">
            <w:pPr>
              <w:spacing w:line="280" w:lineRule="exact"/>
              <w:jc w:val="center"/>
              <w:rPr>
                <w:color w:val="auto"/>
                <w:kern w:val="0"/>
              </w:rPr>
            </w:pPr>
            <w:r>
              <w:rPr>
                <w:color w:val="auto"/>
              </w:rPr>
              <w:t>岩（土）层不满足上述“D2”和“D3”条件</w:t>
            </w:r>
          </w:p>
        </w:tc>
      </w:tr>
      <w:tr w14:paraId="04B2C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gridSpan w:val="2"/>
            <w:tcBorders>
              <w:top w:val="single" w:color="auto" w:sz="4" w:space="0"/>
              <w:left w:val="single" w:color="auto" w:sz="4" w:space="0"/>
              <w:bottom w:val="single" w:color="auto" w:sz="4" w:space="0"/>
              <w:right w:val="single" w:color="auto" w:sz="4" w:space="0"/>
            </w:tcBorders>
            <w:vAlign w:val="center"/>
          </w:tcPr>
          <w:p w14:paraId="266B847B">
            <w:pPr>
              <w:spacing w:line="280" w:lineRule="exact"/>
              <w:jc w:val="center"/>
              <w:rPr>
                <w:color w:val="auto"/>
                <w:kern w:val="0"/>
              </w:rPr>
            </w:pPr>
            <w:r>
              <w:rPr>
                <w:color w:val="auto"/>
              </w:rPr>
              <w:t>Mb：岩土层单层厚度；K：渗透系数。</w:t>
            </w:r>
          </w:p>
        </w:tc>
      </w:tr>
      <w:tr w14:paraId="34182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gridSpan w:val="2"/>
            <w:tcBorders>
              <w:top w:val="single" w:color="auto" w:sz="4" w:space="0"/>
              <w:left w:val="single" w:color="auto" w:sz="4" w:space="0"/>
              <w:bottom w:val="single" w:color="auto" w:sz="4" w:space="0"/>
              <w:right w:val="single" w:color="auto" w:sz="4" w:space="0"/>
            </w:tcBorders>
            <w:vAlign w:val="center"/>
          </w:tcPr>
          <w:p w14:paraId="0B922173">
            <w:pPr>
              <w:spacing w:line="280" w:lineRule="exact"/>
              <w:rPr>
                <w:color w:val="auto"/>
                <w:kern w:val="0"/>
              </w:rPr>
            </w:pPr>
            <w:r>
              <w:rPr>
                <w:color w:val="auto"/>
              </w:rPr>
              <w:t>根据项目周边区域地块地勘数据，本项目包气带防污性能分级为D3</w:t>
            </w:r>
          </w:p>
        </w:tc>
      </w:tr>
    </w:tbl>
    <w:p w14:paraId="7A989BD7">
      <w:pPr>
        <w:autoSpaceDE w:val="0"/>
        <w:autoSpaceDN w:val="0"/>
        <w:adjustRightInd w:val="0"/>
        <w:spacing w:line="360" w:lineRule="auto"/>
        <w:ind w:firstLine="480" w:firstLineChars="200"/>
        <w:rPr>
          <w:color w:val="auto"/>
          <w:sz w:val="24"/>
        </w:rPr>
      </w:pPr>
      <w:r>
        <w:rPr>
          <w:color w:val="auto"/>
          <w:sz w:val="24"/>
        </w:rPr>
        <w:t>因此，根据附表D.5，本项目地表水环境敏感程度判定情况见下表。</w:t>
      </w:r>
    </w:p>
    <w:p w14:paraId="61A464A7">
      <w:pPr>
        <w:adjustRightInd w:val="0"/>
        <w:snapToGrid w:val="0"/>
        <w:spacing w:beforeLines="25" w:afterLines="25"/>
        <w:ind w:firstLine="422"/>
        <w:jc w:val="center"/>
        <w:outlineLvl w:val="3"/>
        <w:rPr>
          <w:b/>
          <w:bCs/>
          <w:color w:val="auto"/>
          <w:szCs w:val="21"/>
        </w:rPr>
      </w:pPr>
      <w:r>
        <w:rPr>
          <w:rFonts w:hint="eastAsia"/>
          <w:b/>
          <w:bCs/>
          <w:color w:val="auto"/>
          <w:szCs w:val="21"/>
        </w:rPr>
        <w:t>表7.4-10</w:t>
      </w:r>
      <w:r>
        <w:rPr>
          <w:b/>
          <w:bCs/>
          <w:color w:val="auto"/>
          <w:szCs w:val="21"/>
        </w:rPr>
        <w:t xml:space="preserve">   本项目地下水环境敏感程度分级</w:t>
      </w:r>
    </w:p>
    <w:tbl>
      <w:tblPr>
        <w:tblStyle w:val="32"/>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9"/>
        <w:gridCol w:w="2178"/>
        <w:gridCol w:w="2178"/>
        <w:gridCol w:w="2185"/>
      </w:tblGrid>
      <w:tr w14:paraId="2D26C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9" w:type="dxa"/>
            <w:vMerge w:val="restart"/>
            <w:vAlign w:val="center"/>
          </w:tcPr>
          <w:p w14:paraId="620E58A8">
            <w:pPr>
              <w:spacing w:line="300" w:lineRule="exact"/>
              <w:jc w:val="center"/>
              <w:rPr>
                <w:color w:val="auto"/>
                <w:kern w:val="0"/>
              </w:rPr>
            </w:pPr>
            <w:r>
              <w:rPr>
                <w:color w:val="auto"/>
              </w:rPr>
              <w:t>包气带防污性能</w:t>
            </w:r>
          </w:p>
        </w:tc>
        <w:tc>
          <w:tcPr>
            <w:tcW w:w="6541" w:type="dxa"/>
            <w:gridSpan w:val="3"/>
            <w:vAlign w:val="center"/>
          </w:tcPr>
          <w:p w14:paraId="60BD364F">
            <w:pPr>
              <w:spacing w:line="300" w:lineRule="exact"/>
              <w:jc w:val="center"/>
              <w:rPr>
                <w:color w:val="auto"/>
                <w:kern w:val="0"/>
              </w:rPr>
            </w:pPr>
            <w:r>
              <w:rPr>
                <w:color w:val="auto"/>
              </w:rPr>
              <w:t>地下水功能敏感性</w:t>
            </w:r>
          </w:p>
        </w:tc>
      </w:tr>
      <w:tr w14:paraId="1AC6B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9" w:type="dxa"/>
            <w:vMerge w:val="continue"/>
            <w:vAlign w:val="center"/>
          </w:tcPr>
          <w:p w14:paraId="456E107E">
            <w:pPr>
              <w:widowControl/>
              <w:spacing w:line="300" w:lineRule="exact"/>
              <w:jc w:val="left"/>
              <w:rPr>
                <w:color w:val="auto"/>
                <w:kern w:val="0"/>
                <w:szCs w:val="21"/>
              </w:rPr>
            </w:pPr>
          </w:p>
        </w:tc>
        <w:tc>
          <w:tcPr>
            <w:tcW w:w="2178" w:type="dxa"/>
            <w:vAlign w:val="center"/>
          </w:tcPr>
          <w:p w14:paraId="442D2C6D">
            <w:pPr>
              <w:spacing w:line="300" w:lineRule="exact"/>
              <w:jc w:val="center"/>
              <w:rPr>
                <w:color w:val="auto"/>
                <w:kern w:val="0"/>
              </w:rPr>
            </w:pPr>
            <w:r>
              <w:rPr>
                <w:color w:val="auto"/>
              </w:rPr>
              <w:t>G1</w:t>
            </w:r>
          </w:p>
        </w:tc>
        <w:tc>
          <w:tcPr>
            <w:tcW w:w="2178" w:type="dxa"/>
            <w:vAlign w:val="center"/>
          </w:tcPr>
          <w:p w14:paraId="6BB10F98">
            <w:pPr>
              <w:spacing w:line="300" w:lineRule="exact"/>
              <w:jc w:val="center"/>
              <w:rPr>
                <w:color w:val="auto"/>
                <w:kern w:val="0"/>
              </w:rPr>
            </w:pPr>
            <w:r>
              <w:rPr>
                <w:color w:val="auto"/>
              </w:rPr>
              <w:t>G2</w:t>
            </w:r>
          </w:p>
        </w:tc>
        <w:tc>
          <w:tcPr>
            <w:tcW w:w="2185" w:type="dxa"/>
            <w:vAlign w:val="center"/>
          </w:tcPr>
          <w:p w14:paraId="5F8B3029">
            <w:pPr>
              <w:spacing w:line="300" w:lineRule="exact"/>
              <w:jc w:val="center"/>
              <w:rPr>
                <w:b/>
                <w:color w:val="auto"/>
                <w:kern w:val="0"/>
              </w:rPr>
            </w:pPr>
            <w:r>
              <w:rPr>
                <w:b/>
                <w:color w:val="auto"/>
              </w:rPr>
              <w:t>G3</w:t>
            </w:r>
          </w:p>
        </w:tc>
      </w:tr>
      <w:tr w14:paraId="76198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9" w:type="dxa"/>
            <w:vAlign w:val="center"/>
          </w:tcPr>
          <w:p w14:paraId="5F0C5A36">
            <w:pPr>
              <w:spacing w:line="300" w:lineRule="exact"/>
              <w:jc w:val="center"/>
              <w:rPr>
                <w:bCs/>
                <w:color w:val="auto"/>
                <w:kern w:val="0"/>
              </w:rPr>
            </w:pPr>
            <w:r>
              <w:rPr>
                <w:bCs/>
                <w:color w:val="auto"/>
              </w:rPr>
              <w:t>D1</w:t>
            </w:r>
          </w:p>
        </w:tc>
        <w:tc>
          <w:tcPr>
            <w:tcW w:w="2178" w:type="dxa"/>
            <w:vAlign w:val="center"/>
          </w:tcPr>
          <w:p w14:paraId="5E297CA2">
            <w:pPr>
              <w:spacing w:line="300" w:lineRule="exact"/>
              <w:jc w:val="center"/>
              <w:rPr>
                <w:bCs/>
                <w:color w:val="auto"/>
                <w:kern w:val="0"/>
              </w:rPr>
            </w:pPr>
            <w:r>
              <w:rPr>
                <w:bCs/>
                <w:color w:val="auto"/>
              </w:rPr>
              <w:t>E1</w:t>
            </w:r>
          </w:p>
        </w:tc>
        <w:tc>
          <w:tcPr>
            <w:tcW w:w="2178" w:type="dxa"/>
            <w:vAlign w:val="center"/>
          </w:tcPr>
          <w:p w14:paraId="55011AE7">
            <w:pPr>
              <w:spacing w:line="300" w:lineRule="exact"/>
              <w:jc w:val="center"/>
              <w:rPr>
                <w:bCs/>
                <w:color w:val="auto"/>
                <w:kern w:val="0"/>
              </w:rPr>
            </w:pPr>
            <w:r>
              <w:rPr>
                <w:bCs/>
                <w:color w:val="auto"/>
              </w:rPr>
              <w:t>E1</w:t>
            </w:r>
          </w:p>
        </w:tc>
        <w:tc>
          <w:tcPr>
            <w:tcW w:w="2185" w:type="dxa"/>
            <w:vAlign w:val="center"/>
          </w:tcPr>
          <w:p w14:paraId="3BDC6D59">
            <w:pPr>
              <w:spacing w:line="300" w:lineRule="exact"/>
              <w:jc w:val="center"/>
              <w:rPr>
                <w:bCs/>
                <w:color w:val="auto"/>
                <w:kern w:val="0"/>
              </w:rPr>
            </w:pPr>
            <w:r>
              <w:rPr>
                <w:bCs/>
                <w:color w:val="auto"/>
              </w:rPr>
              <w:t>E2</w:t>
            </w:r>
          </w:p>
        </w:tc>
      </w:tr>
      <w:tr w14:paraId="3B1F7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9" w:type="dxa"/>
            <w:vAlign w:val="center"/>
          </w:tcPr>
          <w:p w14:paraId="29EA95AA">
            <w:pPr>
              <w:spacing w:line="300" w:lineRule="exact"/>
              <w:jc w:val="center"/>
              <w:rPr>
                <w:bCs/>
                <w:color w:val="auto"/>
                <w:kern w:val="0"/>
              </w:rPr>
            </w:pPr>
            <w:r>
              <w:rPr>
                <w:bCs/>
                <w:color w:val="auto"/>
              </w:rPr>
              <w:t>D2</w:t>
            </w:r>
          </w:p>
        </w:tc>
        <w:tc>
          <w:tcPr>
            <w:tcW w:w="2178" w:type="dxa"/>
            <w:vAlign w:val="center"/>
          </w:tcPr>
          <w:p w14:paraId="7F8560A2">
            <w:pPr>
              <w:spacing w:line="300" w:lineRule="exact"/>
              <w:jc w:val="center"/>
              <w:rPr>
                <w:bCs/>
                <w:color w:val="auto"/>
                <w:kern w:val="0"/>
              </w:rPr>
            </w:pPr>
            <w:r>
              <w:rPr>
                <w:bCs/>
                <w:color w:val="auto"/>
              </w:rPr>
              <w:t>E1</w:t>
            </w:r>
          </w:p>
        </w:tc>
        <w:tc>
          <w:tcPr>
            <w:tcW w:w="2178" w:type="dxa"/>
            <w:vAlign w:val="center"/>
          </w:tcPr>
          <w:p w14:paraId="18337EA0">
            <w:pPr>
              <w:spacing w:line="300" w:lineRule="exact"/>
              <w:jc w:val="center"/>
              <w:rPr>
                <w:bCs/>
                <w:color w:val="auto"/>
                <w:kern w:val="0"/>
              </w:rPr>
            </w:pPr>
            <w:r>
              <w:rPr>
                <w:bCs/>
                <w:color w:val="auto"/>
              </w:rPr>
              <w:t>E2</w:t>
            </w:r>
          </w:p>
        </w:tc>
        <w:tc>
          <w:tcPr>
            <w:tcW w:w="2185" w:type="dxa"/>
            <w:vAlign w:val="center"/>
          </w:tcPr>
          <w:p w14:paraId="6BAD144B">
            <w:pPr>
              <w:spacing w:line="300" w:lineRule="exact"/>
              <w:jc w:val="center"/>
              <w:rPr>
                <w:bCs/>
                <w:color w:val="auto"/>
                <w:kern w:val="0"/>
              </w:rPr>
            </w:pPr>
            <w:r>
              <w:rPr>
                <w:bCs/>
                <w:color w:val="auto"/>
              </w:rPr>
              <w:t>E3</w:t>
            </w:r>
          </w:p>
        </w:tc>
      </w:tr>
      <w:tr w14:paraId="7D8CD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9" w:type="dxa"/>
            <w:vAlign w:val="center"/>
          </w:tcPr>
          <w:p w14:paraId="53C945BD">
            <w:pPr>
              <w:spacing w:line="300" w:lineRule="exact"/>
              <w:jc w:val="center"/>
              <w:rPr>
                <w:bCs/>
                <w:color w:val="auto"/>
                <w:kern w:val="0"/>
              </w:rPr>
            </w:pPr>
            <w:r>
              <w:rPr>
                <w:bCs/>
                <w:color w:val="auto"/>
              </w:rPr>
              <w:t>D3</w:t>
            </w:r>
          </w:p>
        </w:tc>
        <w:tc>
          <w:tcPr>
            <w:tcW w:w="2178" w:type="dxa"/>
            <w:vAlign w:val="center"/>
          </w:tcPr>
          <w:p w14:paraId="102EF29A">
            <w:pPr>
              <w:spacing w:line="300" w:lineRule="exact"/>
              <w:jc w:val="center"/>
              <w:rPr>
                <w:bCs/>
                <w:color w:val="auto"/>
                <w:kern w:val="0"/>
              </w:rPr>
            </w:pPr>
            <w:r>
              <w:rPr>
                <w:bCs/>
                <w:color w:val="auto"/>
              </w:rPr>
              <w:t>E2</w:t>
            </w:r>
          </w:p>
        </w:tc>
        <w:tc>
          <w:tcPr>
            <w:tcW w:w="2178" w:type="dxa"/>
            <w:vAlign w:val="center"/>
          </w:tcPr>
          <w:p w14:paraId="0A790931">
            <w:pPr>
              <w:spacing w:line="300" w:lineRule="exact"/>
              <w:jc w:val="center"/>
              <w:rPr>
                <w:bCs/>
                <w:color w:val="auto"/>
                <w:kern w:val="0"/>
              </w:rPr>
            </w:pPr>
            <w:r>
              <w:rPr>
                <w:bCs/>
                <w:color w:val="auto"/>
              </w:rPr>
              <w:t>E3</w:t>
            </w:r>
          </w:p>
        </w:tc>
        <w:tc>
          <w:tcPr>
            <w:tcW w:w="2185" w:type="dxa"/>
            <w:vAlign w:val="center"/>
          </w:tcPr>
          <w:p w14:paraId="11DE3B82">
            <w:pPr>
              <w:spacing w:line="300" w:lineRule="exact"/>
              <w:jc w:val="center"/>
              <w:rPr>
                <w:bCs/>
                <w:color w:val="auto"/>
                <w:kern w:val="0"/>
              </w:rPr>
            </w:pPr>
            <w:r>
              <w:rPr>
                <w:b/>
                <w:color w:val="auto"/>
              </w:rPr>
              <w:t>E3</w:t>
            </w:r>
          </w:p>
        </w:tc>
      </w:tr>
      <w:tr w14:paraId="72B96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0" w:type="dxa"/>
            <w:gridSpan w:val="4"/>
            <w:vAlign w:val="center"/>
          </w:tcPr>
          <w:p w14:paraId="42DF4CB1">
            <w:pPr>
              <w:spacing w:line="300" w:lineRule="exact"/>
              <w:rPr>
                <w:color w:val="auto"/>
                <w:kern w:val="0"/>
              </w:rPr>
            </w:pPr>
            <w:r>
              <w:rPr>
                <w:color w:val="auto"/>
              </w:rPr>
              <w:t>本项目地下水环境敏感程度分级为E3</w:t>
            </w:r>
          </w:p>
        </w:tc>
      </w:tr>
    </w:tbl>
    <w:p w14:paraId="13340715">
      <w:pPr>
        <w:autoSpaceDE w:val="0"/>
        <w:autoSpaceDN w:val="0"/>
        <w:adjustRightInd w:val="0"/>
        <w:spacing w:line="360" w:lineRule="auto"/>
        <w:ind w:firstLine="480" w:firstLineChars="200"/>
        <w:rPr>
          <w:color w:val="auto"/>
          <w:sz w:val="24"/>
        </w:rPr>
      </w:pPr>
      <w:r>
        <w:rPr>
          <w:color w:val="auto"/>
          <w:sz w:val="24"/>
        </w:rPr>
        <w:t>（</w:t>
      </w:r>
      <w:r>
        <w:rPr>
          <w:rFonts w:hint="eastAsia"/>
          <w:color w:val="auto"/>
          <w:sz w:val="24"/>
        </w:rPr>
        <w:t>3</w:t>
      </w:r>
      <w:r>
        <w:rPr>
          <w:color w:val="auto"/>
          <w:sz w:val="24"/>
        </w:rPr>
        <w:t>）环境风险潜势判定</w:t>
      </w:r>
    </w:p>
    <w:p w14:paraId="38B1224F">
      <w:pPr>
        <w:autoSpaceDE w:val="0"/>
        <w:autoSpaceDN w:val="0"/>
        <w:adjustRightInd w:val="0"/>
        <w:spacing w:line="360" w:lineRule="auto"/>
        <w:ind w:firstLine="480" w:firstLineChars="200"/>
        <w:rPr>
          <w:color w:val="auto"/>
          <w:sz w:val="24"/>
        </w:rPr>
      </w:pPr>
      <w:r>
        <w:rPr>
          <w:color w:val="auto"/>
          <w:sz w:val="24"/>
        </w:rPr>
        <w:t>根据《建设项目环境风险评价技术导则》（HJ169-2018）表2，本项目环境风险潜势划分见下表。</w:t>
      </w:r>
    </w:p>
    <w:p w14:paraId="517F6913">
      <w:pPr>
        <w:adjustRightInd w:val="0"/>
        <w:snapToGrid w:val="0"/>
        <w:spacing w:beforeLines="25" w:afterLines="25"/>
        <w:ind w:firstLine="422"/>
        <w:jc w:val="center"/>
        <w:outlineLvl w:val="3"/>
        <w:rPr>
          <w:b/>
          <w:bCs/>
          <w:color w:val="auto"/>
          <w:szCs w:val="21"/>
        </w:rPr>
      </w:pPr>
      <w:r>
        <w:rPr>
          <w:rFonts w:hint="eastAsia"/>
          <w:b/>
          <w:bCs/>
          <w:color w:val="auto"/>
          <w:szCs w:val="21"/>
        </w:rPr>
        <w:t>表7.4-11</w:t>
      </w:r>
      <w:r>
        <w:rPr>
          <w:b/>
          <w:bCs/>
          <w:color w:val="auto"/>
          <w:szCs w:val="21"/>
        </w:rPr>
        <w:t xml:space="preserve">   本项目环境风险潜势划分</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310"/>
        <w:gridCol w:w="1598"/>
        <w:gridCol w:w="1710"/>
        <w:gridCol w:w="1708"/>
        <w:gridCol w:w="1712"/>
      </w:tblGrid>
      <w:tr w14:paraId="4A8B7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2176" w:type="dxa"/>
            <w:vMerge w:val="restart"/>
            <w:tcBorders>
              <w:top w:val="single" w:color="auto" w:sz="4" w:space="0"/>
              <w:left w:val="single" w:color="auto" w:sz="4" w:space="0"/>
              <w:bottom w:val="single" w:color="auto" w:sz="4" w:space="0"/>
              <w:right w:val="single" w:color="auto" w:sz="4" w:space="0"/>
            </w:tcBorders>
            <w:vAlign w:val="center"/>
          </w:tcPr>
          <w:p w14:paraId="22403ABE">
            <w:pPr>
              <w:spacing w:line="300" w:lineRule="exact"/>
              <w:jc w:val="center"/>
              <w:rPr>
                <w:color w:val="auto"/>
                <w:kern w:val="0"/>
              </w:rPr>
            </w:pPr>
            <w:r>
              <w:rPr>
                <w:color w:val="auto"/>
              </w:rPr>
              <w:t>环境敏感程度(E)</w:t>
            </w:r>
          </w:p>
        </w:tc>
        <w:tc>
          <w:tcPr>
            <w:tcW w:w="6338" w:type="dxa"/>
            <w:gridSpan w:val="4"/>
            <w:tcBorders>
              <w:top w:val="single" w:color="auto" w:sz="4" w:space="0"/>
              <w:left w:val="nil"/>
              <w:bottom w:val="single" w:color="auto" w:sz="4" w:space="0"/>
              <w:right w:val="single" w:color="auto" w:sz="4" w:space="0"/>
            </w:tcBorders>
            <w:vAlign w:val="center"/>
          </w:tcPr>
          <w:p w14:paraId="75A20DBD">
            <w:pPr>
              <w:spacing w:line="300" w:lineRule="exact"/>
              <w:jc w:val="center"/>
              <w:rPr>
                <w:color w:val="auto"/>
                <w:kern w:val="0"/>
              </w:rPr>
            </w:pPr>
            <w:r>
              <w:rPr>
                <w:color w:val="auto"/>
              </w:rPr>
              <w:t>危险物质及工艺系统危险性(P)</w:t>
            </w:r>
          </w:p>
        </w:tc>
      </w:tr>
      <w:tr w14:paraId="0FC6C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jc w:val="center"/>
        </w:trPr>
        <w:tc>
          <w:tcPr>
            <w:tcW w:w="2176" w:type="dxa"/>
            <w:vMerge w:val="continue"/>
            <w:tcBorders>
              <w:top w:val="single" w:color="auto" w:sz="4" w:space="0"/>
              <w:left w:val="single" w:color="auto" w:sz="4" w:space="0"/>
              <w:bottom w:val="single" w:color="auto" w:sz="4" w:space="0"/>
              <w:right w:val="single" w:color="auto" w:sz="4" w:space="0"/>
            </w:tcBorders>
            <w:vAlign w:val="center"/>
          </w:tcPr>
          <w:p w14:paraId="69815048">
            <w:pPr>
              <w:widowControl/>
              <w:spacing w:line="300" w:lineRule="exact"/>
              <w:jc w:val="left"/>
              <w:rPr>
                <w:color w:val="auto"/>
                <w:kern w:val="0"/>
                <w:szCs w:val="21"/>
              </w:rPr>
            </w:pPr>
          </w:p>
        </w:tc>
        <w:tc>
          <w:tcPr>
            <w:tcW w:w="1505" w:type="dxa"/>
            <w:tcBorders>
              <w:top w:val="single" w:color="auto" w:sz="4" w:space="0"/>
              <w:left w:val="nil"/>
              <w:bottom w:val="single" w:color="auto" w:sz="4" w:space="0"/>
              <w:right w:val="single" w:color="auto" w:sz="4" w:space="0"/>
            </w:tcBorders>
            <w:vAlign w:val="center"/>
          </w:tcPr>
          <w:p w14:paraId="6FDADCB9">
            <w:pPr>
              <w:spacing w:line="300" w:lineRule="exact"/>
              <w:jc w:val="center"/>
              <w:rPr>
                <w:color w:val="auto"/>
                <w:kern w:val="0"/>
              </w:rPr>
            </w:pPr>
            <w:r>
              <w:rPr>
                <w:color w:val="auto"/>
              </w:rPr>
              <w:t>极高危害(P1)</w:t>
            </w:r>
          </w:p>
        </w:tc>
        <w:tc>
          <w:tcPr>
            <w:tcW w:w="1611" w:type="dxa"/>
            <w:tcBorders>
              <w:top w:val="single" w:color="auto" w:sz="4" w:space="0"/>
              <w:left w:val="nil"/>
              <w:bottom w:val="single" w:color="auto" w:sz="4" w:space="0"/>
              <w:right w:val="single" w:color="auto" w:sz="4" w:space="0"/>
            </w:tcBorders>
            <w:vAlign w:val="center"/>
          </w:tcPr>
          <w:p w14:paraId="4B6EC226">
            <w:pPr>
              <w:spacing w:line="300" w:lineRule="exact"/>
              <w:jc w:val="center"/>
              <w:rPr>
                <w:b/>
                <w:bCs/>
                <w:color w:val="auto"/>
                <w:kern w:val="0"/>
              </w:rPr>
            </w:pPr>
            <w:r>
              <w:rPr>
                <w:b/>
                <w:bCs/>
                <w:color w:val="auto"/>
              </w:rPr>
              <w:t>高度危害(P2)</w:t>
            </w:r>
          </w:p>
        </w:tc>
        <w:tc>
          <w:tcPr>
            <w:tcW w:w="1609" w:type="dxa"/>
            <w:tcBorders>
              <w:top w:val="single" w:color="auto" w:sz="4" w:space="0"/>
              <w:left w:val="nil"/>
              <w:bottom w:val="single" w:color="auto" w:sz="4" w:space="0"/>
              <w:right w:val="single" w:color="auto" w:sz="4" w:space="0"/>
            </w:tcBorders>
            <w:vAlign w:val="center"/>
          </w:tcPr>
          <w:p w14:paraId="08688EBB">
            <w:pPr>
              <w:spacing w:line="300" w:lineRule="exact"/>
              <w:jc w:val="center"/>
              <w:rPr>
                <w:bCs/>
                <w:color w:val="auto"/>
                <w:kern w:val="0"/>
              </w:rPr>
            </w:pPr>
            <w:r>
              <w:rPr>
                <w:bCs/>
                <w:color w:val="auto"/>
              </w:rPr>
              <w:t>中度危害(P3)</w:t>
            </w:r>
          </w:p>
        </w:tc>
        <w:tc>
          <w:tcPr>
            <w:tcW w:w="1613" w:type="dxa"/>
            <w:tcBorders>
              <w:top w:val="single" w:color="auto" w:sz="4" w:space="0"/>
              <w:left w:val="nil"/>
              <w:bottom w:val="single" w:color="auto" w:sz="4" w:space="0"/>
              <w:right w:val="single" w:color="auto" w:sz="4" w:space="0"/>
            </w:tcBorders>
            <w:vAlign w:val="center"/>
          </w:tcPr>
          <w:p w14:paraId="669ABB12">
            <w:pPr>
              <w:spacing w:line="300" w:lineRule="exact"/>
              <w:jc w:val="center"/>
              <w:rPr>
                <w:b w:val="0"/>
                <w:bCs w:val="0"/>
                <w:color w:val="auto"/>
                <w:kern w:val="0"/>
              </w:rPr>
            </w:pPr>
            <w:r>
              <w:rPr>
                <w:b w:val="0"/>
                <w:bCs w:val="0"/>
                <w:color w:val="auto"/>
              </w:rPr>
              <w:t>轻度危害(P4)</w:t>
            </w:r>
          </w:p>
        </w:tc>
      </w:tr>
      <w:tr w14:paraId="591BB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176" w:type="dxa"/>
            <w:tcBorders>
              <w:top w:val="single" w:color="auto" w:sz="4" w:space="0"/>
              <w:left w:val="single" w:color="auto" w:sz="4" w:space="0"/>
              <w:bottom w:val="single" w:color="auto" w:sz="4" w:space="0"/>
              <w:right w:val="single" w:color="auto" w:sz="4" w:space="0"/>
            </w:tcBorders>
            <w:vAlign w:val="center"/>
          </w:tcPr>
          <w:p w14:paraId="0CEF03FB">
            <w:pPr>
              <w:spacing w:line="300" w:lineRule="exact"/>
              <w:jc w:val="center"/>
              <w:rPr>
                <w:color w:val="auto"/>
                <w:kern w:val="0"/>
              </w:rPr>
            </w:pPr>
            <w:r>
              <w:rPr>
                <w:color w:val="auto"/>
              </w:rPr>
              <w:t>环境高度敏感区(E1)</w:t>
            </w:r>
          </w:p>
        </w:tc>
        <w:tc>
          <w:tcPr>
            <w:tcW w:w="1505" w:type="dxa"/>
            <w:tcBorders>
              <w:top w:val="single" w:color="auto" w:sz="4" w:space="0"/>
              <w:left w:val="nil"/>
              <w:bottom w:val="single" w:color="auto" w:sz="4" w:space="0"/>
              <w:right w:val="single" w:color="auto" w:sz="4" w:space="0"/>
            </w:tcBorders>
            <w:vAlign w:val="center"/>
          </w:tcPr>
          <w:p w14:paraId="1CA7E889">
            <w:pPr>
              <w:spacing w:line="300" w:lineRule="exact"/>
              <w:jc w:val="center"/>
              <w:rPr>
                <w:color w:val="auto"/>
                <w:kern w:val="0"/>
              </w:rPr>
            </w:pPr>
            <w:r>
              <w:rPr>
                <w:color w:val="auto"/>
              </w:rPr>
              <w:t>Ⅳ+</w:t>
            </w:r>
          </w:p>
        </w:tc>
        <w:tc>
          <w:tcPr>
            <w:tcW w:w="1611" w:type="dxa"/>
            <w:tcBorders>
              <w:top w:val="single" w:color="auto" w:sz="4" w:space="0"/>
              <w:left w:val="nil"/>
              <w:bottom w:val="single" w:color="auto" w:sz="4" w:space="0"/>
              <w:right w:val="single" w:color="auto" w:sz="4" w:space="0"/>
            </w:tcBorders>
            <w:vAlign w:val="center"/>
          </w:tcPr>
          <w:p w14:paraId="4C1DB4D8">
            <w:pPr>
              <w:spacing w:line="300" w:lineRule="exact"/>
              <w:jc w:val="center"/>
              <w:rPr>
                <w:b/>
                <w:bCs/>
                <w:color w:val="auto"/>
                <w:kern w:val="0"/>
              </w:rPr>
            </w:pPr>
            <w:r>
              <w:rPr>
                <w:b/>
                <w:bCs/>
                <w:color w:val="auto"/>
              </w:rPr>
              <w:t>Ⅳ</w:t>
            </w:r>
          </w:p>
        </w:tc>
        <w:tc>
          <w:tcPr>
            <w:tcW w:w="1609" w:type="dxa"/>
            <w:tcBorders>
              <w:top w:val="single" w:color="auto" w:sz="4" w:space="0"/>
              <w:left w:val="nil"/>
              <w:bottom w:val="single" w:color="auto" w:sz="4" w:space="0"/>
              <w:right w:val="single" w:color="auto" w:sz="4" w:space="0"/>
            </w:tcBorders>
            <w:vAlign w:val="center"/>
          </w:tcPr>
          <w:p w14:paraId="641D0CF3">
            <w:pPr>
              <w:spacing w:line="300" w:lineRule="exact"/>
              <w:jc w:val="center"/>
              <w:rPr>
                <w:bCs/>
                <w:color w:val="auto"/>
                <w:kern w:val="0"/>
              </w:rPr>
            </w:pPr>
            <w:r>
              <w:rPr>
                <w:bCs/>
                <w:color w:val="auto"/>
              </w:rPr>
              <w:t>Ⅲ</w:t>
            </w:r>
          </w:p>
        </w:tc>
        <w:tc>
          <w:tcPr>
            <w:tcW w:w="1613" w:type="dxa"/>
            <w:tcBorders>
              <w:top w:val="single" w:color="auto" w:sz="4" w:space="0"/>
              <w:left w:val="nil"/>
              <w:bottom w:val="single" w:color="auto" w:sz="4" w:space="0"/>
              <w:right w:val="single" w:color="auto" w:sz="4" w:space="0"/>
            </w:tcBorders>
            <w:vAlign w:val="center"/>
          </w:tcPr>
          <w:p w14:paraId="5D38656B">
            <w:pPr>
              <w:spacing w:line="300" w:lineRule="exact"/>
              <w:jc w:val="center"/>
              <w:rPr>
                <w:b w:val="0"/>
                <w:bCs w:val="0"/>
                <w:color w:val="auto"/>
                <w:kern w:val="0"/>
              </w:rPr>
            </w:pPr>
            <w:r>
              <w:rPr>
                <w:b w:val="0"/>
                <w:bCs w:val="0"/>
                <w:color w:val="auto"/>
              </w:rPr>
              <w:t>Ⅲ</w:t>
            </w:r>
          </w:p>
        </w:tc>
      </w:tr>
      <w:tr w14:paraId="3053F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176" w:type="dxa"/>
            <w:tcBorders>
              <w:top w:val="single" w:color="auto" w:sz="4" w:space="0"/>
              <w:left w:val="single" w:color="auto" w:sz="4" w:space="0"/>
              <w:bottom w:val="single" w:color="auto" w:sz="4" w:space="0"/>
              <w:right w:val="single" w:color="auto" w:sz="4" w:space="0"/>
            </w:tcBorders>
            <w:vAlign w:val="center"/>
          </w:tcPr>
          <w:p w14:paraId="5DE3E873">
            <w:pPr>
              <w:spacing w:line="300" w:lineRule="exact"/>
              <w:jc w:val="center"/>
              <w:rPr>
                <w:color w:val="auto"/>
                <w:kern w:val="0"/>
              </w:rPr>
            </w:pPr>
            <w:r>
              <w:rPr>
                <w:color w:val="auto"/>
              </w:rPr>
              <w:t>环境中度敏感区(E2)</w:t>
            </w:r>
          </w:p>
        </w:tc>
        <w:tc>
          <w:tcPr>
            <w:tcW w:w="1505" w:type="dxa"/>
            <w:tcBorders>
              <w:top w:val="single" w:color="auto" w:sz="4" w:space="0"/>
              <w:left w:val="nil"/>
              <w:bottom w:val="single" w:color="auto" w:sz="4" w:space="0"/>
              <w:right w:val="single" w:color="auto" w:sz="4" w:space="0"/>
            </w:tcBorders>
            <w:vAlign w:val="center"/>
          </w:tcPr>
          <w:p w14:paraId="53DB6A2F">
            <w:pPr>
              <w:spacing w:line="300" w:lineRule="exact"/>
              <w:jc w:val="center"/>
              <w:rPr>
                <w:color w:val="auto"/>
                <w:kern w:val="0"/>
              </w:rPr>
            </w:pPr>
            <w:r>
              <w:rPr>
                <w:color w:val="auto"/>
              </w:rPr>
              <w:t>Ⅳ</w:t>
            </w:r>
          </w:p>
        </w:tc>
        <w:tc>
          <w:tcPr>
            <w:tcW w:w="1611" w:type="dxa"/>
            <w:tcBorders>
              <w:top w:val="single" w:color="auto" w:sz="4" w:space="0"/>
              <w:left w:val="nil"/>
              <w:bottom w:val="single" w:color="auto" w:sz="4" w:space="0"/>
              <w:right w:val="single" w:color="auto" w:sz="4" w:space="0"/>
            </w:tcBorders>
            <w:vAlign w:val="center"/>
          </w:tcPr>
          <w:p w14:paraId="3BC294D0">
            <w:pPr>
              <w:spacing w:line="300" w:lineRule="exact"/>
              <w:jc w:val="center"/>
              <w:rPr>
                <w:b/>
                <w:bCs/>
                <w:color w:val="auto"/>
                <w:kern w:val="0"/>
              </w:rPr>
            </w:pPr>
            <w:r>
              <w:rPr>
                <w:b/>
                <w:bCs/>
                <w:color w:val="auto"/>
              </w:rPr>
              <w:t>Ⅲ</w:t>
            </w:r>
          </w:p>
        </w:tc>
        <w:tc>
          <w:tcPr>
            <w:tcW w:w="1609" w:type="dxa"/>
            <w:tcBorders>
              <w:top w:val="single" w:color="auto" w:sz="4" w:space="0"/>
              <w:left w:val="nil"/>
              <w:bottom w:val="single" w:color="auto" w:sz="4" w:space="0"/>
              <w:right w:val="single" w:color="auto" w:sz="4" w:space="0"/>
            </w:tcBorders>
            <w:vAlign w:val="center"/>
          </w:tcPr>
          <w:p w14:paraId="6ED12472">
            <w:pPr>
              <w:spacing w:line="300" w:lineRule="exact"/>
              <w:jc w:val="center"/>
              <w:rPr>
                <w:bCs/>
                <w:color w:val="auto"/>
                <w:kern w:val="0"/>
              </w:rPr>
            </w:pPr>
            <w:r>
              <w:rPr>
                <w:bCs/>
                <w:color w:val="auto"/>
              </w:rPr>
              <w:t>Ⅲ</w:t>
            </w:r>
          </w:p>
        </w:tc>
        <w:tc>
          <w:tcPr>
            <w:tcW w:w="1613" w:type="dxa"/>
            <w:tcBorders>
              <w:top w:val="single" w:color="auto" w:sz="4" w:space="0"/>
              <w:left w:val="nil"/>
              <w:bottom w:val="single" w:color="auto" w:sz="4" w:space="0"/>
              <w:right w:val="single" w:color="auto" w:sz="4" w:space="0"/>
            </w:tcBorders>
            <w:vAlign w:val="center"/>
          </w:tcPr>
          <w:p w14:paraId="5284A2B9">
            <w:pPr>
              <w:spacing w:line="300" w:lineRule="exact"/>
              <w:jc w:val="center"/>
              <w:rPr>
                <w:b w:val="0"/>
                <w:bCs w:val="0"/>
                <w:color w:val="auto"/>
                <w:kern w:val="0"/>
              </w:rPr>
            </w:pPr>
            <w:r>
              <w:rPr>
                <w:b w:val="0"/>
                <w:bCs w:val="0"/>
                <w:color w:val="auto"/>
              </w:rPr>
              <w:t>Ⅱ</w:t>
            </w:r>
          </w:p>
        </w:tc>
      </w:tr>
      <w:tr w14:paraId="63A92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2176" w:type="dxa"/>
            <w:tcBorders>
              <w:top w:val="single" w:color="auto" w:sz="4" w:space="0"/>
              <w:left w:val="single" w:color="auto" w:sz="4" w:space="0"/>
              <w:bottom w:val="single" w:color="auto" w:sz="4" w:space="0"/>
              <w:right w:val="single" w:color="auto" w:sz="4" w:space="0"/>
            </w:tcBorders>
            <w:vAlign w:val="center"/>
          </w:tcPr>
          <w:p w14:paraId="43E40C62">
            <w:pPr>
              <w:spacing w:line="300" w:lineRule="exact"/>
              <w:jc w:val="center"/>
              <w:rPr>
                <w:color w:val="auto"/>
                <w:kern w:val="0"/>
              </w:rPr>
            </w:pPr>
            <w:r>
              <w:rPr>
                <w:color w:val="auto"/>
              </w:rPr>
              <w:t>环境低度敏感区(E3)</w:t>
            </w:r>
          </w:p>
        </w:tc>
        <w:tc>
          <w:tcPr>
            <w:tcW w:w="1505" w:type="dxa"/>
            <w:tcBorders>
              <w:top w:val="single" w:color="auto" w:sz="4" w:space="0"/>
              <w:left w:val="nil"/>
              <w:bottom w:val="single" w:color="auto" w:sz="4" w:space="0"/>
              <w:right w:val="single" w:color="auto" w:sz="4" w:space="0"/>
            </w:tcBorders>
            <w:vAlign w:val="center"/>
          </w:tcPr>
          <w:p w14:paraId="2AD933E8">
            <w:pPr>
              <w:spacing w:line="300" w:lineRule="exact"/>
              <w:jc w:val="center"/>
              <w:rPr>
                <w:color w:val="auto"/>
                <w:kern w:val="0"/>
              </w:rPr>
            </w:pPr>
            <w:r>
              <w:rPr>
                <w:color w:val="auto"/>
              </w:rPr>
              <w:t>Ⅲ</w:t>
            </w:r>
          </w:p>
        </w:tc>
        <w:tc>
          <w:tcPr>
            <w:tcW w:w="1611" w:type="dxa"/>
            <w:tcBorders>
              <w:top w:val="single" w:color="auto" w:sz="4" w:space="0"/>
              <w:left w:val="nil"/>
              <w:bottom w:val="single" w:color="auto" w:sz="4" w:space="0"/>
              <w:right w:val="single" w:color="auto" w:sz="4" w:space="0"/>
            </w:tcBorders>
            <w:vAlign w:val="center"/>
          </w:tcPr>
          <w:p w14:paraId="4CA621E4">
            <w:pPr>
              <w:spacing w:line="300" w:lineRule="exact"/>
              <w:jc w:val="center"/>
              <w:rPr>
                <w:b/>
                <w:bCs/>
                <w:color w:val="auto"/>
                <w:kern w:val="0"/>
              </w:rPr>
            </w:pPr>
            <w:r>
              <w:rPr>
                <w:b/>
                <w:bCs/>
                <w:color w:val="auto"/>
              </w:rPr>
              <w:t>Ⅲ</w:t>
            </w:r>
          </w:p>
        </w:tc>
        <w:tc>
          <w:tcPr>
            <w:tcW w:w="1609" w:type="dxa"/>
            <w:tcBorders>
              <w:top w:val="single" w:color="auto" w:sz="4" w:space="0"/>
              <w:left w:val="nil"/>
              <w:bottom w:val="single" w:color="auto" w:sz="4" w:space="0"/>
              <w:right w:val="single" w:color="auto" w:sz="4" w:space="0"/>
            </w:tcBorders>
            <w:vAlign w:val="center"/>
          </w:tcPr>
          <w:p w14:paraId="1A34560D">
            <w:pPr>
              <w:spacing w:line="300" w:lineRule="exact"/>
              <w:jc w:val="center"/>
              <w:rPr>
                <w:bCs/>
                <w:color w:val="auto"/>
                <w:kern w:val="0"/>
              </w:rPr>
            </w:pPr>
            <w:r>
              <w:rPr>
                <w:bCs/>
                <w:color w:val="auto"/>
              </w:rPr>
              <w:t>Ⅱ</w:t>
            </w:r>
          </w:p>
        </w:tc>
        <w:tc>
          <w:tcPr>
            <w:tcW w:w="1613" w:type="dxa"/>
            <w:tcBorders>
              <w:top w:val="single" w:color="auto" w:sz="4" w:space="0"/>
              <w:left w:val="nil"/>
              <w:bottom w:val="single" w:color="auto" w:sz="4" w:space="0"/>
              <w:right w:val="single" w:color="auto" w:sz="4" w:space="0"/>
            </w:tcBorders>
            <w:vAlign w:val="center"/>
          </w:tcPr>
          <w:p w14:paraId="649B117B">
            <w:pPr>
              <w:spacing w:line="300" w:lineRule="exact"/>
              <w:jc w:val="center"/>
              <w:rPr>
                <w:b w:val="0"/>
                <w:bCs w:val="0"/>
                <w:color w:val="auto"/>
                <w:kern w:val="0"/>
              </w:rPr>
            </w:pPr>
            <w:r>
              <w:rPr>
                <w:b w:val="0"/>
                <w:bCs w:val="0"/>
                <w:color w:val="auto"/>
              </w:rPr>
              <w:t>Ⅰ</w:t>
            </w:r>
          </w:p>
        </w:tc>
      </w:tr>
      <w:tr w14:paraId="503FE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4" w:type="dxa"/>
            <w:gridSpan w:val="5"/>
            <w:tcBorders>
              <w:top w:val="single" w:color="auto" w:sz="4" w:space="0"/>
              <w:left w:val="single" w:color="auto" w:sz="4" w:space="0"/>
              <w:bottom w:val="single" w:color="auto" w:sz="4" w:space="0"/>
              <w:right w:val="single" w:color="auto" w:sz="4" w:space="0"/>
            </w:tcBorders>
            <w:vAlign w:val="center"/>
          </w:tcPr>
          <w:p w14:paraId="02D019B7">
            <w:pPr>
              <w:spacing w:line="300" w:lineRule="exact"/>
              <w:rPr>
                <w:color w:val="auto"/>
                <w:kern w:val="0"/>
              </w:rPr>
            </w:pPr>
            <w:r>
              <w:rPr>
                <w:color w:val="auto"/>
              </w:rPr>
              <w:t>本项目大气环境风险潜势为Ⅳ级（P</w:t>
            </w:r>
            <w:r>
              <w:rPr>
                <w:rFonts w:hint="eastAsia"/>
                <w:color w:val="auto"/>
                <w:lang w:val="en-US" w:eastAsia="zh-CN"/>
              </w:rPr>
              <w:t>2</w:t>
            </w:r>
            <w:r>
              <w:rPr>
                <w:color w:val="auto"/>
              </w:rPr>
              <w:t>，E1）</w:t>
            </w:r>
          </w:p>
        </w:tc>
      </w:tr>
      <w:tr w14:paraId="37AA8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4" w:type="dxa"/>
            <w:gridSpan w:val="5"/>
            <w:tcBorders>
              <w:top w:val="single" w:color="auto" w:sz="4" w:space="0"/>
              <w:left w:val="single" w:color="auto" w:sz="4" w:space="0"/>
              <w:bottom w:val="single" w:color="auto" w:sz="4" w:space="0"/>
              <w:right w:val="single" w:color="auto" w:sz="4" w:space="0"/>
            </w:tcBorders>
            <w:vAlign w:val="center"/>
          </w:tcPr>
          <w:p w14:paraId="6FC43CD5">
            <w:pPr>
              <w:spacing w:line="300" w:lineRule="exact"/>
              <w:rPr>
                <w:color w:val="auto"/>
                <w:kern w:val="0"/>
              </w:rPr>
            </w:pPr>
            <w:r>
              <w:rPr>
                <w:color w:val="auto"/>
              </w:rPr>
              <w:t>本项目地表水环境风险潜势为</w:t>
            </w:r>
            <w:r>
              <w:rPr>
                <w:b w:val="0"/>
                <w:bCs w:val="0"/>
                <w:color w:val="auto"/>
              </w:rPr>
              <w:t>Ⅲ</w:t>
            </w:r>
            <w:r>
              <w:rPr>
                <w:color w:val="auto"/>
              </w:rPr>
              <w:t>级（P</w:t>
            </w:r>
            <w:r>
              <w:rPr>
                <w:rFonts w:hint="eastAsia"/>
                <w:color w:val="auto"/>
                <w:lang w:val="en-US" w:eastAsia="zh-CN"/>
              </w:rPr>
              <w:t>2</w:t>
            </w:r>
            <w:r>
              <w:rPr>
                <w:color w:val="auto"/>
              </w:rPr>
              <w:t>，E2）</w:t>
            </w:r>
          </w:p>
        </w:tc>
      </w:tr>
      <w:tr w14:paraId="0EBA2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8514" w:type="dxa"/>
            <w:gridSpan w:val="5"/>
            <w:tcBorders>
              <w:top w:val="single" w:color="auto" w:sz="4" w:space="0"/>
              <w:left w:val="single" w:color="auto" w:sz="4" w:space="0"/>
              <w:bottom w:val="single" w:color="auto" w:sz="4" w:space="0"/>
              <w:right w:val="single" w:color="auto" w:sz="4" w:space="0"/>
            </w:tcBorders>
            <w:vAlign w:val="center"/>
          </w:tcPr>
          <w:p w14:paraId="11D4328E">
            <w:pPr>
              <w:spacing w:line="300" w:lineRule="exact"/>
              <w:rPr>
                <w:color w:val="auto"/>
                <w:kern w:val="0"/>
              </w:rPr>
            </w:pPr>
            <w:r>
              <w:rPr>
                <w:color w:val="auto"/>
              </w:rPr>
              <w:t>本项目地下水环境风险潜势为Ⅲ级（P</w:t>
            </w:r>
            <w:r>
              <w:rPr>
                <w:rFonts w:hint="eastAsia"/>
                <w:color w:val="auto"/>
                <w:lang w:val="en-US" w:eastAsia="zh-CN"/>
              </w:rPr>
              <w:t>2</w:t>
            </w:r>
            <w:r>
              <w:rPr>
                <w:color w:val="auto"/>
              </w:rPr>
              <w:t>，E3）</w:t>
            </w:r>
          </w:p>
        </w:tc>
      </w:tr>
    </w:tbl>
    <w:p w14:paraId="68759C75">
      <w:pPr>
        <w:autoSpaceDE w:val="0"/>
        <w:autoSpaceDN w:val="0"/>
        <w:adjustRightInd w:val="0"/>
        <w:spacing w:line="360" w:lineRule="auto"/>
        <w:ind w:firstLine="480" w:firstLineChars="200"/>
        <w:rPr>
          <w:color w:val="auto"/>
          <w:sz w:val="24"/>
        </w:rPr>
      </w:pPr>
      <w:r>
        <w:rPr>
          <w:color w:val="auto"/>
          <w:sz w:val="24"/>
        </w:rPr>
        <w:t>根据建设项目涉及的物质及工艺系统危险性和所在地的环境敏感性确定环境风险潜势，按照下表（风险导则表1）确定评价工作等级。</w:t>
      </w:r>
    </w:p>
    <w:p w14:paraId="56CA5F59">
      <w:pPr>
        <w:adjustRightInd w:val="0"/>
        <w:snapToGrid w:val="0"/>
        <w:spacing w:beforeLines="25" w:afterLines="25"/>
        <w:ind w:firstLine="422"/>
        <w:jc w:val="center"/>
        <w:outlineLvl w:val="3"/>
        <w:rPr>
          <w:b/>
          <w:bCs/>
          <w:color w:val="auto"/>
          <w:szCs w:val="21"/>
        </w:rPr>
      </w:pPr>
      <w:bookmarkStart w:id="208" w:name="_Hlk2084713"/>
      <w:r>
        <w:rPr>
          <w:rFonts w:hint="eastAsia"/>
          <w:b/>
          <w:bCs/>
          <w:color w:val="auto"/>
          <w:szCs w:val="21"/>
        </w:rPr>
        <w:t>表7.4-12</w:t>
      </w:r>
      <w:r>
        <w:rPr>
          <w:b/>
          <w:bCs/>
          <w:color w:val="auto"/>
          <w:szCs w:val="21"/>
        </w:rPr>
        <w:t xml:space="preserve">  评价工作等级划分表</w:t>
      </w:r>
    </w:p>
    <w:bookmarkEnd w:id="208"/>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48"/>
        <w:gridCol w:w="1848"/>
        <w:gridCol w:w="1849"/>
        <w:gridCol w:w="1849"/>
        <w:gridCol w:w="1850"/>
      </w:tblGrid>
      <w:tr w14:paraId="7AA22C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57" w:type="dxa"/>
            <w:vAlign w:val="center"/>
          </w:tcPr>
          <w:p w14:paraId="60A7C6AA">
            <w:pPr>
              <w:spacing w:line="300" w:lineRule="exact"/>
              <w:jc w:val="center"/>
              <w:rPr>
                <w:color w:val="auto"/>
              </w:rPr>
            </w:pPr>
            <w:r>
              <w:rPr>
                <w:color w:val="auto"/>
              </w:rPr>
              <w:t>环境风险潜势</w:t>
            </w:r>
          </w:p>
        </w:tc>
        <w:tc>
          <w:tcPr>
            <w:tcW w:w="1857" w:type="dxa"/>
            <w:vAlign w:val="center"/>
          </w:tcPr>
          <w:p w14:paraId="4F0150EB">
            <w:pPr>
              <w:spacing w:line="300" w:lineRule="exact"/>
              <w:jc w:val="center"/>
              <w:rPr>
                <w:color w:val="auto"/>
              </w:rPr>
            </w:pPr>
            <w:r>
              <w:rPr>
                <w:color w:val="auto"/>
              </w:rPr>
              <w:t>Ⅳ、Ⅳ+</w:t>
            </w:r>
          </w:p>
        </w:tc>
        <w:tc>
          <w:tcPr>
            <w:tcW w:w="1857" w:type="dxa"/>
            <w:vAlign w:val="center"/>
          </w:tcPr>
          <w:p w14:paraId="1EFECD8B">
            <w:pPr>
              <w:spacing w:line="300" w:lineRule="exact"/>
              <w:jc w:val="center"/>
              <w:rPr>
                <w:color w:val="auto"/>
              </w:rPr>
            </w:pPr>
            <w:r>
              <w:rPr>
                <w:color w:val="auto"/>
              </w:rPr>
              <w:t>Ⅲ</w:t>
            </w:r>
          </w:p>
        </w:tc>
        <w:tc>
          <w:tcPr>
            <w:tcW w:w="1857" w:type="dxa"/>
            <w:vAlign w:val="center"/>
          </w:tcPr>
          <w:p w14:paraId="34BCBB66">
            <w:pPr>
              <w:spacing w:line="300" w:lineRule="exact"/>
              <w:jc w:val="center"/>
              <w:rPr>
                <w:color w:val="auto"/>
              </w:rPr>
            </w:pPr>
            <w:r>
              <w:rPr>
                <w:color w:val="auto"/>
              </w:rPr>
              <w:t>Ⅱ</w:t>
            </w:r>
          </w:p>
        </w:tc>
        <w:tc>
          <w:tcPr>
            <w:tcW w:w="1858" w:type="dxa"/>
            <w:vAlign w:val="center"/>
          </w:tcPr>
          <w:p w14:paraId="0D17DCF9">
            <w:pPr>
              <w:spacing w:line="300" w:lineRule="exact"/>
              <w:jc w:val="center"/>
              <w:rPr>
                <w:color w:val="auto"/>
              </w:rPr>
            </w:pPr>
            <w:r>
              <w:rPr>
                <w:color w:val="auto"/>
              </w:rPr>
              <w:t>Ⅰ</w:t>
            </w:r>
          </w:p>
        </w:tc>
      </w:tr>
      <w:tr w14:paraId="32FB24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57" w:type="dxa"/>
            <w:vAlign w:val="center"/>
          </w:tcPr>
          <w:p w14:paraId="5E4AC3A5">
            <w:pPr>
              <w:spacing w:line="300" w:lineRule="exact"/>
              <w:jc w:val="center"/>
              <w:rPr>
                <w:color w:val="auto"/>
              </w:rPr>
            </w:pPr>
            <w:r>
              <w:rPr>
                <w:color w:val="auto"/>
              </w:rPr>
              <w:t>评价工作等级</w:t>
            </w:r>
          </w:p>
        </w:tc>
        <w:tc>
          <w:tcPr>
            <w:tcW w:w="1857" w:type="dxa"/>
            <w:vAlign w:val="center"/>
          </w:tcPr>
          <w:p w14:paraId="2A562462">
            <w:pPr>
              <w:spacing w:line="300" w:lineRule="exact"/>
              <w:jc w:val="center"/>
              <w:rPr>
                <w:color w:val="auto"/>
              </w:rPr>
            </w:pPr>
            <w:r>
              <w:rPr>
                <w:color w:val="auto"/>
              </w:rPr>
              <w:t>一</w:t>
            </w:r>
          </w:p>
        </w:tc>
        <w:tc>
          <w:tcPr>
            <w:tcW w:w="1857" w:type="dxa"/>
            <w:vAlign w:val="center"/>
          </w:tcPr>
          <w:p w14:paraId="6638AE50">
            <w:pPr>
              <w:spacing w:line="300" w:lineRule="exact"/>
              <w:jc w:val="center"/>
              <w:rPr>
                <w:color w:val="auto"/>
              </w:rPr>
            </w:pPr>
            <w:r>
              <w:rPr>
                <w:color w:val="auto"/>
              </w:rPr>
              <w:t>二</w:t>
            </w:r>
          </w:p>
        </w:tc>
        <w:tc>
          <w:tcPr>
            <w:tcW w:w="1857" w:type="dxa"/>
            <w:vAlign w:val="center"/>
          </w:tcPr>
          <w:p w14:paraId="75A5FC65">
            <w:pPr>
              <w:spacing w:line="300" w:lineRule="exact"/>
              <w:jc w:val="center"/>
              <w:rPr>
                <w:color w:val="auto"/>
              </w:rPr>
            </w:pPr>
            <w:r>
              <w:rPr>
                <w:color w:val="auto"/>
              </w:rPr>
              <w:t>三</w:t>
            </w:r>
          </w:p>
        </w:tc>
        <w:tc>
          <w:tcPr>
            <w:tcW w:w="1858" w:type="dxa"/>
            <w:vAlign w:val="center"/>
          </w:tcPr>
          <w:p w14:paraId="6F4B61CB">
            <w:pPr>
              <w:spacing w:line="300" w:lineRule="exact"/>
              <w:jc w:val="center"/>
              <w:rPr>
                <w:color w:val="auto"/>
              </w:rPr>
            </w:pPr>
            <w:r>
              <w:rPr>
                <w:color w:val="auto"/>
              </w:rPr>
              <w:t>简单分析a</w:t>
            </w:r>
          </w:p>
        </w:tc>
      </w:tr>
      <w:tr w14:paraId="3AF163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286" w:type="dxa"/>
            <w:gridSpan w:val="5"/>
            <w:vAlign w:val="center"/>
          </w:tcPr>
          <w:p w14:paraId="1EDEC3DA">
            <w:pPr>
              <w:spacing w:line="300" w:lineRule="exact"/>
              <w:rPr>
                <w:color w:val="auto"/>
              </w:rPr>
            </w:pPr>
            <w:r>
              <w:rPr>
                <w:color w:val="auto"/>
              </w:rPr>
              <w:t>a：相对于详细评价工作内容而言，在描述危险物质、环境影响途径、环境危害后果、风险防范措施等方面给出定性说明，项目导则附录A。</w:t>
            </w:r>
          </w:p>
        </w:tc>
      </w:tr>
    </w:tbl>
    <w:p w14:paraId="18701399">
      <w:pPr>
        <w:autoSpaceDE w:val="0"/>
        <w:autoSpaceDN w:val="0"/>
        <w:adjustRightInd w:val="0"/>
        <w:spacing w:line="360" w:lineRule="auto"/>
        <w:ind w:firstLine="482" w:firstLineChars="200"/>
        <w:rPr>
          <w:b/>
          <w:bCs/>
          <w:color w:val="auto"/>
          <w:sz w:val="24"/>
          <w:highlight w:val="none"/>
        </w:rPr>
      </w:pPr>
      <w:r>
        <w:rPr>
          <w:b/>
          <w:bCs/>
          <w:color w:val="auto"/>
          <w:sz w:val="24"/>
          <w:highlight w:val="none"/>
        </w:rPr>
        <w:t>由上表可见，本项目大气环境</w:t>
      </w:r>
      <w:r>
        <w:rPr>
          <w:rFonts w:hint="eastAsia"/>
          <w:b/>
          <w:bCs/>
          <w:color w:val="auto"/>
          <w:sz w:val="24"/>
          <w:highlight w:val="none"/>
          <w:lang w:val="en-US" w:eastAsia="zh-CN"/>
        </w:rPr>
        <w:t>风险</w:t>
      </w:r>
      <w:r>
        <w:rPr>
          <w:b/>
          <w:bCs/>
          <w:color w:val="auto"/>
          <w:sz w:val="24"/>
          <w:highlight w:val="none"/>
        </w:rPr>
        <w:t>评价工作等级为</w:t>
      </w:r>
      <w:r>
        <w:rPr>
          <w:rFonts w:hint="eastAsia"/>
          <w:b/>
          <w:bCs/>
          <w:color w:val="auto"/>
          <w:sz w:val="24"/>
          <w:highlight w:val="none"/>
          <w:lang w:val="en-US" w:eastAsia="zh-CN"/>
        </w:rPr>
        <w:t>一</w:t>
      </w:r>
      <w:r>
        <w:rPr>
          <w:b/>
          <w:bCs/>
          <w:color w:val="auto"/>
          <w:sz w:val="24"/>
          <w:highlight w:val="none"/>
        </w:rPr>
        <w:t>级，大气环境</w:t>
      </w:r>
      <w:r>
        <w:rPr>
          <w:rFonts w:hint="eastAsia"/>
          <w:b/>
          <w:bCs/>
          <w:color w:val="auto"/>
          <w:sz w:val="24"/>
          <w:highlight w:val="none"/>
          <w:lang w:val="en-US" w:eastAsia="zh-CN"/>
        </w:rPr>
        <w:t>风险</w:t>
      </w:r>
      <w:r>
        <w:rPr>
          <w:b/>
          <w:bCs/>
          <w:color w:val="auto"/>
          <w:sz w:val="24"/>
          <w:highlight w:val="none"/>
        </w:rPr>
        <w:t>评价范围为距建设项目边界5km的区域，</w:t>
      </w:r>
      <w:r>
        <w:rPr>
          <w:rFonts w:hint="eastAsia"/>
          <w:b/>
          <w:bCs/>
          <w:color w:val="auto"/>
          <w:sz w:val="24"/>
          <w:highlight w:val="none"/>
        </w:rPr>
        <w:t>一级评价需选取最不利气象条件和事故发生地的最常见气象条件，选择适用的数值方法进行分析预测，给出风险事故情形下危险物质释放可能造成的大气环境影响范围与程度。对于存在极高大气环境风险的项目，应进一步开展关心点概率分析</w:t>
      </w:r>
      <w:r>
        <w:rPr>
          <w:b/>
          <w:bCs/>
          <w:color w:val="auto"/>
          <w:sz w:val="24"/>
          <w:highlight w:val="none"/>
        </w:rPr>
        <w:t>；地表水</w:t>
      </w:r>
      <w:r>
        <w:rPr>
          <w:rFonts w:hint="eastAsia"/>
          <w:b/>
          <w:bCs/>
          <w:color w:val="auto"/>
          <w:sz w:val="24"/>
          <w:highlight w:val="none"/>
          <w:lang w:eastAsia="zh-CN"/>
        </w:rPr>
        <w:t>环境风险评价</w:t>
      </w:r>
      <w:r>
        <w:rPr>
          <w:b/>
          <w:bCs/>
          <w:color w:val="auto"/>
          <w:sz w:val="24"/>
          <w:highlight w:val="none"/>
        </w:rPr>
        <w:t>工作等级为</w:t>
      </w:r>
      <w:r>
        <w:rPr>
          <w:rFonts w:hint="eastAsia"/>
          <w:b/>
          <w:bCs/>
          <w:color w:val="auto"/>
          <w:sz w:val="24"/>
          <w:highlight w:val="none"/>
          <w:lang w:val="en-US" w:eastAsia="zh-CN"/>
        </w:rPr>
        <w:t>二</w:t>
      </w:r>
      <w:r>
        <w:rPr>
          <w:b/>
          <w:bCs/>
          <w:color w:val="auto"/>
          <w:sz w:val="24"/>
          <w:highlight w:val="none"/>
        </w:rPr>
        <w:t>级，</w:t>
      </w:r>
      <w:r>
        <w:rPr>
          <w:rFonts w:hint="eastAsia"/>
          <w:b/>
          <w:bCs/>
          <w:color w:val="auto"/>
          <w:sz w:val="24"/>
          <w:highlight w:val="none"/>
        </w:rPr>
        <w:t>选择适用的数值方法预测地表水环境风险，给出风险事故情形下可能造成的影响范围与程度</w:t>
      </w:r>
      <w:r>
        <w:rPr>
          <w:b/>
          <w:bCs/>
          <w:color w:val="auto"/>
          <w:sz w:val="24"/>
          <w:highlight w:val="none"/>
        </w:rPr>
        <w:t>；地下水</w:t>
      </w:r>
      <w:r>
        <w:rPr>
          <w:rFonts w:hint="eastAsia"/>
          <w:b/>
          <w:bCs/>
          <w:color w:val="auto"/>
          <w:sz w:val="24"/>
          <w:highlight w:val="none"/>
          <w:lang w:eastAsia="zh-CN"/>
        </w:rPr>
        <w:t>环境风险评价</w:t>
      </w:r>
      <w:r>
        <w:rPr>
          <w:b/>
          <w:bCs/>
          <w:color w:val="auto"/>
          <w:sz w:val="24"/>
          <w:highlight w:val="none"/>
        </w:rPr>
        <w:t>工作等级为</w:t>
      </w:r>
      <w:r>
        <w:rPr>
          <w:rFonts w:hint="eastAsia"/>
          <w:b/>
          <w:bCs/>
          <w:color w:val="auto"/>
          <w:sz w:val="24"/>
          <w:highlight w:val="none"/>
          <w:lang w:val="en-US" w:eastAsia="zh-CN"/>
        </w:rPr>
        <w:t>二</w:t>
      </w:r>
      <w:r>
        <w:rPr>
          <w:b/>
          <w:bCs/>
          <w:color w:val="auto"/>
          <w:sz w:val="24"/>
          <w:highlight w:val="none"/>
        </w:rPr>
        <w:t>级，评价范围为以附近水体支流为边界，面积约6km</w:t>
      </w:r>
      <w:r>
        <w:rPr>
          <w:b/>
          <w:bCs/>
          <w:color w:val="auto"/>
          <w:sz w:val="24"/>
          <w:highlight w:val="none"/>
          <w:vertAlign w:val="superscript"/>
        </w:rPr>
        <w:t>2</w:t>
      </w:r>
      <w:r>
        <w:rPr>
          <w:b/>
          <w:bCs/>
          <w:color w:val="auto"/>
          <w:sz w:val="24"/>
          <w:highlight w:val="none"/>
        </w:rPr>
        <w:t>的区域，</w:t>
      </w:r>
      <w:r>
        <w:rPr>
          <w:rFonts w:hint="eastAsia"/>
          <w:b/>
          <w:bCs/>
          <w:color w:val="auto"/>
          <w:sz w:val="24"/>
          <w:highlight w:val="none"/>
        </w:rPr>
        <w:t>二级评价中水文地质条件复杂且适宜采用数值法时，建议优先采用数值法</w:t>
      </w:r>
      <w:r>
        <w:rPr>
          <w:b/>
          <w:bCs/>
          <w:color w:val="auto"/>
          <w:sz w:val="24"/>
          <w:highlight w:val="none"/>
        </w:rPr>
        <w:t>。综合评价等级为</w:t>
      </w:r>
      <w:r>
        <w:rPr>
          <w:rFonts w:hint="eastAsia"/>
          <w:b/>
          <w:bCs/>
          <w:color w:val="auto"/>
          <w:sz w:val="24"/>
          <w:highlight w:val="none"/>
          <w:lang w:val="en-US" w:eastAsia="zh-CN"/>
        </w:rPr>
        <w:t>一</w:t>
      </w:r>
      <w:r>
        <w:rPr>
          <w:b/>
          <w:bCs/>
          <w:color w:val="auto"/>
          <w:sz w:val="24"/>
          <w:highlight w:val="none"/>
        </w:rPr>
        <w:t>级。</w:t>
      </w:r>
    </w:p>
    <w:p w14:paraId="37385D82">
      <w:pPr>
        <w:spacing w:line="360" w:lineRule="auto"/>
        <w:outlineLvl w:val="0"/>
        <w:rPr>
          <w:color w:val="auto"/>
          <w:sz w:val="28"/>
          <w:szCs w:val="28"/>
        </w:rPr>
      </w:pPr>
      <w:bookmarkStart w:id="209" w:name="_Toc20427"/>
      <w:bookmarkStart w:id="210" w:name="_Toc26874"/>
      <w:bookmarkStart w:id="211" w:name="_Toc17113"/>
      <w:r>
        <w:rPr>
          <w:rFonts w:hint="eastAsia"/>
          <w:color w:val="auto"/>
          <w:sz w:val="28"/>
          <w:szCs w:val="28"/>
        </w:rPr>
        <w:t xml:space="preserve">5 </w:t>
      </w:r>
      <w:r>
        <w:rPr>
          <w:color w:val="auto"/>
          <w:sz w:val="28"/>
          <w:szCs w:val="28"/>
        </w:rPr>
        <w:t>生产系统危险性识别</w:t>
      </w:r>
      <w:bookmarkEnd w:id="209"/>
      <w:bookmarkEnd w:id="210"/>
    </w:p>
    <w:p w14:paraId="4191A29A">
      <w:pPr>
        <w:autoSpaceDE w:val="0"/>
        <w:autoSpaceDN w:val="0"/>
        <w:adjustRightInd w:val="0"/>
        <w:spacing w:line="360" w:lineRule="auto"/>
        <w:ind w:firstLine="480" w:firstLineChars="200"/>
        <w:rPr>
          <w:color w:val="auto"/>
          <w:sz w:val="24"/>
        </w:rPr>
      </w:pPr>
      <w:r>
        <w:rPr>
          <w:color w:val="auto"/>
          <w:sz w:val="24"/>
        </w:rPr>
        <w:t>本次项目生产系统危险性主要从生产装置、原料仓库和污染物收集处理区域等方面进行分析。</w:t>
      </w:r>
    </w:p>
    <w:p w14:paraId="2C70A2D0">
      <w:pPr>
        <w:autoSpaceDE w:val="0"/>
        <w:autoSpaceDN w:val="0"/>
        <w:adjustRightInd w:val="0"/>
        <w:spacing w:line="360" w:lineRule="auto"/>
        <w:ind w:firstLine="480" w:firstLineChars="200"/>
        <w:rPr>
          <w:color w:val="auto"/>
          <w:sz w:val="24"/>
        </w:rPr>
      </w:pPr>
      <w:r>
        <w:rPr>
          <w:color w:val="auto"/>
          <w:sz w:val="24"/>
        </w:rPr>
        <w:t>1、生产装置区</w:t>
      </w:r>
    </w:p>
    <w:p w14:paraId="36F0E144">
      <w:pPr>
        <w:autoSpaceDE w:val="0"/>
        <w:autoSpaceDN w:val="0"/>
        <w:adjustRightInd w:val="0"/>
        <w:spacing w:line="360" w:lineRule="auto"/>
        <w:ind w:firstLine="480" w:firstLineChars="200"/>
        <w:rPr>
          <w:color w:val="auto"/>
          <w:sz w:val="24"/>
        </w:rPr>
      </w:pPr>
      <w:r>
        <w:rPr>
          <w:color w:val="auto"/>
          <w:sz w:val="24"/>
        </w:rPr>
        <w:t>本项目生产过程中使用到危险化学品氯化氢、氟化氢等，主要危险有害因素为火灾爆炸、中毒、灼伤等。具体分析如下：</w:t>
      </w:r>
    </w:p>
    <w:p w14:paraId="317D6DB1">
      <w:pPr>
        <w:autoSpaceDE w:val="0"/>
        <w:autoSpaceDN w:val="0"/>
        <w:adjustRightInd w:val="0"/>
        <w:spacing w:line="360" w:lineRule="auto"/>
        <w:ind w:firstLine="480" w:firstLineChars="200"/>
        <w:rPr>
          <w:color w:val="auto"/>
          <w:sz w:val="24"/>
        </w:rPr>
      </w:pPr>
      <w:r>
        <w:rPr>
          <w:color w:val="auto"/>
          <w:sz w:val="24"/>
        </w:rPr>
        <w:t>设备、装置故障（含缺陷）是导致事故的主要因素之一，设备、装置故障（含缺陷）大体表现在以下几个方面：设备、设施、附件的结构不合理，强度不够，材质不符合设计要求；设备、设施、附件的制造、维修、调整不良；缺少安全防护装置（保护、保险、信号装置等）或者安全装置有缺陷，无警戒设施或警戒有缺陷（如警戒区不明、无标志、无栅栏等）。在生产过程中易发生事故的设备、装置主要有：</w:t>
      </w:r>
    </w:p>
    <w:p w14:paraId="3B14EC01">
      <w:pPr>
        <w:autoSpaceDE w:val="0"/>
        <w:autoSpaceDN w:val="0"/>
        <w:adjustRightInd w:val="0"/>
        <w:spacing w:line="360" w:lineRule="auto"/>
        <w:ind w:firstLine="480" w:firstLineChars="200"/>
        <w:rPr>
          <w:color w:val="auto"/>
          <w:sz w:val="24"/>
          <w:lang w:val="zh-CN"/>
        </w:rPr>
      </w:pPr>
      <w:r>
        <w:rPr>
          <w:color w:val="auto"/>
          <w:sz w:val="24"/>
          <w:lang w:val="zh-CN"/>
        </w:rPr>
        <w:t>(1)反应釜</w:t>
      </w:r>
    </w:p>
    <w:p w14:paraId="7B83A417">
      <w:pPr>
        <w:autoSpaceDE w:val="0"/>
        <w:autoSpaceDN w:val="0"/>
        <w:adjustRightInd w:val="0"/>
        <w:spacing w:line="360" w:lineRule="auto"/>
        <w:ind w:firstLine="480" w:firstLineChars="200"/>
        <w:rPr>
          <w:color w:val="auto"/>
          <w:sz w:val="24"/>
          <w:lang w:val="zh-CN"/>
        </w:rPr>
      </w:pPr>
      <w:r>
        <w:rPr>
          <w:color w:val="auto"/>
          <w:sz w:val="24"/>
          <w:lang w:val="zh-CN"/>
        </w:rPr>
        <w:t>本项目反应釜可能因选材不当、设计失误、制造本身的质量缺陷，或不具备抗压、抗高温性能、超期使用，而导致设备因腐蚀、摩擦穿孔、设备变形开裂造成危险化学品泄漏，而引起燃烧、爆炸和中毒的危险、危害。</w:t>
      </w:r>
    </w:p>
    <w:p w14:paraId="575FD1BC">
      <w:pPr>
        <w:autoSpaceDE w:val="0"/>
        <w:autoSpaceDN w:val="0"/>
        <w:adjustRightInd w:val="0"/>
        <w:spacing w:line="360" w:lineRule="auto"/>
        <w:ind w:firstLine="480" w:firstLineChars="200"/>
        <w:rPr>
          <w:color w:val="auto"/>
          <w:sz w:val="24"/>
          <w:lang w:val="zh-CN"/>
        </w:rPr>
      </w:pPr>
      <w:r>
        <w:rPr>
          <w:color w:val="auto"/>
          <w:sz w:val="24"/>
          <w:lang w:val="zh-CN"/>
        </w:rPr>
        <w:t>反应釜如果设计不合理，很容易造成火灾、爆炸事故事故。换热设备不能及时导出反应器中过多的热量、因器壁结垢传热效果变差、冷却水供给设备发生故障等原因，都可能导致反应热未能及时移出而发生事故。反应釜缺少安全装置和防护设施，或者安全装置和防护设施有缺陷可能引起事故，如缺少液位计、压力表、温度计容易造成误操作；缺少止逆阀、安全阀、爆破片等安全附件，容易造成操作失控。</w:t>
      </w:r>
    </w:p>
    <w:p w14:paraId="3FAABFDE">
      <w:pPr>
        <w:autoSpaceDE w:val="0"/>
        <w:autoSpaceDN w:val="0"/>
        <w:adjustRightInd w:val="0"/>
        <w:spacing w:line="360" w:lineRule="auto"/>
        <w:ind w:firstLine="480" w:firstLineChars="200"/>
        <w:rPr>
          <w:color w:val="auto"/>
          <w:sz w:val="24"/>
          <w:lang w:val="zh-CN"/>
        </w:rPr>
      </w:pPr>
      <w:r>
        <w:rPr>
          <w:color w:val="auto"/>
          <w:sz w:val="24"/>
          <w:lang w:val="zh-CN"/>
        </w:rPr>
        <w:t>生产设备的自动控制水平、仪表安装位置是否正常，对安全情况也有着重要影响，如果缺少自控报警装置、自动联锁控制装置或者装置不完善，将无法应对突发性事故，而引发安全事故。</w:t>
      </w:r>
    </w:p>
    <w:p w14:paraId="359C035E">
      <w:pPr>
        <w:autoSpaceDE w:val="0"/>
        <w:autoSpaceDN w:val="0"/>
        <w:adjustRightInd w:val="0"/>
        <w:spacing w:line="360" w:lineRule="auto"/>
        <w:ind w:firstLine="480" w:firstLineChars="200"/>
        <w:rPr>
          <w:color w:val="auto"/>
          <w:sz w:val="24"/>
          <w:lang w:val="zh-CN"/>
        </w:rPr>
      </w:pPr>
      <w:r>
        <w:rPr>
          <w:color w:val="auto"/>
          <w:sz w:val="24"/>
          <w:lang w:val="zh-CN"/>
        </w:rPr>
        <w:t>(2)管道</w:t>
      </w:r>
    </w:p>
    <w:p w14:paraId="7C1BA1EA">
      <w:pPr>
        <w:autoSpaceDE w:val="0"/>
        <w:autoSpaceDN w:val="0"/>
        <w:adjustRightInd w:val="0"/>
        <w:spacing w:line="360" w:lineRule="auto"/>
        <w:ind w:firstLine="480" w:firstLineChars="200"/>
        <w:rPr>
          <w:color w:val="auto"/>
          <w:sz w:val="24"/>
          <w:lang w:val="zh-CN"/>
        </w:rPr>
      </w:pPr>
      <w:r>
        <w:rPr>
          <w:color w:val="auto"/>
          <w:sz w:val="24"/>
          <w:lang w:val="zh-CN"/>
        </w:rPr>
        <w:t>物料的输送管道（包括法兰、弯头、垫片等管道附件），均有发生泄漏的可能。如这些输送管道的材料缺陷、机械损伤、各种腐蚀、焊缝裂纹或缺陷、外力破坏、施工缺陷和特殊因素等都可能导致管道局部泄漏。管道堵塞，会造成系统内压力升高，引起爆炸事故。物料在管道中输送过程中容易产生静电，若管道的静电跨接不符合要求，容易引起火灾、爆炸事故。</w:t>
      </w:r>
    </w:p>
    <w:p w14:paraId="31422577">
      <w:pPr>
        <w:autoSpaceDE w:val="0"/>
        <w:autoSpaceDN w:val="0"/>
        <w:adjustRightInd w:val="0"/>
        <w:spacing w:line="360" w:lineRule="auto"/>
        <w:ind w:firstLine="480" w:firstLineChars="200"/>
        <w:rPr>
          <w:color w:val="auto"/>
          <w:sz w:val="24"/>
          <w:lang w:val="zh-CN"/>
        </w:rPr>
      </w:pPr>
      <w:r>
        <w:rPr>
          <w:color w:val="auto"/>
          <w:sz w:val="24"/>
          <w:lang w:val="zh-CN"/>
        </w:rPr>
        <w:t>(3)机泵、阀门</w:t>
      </w:r>
    </w:p>
    <w:p w14:paraId="344A3C4E">
      <w:pPr>
        <w:autoSpaceDE w:val="0"/>
        <w:autoSpaceDN w:val="0"/>
        <w:adjustRightInd w:val="0"/>
        <w:spacing w:line="360" w:lineRule="auto"/>
        <w:ind w:firstLine="480" w:firstLineChars="200"/>
        <w:rPr>
          <w:color w:val="auto"/>
          <w:sz w:val="24"/>
          <w:lang w:val="zh-CN"/>
        </w:rPr>
      </w:pPr>
      <w:r>
        <w:rPr>
          <w:color w:val="auto"/>
          <w:sz w:val="24"/>
          <w:lang w:val="zh-CN"/>
        </w:rPr>
        <w:t>泵体、轴封缺陷，排放阀、润滑系统缺陷及管道系统的阀门、法兰等密封不好或填料缺陷，正常腐蚀，操作失误等易造成泄漏。尤其是装卸物料时，所接的临时接口，更易发生泄漏。</w:t>
      </w:r>
    </w:p>
    <w:p w14:paraId="18E286EA">
      <w:pPr>
        <w:autoSpaceDE w:val="0"/>
        <w:autoSpaceDN w:val="0"/>
        <w:adjustRightInd w:val="0"/>
        <w:spacing w:line="360" w:lineRule="auto"/>
        <w:ind w:firstLine="480" w:firstLineChars="200"/>
        <w:rPr>
          <w:color w:val="auto"/>
          <w:sz w:val="24"/>
        </w:rPr>
      </w:pPr>
      <w:r>
        <w:rPr>
          <w:color w:val="auto"/>
          <w:sz w:val="24"/>
        </w:rPr>
        <w:t>(4)原料</w:t>
      </w:r>
    </w:p>
    <w:p w14:paraId="59761CA8">
      <w:pPr>
        <w:autoSpaceDE w:val="0"/>
        <w:autoSpaceDN w:val="0"/>
        <w:adjustRightInd w:val="0"/>
        <w:spacing w:line="360" w:lineRule="auto"/>
        <w:ind w:firstLine="480" w:firstLineChars="200"/>
        <w:rPr>
          <w:color w:val="auto"/>
          <w:sz w:val="24"/>
        </w:rPr>
      </w:pPr>
      <w:r>
        <w:rPr>
          <w:color w:val="auto"/>
          <w:sz w:val="24"/>
        </w:rPr>
        <w:t>项目涉及风险物质有氟化氢、氯化氢等，具有较强的刺激性、腐蚀性。</w:t>
      </w:r>
    </w:p>
    <w:p w14:paraId="0D0ED405">
      <w:pPr>
        <w:autoSpaceDE w:val="0"/>
        <w:autoSpaceDN w:val="0"/>
        <w:adjustRightInd w:val="0"/>
        <w:spacing w:line="360" w:lineRule="auto"/>
        <w:ind w:firstLine="480" w:firstLineChars="200"/>
        <w:rPr>
          <w:color w:val="auto"/>
          <w:sz w:val="24"/>
        </w:rPr>
      </w:pPr>
      <w:r>
        <w:rPr>
          <w:color w:val="auto"/>
          <w:sz w:val="24"/>
        </w:rPr>
        <w:t>2、储罐区</w:t>
      </w:r>
    </w:p>
    <w:p w14:paraId="0008315D">
      <w:pPr>
        <w:autoSpaceDE w:val="0"/>
        <w:autoSpaceDN w:val="0"/>
        <w:adjustRightInd w:val="0"/>
        <w:spacing w:line="360" w:lineRule="auto"/>
        <w:ind w:firstLine="480" w:firstLineChars="200"/>
        <w:rPr>
          <w:color w:val="auto"/>
          <w:sz w:val="24"/>
        </w:rPr>
      </w:pPr>
      <w:r>
        <w:rPr>
          <w:color w:val="auto"/>
          <w:sz w:val="24"/>
        </w:rPr>
        <w:t>(1)罐区及装置内的储存设施（储罐、容器）等的设计、制造、使用、管理、维护不到位，储存管理欠缺，储罐安全附件如液位计等失灵，有可能因超压引起容器或管道的泄漏、爆裂，有毒有害物质的大量泄漏，会造成中毒、化学灼伤等事故。罐区设置不符合规范，一旦发生泄漏，造成的事故不利于事故控制。</w:t>
      </w:r>
    </w:p>
    <w:p w14:paraId="3145D572">
      <w:pPr>
        <w:autoSpaceDE w:val="0"/>
        <w:autoSpaceDN w:val="0"/>
        <w:adjustRightInd w:val="0"/>
        <w:spacing w:line="360" w:lineRule="auto"/>
        <w:ind w:firstLine="480" w:firstLineChars="200"/>
        <w:rPr>
          <w:color w:val="auto"/>
          <w:sz w:val="24"/>
        </w:rPr>
      </w:pPr>
      <w:r>
        <w:rPr>
          <w:color w:val="auto"/>
          <w:sz w:val="24"/>
        </w:rPr>
        <w:t>(2)储罐和相应管道及其安全附件设计、制造有缺陷，或使用过程中管理、维护、检测不到位，可因安全附件失效导致过载运行、金属材料疲劳出现裂缝、受热膨胀受冷收缩等原因，出现储罐、管道、阀门等破裂或渗漏，引起储罐爆破事故。如储罐未按规定要求安装阻火器、呼吸阀等，可能会导致储罐内压力增加，有容器爆炸的危险。</w:t>
      </w:r>
    </w:p>
    <w:p w14:paraId="37D67487">
      <w:pPr>
        <w:autoSpaceDE w:val="0"/>
        <w:autoSpaceDN w:val="0"/>
        <w:adjustRightInd w:val="0"/>
        <w:spacing w:line="360" w:lineRule="auto"/>
        <w:ind w:firstLine="480" w:firstLineChars="200"/>
        <w:rPr>
          <w:color w:val="auto"/>
          <w:sz w:val="24"/>
        </w:rPr>
      </w:pPr>
      <w:r>
        <w:rPr>
          <w:color w:val="auto"/>
          <w:sz w:val="24"/>
        </w:rPr>
        <w:t>(3)物料输送管道管理不到位，管道系统本体缺陷等原因导致有毒物质泄漏，可造成中毒、化学灼伤等事故。检修槽、罐等过程因清洗置换不彻底、安全措施不到位，有窒息、中毒的危险。</w:t>
      </w:r>
    </w:p>
    <w:p w14:paraId="6B9892D3">
      <w:pPr>
        <w:autoSpaceDE w:val="0"/>
        <w:autoSpaceDN w:val="0"/>
        <w:adjustRightInd w:val="0"/>
        <w:spacing w:line="360" w:lineRule="auto"/>
        <w:ind w:firstLine="480" w:firstLineChars="200"/>
        <w:rPr>
          <w:color w:val="auto"/>
          <w:sz w:val="24"/>
        </w:rPr>
      </w:pPr>
      <w:r>
        <w:rPr>
          <w:color w:val="auto"/>
          <w:sz w:val="24"/>
        </w:rPr>
        <w:t>(4)物料在管道输送时，采用的泵、管道材料、管径以及输送速度、落差等不当，系统内易产生、集聚静电，当系统内有空气存在时形成的爆炸性混合物遇静电火花极易发生爆炸。</w:t>
      </w:r>
    </w:p>
    <w:p w14:paraId="3EEA9889">
      <w:pPr>
        <w:autoSpaceDE w:val="0"/>
        <w:autoSpaceDN w:val="0"/>
        <w:adjustRightInd w:val="0"/>
        <w:spacing w:line="360" w:lineRule="auto"/>
        <w:ind w:firstLine="480" w:firstLineChars="200"/>
        <w:rPr>
          <w:color w:val="auto"/>
          <w:sz w:val="24"/>
        </w:rPr>
      </w:pPr>
      <w:r>
        <w:rPr>
          <w:color w:val="auto"/>
          <w:sz w:val="24"/>
        </w:rPr>
        <w:t>(5)在向储罐输送物料时，如控制系统出现故障或操作与判断失误，可能导致物料溢罐，会引起人员中毒和化学灼伤事故。原料卸料（从槽车卸入储罐）作业过程中，储存容器（储罐、槽车等）泄漏、卸料管内剩余物料等泄漏或挥发、作业人员操作失误，导致有毒有害物料的泄漏，会导致人员中毒和化学灼伤事故。毒害性物料泄漏时易引起人员中毒窒息事故。</w:t>
      </w:r>
    </w:p>
    <w:p w14:paraId="47A7F593">
      <w:pPr>
        <w:autoSpaceDE w:val="0"/>
        <w:autoSpaceDN w:val="0"/>
        <w:adjustRightInd w:val="0"/>
        <w:spacing w:line="360" w:lineRule="auto"/>
        <w:ind w:firstLine="480" w:firstLineChars="200"/>
        <w:rPr>
          <w:color w:val="auto"/>
          <w:sz w:val="24"/>
        </w:rPr>
      </w:pPr>
      <w:r>
        <w:rPr>
          <w:color w:val="auto"/>
          <w:sz w:val="24"/>
        </w:rPr>
        <w:t>(6)物料输送泵如果安装、使用不当，或材质、型号选择错误，因泵出口压力超过泵壳压力或泵被腐蚀，有可能导致工艺中物料的外泄发生人员化学灼伤和中毒。</w:t>
      </w:r>
    </w:p>
    <w:p w14:paraId="01F61C18">
      <w:pPr>
        <w:autoSpaceDE w:val="0"/>
        <w:autoSpaceDN w:val="0"/>
        <w:adjustRightInd w:val="0"/>
        <w:spacing w:line="360" w:lineRule="auto"/>
        <w:ind w:firstLine="480" w:firstLineChars="200"/>
        <w:rPr>
          <w:color w:val="auto"/>
          <w:sz w:val="24"/>
        </w:rPr>
      </w:pPr>
      <w:r>
        <w:rPr>
          <w:color w:val="auto"/>
          <w:sz w:val="24"/>
        </w:rPr>
        <w:t>3、部分公用工程</w:t>
      </w:r>
    </w:p>
    <w:p w14:paraId="6D2E63DC">
      <w:pPr>
        <w:autoSpaceDE w:val="0"/>
        <w:autoSpaceDN w:val="0"/>
        <w:adjustRightInd w:val="0"/>
        <w:spacing w:line="360" w:lineRule="auto"/>
        <w:ind w:firstLine="480" w:firstLineChars="200"/>
        <w:rPr>
          <w:color w:val="auto"/>
          <w:sz w:val="24"/>
        </w:rPr>
      </w:pPr>
      <w:r>
        <w:rPr>
          <w:color w:val="auto"/>
          <w:sz w:val="24"/>
        </w:rPr>
        <w:t>如果厂区供水能力不足，容易引发消防水系统供应水量不足，导致生产过程中事故多发，或者发生事故后未能得到充分的消防救援，导致事故后果扩大。</w:t>
      </w:r>
    </w:p>
    <w:p w14:paraId="3A97D9E4">
      <w:pPr>
        <w:autoSpaceDE w:val="0"/>
        <w:autoSpaceDN w:val="0"/>
        <w:adjustRightInd w:val="0"/>
        <w:spacing w:line="360" w:lineRule="auto"/>
        <w:ind w:firstLine="480" w:firstLineChars="200"/>
        <w:rPr>
          <w:color w:val="auto"/>
          <w:sz w:val="24"/>
        </w:rPr>
      </w:pPr>
      <w:r>
        <w:rPr>
          <w:color w:val="auto"/>
          <w:sz w:val="24"/>
        </w:rPr>
        <w:t>4、污染物治理设施</w:t>
      </w:r>
    </w:p>
    <w:p w14:paraId="60D491A7">
      <w:pPr>
        <w:autoSpaceDE w:val="0"/>
        <w:autoSpaceDN w:val="0"/>
        <w:adjustRightInd w:val="0"/>
        <w:spacing w:line="360" w:lineRule="auto"/>
        <w:ind w:firstLine="480" w:firstLineChars="200"/>
        <w:rPr>
          <w:color w:val="auto"/>
          <w:sz w:val="24"/>
        </w:rPr>
      </w:pPr>
      <w:r>
        <w:rPr>
          <w:color w:val="auto"/>
          <w:sz w:val="24"/>
        </w:rPr>
        <w:t>(1)废气治理系统风险识别</w:t>
      </w:r>
    </w:p>
    <w:p w14:paraId="477BABBF">
      <w:pPr>
        <w:autoSpaceDE w:val="0"/>
        <w:autoSpaceDN w:val="0"/>
        <w:adjustRightInd w:val="0"/>
        <w:spacing w:line="360" w:lineRule="auto"/>
        <w:ind w:firstLine="480" w:firstLineChars="200"/>
        <w:rPr>
          <w:color w:val="auto"/>
          <w:sz w:val="24"/>
        </w:rPr>
      </w:pPr>
      <w:r>
        <w:rPr>
          <w:color w:val="auto"/>
          <w:sz w:val="24"/>
        </w:rPr>
        <w:t>废气治理系统风险主要为废气净化处理系统因故障不能正常运作，导致大气污染物没有经过处理后直接通过排气向外环境排放。</w:t>
      </w:r>
    </w:p>
    <w:p w14:paraId="2403A5FF">
      <w:pPr>
        <w:autoSpaceDE w:val="0"/>
        <w:autoSpaceDN w:val="0"/>
        <w:adjustRightInd w:val="0"/>
        <w:spacing w:line="360" w:lineRule="auto"/>
        <w:ind w:firstLine="480" w:firstLineChars="200"/>
        <w:rPr>
          <w:color w:val="auto"/>
          <w:sz w:val="24"/>
        </w:rPr>
      </w:pPr>
      <w:bookmarkStart w:id="212" w:name="_Toc452817143"/>
      <w:bookmarkStart w:id="213" w:name="_Toc448778511"/>
      <w:r>
        <w:rPr>
          <w:color w:val="auto"/>
          <w:sz w:val="24"/>
        </w:rPr>
        <w:t>(2)废水处理设施风险识别</w:t>
      </w:r>
      <w:bookmarkEnd w:id="212"/>
      <w:bookmarkEnd w:id="213"/>
    </w:p>
    <w:p w14:paraId="15358324">
      <w:pPr>
        <w:autoSpaceDE w:val="0"/>
        <w:autoSpaceDN w:val="0"/>
        <w:adjustRightInd w:val="0"/>
        <w:spacing w:line="360" w:lineRule="auto"/>
        <w:ind w:firstLine="480" w:firstLineChars="200"/>
        <w:rPr>
          <w:color w:val="auto"/>
          <w:sz w:val="24"/>
        </w:rPr>
      </w:pPr>
      <w:r>
        <w:rPr>
          <w:color w:val="auto"/>
          <w:sz w:val="24"/>
        </w:rPr>
        <w:t>废水收集设施泄漏导致废水泄漏至地面，进入雨水系统，继而影响周边地表水系统。</w:t>
      </w:r>
    </w:p>
    <w:p w14:paraId="0130FE32">
      <w:pPr>
        <w:autoSpaceDE w:val="0"/>
        <w:autoSpaceDN w:val="0"/>
        <w:adjustRightInd w:val="0"/>
        <w:spacing w:line="360" w:lineRule="auto"/>
        <w:ind w:firstLine="480" w:firstLineChars="200"/>
        <w:rPr>
          <w:color w:val="auto"/>
          <w:sz w:val="24"/>
        </w:rPr>
      </w:pPr>
      <w:r>
        <w:rPr>
          <w:color w:val="auto"/>
          <w:sz w:val="24"/>
        </w:rPr>
        <w:t>(3)危险废物暂存场所</w:t>
      </w:r>
    </w:p>
    <w:p w14:paraId="4581D235">
      <w:pPr>
        <w:autoSpaceDE w:val="0"/>
        <w:autoSpaceDN w:val="0"/>
        <w:adjustRightInd w:val="0"/>
        <w:spacing w:line="360" w:lineRule="auto"/>
        <w:ind w:firstLine="480" w:firstLineChars="200"/>
        <w:rPr>
          <w:color w:val="auto"/>
          <w:sz w:val="24"/>
        </w:rPr>
      </w:pPr>
      <w:r>
        <w:rPr>
          <w:color w:val="auto"/>
          <w:sz w:val="24"/>
        </w:rPr>
        <w:t>危险废物暂存场所储存有本次项目涉及的危废发生泄漏造成污染。</w:t>
      </w:r>
    </w:p>
    <w:p w14:paraId="6C57F2F6">
      <w:pPr>
        <w:spacing w:line="360" w:lineRule="auto"/>
        <w:outlineLvl w:val="0"/>
        <w:rPr>
          <w:color w:val="auto"/>
          <w:sz w:val="28"/>
          <w:szCs w:val="28"/>
        </w:rPr>
      </w:pPr>
      <w:bookmarkStart w:id="214" w:name="_Toc22966"/>
      <w:bookmarkStart w:id="215" w:name="_Toc25164"/>
      <w:r>
        <w:rPr>
          <w:rFonts w:hint="eastAsia"/>
          <w:color w:val="auto"/>
          <w:sz w:val="28"/>
          <w:szCs w:val="28"/>
        </w:rPr>
        <w:t xml:space="preserve">6 </w:t>
      </w:r>
      <w:r>
        <w:rPr>
          <w:color w:val="auto"/>
          <w:sz w:val="28"/>
          <w:szCs w:val="28"/>
        </w:rPr>
        <w:t>国内外化工事故统计</w:t>
      </w:r>
      <w:bookmarkEnd w:id="211"/>
      <w:bookmarkEnd w:id="214"/>
      <w:bookmarkEnd w:id="215"/>
    </w:p>
    <w:p w14:paraId="02A452F1">
      <w:pPr>
        <w:spacing w:line="360" w:lineRule="auto"/>
        <w:ind w:firstLine="480" w:firstLineChars="200"/>
        <w:rPr>
          <w:color w:val="auto"/>
          <w:sz w:val="24"/>
        </w:rPr>
      </w:pPr>
      <w:r>
        <w:rPr>
          <w:color w:val="auto"/>
          <w:sz w:val="24"/>
        </w:rPr>
        <w:t>参考1969年至1987年在95个国家的化工企业事故统计，发生突发性化学事故分析分类比例见下表，由表可知，在统计时间内国内外化工事故所占比例最大的类别从物质形态方面分析为液体，从生产系统上分析为运输，从事故来源上主要是机械故障。</w:t>
      </w:r>
    </w:p>
    <w:p w14:paraId="30493AC2">
      <w:pPr>
        <w:adjustRightInd w:val="0"/>
        <w:snapToGrid w:val="0"/>
        <w:spacing w:beforeLines="25" w:afterLines="25"/>
        <w:ind w:firstLine="422"/>
        <w:jc w:val="center"/>
        <w:outlineLvl w:val="3"/>
        <w:rPr>
          <w:b/>
          <w:bCs/>
          <w:color w:val="auto"/>
          <w:szCs w:val="21"/>
        </w:rPr>
      </w:pPr>
      <w:r>
        <w:rPr>
          <w:rFonts w:hint="eastAsia"/>
          <w:b/>
          <w:bCs/>
          <w:color w:val="auto"/>
          <w:szCs w:val="21"/>
        </w:rPr>
        <w:t>表7.6-1</w:t>
      </w:r>
      <w:r>
        <w:rPr>
          <w:b/>
          <w:bCs/>
          <w:color w:val="auto"/>
          <w:szCs w:val="21"/>
        </w:rPr>
        <w:t xml:space="preserve">  国内外化工事故分类情况</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421"/>
        <w:gridCol w:w="2420"/>
        <w:gridCol w:w="2422"/>
        <w:gridCol w:w="2422"/>
      </w:tblGrid>
      <w:tr w14:paraId="633775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421" w:type="dxa"/>
            <w:vAlign w:val="center"/>
          </w:tcPr>
          <w:p w14:paraId="106E4E2E">
            <w:pPr>
              <w:spacing w:line="280" w:lineRule="exact"/>
              <w:jc w:val="center"/>
              <w:rPr>
                <w:color w:val="auto"/>
              </w:rPr>
            </w:pPr>
            <w:r>
              <w:rPr>
                <w:color w:val="auto"/>
              </w:rPr>
              <w:t>类别</w:t>
            </w:r>
          </w:p>
        </w:tc>
        <w:tc>
          <w:tcPr>
            <w:tcW w:w="2420" w:type="dxa"/>
            <w:vAlign w:val="center"/>
          </w:tcPr>
          <w:p w14:paraId="44364DD4">
            <w:pPr>
              <w:spacing w:line="280" w:lineRule="exact"/>
              <w:jc w:val="center"/>
              <w:rPr>
                <w:color w:val="auto"/>
              </w:rPr>
            </w:pPr>
            <w:r>
              <w:rPr>
                <w:color w:val="auto"/>
              </w:rPr>
              <w:t>名称</w:t>
            </w:r>
          </w:p>
        </w:tc>
        <w:tc>
          <w:tcPr>
            <w:tcW w:w="2422" w:type="dxa"/>
            <w:vAlign w:val="center"/>
          </w:tcPr>
          <w:p w14:paraId="55566BC4">
            <w:pPr>
              <w:spacing w:line="280" w:lineRule="exact"/>
              <w:jc w:val="center"/>
              <w:rPr>
                <w:color w:val="auto"/>
              </w:rPr>
            </w:pPr>
            <w:r>
              <w:rPr>
                <w:color w:val="auto"/>
              </w:rPr>
              <w:t>比例</w:t>
            </w:r>
          </w:p>
        </w:tc>
        <w:tc>
          <w:tcPr>
            <w:tcW w:w="2422" w:type="dxa"/>
            <w:vAlign w:val="center"/>
          </w:tcPr>
          <w:p w14:paraId="7D31D0F6">
            <w:pPr>
              <w:spacing w:line="280" w:lineRule="exact"/>
              <w:jc w:val="center"/>
              <w:rPr>
                <w:color w:val="auto"/>
              </w:rPr>
            </w:pPr>
            <w:r>
              <w:rPr>
                <w:color w:val="auto"/>
              </w:rPr>
              <w:t>排名</w:t>
            </w:r>
          </w:p>
        </w:tc>
      </w:tr>
      <w:tr w14:paraId="0B146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restart"/>
            <w:vAlign w:val="center"/>
          </w:tcPr>
          <w:p w14:paraId="1EA02E20">
            <w:pPr>
              <w:spacing w:line="280" w:lineRule="exact"/>
              <w:jc w:val="center"/>
              <w:rPr>
                <w:color w:val="auto"/>
              </w:rPr>
            </w:pPr>
            <w:r>
              <w:rPr>
                <w:color w:val="auto"/>
              </w:rPr>
              <w:t>化学品</w:t>
            </w:r>
          </w:p>
          <w:p w14:paraId="381D17D9">
            <w:pPr>
              <w:spacing w:line="280" w:lineRule="exact"/>
              <w:jc w:val="center"/>
              <w:rPr>
                <w:color w:val="auto"/>
              </w:rPr>
            </w:pPr>
            <w:r>
              <w:rPr>
                <w:color w:val="auto"/>
              </w:rPr>
              <w:t>物质形态</w:t>
            </w:r>
          </w:p>
        </w:tc>
        <w:tc>
          <w:tcPr>
            <w:tcW w:w="2420" w:type="dxa"/>
            <w:vAlign w:val="center"/>
          </w:tcPr>
          <w:p w14:paraId="0125378D">
            <w:pPr>
              <w:spacing w:line="280" w:lineRule="exact"/>
              <w:jc w:val="center"/>
              <w:rPr>
                <w:color w:val="auto"/>
              </w:rPr>
            </w:pPr>
            <w:r>
              <w:rPr>
                <w:color w:val="auto"/>
              </w:rPr>
              <w:t>液体</w:t>
            </w:r>
          </w:p>
        </w:tc>
        <w:tc>
          <w:tcPr>
            <w:tcW w:w="2422" w:type="dxa"/>
            <w:vAlign w:val="center"/>
          </w:tcPr>
          <w:p w14:paraId="1316B5EF">
            <w:pPr>
              <w:spacing w:line="280" w:lineRule="exact"/>
              <w:jc w:val="center"/>
              <w:rPr>
                <w:color w:val="auto"/>
              </w:rPr>
            </w:pPr>
            <w:r>
              <w:rPr>
                <w:color w:val="auto"/>
              </w:rPr>
              <w:t>47.8</w:t>
            </w:r>
          </w:p>
        </w:tc>
        <w:tc>
          <w:tcPr>
            <w:tcW w:w="2422" w:type="dxa"/>
            <w:vAlign w:val="center"/>
          </w:tcPr>
          <w:p w14:paraId="361B5369">
            <w:pPr>
              <w:spacing w:line="280" w:lineRule="exact"/>
              <w:jc w:val="center"/>
              <w:rPr>
                <w:color w:val="auto"/>
              </w:rPr>
            </w:pPr>
            <w:r>
              <w:rPr>
                <w:color w:val="auto"/>
              </w:rPr>
              <w:t>1</w:t>
            </w:r>
          </w:p>
        </w:tc>
      </w:tr>
      <w:tr w14:paraId="795F89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438BF1E2">
            <w:pPr>
              <w:spacing w:line="280" w:lineRule="exact"/>
              <w:jc w:val="center"/>
              <w:rPr>
                <w:color w:val="auto"/>
              </w:rPr>
            </w:pPr>
          </w:p>
        </w:tc>
        <w:tc>
          <w:tcPr>
            <w:tcW w:w="2420" w:type="dxa"/>
            <w:vAlign w:val="center"/>
          </w:tcPr>
          <w:p w14:paraId="6FCB0499">
            <w:pPr>
              <w:spacing w:line="280" w:lineRule="exact"/>
              <w:jc w:val="center"/>
              <w:rPr>
                <w:color w:val="auto"/>
              </w:rPr>
            </w:pPr>
            <w:r>
              <w:rPr>
                <w:color w:val="auto"/>
              </w:rPr>
              <w:t>液化气</w:t>
            </w:r>
          </w:p>
        </w:tc>
        <w:tc>
          <w:tcPr>
            <w:tcW w:w="2422" w:type="dxa"/>
            <w:vAlign w:val="center"/>
          </w:tcPr>
          <w:p w14:paraId="3AF2ACF9">
            <w:pPr>
              <w:spacing w:line="280" w:lineRule="exact"/>
              <w:jc w:val="center"/>
              <w:rPr>
                <w:color w:val="auto"/>
              </w:rPr>
            </w:pPr>
            <w:r>
              <w:rPr>
                <w:color w:val="auto"/>
              </w:rPr>
              <w:t>27.6</w:t>
            </w:r>
          </w:p>
        </w:tc>
        <w:tc>
          <w:tcPr>
            <w:tcW w:w="2422" w:type="dxa"/>
            <w:vAlign w:val="center"/>
          </w:tcPr>
          <w:p w14:paraId="6590D82E">
            <w:pPr>
              <w:spacing w:line="280" w:lineRule="exact"/>
              <w:jc w:val="center"/>
              <w:rPr>
                <w:color w:val="auto"/>
              </w:rPr>
            </w:pPr>
            <w:r>
              <w:rPr>
                <w:color w:val="auto"/>
              </w:rPr>
              <w:t>2</w:t>
            </w:r>
          </w:p>
        </w:tc>
      </w:tr>
      <w:tr w14:paraId="0AEF23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1B8273E4">
            <w:pPr>
              <w:spacing w:line="280" w:lineRule="exact"/>
              <w:jc w:val="center"/>
              <w:rPr>
                <w:color w:val="auto"/>
              </w:rPr>
            </w:pPr>
          </w:p>
        </w:tc>
        <w:tc>
          <w:tcPr>
            <w:tcW w:w="2420" w:type="dxa"/>
            <w:vAlign w:val="center"/>
          </w:tcPr>
          <w:p w14:paraId="0996FECF">
            <w:pPr>
              <w:spacing w:line="280" w:lineRule="exact"/>
              <w:jc w:val="center"/>
              <w:rPr>
                <w:color w:val="auto"/>
              </w:rPr>
            </w:pPr>
            <w:r>
              <w:rPr>
                <w:color w:val="auto"/>
              </w:rPr>
              <w:t>气体</w:t>
            </w:r>
          </w:p>
        </w:tc>
        <w:tc>
          <w:tcPr>
            <w:tcW w:w="2422" w:type="dxa"/>
            <w:vAlign w:val="center"/>
          </w:tcPr>
          <w:p w14:paraId="7B71BC84">
            <w:pPr>
              <w:spacing w:line="280" w:lineRule="exact"/>
              <w:jc w:val="center"/>
              <w:rPr>
                <w:color w:val="auto"/>
              </w:rPr>
            </w:pPr>
            <w:r>
              <w:rPr>
                <w:color w:val="auto"/>
              </w:rPr>
              <w:t>18.8</w:t>
            </w:r>
          </w:p>
        </w:tc>
        <w:tc>
          <w:tcPr>
            <w:tcW w:w="2422" w:type="dxa"/>
            <w:vAlign w:val="center"/>
          </w:tcPr>
          <w:p w14:paraId="10AF1EA1">
            <w:pPr>
              <w:spacing w:line="280" w:lineRule="exact"/>
              <w:jc w:val="center"/>
              <w:rPr>
                <w:color w:val="auto"/>
              </w:rPr>
            </w:pPr>
            <w:r>
              <w:rPr>
                <w:color w:val="auto"/>
              </w:rPr>
              <w:t>3</w:t>
            </w:r>
          </w:p>
        </w:tc>
      </w:tr>
      <w:tr w14:paraId="6E518C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58F6EF0A">
            <w:pPr>
              <w:spacing w:line="280" w:lineRule="exact"/>
              <w:jc w:val="center"/>
              <w:rPr>
                <w:color w:val="auto"/>
              </w:rPr>
            </w:pPr>
          </w:p>
        </w:tc>
        <w:tc>
          <w:tcPr>
            <w:tcW w:w="2420" w:type="dxa"/>
            <w:vAlign w:val="center"/>
          </w:tcPr>
          <w:p w14:paraId="318D0C9A">
            <w:pPr>
              <w:spacing w:line="280" w:lineRule="exact"/>
              <w:jc w:val="center"/>
              <w:rPr>
                <w:color w:val="auto"/>
              </w:rPr>
            </w:pPr>
            <w:r>
              <w:rPr>
                <w:color w:val="auto"/>
              </w:rPr>
              <w:t>固体</w:t>
            </w:r>
          </w:p>
        </w:tc>
        <w:tc>
          <w:tcPr>
            <w:tcW w:w="2422" w:type="dxa"/>
            <w:vAlign w:val="center"/>
          </w:tcPr>
          <w:p w14:paraId="45BB17DD">
            <w:pPr>
              <w:spacing w:line="280" w:lineRule="exact"/>
              <w:jc w:val="center"/>
              <w:rPr>
                <w:color w:val="auto"/>
              </w:rPr>
            </w:pPr>
            <w:r>
              <w:rPr>
                <w:color w:val="auto"/>
              </w:rPr>
              <w:t>8.2</w:t>
            </w:r>
          </w:p>
        </w:tc>
        <w:tc>
          <w:tcPr>
            <w:tcW w:w="2422" w:type="dxa"/>
            <w:vAlign w:val="center"/>
          </w:tcPr>
          <w:p w14:paraId="2CF32B1D">
            <w:pPr>
              <w:spacing w:line="280" w:lineRule="exact"/>
              <w:jc w:val="center"/>
              <w:rPr>
                <w:color w:val="auto"/>
              </w:rPr>
            </w:pPr>
            <w:r>
              <w:rPr>
                <w:color w:val="auto"/>
              </w:rPr>
              <w:t>4</w:t>
            </w:r>
          </w:p>
        </w:tc>
      </w:tr>
      <w:tr w14:paraId="40A7D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restart"/>
            <w:vAlign w:val="center"/>
          </w:tcPr>
          <w:p w14:paraId="0C981C93">
            <w:pPr>
              <w:spacing w:line="280" w:lineRule="exact"/>
              <w:jc w:val="center"/>
              <w:rPr>
                <w:color w:val="auto"/>
              </w:rPr>
            </w:pPr>
            <w:r>
              <w:rPr>
                <w:color w:val="auto"/>
              </w:rPr>
              <w:t>生产系统</w:t>
            </w:r>
          </w:p>
        </w:tc>
        <w:tc>
          <w:tcPr>
            <w:tcW w:w="2420" w:type="dxa"/>
            <w:vAlign w:val="center"/>
          </w:tcPr>
          <w:p w14:paraId="5E5935B7">
            <w:pPr>
              <w:spacing w:line="280" w:lineRule="exact"/>
              <w:jc w:val="center"/>
              <w:rPr>
                <w:color w:val="auto"/>
              </w:rPr>
            </w:pPr>
            <w:r>
              <w:rPr>
                <w:color w:val="auto"/>
              </w:rPr>
              <w:t>运输</w:t>
            </w:r>
          </w:p>
        </w:tc>
        <w:tc>
          <w:tcPr>
            <w:tcW w:w="2422" w:type="dxa"/>
            <w:vAlign w:val="center"/>
          </w:tcPr>
          <w:p w14:paraId="11F5CD08">
            <w:pPr>
              <w:spacing w:line="280" w:lineRule="exact"/>
              <w:jc w:val="center"/>
              <w:rPr>
                <w:color w:val="auto"/>
              </w:rPr>
            </w:pPr>
            <w:r>
              <w:rPr>
                <w:color w:val="auto"/>
              </w:rPr>
              <w:t>34.2</w:t>
            </w:r>
          </w:p>
        </w:tc>
        <w:tc>
          <w:tcPr>
            <w:tcW w:w="2422" w:type="dxa"/>
            <w:vAlign w:val="center"/>
          </w:tcPr>
          <w:p w14:paraId="5767CE0B">
            <w:pPr>
              <w:spacing w:line="280" w:lineRule="exact"/>
              <w:jc w:val="center"/>
              <w:rPr>
                <w:color w:val="auto"/>
              </w:rPr>
            </w:pPr>
            <w:r>
              <w:rPr>
                <w:color w:val="auto"/>
              </w:rPr>
              <w:t>1</w:t>
            </w:r>
          </w:p>
        </w:tc>
      </w:tr>
      <w:tr w14:paraId="1B8E3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6B3198B3">
            <w:pPr>
              <w:spacing w:line="280" w:lineRule="exact"/>
              <w:jc w:val="center"/>
              <w:rPr>
                <w:color w:val="auto"/>
              </w:rPr>
            </w:pPr>
          </w:p>
        </w:tc>
        <w:tc>
          <w:tcPr>
            <w:tcW w:w="2420" w:type="dxa"/>
            <w:vAlign w:val="center"/>
          </w:tcPr>
          <w:p w14:paraId="4FAA0C00">
            <w:pPr>
              <w:spacing w:line="280" w:lineRule="exact"/>
              <w:jc w:val="center"/>
              <w:rPr>
                <w:color w:val="auto"/>
              </w:rPr>
            </w:pPr>
            <w:r>
              <w:rPr>
                <w:color w:val="auto"/>
              </w:rPr>
              <w:t>工艺过程</w:t>
            </w:r>
          </w:p>
        </w:tc>
        <w:tc>
          <w:tcPr>
            <w:tcW w:w="2422" w:type="dxa"/>
            <w:vAlign w:val="center"/>
          </w:tcPr>
          <w:p w14:paraId="55FC8D12">
            <w:pPr>
              <w:spacing w:line="280" w:lineRule="exact"/>
              <w:jc w:val="center"/>
              <w:rPr>
                <w:color w:val="auto"/>
              </w:rPr>
            </w:pPr>
            <w:r>
              <w:rPr>
                <w:color w:val="auto"/>
              </w:rPr>
              <w:t>33.0</w:t>
            </w:r>
          </w:p>
        </w:tc>
        <w:tc>
          <w:tcPr>
            <w:tcW w:w="2422" w:type="dxa"/>
            <w:vAlign w:val="center"/>
          </w:tcPr>
          <w:p w14:paraId="432E4809">
            <w:pPr>
              <w:spacing w:line="280" w:lineRule="exact"/>
              <w:jc w:val="center"/>
              <w:rPr>
                <w:color w:val="auto"/>
              </w:rPr>
            </w:pPr>
            <w:r>
              <w:rPr>
                <w:color w:val="auto"/>
              </w:rPr>
              <w:t>2</w:t>
            </w:r>
          </w:p>
        </w:tc>
      </w:tr>
      <w:tr w14:paraId="5049B9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7089E5A9">
            <w:pPr>
              <w:spacing w:line="280" w:lineRule="exact"/>
              <w:jc w:val="center"/>
              <w:rPr>
                <w:color w:val="auto"/>
              </w:rPr>
            </w:pPr>
          </w:p>
        </w:tc>
        <w:tc>
          <w:tcPr>
            <w:tcW w:w="2420" w:type="dxa"/>
            <w:vAlign w:val="center"/>
          </w:tcPr>
          <w:p w14:paraId="2C12DFE5">
            <w:pPr>
              <w:spacing w:line="280" w:lineRule="exact"/>
              <w:jc w:val="center"/>
              <w:rPr>
                <w:color w:val="auto"/>
              </w:rPr>
            </w:pPr>
            <w:r>
              <w:rPr>
                <w:color w:val="auto"/>
              </w:rPr>
              <w:t>储存</w:t>
            </w:r>
          </w:p>
        </w:tc>
        <w:tc>
          <w:tcPr>
            <w:tcW w:w="2422" w:type="dxa"/>
            <w:vAlign w:val="center"/>
          </w:tcPr>
          <w:p w14:paraId="5696345F">
            <w:pPr>
              <w:spacing w:line="280" w:lineRule="exact"/>
              <w:jc w:val="center"/>
              <w:rPr>
                <w:color w:val="auto"/>
              </w:rPr>
            </w:pPr>
            <w:r>
              <w:rPr>
                <w:color w:val="auto"/>
              </w:rPr>
              <w:t>23.1</w:t>
            </w:r>
          </w:p>
        </w:tc>
        <w:tc>
          <w:tcPr>
            <w:tcW w:w="2422" w:type="dxa"/>
            <w:vAlign w:val="center"/>
          </w:tcPr>
          <w:p w14:paraId="64C80AC0">
            <w:pPr>
              <w:spacing w:line="280" w:lineRule="exact"/>
              <w:jc w:val="center"/>
              <w:rPr>
                <w:color w:val="auto"/>
              </w:rPr>
            </w:pPr>
            <w:r>
              <w:rPr>
                <w:color w:val="auto"/>
              </w:rPr>
              <w:t>3</w:t>
            </w:r>
          </w:p>
        </w:tc>
      </w:tr>
      <w:tr w14:paraId="69C4C5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402A5B86">
            <w:pPr>
              <w:spacing w:line="280" w:lineRule="exact"/>
              <w:jc w:val="center"/>
              <w:rPr>
                <w:color w:val="auto"/>
              </w:rPr>
            </w:pPr>
          </w:p>
        </w:tc>
        <w:tc>
          <w:tcPr>
            <w:tcW w:w="2420" w:type="dxa"/>
            <w:vAlign w:val="center"/>
          </w:tcPr>
          <w:p w14:paraId="26698925">
            <w:pPr>
              <w:spacing w:line="280" w:lineRule="exact"/>
              <w:jc w:val="center"/>
              <w:rPr>
                <w:color w:val="auto"/>
              </w:rPr>
            </w:pPr>
            <w:r>
              <w:rPr>
                <w:color w:val="auto"/>
              </w:rPr>
              <w:t>搬运</w:t>
            </w:r>
          </w:p>
        </w:tc>
        <w:tc>
          <w:tcPr>
            <w:tcW w:w="2422" w:type="dxa"/>
            <w:vAlign w:val="center"/>
          </w:tcPr>
          <w:p w14:paraId="63C44B43">
            <w:pPr>
              <w:spacing w:line="280" w:lineRule="exact"/>
              <w:jc w:val="center"/>
              <w:rPr>
                <w:color w:val="auto"/>
              </w:rPr>
            </w:pPr>
            <w:r>
              <w:rPr>
                <w:color w:val="auto"/>
              </w:rPr>
              <w:t>9.6</w:t>
            </w:r>
          </w:p>
        </w:tc>
        <w:tc>
          <w:tcPr>
            <w:tcW w:w="2422" w:type="dxa"/>
            <w:vAlign w:val="center"/>
          </w:tcPr>
          <w:p w14:paraId="31224634">
            <w:pPr>
              <w:spacing w:line="280" w:lineRule="exact"/>
              <w:jc w:val="center"/>
              <w:rPr>
                <w:color w:val="auto"/>
              </w:rPr>
            </w:pPr>
            <w:r>
              <w:rPr>
                <w:color w:val="auto"/>
              </w:rPr>
              <w:t>4</w:t>
            </w:r>
          </w:p>
        </w:tc>
      </w:tr>
      <w:tr w14:paraId="77DBC8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restart"/>
            <w:vAlign w:val="center"/>
          </w:tcPr>
          <w:p w14:paraId="6D75E3E4">
            <w:pPr>
              <w:spacing w:line="280" w:lineRule="exact"/>
              <w:jc w:val="center"/>
              <w:rPr>
                <w:color w:val="auto"/>
              </w:rPr>
            </w:pPr>
            <w:r>
              <w:rPr>
                <w:color w:val="auto"/>
              </w:rPr>
              <w:t>事故来源</w:t>
            </w:r>
          </w:p>
        </w:tc>
        <w:tc>
          <w:tcPr>
            <w:tcW w:w="2420" w:type="dxa"/>
            <w:vAlign w:val="center"/>
          </w:tcPr>
          <w:p w14:paraId="51C7443E">
            <w:pPr>
              <w:spacing w:line="280" w:lineRule="exact"/>
              <w:jc w:val="center"/>
              <w:rPr>
                <w:color w:val="auto"/>
              </w:rPr>
            </w:pPr>
            <w:r>
              <w:rPr>
                <w:color w:val="auto"/>
              </w:rPr>
              <w:t>机械故障</w:t>
            </w:r>
          </w:p>
        </w:tc>
        <w:tc>
          <w:tcPr>
            <w:tcW w:w="2422" w:type="dxa"/>
            <w:vAlign w:val="center"/>
          </w:tcPr>
          <w:p w14:paraId="2CC05A6E">
            <w:pPr>
              <w:spacing w:line="280" w:lineRule="exact"/>
              <w:jc w:val="center"/>
              <w:rPr>
                <w:color w:val="auto"/>
              </w:rPr>
            </w:pPr>
            <w:r>
              <w:rPr>
                <w:color w:val="auto"/>
              </w:rPr>
              <w:t>34.2</w:t>
            </w:r>
          </w:p>
        </w:tc>
        <w:tc>
          <w:tcPr>
            <w:tcW w:w="2422" w:type="dxa"/>
            <w:vAlign w:val="center"/>
          </w:tcPr>
          <w:p w14:paraId="42CF2171">
            <w:pPr>
              <w:spacing w:line="280" w:lineRule="exact"/>
              <w:jc w:val="center"/>
              <w:rPr>
                <w:color w:val="auto"/>
              </w:rPr>
            </w:pPr>
            <w:r>
              <w:rPr>
                <w:color w:val="auto"/>
              </w:rPr>
              <w:t>1</w:t>
            </w:r>
          </w:p>
        </w:tc>
      </w:tr>
      <w:tr w14:paraId="108DC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1DDC897A">
            <w:pPr>
              <w:spacing w:line="280" w:lineRule="exact"/>
              <w:jc w:val="center"/>
              <w:rPr>
                <w:color w:val="auto"/>
              </w:rPr>
            </w:pPr>
          </w:p>
        </w:tc>
        <w:tc>
          <w:tcPr>
            <w:tcW w:w="2420" w:type="dxa"/>
            <w:vAlign w:val="center"/>
          </w:tcPr>
          <w:p w14:paraId="09690ACC">
            <w:pPr>
              <w:spacing w:line="280" w:lineRule="exact"/>
              <w:jc w:val="center"/>
              <w:rPr>
                <w:color w:val="auto"/>
              </w:rPr>
            </w:pPr>
            <w:r>
              <w:rPr>
                <w:color w:val="auto"/>
              </w:rPr>
              <w:t>碰撞事故</w:t>
            </w:r>
          </w:p>
        </w:tc>
        <w:tc>
          <w:tcPr>
            <w:tcW w:w="2422" w:type="dxa"/>
            <w:vAlign w:val="center"/>
          </w:tcPr>
          <w:p w14:paraId="2B8D7383">
            <w:pPr>
              <w:spacing w:line="280" w:lineRule="exact"/>
              <w:jc w:val="center"/>
              <w:rPr>
                <w:color w:val="auto"/>
              </w:rPr>
            </w:pPr>
            <w:r>
              <w:rPr>
                <w:color w:val="auto"/>
              </w:rPr>
              <w:t>26.8</w:t>
            </w:r>
          </w:p>
        </w:tc>
        <w:tc>
          <w:tcPr>
            <w:tcW w:w="2422" w:type="dxa"/>
            <w:vAlign w:val="center"/>
          </w:tcPr>
          <w:p w14:paraId="32D2F735">
            <w:pPr>
              <w:spacing w:line="280" w:lineRule="exact"/>
              <w:jc w:val="center"/>
              <w:rPr>
                <w:color w:val="auto"/>
              </w:rPr>
            </w:pPr>
            <w:r>
              <w:rPr>
                <w:color w:val="auto"/>
              </w:rPr>
              <w:t>2</w:t>
            </w:r>
          </w:p>
        </w:tc>
      </w:tr>
      <w:tr w14:paraId="49FD2B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7ACA2E62">
            <w:pPr>
              <w:spacing w:line="280" w:lineRule="exact"/>
              <w:jc w:val="center"/>
              <w:rPr>
                <w:color w:val="auto"/>
              </w:rPr>
            </w:pPr>
          </w:p>
        </w:tc>
        <w:tc>
          <w:tcPr>
            <w:tcW w:w="2420" w:type="dxa"/>
            <w:vAlign w:val="center"/>
          </w:tcPr>
          <w:p w14:paraId="59C4A509">
            <w:pPr>
              <w:spacing w:line="280" w:lineRule="exact"/>
              <w:jc w:val="center"/>
              <w:rPr>
                <w:color w:val="auto"/>
              </w:rPr>
            </w:pPr>
            <w:r>
              <w:rPr>
                <w:color w:val="auto"/>
              </w:rPr>
              <w:t>人为因素</w:t>
            </w:r>
          </w:p>
        </w:tc>
        <w:tc>
          <w:tcPr>
            <w:tcW w:w="2422" w:type="dxa"/>
            <w:vAlign w:val="center"/>
          </w:tcPr>
          <w:p w14:paraId="53B217EF">
            <w:pPr>
              <w:spacing w:line="280" w:lineRule="exact"/>
              <w:jc w:val="center"/>
              <w:rPr>
                <w:color w:val="auto"/>
              </w:rPr>
            </w:pPr>
            <w:r>
              <w:rPr>
                <w:color w:val="auto"/>
              </w:rPr>
              <w:t>22.8</w:t>
            </w:r>
          </w:p>
        </w:tc>
        <w:tc>
          <w:tcPr>
            <w:tcW w:w="2422" w:type="dxa"/>
            <w:vAlign w:val="center"/>
          </w:tcPr>
          <w:p w14:paraId="0D302DBD">
            <w:pPr>
              <w:spacing w:line="280" w:lineRule="exact"/>
              <w:jc w:val="center"/>
              <w:rPr>
                <w:color w:val="auto"/>
              </w:rPr>
            </w:pPr>
            <w:r>
              <w:rPr>
                <w:color w:val="auto"/>
              </w:rPr>
              <w:t>3</w:t>
            </w:r>
          </w:p>
        </w:tc>
      </w:tr>
      <w:tr w14:paraId="0418CD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421" w:type="dxa"/>
            <w:vMerge w:val="continue"/>
            <w:vAlign w:val="center"/>
          </w:tcPr>
          <w:p w14:paraId="40A46E23">
            <w:pPr>
              <w:spacing w:line="280" w:lineRule="exact"/>
              <w:jc w:val="center"/>
              <w:rPr>
                <w:color w:val="auto"/>
              </w:rPr>
            </w:pPr>
          </w:p>
        </w:tc>
        <w:tc>
          <w:tcPr>
            <w:tcW w:w="2420" w:type="dxa"/>
            <w:vAlign w:val="center"/>
          </w:tcPr>
          <w:p w14:paraId="72AD9BA4">
            <w:pPr>
              <w:spacing w:line="280" w:lineRule="exact"/>
              <w:jc w:val="center"/>
              <w:rPr>
                <w:color w:val="auto"/>
              </w:rPr>
            </w:pPr>
            <w:r>
              <w:rPr>
                <w:color w:val="auto"/>
              </w:rPr>
              <w:t>外部因素</w:t>
            </w:r>
          </w:p>
        </w:tc>
        <w:tc>
          <w:tcPr>
            <w:tcW w:w="2422" w:type="dxa"/>
            <w:vAlign w:val="center"/>
          </w:tcPr>
          <w:p w14:paraId="212FCB1C">
            <w:pPr>
              <w:spacing w:line="280" w:lineRule="exact"/>
              <w:jc w:val="center"/>
              <w:rPr>
                <w:color w:val="auto"/>
              </w:rPr>
            </w:pPr>
            <w:r>
              <w:rPr>
                <w:color w:val="auto"/>
              </w:rPr>
              <w:t>15.2</w:t>
            </w:r>
          </w:p>
        </w:tc>
        <w:tc>
          <w:tcPr>
            <w:tcW w:w="2422" w:type="dxa"/>
            <w:vAlign w:val="center"/>
          </w:tcPr>
          <w:p w14:paraId="5A85BB58">
            <w:pPr>
              <w:spacing w:line="280" w:lineRule="exact"/>
              <w:jc w:val="center"/>
              <w:rPr>
                <w:color w:val="auto"/>
              </w:rPr>
            </w:pPr>
            <w:r>
              <w:rPr>
                <w:color w:val="auto"/>
              </w:rPr>
              <w:t>4</w:t>
            </w:r>
          </w:p>
        </w:tc>
      </w:tr>
    </w:tbl>
    <w:p w14:paraId="34528D70">
      <w:pPr>
        <w:spacing w:line="360" w:lineRule="auto"/>
        <w:outlineLvl w:val="0"/>
        <w:rPr>
          <w:color w:val="auto"/>
          <w:sz w:val="28"/>
          <w:szCs w:val="28"/>
        </w:rPr>
      </w:pPr>
      <w:bookmarkStart w:id="216" w:name="_Toc14992"/>
      <w:bookmarkStart w:id="217" w:name="_Toc30720"/>
      <w:bookmarkStart w:id="218" w:name="_Toc11477"/>
      <w:r>
        <w:rPr>
          <w:rFonts w:hint="eastAsia"/>
          <w:color w:val="auto"/>
          <w:sz w:val="28"/>
          <w:szCs w:val="28"/>
        </w:rPr>
        <w:t xml:space="preserve">7 </w:t>
      </w:r>
      <w:r>
        <w:rPr>
          <w:color w:val="auto"/>
          <w:sz w:val="28"/>
          <w:szCs w:val="28"/>
        </w:rPr>
        <w:t>事故风险典型案例</w:t>
      </w:r>
      <w:bookmarkEnd w:id="216"/>
      <w:bookmarkEnd w:id="217"/>
      <w:bookmarkEnd w:id="218"/>
    </w:p>
    <w:p w14:paraId="7D10244E">
      <w:pPr>
        <w:spacing w:line="360" w:lineRule="auto"/>
        <w:ind w:firstLine="480" w:firstLineChars="200"/>
        <w:rPr>
          <w:color w:val="auto"/>
          <w:sz w:val="24"/>
        </w:rPr>
      </w:pPr>
      <w:r>
        <w:rPr>
          <w:color w:val="auto"/>
          <w:sz w:val="24"/>
        </w:rPr>
        <w:t>近年，国内外事故风险典型案例见下表。</w:t>
      </w:r>
    </w:p>
    <w:p w14:paraId="2D78522E">
      <w:pPr>
        <w:adjustRightInd w:val="0"/>
        <w:snapToGrid w:val="0"/>
        <w:spacing w:beforeLines="25" w:afterLines="25"/>
        <w:ind w:firstLine="422"/>
        <w:jc w:val="center"/>
        <w:outlineLvl w:val="3"/>
        <w:rPr>
          <w:b/>
          <w:bCs/>
          <w:color w:val="auto"/>
          <w:szCs w:val="21"/>
        </w:rPr>
      </w:pPr>
      <w:r>
        <w:rPr>
          <w:rFonts w:hint="eastAsia"/>
          <w:b/>
          <w:bCs/>
          <w:color w:val="auto"/>
          <w:szCs w:val="21"/>
        </w:rPr>
        <w:t>表7.7-1</w:t>
      </w:r>
      <w:r>
        <w:rPr>
          <w:b/>
          <w:bCs/>
          <w:color w:val="auto"/>
          <w:szCs w:val="21"/>
        </w:rPr>
        <w:t xml:space="preserve">  事故风险典型案例</w:t>
      </w:r>
    </w:p>
    <w:tbl>
      <w:tblPr>
        <w:tblStyle w:val="32"/>
        <w:tblW w:w="96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671"/>
        <w:gridCol w:w="969"/>
        <w:gridCol w:w="4535"/>
        <w:gridCol w:w="3477"/>
      </w:tblGrid>
      <w:tr w14:paraId="415870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blHeader/>
          <w:jc w:val="center"/>
        </w:trPr>
        <w:tc>
          <w:tcPr>
            <w:tcW w:w="671" w:type="dxa"/>
            <w:vAlign w:val="center"/>
          </w:tcPr>
          <w:p w14:paraId="50C9F70D">
            <w:pPr>
              <w:spacing w:line="280" w:lineRule="exact"/>
              <w:jc w:val="center"/>
              <w:rPr>
                <w:color w:val="auto"/>
              </w:rPr>
            </w:pPr>
            <w:r>
              <w:rPr>
                <w:color w:val="auto"/>
              </w:rPr>
              <w:t>序号</w:t>
            </w:r>
          </w:p>
        </w:tc>
        <w:tc>
          <w:tcPr>
            <w:tcW w:w="969" w:type="dxa"/>
            <w:vAlign w:val="center"/>
          </w:tcPr>
          <w:p w14:paraId="5ECCC376">
            <w:pPr>
              <w:spacing w:line="280" w:lineRule="exact"/>
              <w:jc w:val="center"/>
              <w:rPr>
                <w:color w:val="auto"/>
              </w:rPr>
            </w:pPr>
            <w:r>
              <w:rPr>
                <w:color w:val="auto"/>
              </w:rPr>
              <w:t>事故类型</w:t>
            </w:r>
          </w:p>
        </w:tc>
        <w:tc>
          <w:tcPr>
            <w:tcW w:w="4535" w:type="dxa"/>
            <w:vAlign w:val="center"/>
          </w:tcPr>
          <w:p w14:paraId="43B8C6D6">
            <w:pPr>
              <w:spacing w:line="280" w:lineRule="exact"/>
              <w:jc w:val="center"/>
              <w:rPr>
                <w:color w:val="auto"/>
              </w:rPr>
            </w:pPr>
            <w:r>
              <w:rPr>
                <w:color w:val="auto"/>
              </w:rPr>
              <w:t>事故发生过程</w:t>
            </w:r>
          </w:p>
        </w:tc>
        <w:tc>
          <w:tcPr>
            <w:tcW w:w="3477" w:type="dxa"/>
            <w:vAlign w:val="center"/>
          </w:tcPr>
          <w:p w14:paraId="0296F6F5">
            <w:pPr>
              <w:spacing w:line="280" w:lineRule="exact"/>
              <w:jc w:val="center"/>
              <w:rPr>
                <w:color w:val="auto"/>
              </w:rPr>
            </w:pPr>
            <w:r>
              <w:rPr>
                <w:color w:val="auto"/>
              </w:rPr>
              <w:t>事故后果</w:t>
            </w:r>
          </w:p>
        </w:tc>
      </w:tr>
      <w:tr w14:paraId="5C9247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671" w:type="dxa"/>
            <w:vAlign w:val="center"/>
          </w:tcPr>
          <w:p w14:paraId="4E6E6031">
            <w:pPr>
              <w:spacing w:line="280" w:lineRule="exact"/>
              <w:jc w:val="center"/>
              <w:rPr>
                <w:color w:val="auto"/>
              </w:rPr>
            </w:pPr>
            <w:r>
              <w:rPr>
                <w:color w:val="auto"/>
              </w:rPr>
              <w:t>1</w:t>
            </w:r>
          </w:p>
        </w:tc>
        <w:tc>
          <w:tcPr>
            <w:tcW w:w="969" w:type="dxa"/>
            <w:vAlign w:val="center"/>
          </w:tcPr>
          <w:p w14:paraId="28088D23">
            <w:pPr>
              <w:spacing w:line="280" w:lineRule="exact"/>
              <w:jc w:val="center"/>
              <w:rPr>
                <w:color w:val="auto"/>
              </w:rPr>
            </w:pPr>
            <w:r>
              <w:rPr>
                <w:color w:val="auto"/>
              </w:rPr>
              <w:t>氯化氢气体泄漏</w:t>
            </w:r>
          </w:p>
        </w:tc>
        <w:tc>
          <w:tcPr>
            <w:tcW w:w="4535" w:type="dxa"/>
            <w:vAlign w:val="center"/>
          </w:tcPr>
          <w:p w14:paraId="1EE6B66A">
            <w:pPr>
              <w:spacing w:line="280" w:lineRule="exact"/>
              <w:jc w:val="center"/>
              <w:rPr>
                <w:color w:val="auto"/>
              </w:rPr>
            </w:pPr>
            <w:r>
              <w:rPr>
                <w:color w:val="auto"/>
              </w:rPr>
              <w:t>2025年2月7日，上海奉贤区金汇镇一家已关闭的化工厂内，废弃的</w:t>
            </w:r>
            <w:r>
              <w:rPr>
                <w:rFonts w:hint="eastAsia"/>
                <w:color w:val="auto"/>
              </w:rPr>
              <w:t>氯化氢罐</w:t>
            </w:r>
            <w:r>
              <w:rPr>
                <w:color w:val="auto"/>
              </w:rPr>
              <w:t>发生泄漏，导致氯化氢气体扩散至周边区域。事故发生在中午11时08分，泄漏源为原上海山和精细化工厂的废弃罐</w:t>
            </w:r>
          </w:p>
        </w:tc>
        <w:tc>
          <w:tcPr>
            <w:tcW w:w="3477" w:type="dxa"/>
            <w:vAlign w:val="center"/>
          </w:tcPr>
          <w:p w14:paraId="1E568EED">
            <w:pPr>
              <w:spacing w:line="280" w:lineRule="exact"/>
              <w:jc w:val="center"/>
              <w:rPr>
                <w:color w:val="auto"/>
              </w:rPr>
            </w:pPr>
            <w:r>
              <w:rPr>
                <w:color w:val="auto"/>
              </w:rPr>
              <w:t>事故造成40多人中毒，部分民众出现呼吸道和眼部刺激症状。事故发生后，相关部门迅速疏散周边民众，并对污染源进行彻底清除。空气质量经检测达标，无危重病人，部分伤者已康复出院</w:t>
            </w:r>
          </w:p>
        </w:tc>
      </w:tr>
      <w:tr w14:paraId="3B55C9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671" w:type="dxa"/>
            <w:vAlign w:val="center"/>
          </w:tcPr>
          <w:p w14:paraId="50442966">
            <w:pPr>
              <w:spacing w:line="280" w:lineRule="exact"/>
              <w:jc w:val="center"/>
              <w:rPr>
                <w:color w:val="auto"/>
              </w:rPr>
            </w:pPr>
            <w:r>
              <w:rPr>
                <w:color w:val="auto"/>
              </w:rPr>
              <w:t>2</w:t>
            </w:r>
          </w:p>
        </w:tc>
        <w:tc>
          <w:tcPr>
            <w:tcW w:w="969" w:type="dxa"/>
            <w:vAlign w:val="center"/>
          </w:tcPr>
          <w:p w14:paraId="529FB3ED">
            <w:pPr>
              <w:spacing w:line="280" w:lineRule="exact"/>
              <w:jc w:val="center"/>
              <w:rPr>
                <w:color w:val="auto"/>
              </w:rPr>
            </w:pPr>
            <w:r>
              <w:rPr>
                <w:color w:val="auto"/>
              </w:rPr>
              <w:t>氟化氢泄漏</w:t>
            </w:r>
          </w:p>
        </w:tc>
        <w:tc>
          <w:tcPr>
            <w:tcW w:w="4535" w:type="dxa"/>
            <w:vAlign w:val="center"/>
          </w:tcPr>
          <w:p w14:paraId="32C862FD">
            <w:pPr>
              <w:spacing w:line="280" w:lineRule="exact"/>
              <w:jc w:val="center"/>
              <w:rPr>
                <w:color w:val="auto"/>
              </w:rPr>
            </w:pPr>
            <w:r>
              <w:rPr>
                <w:rFonts w:hint="eastAsia"/>
                <w:color w:val="auto"/>
              </w:rPr>
              <w:t>2</w:t>
            </w:r>
            <w:r>
              <w:rPr>
                <w:color w:val="auto"/>
              </w:rPr>
              <w:t>025年2月18日，江苏如皋市众昌化工有限公司因液氮深冷导致设备材质冷脆，加之超压造成设备爆裂，导致氟化氢泄漏。事故发生时，现场作业人员未及时撤离，造成3人中毒死亡</w:t>
            </w:r>
          </w:p>
        </w:tc>
        <w:tc>
          <w:tcPr>
            <w:tcW w:w="3477" w:type="dxa"/>
            <w:vAlign w:val="center"/>
          </w:tcPr>
          <w:p w14:paraId="3B031491">
            <w:pPr>
              <w:spacing w:line="280" w:lineRule="exact"/>
              <w:jc w:val="center"/>
              <w:rPr>
                <w:color w:val="auto"/>
              </w:rPr>
            </w:pPr>
            <w:r>
              <w:rPr>
                <w:color w:val="auto"/>
              </w:rPr>
              <w:t>事故造成3人死亡，南通市政府成立调查组对事故原因进行深入调查，并要求企业加强设备维护和操作规范</w:t>
            </w:r>
          </w:p>
        </w:tc>
      </w:tr>
    </w:tbl>
    <w:p w14:paraId="4259D0EC">
      <w:pPr>
        <w:spacing w:line="360" w:lineRule="auto"/>
        <w:outlineLvl w:val="0"/>
        <w:rPr>
          <w:color w:val="auto"/>
          <w:sz w:val="28"/>
          <w:szCs w:val="28"/>
        </w:rPr>
      </w:pPr>
      <w:bookmarkStart w:id="219" w:name="_Toc18993"/>
      <w:bookmarkStart w:id="220" w:name="_Toc20186"/>
      <w:bookmarkStart w:id="221" w:name="_Toc21494"/>
      <w:r>
        <w:rPr>
          <w:rFonts w:hint="eastAsia"/>
          <w:color w:val="auto"/>
          <w:sz w:val="28"/>
          <w:szCs w:val="28"/>
        </w:rPr>
        <w:t xml:space="preserve">8 </w:t>
      </w:r>
      <w:r>
        <w:rPr>
          <w:color w:val="auto"/>
          <w:sz w:val="28"/>
          <w:szCs w:val="28"/>
        </w:rPr>
        <w:t>环境风险类型及危害分析</w:t>
      </w:r>
      <w:bookmarkEnd w:id="219"/>
      <w:bookmarkEnd w:id="220"/>
      <w:bookmarkEnd w:id="221"/>
    </w:p>
    <w:p w14:paraId="4873D244">
      <w:pPr>
        <w:spacing w:line="360" w:lineRule="auto"/>
        <w:ind w:firstLine="480" w:firstLineChars="200"/>
        <w:rPr>
          <w:color w:val="auto"/>
          <w:sz w:val="24"/>
        </w:rPr>
      </w:pPr>
      <w:r>
        <w:rPr>
          <w:color w:val="auto"/>
          <w:sz w:val="24"/>
        </w:rPr>
        <w:t>根据上述风险识别结果，汇总本项目环境风险识别表见下表。</w:t>
      </w:r>
    </w:p>
    <w:p w14:paraId="4517AB96">
      <w:pPr>
        <w:adjustRightInd w:val="0"/>
        <w:snapToGrid w:val="0"/>
        <w:spacing w:beforeLines="25" w:afterLines="25"/>
        <w:ind w:firstLine="422"/>
        <w:jc w:val="center"/>
        <w:outlineLvl w:val="3"/>
        <w:rPr>
          <w:b/>
          <w:bCs/>
          <w:color w:val="auto"/>
          <w:szCs w:val="21"/>
        </w:rPr>
      </w:pPr>
      <w:r>
        <w:rPr>
          <w:rFonts w:hint="eastAsia"/>
          <w:b/>
          <w:bCs/>
          <w:color w:val="auto"/>
          <w:szCs w:val="21"/>
        </w:rPr>
        <w:br w:type="textWrapping"/>
      </w:r>
      <w:r>
        <w:rPr>
          <w:rFonts w:hint="eastAsia"/>
          <w:b/>
          <w:bCs/>
          <w:color w:val="auto"/>
          <w:szCs w:val="21"/>
        </w:rPr>
        <w:br w:type="textWrapping"/>
      </w:r>
      <w:r>
        <w:rPr>
          <w:rFonts w:hint="eastAsia"/>
          <w:b/>
          <w:bCs/>
          <w:color w:val="auto"/>
          <w:szCs w:val="21"/>
        </w:rPr>
        <w:br w:type="textWrapping"/>
      </w:r>
      <w:r>
        <w:rPr>
          <w:rFonts w:hint="eastAsia"/>
          <w:b/>
          <w:bCs/>
          <w:color w:val="auto"/>
          <w:szCs w:val="21"/>
        </w:rPr>
        <w:t>表7.8-1</w:t>
      </w:r>
      <w:r>
        <w:rPr>
          <w:b/>
          <w:bCs/>
          <w:color w:val="auto"/>
          <w:szCs w:val="21"/>
        </w:rPr>
        <w:t xml:space="preserve">  本项目环境风险识别表</w:t>
      </w:r>
    </w:p>
    <w:tbl>
      <w:tblPr>
        <w:tblStyle w:val="32"/>
        <w:tblW w:w="513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934"/>
        <w:gridCol w:w="1039"/>
        <w:gridCol w:w="1210"/>
        <w:gridCol w:w="1340"/>
        <w:gridCol w:w="2159"/>
        <w:gridCol w:w="1139"/>
        <w:gridCol w:w="1569"/>
      </w:tblGrid>
      <w:tr w14:paraId="7793A5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blHeader/>
          <w:jc w:val="center"/>
        </w:trPr>
        <w:tc>
          <w:tcPr>
            <w:tcW w:w="497" w:type="pct"/>
            <w:vAlign w:val="center"/>
          </w:tcPr>
          <w:p w14:paraId="618F25A0">
            <w:pPr>
              <w:spacing w:line="280" w:lineRule="exact"/>
              <w:jc w:val="center"/>
              <w:rPr>
                <w:color w:val="auto"/>
              </w:rPr>
            </w:pPr>
            <w:r>
              <w:rPr>
                <w:color w:val="auto"/>
              </w:rPr>
              <w:t>序号</w:t>
            </w:r>
          </w:p>
        </w:tc>
        <w:tc>
          <w:tcPr>
            <w:tcW w:w="553" w:type="pct"/>
            <w:vAlign w:val="center"/>
          </w:tcPr>
          <w:p w14:paraId="7831A68C">
            <w:pPr>
              <w:spacing w:line="280" w:lineRule="exact"/>
              <w:jc w:val="center"/>
              <w:rPr>
                <w:color w:val="auto"/>
              </w:rPr>
            </w:pPr>
            <w:r>
              <w:rPr>
                <w:color w:val="auto"/>
              </w:rPr>
              <w:t>危险单元</w:t>
            </w:r>
          </w:p>
        </w:tc>
        <w:tc>
          <w:tcPr>
            <w:tcW w:w="644" w:type="pct"/>
            <w:vAlign w:val="center"/>
          </w:tcPr>
          <w:p w14:paraId="06E38080">
            <w:pPr>
              <w:spacing w:line="280" w:lineRule="exact"/>
              <w:jc w:val="center"/>
              <w:rPr>
                <w:color w:val="auto"/>
              </w:rPr>
            </w:pPr>
            <w:r>
              <w:rPr>
                <w:color w:val="auto"/>
              </w:rPr>
              <w:t>风险源</w:t>
            </w:r>
          </w:p>
        </w:tc>
        <w:tc>
          <w:tcPr>
            <w:tcW w:w="713" w:type="pct"/>
            <w:vAlign w:val="center"/>
          </w:tcPr>
          <w:p w14:paraId="1EE79B6F">
            <w:pPr>
              <w:spacing w:line="280" w:lineRule="exact"/>
              <w:jc w:val="center"/>
              <w:rPr>
                <w:color w:val="auto"/>
              </w:rPr>
            </w:pPr>
            <w:r>
              <w:rPr>
                <w:color w:val="auto"/>
              </w:rPr>
              <w:t>主要危险</w:t>
            </w:r>
          </w:p>
          <w:p w14:paraId="5EE172F3">
            <w:pPr>
              <w:spacing w:line="280" w:lineRule="exact"/>
              <w:jc w:val="center"/>
              <w:rPr>
                <w:color w:val="auto"/>
              </w:rPr>
            </w:pPr>
            <w:r>
              <w:rPr>
                <w:color w:val="auto"/>
              </w:rPr>
              <w:t>物质</w:t>
            </w:r>
          </w:p>
        </w:tc>
        <w:tc>
          <w:tcPr>
            <w:tcW w:w="1149" w:type="pct"/>
            <w:vAlign w:val="center"/>
          </w:tcPr>
          <w:p w14:paraId="5E40457F">
            <w:pPr>
              <w:spacing w:line="280" w:lineRule="exact"/>
              <w:jc w:val="center"/>
              <w:rPr>
                <w:color w:val="auto"/>
              </w:rPr>
            </w:pPr>
            <w:r>
              <w:rPr>
                <w:color w:val="auto"/>
              </w:rPr>
              <w:t>环境风险</w:t>
            </w:r>
          </w:p>
          <w:p w14:paraId="0C18821D">
            <w:pPr>
              <w:spacing w:line="280" w:lineRule="exact"/>
              <w:jc w:val="center"/>
              <w:rPr>
                <w:color w:val="auto"/>
              </w:rPr>
            </w:pPr>
            <w:r>
              <w:rPr>
                <w:color w:val="auto"/>
              </w:rPr>
              <w:t>类型</w:t>
            </w:r>
          </w:p>
        </w:tc>
        <w:tc>
          <w:tcPr>
            <w:tcW w:w="606" w:type="pct"/>
            <w:vAlign w:val="center"/>
          </w:tcPr>
          <w:p w14:paraId="32887429">
            <w:pPr>
              <w:spacing w:line="280" w:lineRule="exact"/>
              <w:jc w:val="center"/>
              <w:rPr>
                <w:color w:val="auto"/>
              </w:rPr>
            </w:pPr>
            <w:r>
              <w:rPr>
                <w:color w:val="auto"/>
              </w:rPr>
              <w:t>环境影响</w:t>
            </w:r>
          </w:p>
          <w:p w14:paraId="3C1AB316">
            <w:pPr>
              <w:spacing w:line="280" w:lineRule="exact"/>
              <w:jc w:val="center"/>
              <w:rPr>
                <w:color w:val="auto"/>
              </w:rPr>
            </w:pPr>
            <w:r>
              <w:rPr>
                <w:color w:val="auto"/>
              </w:rPr>
              <w:t>途径</w:t>
            </w:r>
          </w:p>
        </w:tc>
        <w:tc>
          <w:tcPr>
            <w:tcW w:w="835" w:type="pct"/>
            <w:vAlign w:val="center"/>
          </w:tcPr>
          <w:p w14:paraId="7DEA0AB0">
            <w:pPr>
              <w:spacing w:line="280" w:lineRule="exact"/>
              <w:jc w:val="center"/>
              <w:rPr>
                <w:color w:val="auto"/>
              </w:rPr>
            </w:pPr>
            <w:r>
              <w:rPr>
                <w:color w:val="auto"/>
              </w:rPr>
              <w:t>可能受影响的环境敏感目标</w:t>
            </w:r>
          </w:p>
        </w:tc>
      </w:tr>
      <w:tr w14:paraId="0D514C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97" w:type="pct"/>
            <w:vAlign w:val="center"/>
          </w:tcPr>
          <w:p w14:paraId="58736914">
            <w:pPr>
              <w:spacing w:line="280" w:lineRule="exact"/>
              <w:jc w:val="center"/>
              <w:rPr>
                <w:color w:val="auto"/>
              </w:rPr>
            </w:pPr>
            <w:r>
              <w:rPr>
                <w:color w:val="auto"/>
              </w:rPr>
              <w:t>1</w:t>
            </w:r>
          </w:p>
        </w:tc>
        <w:tc>
          <w:tcPr>
            <w:tcW w:w="553" w:type="pct"/>
            <w:vAlign w:val="center"/>
          </w:tcPr>
          <w:p w14:paraId="0F4D5C06">
            <w:pPr>
              <w:spacing w:line="280" w:lineRule="exact"/>
              <w:jc w:val="center"/>
              <w:rPr>
                <w:color w:val="auto"/>
              </w:rPr>
            </w:pPr>
            <w:r>
              <w:rPr>
                <w:color w:val="auto"/>
              </w:rPr>
              <w:t>储罐区</w:t>
            </w:r>
          </w:p>
        </w:tc>
        <w:tc>
          <w:tcPr>
            <w:tcW w:w="644" w:type="pct"/>
            <w:vAlign w:val="center"/>
          </w:tcPr>
          <w:p w14:paraId="37B3D254">
            <w:pPr>
              <w:spacing w:line="280" w:lineRule="exact"/>
              <w:jc w:val="center"/>
              <w:rPr>
                <w:color w:val="auto"/>
              </w:rPr>
            </w:pPr>
            <w:r>
              <w:rPr>
                <w:color w:val="auto"/>
              </w:rPr>
              <w:t>储罐各类危险物质</w:t>
            </w:r>
          </w:p>
        </w:tc>
        <w:tc>
          <w:tcPr>
            <w:tcW w:w="713" w:type="pct"/>
            <w:vAlign w:val="center"/>
          </w:tcPr>
          <w:p w14:paraId="764350E3">
            <w:pPr>
              <w:spacing w:line="280" w:lineRule="exact"/>
              <w:jc w:val="center"/>
              <w:rPr>
                <w:color w:val="auto"/>
              </w:rPr>
            </w:pPr>
            <w:r>
              <w:rPr>
                <w:color w:val="auto"/>
              </w:rPr>
              <w:t>盐酸、氟化氢等</w:t>
            </w:r>
          </w:p>
        </w:tc>
        <w:tc>
          <w:tcPr>
            <w:tcW w:w="1149" w:type="pct"/>
            <w:vAlign w:val="center"/>
          </w:tcPr>
          <w:p w14:paraId="00967CA2">
            <w:pPr>
              <w:spacing w:line="280" w:lineRule="exact"/>
              <w:jc w:val="center"/>
              <w:rPr>
                <w:color w:val="auto"/>
              </w:rPr>
            </w:pPr>
            <w:r>
              <w:rPr>
                <w:color w:val="auto"/>
              </w:rPr>
              <w:t>危险物质泄漏；</w:t>
            </w:r>
          </w:p>
          <w:p w14:paraId="0EF52919">
            <w:pPr>
              <w:spacing w:line="280" w:lineRule="exact"/>
              <w:jc w:val="center"/>
              <w:rPr>
                <w:color w:val="auto"/>
              </w:rPr>
            </w:pPr>
            <w:r>
              <w:rPr>
                <w:color w:val="auto"/>
              </w:rPr>
              <w:t>发生火灾导致危险物质释放及次生污染</w:t>
            </w:r>
          </w:p>
        </w:tc>
        <w:tc>
          <w:tcPr>
            <w:tcW w:w="606" w:type="pct"/>
            <w:vAlign w:val="center"/>
          </w:tcPr>
          <w:p w14:paraId="623FC36C">
            <w:pPr>
              <w:spacing w:line="280" w:lineRule="exact"/>
              <w:jc w:val="center"/>
              <w:rPr>
                <w:color w:val="auto"/>
              </w:rPr>
            </w:pPr>
            <w:r>
              <w:rPr>
                <w:color w:val="auto"/>
              </w:rPr>
              <w:t>环境空气、地表水、地下水</w:t>
            </w:r>
          </w:p>
        </w:tc>
        <w:tc>
          <w:tcPr>
            <w:tcW w:w="835" w:type="pct"/>
            <w:vAlign w:val="center"/>
          </w:tcPr>
          <w:p w14:paraId="4CB4D4A0">
            <w:pPr>
              <w:spacing w:line="280" w:lineRule="exact"/>
              <w:jc w:val="center"/>
              <w:rPr>
                <w:color w:val="auto"/>
              </w:rPr>
            </w:pPr>
            <w:r>
              <w:rPr>
                <w:color w:val="auto"/>
              </w:rPr>
              <w:t>周边居民点</w:t>
            </w:r>
          </w:p>
          <w:p w14:paraId="2FB96B35">
            <w:pPr>
              <w:spacing w:line="280" w:lineRule="exact"/>
              <w:jc w:val="center"/>
              <w:rPr>
                <w:color w:val="auto"/>
              </w:rPr>
            </w:pPr>
            <w:r>
              <w:rPr>
                <w:color w:val="auto"/>
              </w:rPr>
              <w:t>附近水体</w:t>
            </w:r>
          </w:p>
          <w:p w14:paraId="0CED2235">
            <w:pPr>
              <w:spacing w:line="280" w:lineRule="exact"/>
              <w:jc w:val="center"/>
              <w:rPr>
                <w:color w:val="auto"/>
              </w:rPr>
            </w:pPr>
            <w:r>
              <w:rPr>
                <w:color w:val="auto"/>
              </w:rPr>
              <w:t>周边地下水</w:t>
            </w:r>
          </w:p>
        </w:tc>
      </w:tr>
      <w:tr w14:paraId="05741B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97" w:type="pct"/>
            <w:vAlign w:val="center"/>
          </w:tcPr>
          <w:p w14:paraId="76B8F290">
            <w:pPr>
              <w:spacing w:line="280" w:lineRule="exact"/>
              <w:jc w:val="center"/>
              <w:rPr>
                <w:color w:val="auto"/>
              </w:rPr>
            </w:pPr>
            <w:r>
              <w:rPr>
                <w:color w:val="auto"/>
              </w:rPr>
              <w:t>2</w:t>
            </w:r>
          </w:p>
        </w:tc>
        <w:tc>
          <w:tcPr>
            <w:tcW w:w="553" w:type="pct"/>
            <w:vAlign w:val="center"/>
          </w:tcPr>
          <w:p w14:paraId="31E45EA1">
            <w:pPr>
              <w:spacing w:line="280" w:lineRule="exact"/>
              <w:jc w:val="center"/>
              <w:rPr>
                <w:color w:val="auto"/>
              </w:rPr>
            </w:pPr>
            <w:r>
              <w:rPr>
                <w:color w:val="auto"/>
              </w:rPr>
              <w:t>仓库</w:t>
            </w:r>
          </w:p>
        </w:tc>
        <w:tc>
          <w:tcPr>
            <w:tcW w:w="644" w:type="pct"/>
            <w:vAlign w:val="center"/>
          </w:tcPr>
          <w:p w14:paraId="7B2D693E">
            <w:pPr>
              <w:spacing w:line="280" w:lineRule="exact"/>
              <w:jc w:val="center"/>
              <w:rPr>
                <w:color w:val="auto"/>
              </w:rPr>
            </w:pPr>
            <w:r>
              <w:rPr>
                <w:color w:val="auto"/>
              </w:rPr>
              <w:t>危险物料</w:t>
            </w:r>
          </w:p>
        </w:tc>
        <w:tc>
          <w:tcPr>
            <w:tcW w:w="713" w:type="pct"/>
            <w:vAlign w:val="center"/>
          </w:tcPr>
          <w:p w14:paraId="46BA39DE">
            <w:pPr>
              <w:spacing w:line="280" w:lineRule="exact"/>
              <w:jc w:val="center"/>
              <w:rPr>
                <w:color w:val="auto"/>
              </w:rPr>
            </w:pPr>
            <w:r>
              <w:rPr>
                <w:color w:val="auto"/>
              </w:rPr>
              <w:t>氯化氢、油类物质等</w:t>
            </w:r>
          </w:p>
        </w:tc>
        <w:tc>
          <w:tcPr>
            <w:tcW w:w="1149" w:type="pct"/>
            <w:vAlign w:val="center"/>
          </w:tcPr>
          <w:p w14:paraId="12B7C3B3">
            <w:pPr>
              <w:spacing w:line="280" w:lineRule="exact"/>
              <w:jc w:val="center"/>
              <w:rPr>
                <w:color w:val="auto"/>
              </w:rPr>
            </w:pPr>
            <w:r>
              <w:rPr>
                <w:color w:val="auto"/>
              </w:rPr>
              <w:t>危险物质泄漏；</w:t>
            </w:r>
          </w:p>
          <w:p w14:paraId="5393E635">
            <w:pPr>
              <w:spacing w:line="280" w:lineRule="exact"/>
              <w:jc w:val="center"/>
              <w:rPr>
                <w:color w:val="auto"/>
              </w:rPr>
            </w:pPr>
            <w:r>
              <w:rPr>
                <w:color w:val="auto"/>
              </w:rPr>
              <w:t>发生火灾导致危险物质释放及次生污染</w:t>
            </w:r>
          </w:p>
        </w:tc>
        <w:tc>
          <w:tcPr>
            <w:tcW w:w="606" w:type="pct"/>
            <w:vAlign w:val="center"/>
          </w:tcPr>
          <w:p w14:paraId="032EEB0A">
            <w:pPr>
              <w:spacing w:line="280" w:lineRule="exact"/>
              <w:jc w:val="center"/>
              <w:rPr>
                <w:color w:val="auto"/>
              </w:rPr>
            </w:pPr>
            <w:r>
              <w:rPr>
                <w:color w:val="auto"/>
              </w:rPr>
              <w:t>环境空气、地表水、地下水</w:t>
            </w:r>
          </w:p>
        </w:tc>
        <w:tc>
          <w:tcPr>
            <w:tcW w:w="835" w:type="pct"/>
            <w:vAlign w:val="center"/>
          </w:tcPr>
          <w:p w14:paraId="397A919B">
            <w:pPr>
              <w:spacing w:line="280" w:lineRule="exact"/>
              <w:jc w:val="center"/>
              <w:rPr>
                <w:color w:val="auto"/>
              </w:rPr>
            </w:pPr>
            <w:r>
              <w:rPr>
                <w:color w:val="auto"/>
              </w:rPr>
              <w:t>周边居民点</w:t>
            </w:r>
          </w:p>
          <w:p w14:paraId="05252F56">
            <w:pPr>
              <w:spacing w:line="280" w:lineRule="exact"/>
              <w:jc w:val="center"/>
              <w:rPr>
                <w:color w:val="auto"/>
              </w:rPr>
            </w:pPr>
            <w:r>
              <w:rPr>
                <w:color w:val="auto"/>
              </w:rPr>
              <w:t>附近水体</w:t>
            </w:r>
          </w:p>
          <w:p w14:paraId="04505511">
            <w:pPr>
              <w:spacing w:line="280" w:lineRule="exact"/>
              <w:jc w:val="center"/>
              <w:rPr>
                <w:color w:val="auto"/>
              </w:rPr>
            </w:pPr>
            <w:r>
              <w:rPr>
                <w:color w:val="auto"/>
              </w:rPr>
              <w:t>周边地下水</w:t>
            </w:r>
          </w:p>
        </w:tc>
      </w:tr>
      <w:tr w14:paraId="446F63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97" w:type="pct"/>
            <w:vAlign w:val="center"/>
          </w:tcPr>
          <w:p w14:paraId="6F5AADA5">
            <w:pPr>
              <w:spacing w:line="280" w:lineRule="exact"/>
              <w:jc w:val="center"/>
              <w:rPr>
                <w:color w:val="auto"/>
              </w:rPr>
            </w:pPr>
            <w:r>
              <w:rPr>
                <w:color w:val="auto"/>
              </w:rPr>
              <w:t>3</w:t>
            </w:r>
          </w:p>
        </w:tc>
        <w:tc>
          <w:tcPr>
            <w:tcW w:w="553" w:type="pct"/>
            <w:vAlign w:val="center"/>
          </w:tcPr>
          <w:p w14:paraId="3A1E8E94">
            <w:pPr>
              <w:spacing w:line="280" w:lineRule="exact"/>
              <w:jc w:val="center"/>
              <w:rPr>
                <w:color w:val="auto"/>
              </w:rPr>
            </w:pPr>
            <w:r>
              <w:rPr>
                <w:color w:val="auto"/>
              </w:rPr>
              <w:t>车间</w:t>
            </w:r>
          </w:p>
        </w:tc>
        <w:tc>
          <w:tcPr>
            <w:tcW w:w="644" w:type="pct"/>
            <w:vAlign w:val="center"/>
          </w:tcPr>
          <w:p w14:paraId="6718FD5E">
            <w:pPr>
              <w:spacing w:line="280" w:lineRule="exact"/>
              <w:jc w:val="center"/>
              <w:rPr>
                <w:color w:val="auto"/>
              </w:rPr>
            </w:pPr>
            <w:r>
              <w:rPr>
                <w:color w:val="auto"/>
              </w:rPr>
              <w:t>危险物料、废气</w:t>
            </w:r>
          </w:p>
        </w:tc>
        <w:tc>
          <w:tcPr>
            <w:tcW w:w="713" w:type="pct"/>
            <w:vAlign w:val="center"/>
          </w:tcPr>
          <w:p w14:paraId="3F3AB2AB">
            <w:pPr>
              <w:spacing w:line="280" w:lineRule="exact"/>
              <w:jc w:val="center"/>
              <w:rPr>
                <w:color w:val="auto"/>
              </w:rPr>
            </w:pPr>
            <w:r>
              <w:rPr>
                <w:color w:val="auto"/>
              </w:rPr>
              <w:t>氯化氢、盐酸、氟化氢等</w:t>
            </w:r>
          </w:p>
        </w:tc>
        <w:tc>
          <w:tcPr>
            <w:tcW w:w="1149" w:type="pct"/>
            <w:vAlign w:val="center"/>
          </w:tcPr>
          <w:p w14:paraId="421BEE23">
            <w:pPr>
              <w:spacing w:line="280" w:lineRule="exact"/>
              <w:jc w:val="center"/>
              <w:rPr>
                <w:color w:val="auto"/>
              </w:rPr>
            </w:pPr>
            <w:r>
              <w:rPr>
                <w:color w:val="auto"/>
              </w:rPr>
              <w:t>危险物质泄漏；</w:t>
            </w:r>
          </w:p>
          <w:p w14:paraId="45EFD423">
            <w:pPr>
              <w:spacing w:line="280" w:lineRule="exact"/>
              <w:jc w:val="center"/>
              <w:rPr>
                <w:color w:val="auto"/>
              </w:rPr>
            </w:pPr>
            <w:r>
              <w:rPr>
                <w:color w:val="auto"/>
              </w:rPr>
              <w:t>发生火灾导致危险物质释放及次生污染</w:t>
            </w:r>
          </w:p>
        </w:tc>
        <w:tc>
          <w:tcPr>
            <w:tcW w:w="606" w:type="pct"/>
            <w:vAlign w:val="center"/>
          </w:tcPr>
          <w:p w14:paraId="2D257F8F">
            <w:pPr>
              <w:spacing w:line="280" w:lineRule="exact"/>
              <w:jc w:val="center"/>
              <w:rPr>
                <w:color w:val="auto"/>
              </w:rPr>
            </w:pPr>
            <w:r>
              <w:rPr>
                <w:color w:val="auto"/>
              </w:rPr>
              <w:t>环境空气、地表水、地下水</w:t>
            </w:r>
          </w:p>
        </w:tc>
        <w:tc>
          <w:tcPr>
            <w:tcW w:w="835" w:type="pct"/>
            <w:vAlign w:val="center"/>
          </w:tcPr>
          <w:p w14:paraId="50C24B8A">
            <w:pPr>
              <w:spacing w:line="280" w:lineRule="exact"/>
              <w:jc w:val="center"/>
              <w:rPr>
                <w:color w:val="auto"/>
              </w:rPr>
            </w:pPr>
            <w:r>
              <w:rPr>
                <w:color w:val="auto"/>
              </w:rPr>
              <w:t>周边居民点</w:t>
            </w:r>
          </w:p>
          <w:p w14:paraId="2BF73118">
            <w:pPr>
              <w:spacing w:line="280" w:lineRule="exact"/>
              <w:jc w:val="center"/>
              <w:rPr>
                <w:color w:val="auto"/>
              </w:rPr>
            </w:pPr>
            <w:r>
              <w:rPr>
                <w:color w:val="auto"/>
              </w:rPr>
              <w:t>附近水体</w:t>
            </w:r>
          </w:p>
          <w:p w14:paraId="364E80BE">
            <w:pPr>
              <w:spacing w:line="280" w:lineRule="exact"/>
              <w:jc w:val="center"/>
              <w:rPr>
                <w:color w:val="auto"/>
              </w:rPr>
            </w:pPr>
            <w:r>
              <w:rPr>
                <w:color w:val="auto"/>
              </w:rPr>
              <w:t>周边地下水</w:t>
            </w:r>
          </w:p>
        </w:tc>
      </w:tr>
      <w:tr w14:paraId="198215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97" w:type="pct"/>
            <w:vAlign w:val="center"/>
          </w:tcPr>
          <w:p w14:paraId="0AB4E80A">
            <w:pPr>
              <w:spacing w:line="280" w:lineRule="exact"/>
              <w:jc w:val="center"/>
              <w:rPr>
                <w:color w:val="auto"/>
              </w:rPr>
            </w:pPr>
            <w:r>
              <w:rPr>
                <w:color w:val="auto"/>
              </w:rPr>
              <w:t>4</w:t>
            </w:r>
          </w:p>
        </w:tc>
        <w:tc>
          <w:tcPr>
            <w:tcW w:w="553" w:type="pct"/>
            <w:vAlign w:val="center"/>
          </w:tcPr>
          <w:p w14:paraId="26792F60">
            <w:pPr>
              <w:spacing w:line="280" w:lineRule="exact"/>
              <w:jc w:val="center"/>
              <w:rPr>
                <w:color w:val="auto"/>
              </w:rPr>
            </w:pPr>
            <w:r>
              <w:rPr>
                <w:color w:val="auto"/>
              </w:rPr>
              <w:t>污水处理区</w:t>
            </w:r>
          </w:p>
        </w:tc>
        <w:tc>
          <w:tcPr>
            <w:tcW w:w="644" w:type="pct"/>
            <w:vAlign w:val="center"/>
          </w:tcPr>
          <w:p w14:paraId="0886FD27">
            <w:pPr>
              <w:spacing w:line="280" w:lineRule="exact"/>
              <w:jc w:val="center"/>
              <w:rPr>
                <w:color w:val="auto"/>
              </w:rPr>
            </w:pPr>
            <w:r>
              <w:rPr>
                <w:rFonts w:hint="eastAsia"/>
                <w:color w:val="auto"/>
                <w:lang w:val="en-US" w:eastAsia="zh-CN"/>
              </w:rPr>
              <w:t>工艺</w:t>
            </w:r>
            <w:r>
              <w:rPr>
                <w:color w:val="auto"/>
              </w:rPr>
              <w:t>废水、生活污水</w:t>
            </w:r>
          </w:p>
        </w:tc>
        <w:tc>
          <w:tcPr>
            <w:tcW w:w="713" w:type="pct"/>
            <w:vAlign w:val="center"/>
          </w:tcPr>
          <w:p w14:paraId="16E08589">
            <w:pPr>
              <w:spacing w:line="280" w:lineRule="exact"/>
              <w:jc w:val="center"/>
              <w:rPr>
                <w:color w:val="auto"/>
              </w:rPr>
            </w:pPr>
            <w:r>
              <w:rPr>
                <w:color w:val="auto"/>
              </w:rPr>
              <w:t>COD、氨氮、总氮</w:t>
            </w:r>
            <w:r>
              <w:rPr>
                <w:rFonts w:hint="eastAsia"/>
                <w:color w:val="auto"/>
                <w:lang w:eastAsia="zh-CN"/>
              </w:rPr>
              <w:t>、</w:t>
            </w:r>
            <w:r>
              <w:rPr>
                <w:rFonts w:hint="eastAsia"/>
                <w:color w:val="auto"/>
                <w:lang w:val="en-US" w:eastAsia="zh-CN"/>
              </w:rPr>
              <w:t>氟化物</w:t>
            </w:r>
            <w:r>
              <w:rPr>
                <w:color w:val="auto"/>
              </w:rPr>
              <w:t>等</w:t>
            </w:r>
          </w:p>
        </w:tc>
        <w:tc>
          <w:tcPr>
            <w:tcW w:w="1149" w:type="pct"/>
            <w:vAlign w:val="center"/>
          </w:tcPr>
          <w:p w14:paraId="326CB5B1">
            <w:pPr>
              <w:spacing w:line="280" w:lineRule="exact"/>
              <w:jc w:val="center"/>
              <w:rPr>
                <w:color w:val="auto"/>
              </w:rPr>
            </w:pPr>
            <w:r>
              <w:rPr>
                <w:color w:val="auto"/>
              </w:rPr>
              <w:t>危险物质泄露</w:t>
            </w:r>
          </w:p>
        </w:tc>
        <w:tc>
          <w:tcPr>
            <w:tcW w:w="606" w:type="pct"/>
            <w:vAlign w:val="center"/>
          </w:tcPr>
          <w:p w14:paraId="4F9899D7">
            <w:pPr>
              <w:spacing w:line="280" w:lineRule="exact"/>
              <w:jc w:val="center"/>
              <w:rPr>
                <w:color w:val="auto"/>
              </w:rPr>
            </w:pPr>
            <w:r>
              <w:rPr>
                <w:color w:val="auto"/>
              </w:rPr>
              <w:t>地表水、地下水</w:t>
            </w:r>
          </w:p>
        </w:tc>
        <w:tc>
          <w:tcPr>
            <w:tcW w:w="835" w:type="pct"/>
            <w:vAlign w:val="center"/>
          </w:tcPr>
          <w:p w14:paraId="38F17995">
            <w:pPr>
              <w:spacing w:line="280" w:lineRule="exact"/>
              <w:jc w:val="center"/>
              <w:rPr>
                <w:color w:val="auto"/>
              </w:rPr>
            </w:pPr>
            <w:r>
              <w:rPr>
                <w:color w:val="auto"/>
              </w:rPr>
              <w:t>附近水体</w:t>
            </w:r>
          </w:p>
          <w:p w14:paraId="1D9D2DEC">
            <w:pPr>
              <w:spacing w:line="280" w:lineRule="exact"/>
              <w:jc w:val="center"/>
              <w:rPr>
                <w:color w:val="auto"/>
              </w:rPr>
            </w:pPr>
            <w:r>
              <w:rPr>
                <w:color w:val="auto"/>
              </w:rPr>
              <w:t>周边地下水</w:t>
            </w:r>
          </w:p>
        </w:tc>
      </w:tr>
      <w:tr w14:paraId="6FCAF0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97" w:type="pct"/>
            <w:vAlign w:val="center"/>
          </w:tcPr>
          <w:p w14:paraId="0C6D9BDF">
            <w:pPr>
              <w:spacing w:line="280" w:lineRule="exact"/>
              <w:jc w:val="center"/>
              <w:rPr>
                <w:color w:val="auto"/>
              </w:rPr>
            </w:pPr>
            <w:r>
              <w:rPr>
                <w:color w:val="auto"/>
              </w:rPr>
              <w:t>5</w:t>
            </w:r>
          </w:p>
        </w:tc>
        <w:tc>
          <w:tcPr>
            <w:tcW w:w="553" w:type="pct"/>
            <w:vAlign w:val="center"/>
          </w:tcPr>
          <w:p w14:paraId="41B26CFC">
            <w:pPr>
              <w:spacing w:line="280" w:lineRule="exact"/>
              <w:jc w:val="center"/>
              <w:rPr>
                <w:color w:val="auto"/>
              </w:rPr>
            </w:pPr>
            <w:r>
              <w:rPr>
                <w:color w:val="auto"/>
              </w:rPr>
              <w:t>危废仓库</w:t>
            </w:r>
          </w:p>
        </w:tc>
        <w:tc>
          <w:tcPr>
            <w:tcW w:w="644" w:type="pct"/>
            <w:vAlign w:val="center"/>
          </w:tcPr>
          <w:p w14:paraId="59C54A6B">
            <w:pPr>
              <w:spacing w:line="280" w:lineRule="exact"/>
              <w:jc w:val="center"/>
              <w:rPr>
                <w:color w:val="auto"/>
              </w:rPr>
            </w:pPr>
            <w:r>
              <w:rPr>
                <w:color w:val="auto"/>
              </w:rPr>
              <w:t>危险废料</w:t>
            </w:r>
          </w:p>
        </w:tc>
        <w:tc>
          <w:tcPr>
            <w:tcW w:w="713" w:type="pct"/>
            <w:vAlign w:val="center"/>
          </w:tcPr>
          <w:p w14:paraId="3D91BBD4">
            <w:pPr>
              <w:spacing w:line="280" w:lineRule="exact"/>
              <w:jc w:val="center"/>
              <w:rPr>
                <w:color w:val="auto"/>
              </w:rPr>
            </w:pPr>
            <w:r>
              <w:rPr>
                <w:rFonts w:hint="eastAsia"/>
                <w:color w:val="auto"/>
                <w:lang w:val="en-US" w:eastAsia="zh-CN"/>
              </w:rPr>
              <w:t>废油类</w:t>
            </w:r>
            <w:r>
              <w:rPr>
                <w:color w:val="auto"/>
              </w:rPr>
              <w:t>等</w:t>
            </w:r>
          </w:p>
        </w:tc>
        <w:tc>
          <w:tcPr>
            <w:tcW w:w="1149" w:type="pct"/>
            <w:vAlign w:val="center"/>
          </w:tcPr>
          <w:p w14:paraId="107F0186">
            <w:pPr>
              <w:spacing w:line="280" w:lineRule="exact"/>
              <w:jc w:val="center"/>
              <w:rPr>
                <w:color w:val="auto"/>
              </w:rPr>
            </w:pPr>
            <w:r>
              <w:rPr>
                <w:color w:val="auto"/>
              </w:rPr>
              <w:t>危险物质泄露</w:t>
            </w:r>
          </w:p>
        </w:tc>
        <w:tc>
          <w:tcPr>
            <w:tcW w:w="606" w:type="pct"/>
            <w:vAlign w:val="center"/>
          </w:tcPr>
          <w:p w14:paraId="187F2808">
            <w:pPr>
              <w:spacing w:line="280" w:lineRule="exact"/>
              <w:jc w:val="center"/>
              <w:rPr>
                <w:color w:val="auto"/>
              </w:rPr>
            </w:pPr>
            <w:r>
              <w:rPr>
                <w:color w:val="auto"/>
              </w:rPr>
              <w:t>地表水、地下水</w:t>
            </w:r>
          </w:p>
        </w:tc>
        <w:tc>
          <w:tcPr>
            <w:tcW w:w="835" w:type="pct"/>
            <w:vAlign w:val="center"/>
          </w:tcPr>
          <w:p w14:paraId="4D543EA9">
            <w:pPr>
              <w:spacing w:line="280" w:lineRule="exact"/>
              <w:jc w:val="center"/>
              <w:rPr>
                <w:color w:val="auto"/>
              </w:rPr>
            </w:pPr>
            <w:r>
              <w:rPr>
                <w:color w:val="auto"/>
              </w:rPr>
              <w:t>附近水体</w:t>
            </w:r>
          </w:p>
          <w:p w14:paraId="50BBE300">
            <w:pPr>
              <w:spacing w:line="280" w:lineRule="exact"/>
              <w:jc w:val="center"/>
              <w:rPr>
                <w:color w:val="auto"/>
              </w:rPr>
            </w:pPr>
            <w:r>
              <w:rPr>
                <w:color w:val="auto"/>
              </w:rPr>
              <w:t>周边地下水</w:t>
            </w:r>
          </w:p>
        </w:tc>
      </w:tr>
    </w:tbl>
    <w:p w14:paraId="0420C17C">
      <w:pPr>
        <w:autoSpaceDE w:val="0"/>
        <w:autoSpaceDN w:val="0"/>
        <w:adjustRightInd w:val="0"/>
        <w:spacing w:before="60"/>
        <w:jc w:val="center"/>
        <w:rPr>
          <w:color w:val="auto"/>
        </w:rPr>
      </w:pPr>
      <w:r>
        <w:rPr>
          <w:color w:val="auto"/>
        </w:rPr>
        <w:object>
          <v:shape id="_x0000_i1035" o:spt="75" type="#_x0000_t75" style="height:237.75pt;width:405pt;" o:ole="t" filled="f" o:preferrelative="t" stroked="f" coordsize="21600,21600">
            <v:path/>
            <v:fill on="f" focussize="0,0"/>
            <v:stroke on="f"/>
            <v:imagedata r:id="rId46" o:title=""/>
            <o:lock v:ext="edit" aspectratio="f"/>
            <w10:wrap type="none"/>
            <w10:anchorlock/>
          </v:shape>
          <o:OLEObject Type="Embed" ProgID="Visio.Drawing.15" ShapeID="_x0000_i1035" DrawAspect="Content" ObjectID="_1468075739" r:id="rId45">
            <o:LockedField>false</o:LockedField>
          </o:OLEObject>
        </w:object>
      </w:r>
    </w:p>
    <w:p w14:paraId="23430A8E">
      <w:pPr>
        <w:autoSpaceDE w:val="0"/>
        <w:autoSpaceDN w:val="0"/>
        <w:adjustRightInd w:val="0"/>
        <w:spacing w:before="60"/>
        <w:jc w:val="center"/>
        <w:rPr>
          <w:b/>
          <w:bCs/>
          <w:color w:val="auto"/>
          <w:szCs w:val="21"/>
        </w:rPr>
      </w:pPr>
      <w:r>
        <w:rPr>
          <w:b/>
          <w:bCs/>
          <w:color w:val="auto"/>
          <w:szCs w:val="21"/>
        </w:rPr>
        <w:t>图</w:t>
      </w:r>
      <w:r>
        <w:rPr>
          <w:rFonts w:hint="eastAsia"/>
          <w:b/>
          <w:bCs/>
          <w:color w:val="auto"/>
          <w:szCs w:val="21"/>
        </w:rPr>
        <w:t>7.8</w:t>
      </w:r>
      <w:r>
        <w:rPr>
          <w:b/>
          <w:bCs/>
          <w:color w:val="auto"/>
          <w:szCs w:val="21"/>
        </w:rPr>
        <w:t>-1  建设项目危险单元分布图</w:t>
      </w:r>
    </w:p>
    <w:p w14:paraId="6C22BF10">
      <w:pPr>
        <w:spacing w:line="360" w:lineRule="auto"/>
        <w:outlineLvl w:val="0"/>
        <w:rPr>
          <w:color w:val="auto"/>
          <w:sz w:val="28"/>
          <w:szCs w:val="28"/>
        </w:rPr>
      </w:pPr>
      <w:bookmarkStart w:id="222" w:name="_Toc23008"/>
      <w:bookmarkStart w:id="223" w:name="_Toc5482"/>
      <w:r>
        <w:rPr>
          <w:rFonts w:hint="eastAsia"/>
          <w:color w:val="auto"/>
          <w:sz w:val="28"/>
          <w:szCs w:val="28"/>
        </w:rPr>
        <w:t xml:space="preserve">9 </w:t>
      </w:r>
      <w:r>
        <w:rPr>
          <w:color w:val="auto"/>
          <w:sz w:val="28"/>
          <w:szCs w:val="28"/>
        </w:rPr>
        <w:t>风险事故情形分析</w:t>
      </w:r>
      <w:bookmarkEnd w:id="222"/>
      <w:bookmarkEnd w:id="223"/>
    </w:p>
    <w:p w14:paraId="2852AFBF">
      <w:pPr>
        <w:spacing w:line="360" w:lineRule="auto"/>
        <w:ind w:firstLine="480" w:firstLineChars="200"/>
        <w:rPr>
          <w:color w:val="auto"/>
          <w:sz w:val="24"/>
        </w:rPr>
      </w:pPr>
      <w:r>
        <w:rPr>
          <w:color w:val="auto"/>
          <w:sz w:val="24"/>
        </w:rPr>
        <w:t>最大可信事故是指在所有预测的概率不为零的事故中，对环境(或健康)危害最严重的重大事故。由前述可知，项目整个系统中，存在较多的潜在事故危险，风险评价无法对每个事故都做环境影响计算和评价，为了评估系统中系统分析的可接受程度，在风险评价中筛选出系统中具有一定发生概率，其后果对环境的危害最严重，且其风险值最大的事故，即最大可信灾害事故，作为评价对象。如果这一风险值在可以接受水平内，则认为项目的风险是可以接受的；如果这一风险超过可接受水平，则需采取降低事故风险的措施，以达到可接受水平，并根据效益－费用分析决定取舍。</w:t>
      </w:r>
    </w:p>
    <w:p w14:paraId="276BBD1A">
      <w:pPr>
        <w:spacing w:line="360" w:lineRule="auto"/>
        <w:ind w:firstLine="480" w:firstLineChars="200"/>
        <w:rPr>
          <w:color w:val="auto"/>
          <w:sz w:val="24"/>
        </w:rPr>
      </w:pPr>
      <w:r>
        <w:rPr>
          <w:color w:val="auto"/>
          <w:sz w:val="24"/>
        </w:rPr>
        <w:t>根据导则要求，设定的风险事故情形发生可能性应处于合理的区间，并与经济发展水平相适应，一般而言，发生频率小于导则10</w:t>
      </w:r>
      <w:r>
        <w:rPr>
          <w:color w:val="auto"/>
          <w:sz w:val="24"/>
          <w:vertAlign w:val="superscript"/>
        </w:rPr>
        <w:t>-6</w:t>
      </w:r>
      <w:r>
        <w:rPr>
          <w:color w:val="auto"/>
          <w:sz w:val="24"/>
        </w:rPr>
        <w:t>/年的事件是极小概率事件，可作为代表性事故情形中最大可信事故设定的参考。</w:t>
      </w:r>
    </w:p>
    <w:p w14:paraId="06FBC141">
      <w:pPr>
        <w:spacing w:line="360" w:lineRule="auto"/>
        <w:ind w:firstLine="480" w:firstLineChars="200"/>
        <w:rPr>
          <w:color w:val="auto"/>
          <w:sz w:val="24"/>
        </w:rPr>
      </w:pPr>
      <w:r>
        <w:rPr>
          <w:color w:val="auto"/>
          <w:sz w:val="24"/>
        </w:rPr>
        <w:t>通过风险识别，本次项目风险事故情形设定如下表。</w:t>
      </w:r>
    </w:p>
    <w:p w14:paraId="55ABAA35">
      <w:pPr>
        <w:adjustRightInd w:val="0"/>
        <w:snapToGrid w:val="0"/>
        <w:spacing w:beforeLines="25" w:afterLines="25"/>
        <w:ind w:firstLine="422"/>
        <w:jc w:val="center"/>
        <w:outlineLvl w:val="3"/>
        <w:rPr>
          <w:b/>
          <w:bCs/>
          <w:color w:val="auto"/>
          <w:szCs w:val="21"/>
        </w:rPr>
      </w:pPr>
      <w:r>
        <w:rPr>
          <w:rFonts w:hint="eastAsia"/>
          <w:b/>
          <w:bCs/>
          <w:color w:val="auto"/>
          <w:szCs w:val="21"/>
        </w:rPr>
        <w:t>表7.</w:t>
      </w:r>
      <w:r>
        <w:rPr>
          <w:b/>
          <w:bCs/>
          <w:color w:val="auto"/>
          <w:szCs w:val="21"/>
        </w:rPr>
        <w:t>9-1 本次项目最大可信事故</w:t>
      </w:r>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86"/>
        <w:gridCol w:w="979"/>
        <w:gridCol w:w="1919"/>
        <w:gridCol w:w="2399"/>
        <w:gridCol w:w="967"/>
        <w:gridCol w:w="2133"/>
      </w:tblGrid>
      <w:tr w14:paraId="49EB3B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blHeader/>
          <w:jc w:val="center"/>
        </w:trPr>
        <w:tc>
          <w:tcPr>
            <w:tcW w:w="686" w:type="dxa"/>
            <w:vAlign w:val="center"/>
          </w:tcPr>
          <w:p w14:paraId="52999015">
            <w:pPr>
              <w:spacing w:line="280" w:lineRule="exact"/>
              <w:jc w:val="center"/>
              <w:rPr>
                <w:color w:val="auto"/>
              </w:rPr>
            </w:pPr>
            <w:r>
              <w:rPr>
                <w:color w:val="auto"/>
              </w:rPr>
              <w:t>事故类别</w:t>
            </w:r>
          </w:p>
        </w:tc>
        <w:tc>
          <w:tcPr>
            <w:tcW w:w="979" w:type="dxa"/>
            <w:vAlign w:val="center"/>
          </w:tcPr>
          <w:p w14:paraId="29B0FEFE">
            <w:pPr>
              <w:spacing w:line="280" w:lineRule="exact"/>
              <w:jc w:val="center"/>
              <w:rPr>
                <w:color w:val="auto"/>
              </w:rPr>
            </w:pPr>
            <w:r>
              <w:rPr>
                <w:color w:val="auto"/>
              </w:rPr>
              <w:t>事故位置</w:t>
            </w:r>
          </w:p>
        </w:tc>
        <w:tc>
          <w:tcPr>
            <w:tcW w:w="1919" w:type="dxa"/>
            <w:vAlign w:val="center"/>
          </w:tcPr>
          <w:p w14:paraId="274CB773">
            <w:pPr>
              <w:spacing w:line="280" w:lineRule="exact"/>
              <w:jc w:val="center"/>
              <w:rPr>
                <w:color w:val="auto"/>
              </w:rPr>
            </w:pPr>
            <w:r>
              <w:rPr>
                <w:color w:val="auto"/>
              </w:rPr>
              <w:t>假设事故</w:t>
            </w:r>
          </w:p>
        </w:tc>
        <w:tc>
          <w:tcPr>
            <w:tcW w:w="2399" w:type="dxa"/>
            <w:vAlign w:val="center"/>
          </w:tcPr>
          <w:p w14:paraId="680BFD09">
            <w:pPr>
              <w:spacing w:line="280" w:lineRule="exact"/>
              <w:jc w:val="center"/>
              <w:rPr>
                <w:color w:val="auto"/>
              </w:rPr>
            </w:pPr>
            <w:r>
              <w:rPr>
                <w:color w:val="auto"/>
              </w:rPr>
              <w:t>事故影响类型</w:t>
            </w:r>
          </w:p>
        </w:tc>
        <w:tc>
          <w:tcPr>
            <w:tcW w:w="967" w:type="dxa"/>
            <w:vAlign w:val="center"/>
          </w:tcPr>
          <w:p w14:paraId="233A65F6">
            <w:pPr>
              <w:spacing w:line="280" w:lineRule="exact"/>
              <w:jc w:val="center"/>
              <w:rPr>
                <w:color w:val="auto"/>
              </w:rPr>
            </w:pPr>
            <w:r>
              <w:rPr>
                <w:color w:val="auto"/>
              </w:rPr>
              <w:t>影响因子</w:t>
            </w:r>
          </w:p>
        </w:tc>
        <w:tc>
          <w:tcPr>
            <w:tcW w:w="2133" w:type="dxa"/>
            <w:vAlign w:val="center"/>
          </w:tcPr>
          <w:p w14:paraId="25CF3576">
            <w:pPr>
              <w:spacing w:line="280" w:lineRule="exact"/>
              <w:jc w:val="center"/>
              <w:rPr>
                <w:color w:val="auto"/>
              </w:rPr>
            </w:pPr>
            <w:r>
              <w:rPr>
                <w:color w:val="auto"/>
              </w:rPr>
              <w:t>预测内容</w:t>
            </w:r>
          </w:p>
        </w:tc>
      </w:tr>
      <w:tr w14:paraId="3EA2A5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86" w:type="dxa"/>
            <w:vMerge w:val="restart"/>
            <w:vAlign w:val="center"/>
          </w:tcPr>
          <w:p w14:paraId="186AA899">
            <w:pPr>
              <w:spacing w:line="280" w:lineRule="exact"/>
              <w:jc w:val="center"/>
              <w:rPr>
                <w:color w:val="auto"/>
              </w:rPr>
            </w:pPr>
            <w:r>
              <w:rPr>
                <w:color w:val="auto"/>
              </w:rPr>
              <w:t>毒物泄露</w:t>
            </w:r>
          </w:p>
        </w:tc>
        <w:tc>
          <w:tcPr>
            <w:tcW w:w="979" w:type="dxa"/>
            <w:vMerge w:val="restart"/>
            <w:vAlign w:val="center"/>
          </w:tcPr>
          <w:p w14:paraId="730381F9">
            <w:pPr>
              <w:spacing w:line="280" w:lineRule="exact"/>
              <w:jc w:val="center"/>
              <w:rPr>
                <w:color w:val="auto"/>
              </w:rPr>
            </w:pPr>
            <w:r>
              <w:rPr>
                <w:color w:val="auto"/>
              </w:rPr>
              <w:t>储罐区</w:t>
            </w:r>
          </w:p>
        </w:tc>
        <w:tc>
          <w:tcPr>
            <w:tcW w:w="1919" w:type="dxa"/>
            <w:vMerge w:val="restart"/>
            <w:vAlign w:val="center"/>
          </w:tcPr>
          <w:p w14:paraId="086EA0DA">
            <w:pPr>
              <w:spacing w:line="280" w:lineRule="exact"/>
              <w:jc w:val="center"/>
              <w:rPr>
                <w:color w:val="auto"/>
              </w:rPr>
            </w:pPr>
            <w:r>
              <w:rPr>
                <w:color w:val="auto"/>
              </w:rPr>
              <w:t>储罐区</w:t>
            </w:r>
            <w:r>
              <w:rPr>
                <w:rFonts w:hint="eastAsia"/>
                <w:color w:val="auto"/>
                <w:lang w:val="en-US" w:eastAsia="zh-CN"/>
              </w:rPr>
              <w:t>氢氟酸</w:t>
            </w:r>
            <w:r>
              <w:rPr>
                <w:color w:val="auto"/>
              </w:rPr>
              <w:t>泄漏</w:t>
            </w:r>
          </w:p>
        </w:tc>
        <w:tc>
          <w:tcPr>
            <w:tcW w:w="2399" w:type="dxa"/>
            <w:vAlign w:val="center"/>
          </w:tcPr>
          <w:p w14:paraId="179D9A55">
            <w:pPr>
              <w:spacing w:line="280" w:lineRule="exact"/>
              <w:jc w:val="center"/>
              <w:rPr>
                <w:color w:val="auto"/>
              </w:rPr>
            </w:pPr>
            <w:r>
              <w:rPr>
                <w:color w:val="auto"/>
              </w:rPr>
              <w:t>氟化氢影响大气</w:t>
            </w:r>
          </w:p>
        </w:tc>
        <w:tc>
          <w:tcPr>
            <w:tcW w:w="967" w:type="dxa"/>
            <w:vAlign w:val="center"/>
          </w:tcPr>
          <w:p w14:paraId="30F39A91">
            <w:pPr>
              <w:spacing w:line="280" w:lineRule="exact"/>
              <w:jc w:val="center"/>
              <w:rPr>
                <w:color w:val="auto"/>
              </w:rPr>
            </w:pPr>
            <w:r>
              <w:rPr>
                <w:color w:val="auto"/>
              </w:rPr>
              <w:t>氟化氢</w:t>
            </w:r>
          </w:p>
        </w:tc>
        <w:tc>
          <w:tcPr>
            <w:tcW w:w="2133" w:type="dxa"/>
            <w:vMerge w:val="restart"/>
            <w:vAlign w:val="center"/>
          </w:tcPr>
          <w:p w14:paraId="31280410">
            <w:pPr>
              <w:spacing w:line="280" w:lineRule="exact"/>
              <w:jc w:val="center"/>
              <w:rPr>
                <w:color w:val="auto"/>
              </w:rPr>
            </w:pPr>
            <w:r>
              <w:rPr>
                <w:color w:val="auto"/>
              </w:rPr>
              <w:t>分析氟化氢对大气</w:t>
            </w:r>
            <w:r>
              <w:rPr>
                <w:rFonts w:hint="eastAsia"/>
                <w:color w:val="auto"/>
                <w:lang w:eastAsia="zh-CN"/>
              </w:rPr>
              <w:t>、</w:t>
            </w:r>
            <w:r>
              <w:rPr>
                <w:rFonts w:hint="eastAsia"/>
                <w:color w:val="auto"/>
                <w:lang w:val="en-US" w:eastAsia="zh-CN"/>
              </w:rPr>
              <w:t>水环境</w:t>
            </w:r>
            <w:r>
              <w:rPr>
                <w:color w:val="auto"/>
              </w:rPr>
              <w:t>的影响</w:t>
            </w:r>
          </w:p>
        </w:tc>
      </w:tr>
      <w:tr w14:paraId="59BEFE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86" w:type="dxa"/>
            <w:vMerge w:val="continue"/>
            <w:vAlign w:val="center"/>
          </w:tcPr>
          <w:p w14:paraId="22B2E3D4">
            <w:pPr>
              <w:spacing w:line="280" w:lineRule="exact"/>
              <w:jc w:val="center"/>
              <w:rPr>
                <w:color w:val="auto"/>
              </w:rPr>
            </w:pPr>
          </w:p>
        </w:tc>
        <w:tc>
          <w:tcPr>
            <w:tcW w:w="979" w:type="dxa"/>
            <w:vMerge w:val="continue"/>
            <w:vAlign w:val="center"/>
          </w:tcPr>
          <w:p w14:paraId="06912310">
            <w:pPr>
              <w:spacing w:line="280" w:lineRule="exact"/>
              <w:jc w:val="center"/>
              <w:rPr>
                <w:color w:val="auto"/>
              </w:rPr>
            </w:pPr>
          </w:p>
        </w:tc>
        <w:tc>
          <w:tcPr>
            <w:tcW w:w="1919" w:type="dxa"/>
            <w:vMerge w:val="continue"/>
            <w:vAlign w:val="center"/>
          </w:tcPr>
          <w:p w14:paraId="23D7F989">
            <w:pPr>
              <w:spacing w:line="280" w:lineRule="exact"/>
              <w:jc w:val="center"/>
              <w:rPr>
                <w:color w:val="auto"/>
              </w:rPr>
            </w:pPr>
          </w:p>
        </w:tc>
        <w:tc>
          <w:tcPr>
            <w:tcW w:w="2399" w:type="dxa"/>
            <w:shd w:val="clear" w:color="auto" w:fill="auto"/>
            <w:vAlign w:val="center"/>
          </w:tcPr>
          <w:p w14:paraId="7CEC04F2">
            <w:pPr>
              <w:spacing w:line="280" w:lineRule="exact"/>
              <w:jc w:val="center"/>
              <w:rPr>
                <w:rFonts w:ascii="Times New Roman" w:hAnsi="Times New Roman" w:eastAsia="宋体" w:cs="Times New Roman"/>
                <w:color w:val="auto"/>
                <w:kern w:val="2"/>
                <w:sz w:val="21"/>
                <w:szCs w:val="24"/>
                <w:lang w:val="en-US" w:eastAsia="zh-CN" w:bidi="ar-SA"/>
              </w:rPr>
            </w:pPr>
            <w:r>
              <w:rPr>
                <w:color w:val="auto"/>
              </w:rPr>
              <w:t>事故处理废水影响地下水</w:t>
            </w:r>
          </w:p>
        </w:tc>
        <w:tc>
          <w:tcPr>
            <w:tcW w:w="967" w:type="dxa"/>
            <w:shd w:val="clear" w:color="auto" w:fill="auto"/>
            <w:vAlign w:val="center"/>
          </w:tcPr>
          <w:p w14:paraId="4908790C">
            <w:pPr>
              <w:spacing w:line="280" w:lineRule="exact"/>
              <w:jc w:val="center"/>
              <w:rPr>
                <w:rFonts w:ascii="Times New Roman" w:hAnsi="Times New Roman" w:eastAsia="宋体" w:cs="Times New Roman"/>
                <w:color w:val="auto"/>
                <w:kern w:val="2"/>
                <w:sz w:val="21"/>
                <w:szCs w:val="24"/>
                <w:lang w:val="en-US" w:eastAsia="zh-CN" w:bidi="ar-SA"/>
              </w:rPr>
            </w:pPr>
            <w:r>
              <w:rPr>
                <w:color w:val="auto"/>
              </w:rPr>
              <w:t>氟化氢</w:t>
            </w:r>
          </w:p>
        </w:tc>
        <w:tc>
          <w:tcPr>
            <w:tcW w:w="2133" w:type="dxa"/>
            <w:vMerge w:val="continue"/>
            <w:vAlign w:val="center"/>
          </w:tcPr>
          <w:p w14:paraId="348F2FAF">
            <w:pPr>
              <w:spacing w:line="280" w:lineRule="exact"/>
              <w:jc w:val="center"/>
              <w:rPr>
                <w:color w:val="auto"/>
              </w:rPr>
            </w:pPr>
          </w:p>
        </w:tc>
      </w:tr>
      <w:tr w14:paraId="79E6AC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86" w:type="dxa"/>
            <w:vMerge w:val="continue"/>
            <w:vAlign w:val="center"/>
          </w:tcPr>
          <w:p w14:paraId="7085B91C">
            <w:pPr>
              <w:spacing w:line="280" w:lineRule="exact"/>
              <w:jc w:val="center"/>
              <w:rPr>
                <w:color w:val="auto"/>
              </w:rPr>
            </w:pPr>
          </w:p>
        </w:tc>
        <w:tc>
          <w:tcPr>
            <w:tcW w:w="979" w:type="dxa"/>
            <w:vMerge w:val="continue"/>
            <w:vAlign w:val="center"/>
          </w:tcPr>
          <w:p w14:paraId="06FDA234">
            <w:pPr>
              <w:spacing w:line="280" w:lineRule="exact"/>
              <w:jc w:val="center"/>
              <w:rPr>
                <w:color w:val="auto"/>
              </w:rPr>
            </w:pPr>
          </w:p>
        </w:tc>
        <w:tc>
          <w:tcPr>
            <w:tcW w:w="1919" w:type="dxa"/>
            <w:vAlign w:val="center"/>
          </w:tcPr>
          <w:p w14:paraId="49B5DAC2">
            <w:pPr>
              <w:spacing w:line="280" w:lineRule="exact"/>
              <w:jc w:val="center"/>
              <w:rPr>
                <w:rFonts w:hint="default" w:eastAsia="宋体"/>
                <w:color w:val="auto"/>
                <w:lang w:val="en-US" w:eastAsia="zh-CN"/>
              </w:rPr>
            </w:pPr>
            <w:r>
              <w:rPr>
                <w:rFonts w:hint="eastAsia"/>
                <w:color w:val="auto"/>
                <w:lang w:val="en-US" w:eastAsia="zh-CN"/>
              </w:rPr>
              <w:t>储罐区盐酸泄露</w:t>
            </w:r>
          </w:p>
        </w:tc>
        <w:tc>
          <w:tcPr>
            <w:tcW w:w="2399" w:type="dxa"/>
            <w:shd w:val="clear" w:color="auto" w:fill="auto"/>
            <w:vAlign w:val="center"/>
          </w:tcPr>
          <w:p w14:paraId="7F0F1315">
            <w:pPr>
              <w:spacing w:line="280" w:lineRule="exact"/>
              <w:jc w:val="center"/>
              <w:rPr>
                <w:color w:val="auto"/>
              </w:rPr>
            </w:pPr>
            <w:r>
              <w:rPr>
                <w:rFonts w:hint="eastAsia"/>
                <w:color w:val="auto"/>
                <w:lang w:val="en-US" w:eastAsia="zh-CN"/>
              </w:rPr>
              <w:t>氯化氢</w:t>
            </w:r>
            <w:r>
              <w:rPr>
                <w:color w:val="auto"/>
              </w:rPr>
              <w:t>影响大气</w:t>
            </w:r>
          </w:p>
        </w:tc>
        <w:tc>
          <w:tcPr>
            <w:tcW w:w="967" w:type="dxa"/>
            <w:shd w:val="clear" w:color="auto" w:fill="auto"/>
            <w:vAlign w:val="center"/>
          </w:tcPr>
          <w:p w14:paraId="4C62DC5D">
            <w:pPr>
              <w:spacing w:line="280" w:lineRule="exact"/>
              <w:jc w:val="center"/>
              <w:rPr>
                <w:color w:val="auto"/>
              </w:rPr>
            </w:pPr>
            <w:r>
              <w:rPr>
                <w:rFonts w:hint="eastAsia"/>
                <w:color w:val="auto"/>
                <w:lang w:val="en-US" w:eastAsia="zh-CN"/>
              </w:rPr>
              <w:t>氯化氢</w:t>
            </w:r>
          </w:p>
        </w:tc>
        <w:tc>
          <w:tcPr>
            <w:tcW w:w="2133" w:type="dxa"/>
            <w:vAlign w:val="center"/>
          </w:tcPr>
          <w:p w14:paraId="1F70D3CF">
            <w:pPr>
              <w:spacing w:line="280" w:lineRule="exact"/>
              <w:jc w:val="center"/>
              <w:rPr>
                <w:color w:val="auto"/>
              </w:rPr>
            </w:pPr>
            <w:r>
              <w:rPr>
                <w:color w:val="auto"/>
              </w:rPr>
              <w:t>分析</w:t>
            </w:r>
            <w:r>
              <w:rPr>
                <w:rFonts w:hint="eastAsia"/>
                <w:color w:val="auto"/>
                <w:lang w:val="en-US" w:eastAsia="zh-CN"/>
              </w:rPr>
              <w:t>氯化氢</w:t>
            </w:r>
            <w:r>
              <w:rPr>
                <w:color w:val="auto"/>
              </w:rPr>
              <w:t>对大气</w:t>
            </w:r>
            <w:r>
              <w:rPr>
                <w:rFonts w:hint="eastAsia"/>
                <w:color w:val="auto"/>
                <w:lang w:val="en-US" w:eastAsia="zh-CN"/>
              </w:rPr>
              <w:t>环境</w:t>
            </w:r>
            <w:r>
              <w:rPr>
                <w:color w:val="auto"/>
              </w:rPr>
              <w:t>的影响</w:t>
            </w:r>
          </w:p>
        </w:tc>
      </w:tr>
      <w:tr w14:paraId="2EA02F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1" w:hRule="atLeast"/>
          <w:jc w:val="center"/>
        </w:trPr>
        <w:tc>
          <w:tcPr>
            <w:tcW w:w="686" w:type="dxa"/>
            <w:vMerge w:val="continue"/>
            <w:vAlign w:val="center"/>
          </w:tcPr>
          <w:p w14:paraId="40C60B42">
            <w:pPr>
              <w:spacing w:line="280" w:lineRule="exact"/>
              <w:jc w:val="center"/>
              <w:rPr>
                <w:color w:val="auto"/>
              </w:rPr>
            </w:pPr>
          </w:p>
        </w:tc>
        <w:tc>
          <w:tcPr>
            <w:tcW w:w="979" w:type="dxa"/>
            <w:vAlign w:val="center"/>
          </w:tcPr>
          <w:p w14:paraId="01EB4F46">
            <w:pPr>
              <w:spacing w:line="280" w:lineRule="exact"/>
              <w:jc w:val="center"/>
              <w:rPr>
                <w:color w:val="auto"/>
              </w:rPr>
            </w:pPr>
            <w:r>
              <w:rPr>
                <w:color w:val="auto"/>
              </w:rPr>
              <w:t>原料区</w:t>
            </w:r>
          </w:p>
        </w:tc>
        <w:tc>
          <w:tcPr>
            <w:tcW w:w="1919" w:type="dxa"/>
            <w:vAlign w:val="center"/>
          </w:tcPr>
          <w:p w14:paraId="6EBE9B35">
            <w:pPr>
              <w:spacing w:line="280" w:lineRule="exact"/>
              <w:jc w:val="center"/>
              <w:rPr>
                <w:color w:val="auto"/>
              </w:rPr>
            </w:pPr>
            <w:r>
              <w:rPr>
                <w:color w:val="auto"/>
              </w:rPr>
              <w:t>氯化氢泄露</w:t>
            </w:r>
          </w:p>
        </w:tc>
        <w:tc>
          <w:tcPr>
            <w:tcW w:w="2399" w:type="dxa"/>
            <w:vAlign w:val="center"/>
          </w:tcPr>
          <w:p w14:paraId="227399F6">
            <w:pPr>
              <w:spacing w:line="280" w:lineRule="exact"/>
              <w:jc w:val="center"/>
              <w:rPr>
                <w:color w:val="auto"/>
              </w:rPr>
            </w:pPr>
            <w:r>
              <w:rPr>
                <w:color w:val="auto"/>
              </w:rPr>
              <w:t>氯化氢影响大气</w:t>
            </w:r>
          </w:p>
        </w:tc>
        <w:tc>
          <w:tcPr>
            <w:tcW w:w="967" w:type="dxa"/>
            <w:vAlign w:val="center"/>
          </w:tcPr>
          <w:p w14:paraId="71E17CAA">
            <w:pPr>
              <w:spacing w:line="280" w:lineRule="exact"/>
              <w:jc w:val="center"/>
              <w:rPr>
                <w:color w:val="auto"/>
              </w:rPr>
            </w:pPr>
            <w:r>
              <w:rPr>
                <w:color w:val="auto"/>
              </w:rPr>
              <w:t>氯化氢</w:t>
            </w:r>
          </w:p>
        </w:tc>
        <w:tc>
          <w:tcPr>
            <w:tcW w:w="2133" w:type="dxa"/>
            <w:vAlign w:val="center"/>
          </w:tcPr>
          <w:p w14:paraId="036E4A01">
            <w:pPr>
              <w:spacing w:line="280" w:lineRule="exact"/>
              <w:jc w:val="center"/>
              <w:rPr>
                <w:color w:val="auto"/>
              </w:rPr>
            </w:pPr>
            <w:r>
              <w:rPr>
                <w:color w:val="auto"/>
              </w:rPr>
              <w:t>分析氯化氢对大气的影响</w:t>
            </w:r>
          </w:p>
        </w:tc>
      </w:tr>
    </w:tbl>
    <w:p w14:paraId="04C2EE71">
      <w:pPr>
        <w:spacing w:line="360" w:lineRule="auto"/>
        <w:rPr>
          <w:color w:val="auto"/>
          <w:sz w:val="24"/>
        </w:rPr>
      </w:pPr>
      <w:r>
        <w:rPr>
          <w:rFonts w:hint="eastAsia"/>
          <w:color w:val="auto"/>
          <w:sz w:val="24"/>
        </w:rPr>
        <w:t>9</w:t>
      </w:r>
      <w:r>
        <w:rPr>
          <w:color w:val="auto"/>
          <w:sz w:val="24"/>
        </w:rPr>
        <w:t>.1 风险事故情形设定</w:t>
      </w:r>
    </w:p>
    <w:p w14:paraId="47BE89D0">
      <w:pPr>
        <w:spacing w:line="360" w:lineRule="auto"/>
        <w:ind w:firstLine="480" w:firstLineChars="200"/>
        <w:rPr>
          <w:color w:val="auto"/>
          <w:sz w:val="24"/>
        </w:rPr>
      </w:pPr>
      <w:r>
        <w:rPr>
          <w:color w:val="auto"/>
          <w:sz w:val="24"/>
        </w:rPr>
        <w:t>根据导则要求，设定的风险事故情形发生可能性应处于合理的区间，并与经济发展水平相适应，一般而言，发生频率小于导则10</w:t>
      </w:r>
      <w:r>
        <w:rPr>
          <w:color w:val="auto"/>
          <w:sz w:val="24"/>
          <w:vertAlign w:val="superscript"/>
        </w:rPr>
        <w:t>-6</w:t>
      </w:r>
      <w:r>
        <w:rPr>
          <w:color w:val="auto"/>
          <w:sz w:val="24"/>
        </w:rPr>
        <w:t>/年的事件是极小概率事件，可作为代表性事故情形中最大可信事故设定的参考。</w:t>
      </w:r>
    </w:p>
    <w:p w14:paraId="6049C964">
      <w:pPr>
        <w:spacing w:before="60" w:line="360" w:lineRule="auto"/>
        <w:ind w:firstLine="480" w:firstLineChars="200"/>
        <w:rPr>
          <w:color w:val="auto"/>
          <w:sz w:val="24"/>
        </w:rPr>
      </w:pPr>
      <w:r>
        <w:rPr>
          <w:color w:val="auto"/>
          <w:sz w:val="24"/>
        </w:rPr>
        <w:t>参考风险导则附录E，储罐</w:t>
      </w:r>
      <w:r>
        <w:rPr>
          <w:rFonts w:hint="eastAsia"/>
          <w:color w:val="auto"/>
          <w:sz w:val="24"/>
          <w:lang w:val="en-US" w:eastAsia="zh-CN"/>
        </w:rPr>
        <w:t>10min泄露完毕</w:t>
      </w:r>
      <w:r>
        <w:rPr>
          <w:color w:val="auto"/>
          <w:sz w:val="24"/>
        </w:rPr>
        <w:t>发生的概率为5×10</w:t>
      </w:r>
      <w:r>
        <w:rPr>
          <w:color w:val="auto"/>
          <w:sz w:val="24"/>
          <w:vertAlign w:val="superscript"/>
        </w:rPr>
        <w:t>-6</w:t>
      </w:r>
      <w:r>
        <w:rPr>
          <w:color w:val="auto"/>
          <w:sz w:val="24"/>
        </w:rPr>
        <w:t>次/年；参考胡二邦主编的《环境风险评价实用技术、方法和案例》并结合事故树分析和国内一些对化学品爆炸、泄漏概率的统计，</w:t>
      </w:r>
      <w:r>
        <w:rPr>
          <w:rFonts w:hint="eastAsia"/>
          <w:color w:val="auto"/>
          <w:sz w:val="24"/>
          <w:lang w:val="en-US" w:eastAsia="zh-CN"/>
        </w:rPr>
        <w:t>物料</w:t>
      </w:r>
      <w:r>
        <w:rPr>
          <w:color w:val="auto"/>
          <w:sz w:val="24"/>
        </w:rPr>
        <w:t>泄漏发生的概率为5×10</w:t>
      </w:r>
      <w:r>
        <w:rPr>
          <w:color w:val="auto"/>
          <w:sz w:val="24"/>
          <w:vertAlign w:val="superscript"/>
        </w:rPr>
        <w:t>-7</w:t>
      </w:r>
      <w:r>
        <w:rPr>
          <w:color w:val="auto"/>
          <w:sz w:val="24"/>
        </w:rPr>
        <w:t>次/年。</w:t>
      </w:r>
    </w:p>
    <w:p w14:paraId="19CC07BB">
      <w:pPr>
        <w:spacing w:line="360" w:lineRule="auto"/>
        <w:rPr>
          <w:color w:val="auto"/>
          <w:sz w:val="24"/>
        </w:rPr>
      </w:pPr>
      <w:r>
        <w:rPr>
          <w:rFonts w:hint="eastAsia"/>
          <w:color w:val="auto"/>
          <w:sz w:val="24"/>
        </w:rPr>
        <w:t xml:space="preserve">9.2 </w:t>
      </w:r>
      <w:r>
        <w:rPr>
          <w:color w:val="auto"/>
          <w:sz w:val="24"/>
        </w:rPr>
        <w:t>源项分析</w:t>
      </w:r>
    </w:p>
    <w:p w14:paraId="167D75A0">
      <w:pPr>
        <w:spacing w:line="360" w:lineRule="auto"/>
        <w:ind w:firstLine="480" w:firstLineChars="200"/>
        <w:rPr>
          <w:color w:val="auto"/>
          <w:sz w:val="24"/>
        </w:rPr>
      </w:pPr>
      <w:r>
        <w:rPr>
          <w:color w:val="auto"/>
          <w:sz w:val="24"/>
        </w:rPr>
        <w:t>（1）泄漏事故源项分析</w:t>
      </w:r>
    </w:p>
    <w:p w14:paraId="74311551">
      <w:pPr>
        <w:spacing w:beforeLines="20" w:line="360" w:lineRule="auto"/>
        <w:ind w:firstLine="480" w:firstLineChars="200"/>
        <w:rPr>
          <w:color w:val="auto"/>
          <w:sz w:val="24"/>
        </w:rPr>
      </w:pPr>
      <w:r>
        <w:rPr>
          <w:color w:val="auto"/>
          <w:sz w:val="24"/>
        </w:rPr>
        <w:t>本次项目涉及</w:t>
      </w:r>
      <w:r>
        <w:rPr>
          <w:rFonts w:hint="eastAsia"/>
          <w:color w:val="auto"/>
          <w:sz w:val="24"/>
          <w:lang w:val="en-US" w:eastAsia="zh-CN"/>
        </w:rPr>
        <w:t>氢氟酸、盐酸</w:t>
      </w:r>
      <w:r>
        <w:rPr>
          <w:color w:val="auto"/>
          <w:sz w:val="24"/>
        </w:rPr>
        <w:t>储罐</w:t>
      </w:r>
      <w:r>
        <w:rPr>
          <w:rFonts w:hint="eastAsia"/>
          <w:color w:val="auto"/>
          <w:sz w:val="24"/>
          <w:lang w:val="en-US" w:eastAsia="zh-CN"/>
        </w:rPr>
        <w:t>各</w:t>
      </w:r>
      <w:r>
        <w:rPr>
          <w:color w:val="auto"/>
          <w:sz w:val="24"/>
        </w:rPr>
        <w:t>2只，容积为</w:t>
      </w:r>
      <w:r>
        <w:rPr>
          <w:rFonts w:hint="eastAsia"/>
          <w:color w:val="auto"/>
          <w:sz w:val="24"/>
          <w:lang w:val="en-US" w:eastAsia="zh-CN"/>
        </w:rPr>
        <w:t>3</w:t>
      </w:r>
      <w:r>
        <w:rPr>
          <w:color w:val="auto"/>
          <w:sz w:val="24"/>
        </w:rPr>
        <w:t>0立方，氯化氢储存为压力瓶，容积25kg，发生泄漏的情况作为事故风险。</w:t>
      </w:r>
    </w:p>
    <w:p w14:paraId="77A6C822">
      <w:pPr>
        <w:spacing w:beforeLines="20" w:line="360" w:lineRule="auto"/>
        <w:ind w:firstLine="480" w:firstLineChars="200"/>
        <w:rPr>
          <w:rFonts w:hint="eastAsia"/>
          <w:color w:val="auto"/>
          <w:sz w:val="24"/>
          <w:lang w:val="en-US" w:eastAsia="zh-CN"/>
        </w:rPr>
      </w:pPr>
      <w:r>
        <w:rPr>
          <w:rFonts w:hint="eastAsia"/>
          <w:color w:val="auto"/>
          <w:sz w:val="24"/>
          <w:lang w:val="en-US" w:eastAsia="zh-CN"/>
        </w:rPr>
        <w:t>氢氟酸、盐酸</w:t>
      </w:r>
      <w:r>
        <w:rPr>
          <w:color w:val="auto"/>
          <w:sz w:val="24"/>
        </w:rPr>
        <w:t>储罐</w:t>
      </w:r>
      <w:r>
        <w:rPr>
          <w:rFonts w:hint="eastAsia"/>
          <w:color w:val="auto"/>
          <w:sz w:val="24"/>
          <w:lang w:val="en-US" w:eastAsia="zh-CN"/>
        </w:rPr>
        <w:t>发生泄露以单罐内物料10min泄露完毕，泄露的物料在罐区围堰内形成液池并蒸发，发生泄露后储罐配备的液位计会发出警报，罐区设置的监控系统也会发现，周围的工作人员迅速对泄露的液池进行遮盖，并立即用收集桶，防爆泵等将泄露的物料转移至专用收集器内。储罐事故泄露时间为10min，液体蒸发时间设定30min。</w:t>
      </w:r>
    </w:p>
    <w:p w14:paraId="02F7D60D">
      <w:pPr>
        <w:spacing w:line="360" w:lineRule="auto"/>
        <w:ind w:firstLine="480" w:firstLineChars="200"/>
        <w:jc w:val="left"/>
        <w:rPr>
          <w:rFonts w:hint="default" w:eastAsia="宋体"/>
          <w:color w:val="auto"/>
          <w:kern w:val="0"/>
          <w:sz w:val="24"/>
          <w:lang w:val="en-US" w:eastAsia="zh-CN"/>
        </w:rPr>
      </w:pPr>
      <w:r>
        <w:rPr>
          <w:rFonts w:hint="eastAsia"/>
          <w:color w:val="auto"/>
          <w:kern w:val="0"/>
          <w:sz w:val="24"/>
          <w:lang w:eastAsia="zh-CN"/>
        </w:rPr>
        <w:t>氢氟酸、</w:t>
      </w:r>
      <w:r>
        <w:rPr>
          <w:rFonts w:hint="eastAsia"/>
          <w:color w:val="auto"/>
          <w:sz w:val="24"/>
          <w:lang w:val="en-US" w:eastAsia="zh-CN"/>
        </w:rPr>
        <w:t>氢氟酸</w:t>
      </w:r>
      <w:r>
        <w:rPr>
          <w:color w:val="auto"/>
          <w:kern w:val="0"/>
          <w:sz w:val="24"/>
        </w:rPr>
        <w:t>储罐泄漏形成液池，然后蒸发。一般泄漏液体的蒸发分为闪蒸蒸发、热量蒸发和质量蒸发三种，</w:t>
      </w:r>
      <w:r>
        <w:rPr>
          <w:rFonts w:hint="default" w:ascii="Times New Roman" w:hAnsi="Times New Roman" w:eastAsia="宋体" w:cs="Times New Roman"/>
          <w:color w:val="auto"/>
          <w:sz w:val="24"/>
          <w:szCs w:val="24"/>
          <w:highlight w:val="none"/>
        </w:rPr>
        <w:t>而</w:t>
      </w:r>
      <w:r>
        <w:rPr>
          <w:rFonts w:hint="eastAsia"/>
          <w:color w:val="auto"/>
          <w:kern w:val="0"/>
          <w:sz w:val="24"/>
          <w:lang w:eastAsia="zh-CN"/>
        </w:rPr>
        <w:t>氢氟酸、</w:t>
      </w:r>
      <w:r>
        <w:rPr>
          <w:rFonts w:hint="eastAsia"/>
          <w:color w:val="auto"/>
          <w:sz w:val="24"/>
          <w:lang w:val="en-US" w:eastAsia="zh-CN"/>
        </w:rPr>
        <w:t>氢氟酸</w:t>
      </w:r>
      <w:r>
        <w:rPr>
          <w:rFonts w:hint="default" w:ascii="Times New Roman" w:hAnsi="Times New Roman" w:eastAsia="宋体" w:cs="Times New Roman"/>
          <w:color w:val="auto"/>
          <w:sz w:val="24"/>
          <w:szCs w:val="24"/>
          <w:highlight w:val="none"/>
        </w:rPr>
        <w:t>为常温常压液体，无闪蒸蒸发和热量蒸发</w:t>
      </w:r>
      <w:r>
        <w:rPr>
          <w:rFonts w:hint="eastAsia"/>
          <w:color w:val="auto"/>
          <w:kern w:val="0"/>
          <w:sz w:val="24"/>
          <w:lang w:val="en-US" w:eastAsia="zh-CN"/>
        </w:rPr>
        <w:t>。</w:t>
      </w:r>
    </w:p>
    <w:p w14:paraId="351AE0DF">
      <w:pPr>
        <w:spacing w:line="360" w:lineRule="auto"/>
        <w:ind w:firstLine="480" w:firstLineChars="200"/>
        <w:jc w:val="left"/>
        <w:rPr>
          <w:color w:val="auto"/>
          <w:kern w:val="0"/>
          <w:sz w:val="24"/>
        </w:rPr>
      </w:pPr>
      <w:r>
        <w:rPr>
          <w:color w:val="auto"/>
          <w:kern w:val="0"/>
          <w:sz w:val="24"/>
        </w:rPr>
        <w:t>根据导则附录 F 提供的质量蒸发估算公式：</w:t>
      </w:r>
    </w:p>
    <w:p w14:paraId="0C21FE73">
      <w:pPr>
        <w:spacing w:line="360" w:lineRule="auto"/>
        <w:jc w:val="center"/>
        <w:rPr>
          <w:color w:val="auto"/>
          <w:kern w:val="0"/>
          <w:sz w:val="24"/>
        </w:rPr>
      </w:pPr>
      <w:r>
        <w:rPr>
          <w:color w:val="auto"/>
          <w:kern w:val="0"/>
          <w:position w:val="-24"/>
          <w:sz w:val="24"/>
        </w:rPr>
        <w:object>
          <v:shape id="_x0000_i1036" o:spt="75" type="#_x0000_t75" style="height:40.5pt;width:135pt;" o:ole="t" filled="f" o:preferrelative="t" stroked="f" coordsize="21600,21600">
            <v:path/>
            <v:fill on="f" focussize="0,0"/>
            <v:stroke on="f" joinstyle="miter"/>
            <v:imagedata r:id="rId48" o:title=""/>
            <o:lock v:ext="edit" aspectratio="t"/>
            <w10:wrap type="none"/>
            <w10:anchorlock/>
          </v:shape>
          <o:OLEObject Type="Embed" ProgID="Equation.3" ShapeID="_x0000_i1036" DrawAspect="Content" ObjectID="_1468075740" r:id="rId47">
            <o:LockedField>false</o:LockedField>
          </o:OLEObject>
        </w:object>
      </w:r>
    </w:p>
    <w:p w14:paraId="7F98B695">
      <w:pPr>
        <w:spacing w:line="360" w:lineRule="auto"/>
        <w:ind w:firstLine="480" w:firstLineChars="200"/>
        <w:jc w:val="left"/>
        <w:rPr>
          <w:color w:val="auto"/>
          <w:kern w:val="0"/>
          <w:sz w:val="24"/>
        </w:rPr>
      </w:pPr>
      <w:r>
        <w:rPr>
          <w:color w:val="auto"/>
          <w:kern w:val="0"/>
          <w:sz w:val="24"/>
        </w:rPr>
        <w:t>式中：Q3——质量蒸发速度，kg/s；</w:t>
      </w:r>
    </w:p>
    <w:p w14:paraId="762BAE2C">
      <w:pPr>
        <w:spacing w:line="360" w:lineRule="auto"/>
        <w:ind w:firstLine="480" w:firstLineChars="200"/>
        <w:jc w:val="left"/>
        <w:rPr>
          <w:rFonts w:hint="eastAsia" w:eastAsia="宋体"/>
          <w:color w:val="auto"/>
          <w:kern w:val="0"/>
          <w:sz w:val="24"/>
          <w:lang w:val="en-US" w:eastAsia="zh-CN"/>
        </w:rPr>
      </w:pPr>
      <w:r>
        <w:rPr>
          <w:color w:val="auto"/>
          <w:kern w:val="0"/>
          <w:sz w:val="24"/>
        </w:rPr>
        <w:t>α，n——大气稳定度系数，D 稳定度下 n 为0.25，α为4.685×10</w:t>
      </w:r>
      <w:r>
        <w:rPr>
          <w:color w:val="auto"/>
          <w:kern w:val="0"/>
          <w:sz w:val="24"/>
          <w:vertAlign w:val="superscript"/>
        </w:rPr>
        <w:t>-3</w:t>
      </w:r>
      <w:r>
        <w:rPr>
          <w:color w:val="auto"/>
          <w:kern w:val="0"/>
          <w:sz w:val="24"/>
        </w:rPr>
        <w:t>；</w:t>
      </w:r>
      <w:r>
        <w:rPr>
          <w:rFonts w:hint="eastAsia"/>
          <w:color w:val="auto"/>
          <w:kern w:val="0"/>
          <w:sz w:val="24"/>
          <w:lang w:val="en-US" w:eastAsia="zh-CN"/>
        </w:rPr>
        <w:t>F</w:t>
      </w:r>
      <w:r>
        <w:rPr>
          <w:color w:val="auto"/>
          <w:kern w:val="0"/>
          <w:sz w:val="24"/>
        </w:rPr>
        <w:t>稳定度下 n 为0.</w:t>
      </w:r>
      <w:r>
        <w:rPr>
          <w:rFonts w:hint="eastAsia"/>
          <w:color w:val="auto"/>
          <w:kern w:val="0"/>
          <w:sz w:val="24"/>
          <w:lang w:val="en-US" w:eastAsia="zh-CN"/>
        </w:rPr>
        <w:t>3</w:t>
      </w:r>
      <w:r>
        <w:rPr>
          <w:color w:val="auto"/>
          <w:kern w:val="0"/>
          <w:sz w:val="24"/>
        </w:rPr>
        <w:t>，α为</w:t>
      </w:r>
      <w:r>
        <w:rPr>
          <w:rFonts w:hint="eastAsia"/>
          <w:color w:val="auto"/>
          <w:kern w:val="0"/>
          <w:sz w:val="24"/>
          <w:lang w:val="en-US" w:eastAsia="zh-CN"/>
        </w:rPr>
        <w:t>5.285</w:t>
      </w:r>
      <w:r>
        <w:rPr>
          <w:color w:val="auto"/>
          <w:kern w:val="0"/>
          <w:sz w:val="24"/>
        </w:rPr>
        <w:t>×10</w:t>
      </w:r>
      <w:r>
        <w:rPr>
          <w:color w:val="auto"/>
          <w:kern w:val="0"/>
          <w:sz w:val="24"/>
          <w:vertAlign w:val="superscript"/>
        </w:rPr>
        <w:t>-3</w:t>
      </w:r>
    </w:p>
    <w:p w14:paraId="3A8250F1">
      <w:pPr>
        <w:spacing w:line="360" w:lineRule="auto"/>
        <w:ind w:firstLine="480" w:firstLineChars="200"/>
        <w:jc w:val="left"/>
        <w:rPr>
          <w:rFonts w:hint="default" w:eastAsia="宋体"/>
          <w:color w:val="auto"/>
          <w:kern w:val="0"/>
          <w:sz w:val="24"/>
          <w:lang w:val="en-US" w:eastAsia="zh-CN"/>
        </w:rPr>
      </w:pPr>
      <w:r>
        <w:rPr>
          <w:color w:val="auto"/>
          <w:kern w:val="0"/>
          <w:sz w:val="24"/>
        </w:rPr>
        <w:t>p——液体的表面蒸汽压；</w:t>
      </w:r>
      <w:r>
        <w:rPr>
          <w:rFonts w:hint="eastAsia"/>
          <w:color w:val="auto"/>
          <w:kern w:val="0"/>
          <w:sz w:val="24"/>
          <w:lang w:val="en-US" w:eastAsia="zh-CN"/>
        </w:rPr>
        <w:t>氢氟酸100000Pa、盐酸13000Pa</w:t>
      </w:r>
    </w:p>
    <w:p w14:paraId="20A2F611">
      <w:pPr>
        <w:spacing w:line="360" w:lineRule="auto"/>
        <w:ind w:firstLine="480" w:firstLineChars="200"/>
        <w:jc w:val="left"/>
        <w:rPr>
          <w:color w:val="auto"/>
          <w:kern w:val="0"/>
          <w:sz w:val="24"/>
        </w:rPr>
      </w:pPr>
      <w:r>
        <w:rPr>
          <w:color w:val="auto"/>
          <w:kern w:val="0"/>
          <w:sz w:val="24"/>
        </w:rPr>
        <w:t>M——物质分子量；</w:t>
      </w:r>
    </w:p>
    <w:p w14:paraId="72148050">
      <w:pPr>
        <w:spacing w:line="360" w:lineRule="auto"/>
        <w:ind w:firstLine="480" w:firstLineChars="200"/>
        <w:jc w:val="left"/>
        <w:rPr>
          <w:color w:val="auto"/>
          <w:kern w:val="0"/>
          <w:sz w:val="24"/>
        </w:rPr>
      </w:pPr>
      <w:r>
        <w:rPr>
          <w:color w:val="auto"/>
          <w:kern w:val="0"/>
          <w:sz w:val="24"/>
        </w:rPr>
        <w:t>R——气体常数，8.31J/mol.K；</w:t>
      </w:r>
    </w:p>
    <w:p w14:paraId="77F8FB79">
      <w:pPr>
        <w:spacing w:line="360" w:lineRule="auto"/>
        <w:ind w:firstLine="480" w:firstLineChars="200"/>
        <w:jc w:val="left"/>
        <w:rPr>
          <w:color w:val="auto"/>
          <w:kern w:val="0"/>
          <w:sz w:val="24"/>
        </w:rPr>
      </w:pPr>
      <w:r>
        <w:rPr>
          <w:color w:val="auto"/>
          <w:kern w:val="0"/>
          <w:sz w:val="24"/>
        </w:rPr>
        <w:t>T0——环境温度，D 稳定度下取2</w:t>
      </w:r>
      <w:r>
        <w:rPr>
          <w:rFonts w:hint="eastAsia"/>
          <w:color w:val="auto"/>
          <w:kern w:val="0"/>
          <w:sz w:val="24"/>
          <w:lang w:val="en-US" w:eastAsia="zh-CN"/>
        </w:rPr>
        <w:t>89</w:t>
      </w:r>
      <w:r>
        <w:rPr>
          <w:color w:val="auto"/>
          <w:kern w:val="0"/>
          <w:sz w:val="24"/>
        </w:rPr>
        <w:t>K</w:t>
      </w:r>
      <w:r>
        <w:rPr>
          <w:rFonts w:hint="eastAsia"/>
          <w:color w:val="auto"/>
          <w:kern w:val="0"/>
          <w:sz w:val="24"/>
          <w:lang w:eastAsia="zh-CN"/>
        </w:rPr>
        <w:t>，</w:t>
      </w:r>
      <w:r>
        <w:rPr>
          <w:rFonts w:hint="eastAsia"/>
          <w:color w:val="auto"/>
          <w:kern w:val="0"/>
          <w:sz w:val="24"/>
          <w:lang w:val="en-US" w:eastAsia="zh-CN"/>
        </w:rPr>
        <w:t>F</w:t>
      </w:r>
      <w:r>
        <w:rPr>
          <w:color w:val="auto"/>
          <w:kern w:val="0"/>
          <w:sz w:val="24"/>
        </w:rPr>
        <w:t>稳定度下取293K；</w:t>
      </w:r>
    </w:p>
    <w:p w14:paraId="716CC6DD">
      <w:pPr>
        <w:spacing w:line="360" w:lineRule="auto"/>
        <w:ind w:firstLine="480" w:firstLineChars="200"/>
        <w:jc w:val="left"/>
        <w:rPr>
          <w:rFonts w:hint="default" w:eastAsia="宋体"/>
          <w:color w:val="auto"/>
          <w:kern w:val="0"/>
          <w:sz w:val="24"/>
          <w:lang w:val="en-US" w:eastAsia="zh-CN"/>
        </w:rPr>
      </w:pPr>
      <w:r>
        <w:rPr>
          <w:color w:val="auto"/>
          <w:kern w:val="0"/>
          <w:sz w:val="24"/>
        </w:rPr>
        <w:t>u——风速，D 稳定度下取</w:t>
      </w:r>
      <w:r>
        <w:rPr>
          <w:rFonts w:hint="eastAsia"/>
          <w:color w:val="auto"/>
          <w:kern w:val="0"/>
          <w:sz w:val="24"/>
          <w:lang w:val="en-US" w:eastAsia="zh-CN"/>
        </w:rPr>
        <w:t>2.6m/s</w:t>
      </w:r>
      <w:r>
        <w:rPr>
          <w:rFonts w:hint="eastAsia"/>
          <w:color w:val="auto"/>
          <w:kern w:val="0"/>
          <w:sz w:val="24"/>
          <w:lang w:eastAsia="zh-CN"/>
        </w:rPr>
        <w:t>，</w:t>
      </w:r>
      <w:r>
        <w:rPr>
          <w:rFonts w:hint="eastAsia"/>
          <w:color w:val="auto"/>
          <w:kern w:val="0"/>
          <w:sz w:val="24"/>
          <w:lang w:val="en-US" w:eastAsia="zh-CN"/>
        </w:rPr>
        <w:t>F</w:t>
      </w:r>
      <w:r>
        <w:rPr>
          <w:color w:val="auto"/>
          <w:kern w:val="0"/>
          <w:sz w:val="24"/>
        </w:rPr>
        <w:t>稳定度下取</w:t>
      </w:r>
      <w:r>
        <w:rPr>
          <w:rFonts w:hint="eastAsia"/>
          <w:color w:val="auto"/>
          <w:kern w:val="0"/>
          <w:sz w:val="24"/>
          <w:lang w:val="en-US" w:eastAsia="zh-CN"/>
        </w:rPr>
        <w:t>1.5m/s；</w:t>
      </w:r>
    </w:p>
    <w:p w14:paraId="5CF93C20">
      <w:pPr>
        <w:spacing w:line="360" w:lineRule="auto"/>
        <w:ind w:firstLine="480" w:firstLineChars="200"/>
        <w:jc w:val="left"/>
        <w:rPr>
          <w:rFonts w:hint="eastAsia" w:eastAsia="宋体"/>
          <w:color w:val="auto"/>
          <w:kern w:val="0"/>
          <w:sz w:val="24"/>
          <w:lang w:val="en-US" w:eastAsia="zh-CN"/>
        </w:rPr>
      </w:pPr>
      <w:r>
        <w:rPr>
          <w:color w:val="auto"/>
          <w:kern w:val="0"/>
          <w:sz w:val="24"/>
        </w:rPr>
        <w:t>r——液池半径，m</w:t>
      </w:r>
      <w:r>
        <w:rPr>
          <w:rFonts w:hint="eastAsia"/>
          <w:color w:val="auto"/>
          <w:kern w:val="0"/>
          <w:sz w:val="24"/>
          <w:lang w:eastAsia="zh-CN"/>
        </w:rPr>
        <w:t>，</w:t>
      </w:r>
      <w:r>
        <w:rPr>
          <w:rFonts w:hint="eastAsia"/>
          <w:color w:val="auto"/>
          <w:kern w:val="0"/>
          <w:sz w:val="24"/>
          <w:lang w:val="en-US" w:eastAsia="zh-CN"/>
        </w:rPr>
        <w:t>取5m</w:t>
      </w:r>
      <w:r>
        <w:rPr>
          <w:color w:val="auto"/>
          <w:kern w:val="0"/>
          <w:sz w:val="24"/>
        </w:rPr>
        <w:t>；</w:t>
      </w:r>
      <w:r>
        <w:rPr>
          <w:rFonts w:hint="eastAsia"/>
          <w:color w:val="auto"/>
          <w:kern w:val="0"/>
          <w:sz w:val="24"/>
          <w:lang w:val="en-US" w:eastAsia="zh-CN"/>
        </w:rPr>
        <w:t xml:space="preserve"> </w:t>
      </w:r>
    </w:p>
    <w:p w14:paraId="4EC6519D">
      <w:pPr>
        <w:spacing w:line="360" w:lineRule="auto"/>
        <w:ind w:firstLine="480" w:firstLineChars="200"/>
        <w:jc w:val="left"/>
        <w:rPr>
          <w:color w:val="auto"/>
          <w:kern w:val="0"/>
          <w:sz w:val="24"/>
        </w:rPr>
      </w:pPr>
      <w:r>
        <w:rPr>
          <w:color w:val="auto"/>
          <w:kern w:val="0"/>
          <w:sz w:val="24"/>
        </w:rPr>
        <w:t>计算出D稳定度下</w:t>
      </w:r>
      <w:r>
        <w:rPr>
          <w:rFonts w:hint="eastAsia"/>
          <w:color w:val="auto"/>
          <w:kern w:val="0"/>
          <w:sz w:val="24"/>
          <w:lang w:eastAsia="zh-CN"/>
        </w:rPr>
        <w:t>氢氟酸</w:t>
      </w:r>
      <w:r>
        <w:rPr>
          <w:color w:val="auto"/>
          <w:kern w:val="0"/>
          <w:sz w:val="24"/>
        </w:rPr>
        <w:t>储罐泄漏后</w:t>
      </w:r>
      <w:r>
        <w:rPr>
          <w:rFonts w:hint="eastAsia"/>
          <w:color w:val="auto"/>
          <w:kern w:val="0"/>
          <w:sz w:val="24"/>
          <w:lang w:val="en-US" w:eastAsia="zh-CN"/>
        </w:rPr>
        <w:t>质量</w:t>
      </w:r>
      <w:r>
        <w:rPr>
          <w:color w:val="auto"/>
          <w:kern w:val="0"/>
          <w:sz w:val="24"/>
        </w:rPr>
        <w:t>蒸发速率为</w:t>
      </w:r>
      <w:r>
        <w:rPr>
          <w:rFonts w:hint="eastAsia"/>
          <w:color w:val="auto"/>
          <w:kern w:val="0"/>
          <w:sz w:val="24"/>
          <w:lang w:val="en-US" w:eastAsia="zh-CN"/>
        </w:rPr>
        <w:t>0.17</w:t>
      </w:r>
      <w:r>
        <w:rPr>
          <w:color w:val="auto"/>
          <w:kern w:val="0"/>
          <w:sz w:val="24"/>
        </w:rPr>
        <w:t>kg/s</w:t>
      </w:r>
      <w:r>
        <w:rPr>
          <w:rFonts w:hint="eastAsia"/>
          <w:color w:val="auto"/>
          <w:kern w:val="0"/>
          <w:sz w:val="24"/>
          <w:lang w:eastAsia="zh-CN"/>
        </w:rPr>
        <w:t>、</w:t>
      </w:r>
      <w:r>
        <w:rPr>
          <w:rFonts w:hint="eastAsia"/>
          <w:color w:val="auto"/>
          <w:kern w:val="0"/>
          <w:sz w:val="24"/>
          <w:lang w:val="en-US" w:eastAsia="zh-CN"/>
        </w:rPr>
        <w:t>盐酸泄露后质量</w:t>
      </w:r>
      <w:r>
        <w:rPr>
          <w:color w:val="auto"/>
          <w:kern w:val="0"/>
          <w:sz w:val="24"/>
        </w:rPr>
        <w:t>蒸发速率为0.0</w:t>
      </w:r>
      <w:r>
        <w:rPr>
          <w:rFonts w:hint="eastAsia"/>
          <w:color w:val="auto"/>
          <w:kern w:val="0"/>
          <w:sz w:val="24"/>
          <w:lang w:val="en-US" w:eastAsia="zh-CN"/>
        </w:rPr>
        <w:t>41</w:t>
      </w:r>
      <w:r>
        <w:rPr>
          <w:color w:val="auto"/>
          <w:kern w:val="0"/>
          <w:sz w:val="24"/>
        </w:rPr>
        <w:t>kg/s</w:t>
      </w:r>
      <w:r>
        <w:rPr>
          <w:rFonts w:hint="eastAsia"/>
          <w:color w:val="auto"/>
          <w:kern w:val="0"/>
          <w:sz w:val="24"/>
          <w:lang w:eastAsia="zh-CN"/>
        </w:rPr>
        <w:t>；</w:t>
      </w:r>
      <w:r>
        <w:rPr>
          <w:rFonts w:hint="eastAsia"/>
          <w:color w:val="auto"/>
          <w:kern w:val="0"/>
          <w:sz w:val="24"/>
          <w:lang w:val="en-US" w:eastAsia="zh-CN"/>
        </w:rPr>
        <w:t>F</w:t>
      </w:r>
      <w:r>
        <w:rPr>
          <w:color w:val="auto"/>
          <w:kern w:val="0"/>
          <w:sz w:val="24"/>
        </w:rPr>
        <w:t>稳定度下</w:t>
      </w:r>
      <w:r>
        <w:rPr>
          <w:rFonts w:hint="eastAsia"/>
          <w:color w:val="auto"/>
          <w:kern w:val="0"/>
          <w:sz w:val="24"/>
          <w:lang w:eastAsia="zh-CN"/>
        </w:rPr>
        <w:t>氢氟酸</w:t>
      </w:r>
      <w:r>
        <w:rPr>
          <w:color w:val="auto"/>
          <w:kern w:val="0"/>
          <w:sz w:val="24"/>
        </w:rPr>
        <w:t>储罐泄漏后</w:t>
      </w:r>
      <w:r>
        <w:rPr>
          <w:rFonts w:hint="eastAsia"/>
          <w:color w:val="auto"/>
          <w:kern w:val="0"/>
          <w:sz w:val="24"/>
          <w:lang w:val="en-US" w:eastAsia="zh-CN"/>
        </w:rPr>
        <w:t>质量</w:t>
      </w:r>
      <w:r>
        <w:rPr>
          <w:color w:val="auto"/>
          <w:kern w:val="0"/>
          <w:sz w:val="24"/>
        </w:rPr>
        <w:t>蒸发速率为0.</w:t>
      </w:r>
      <w:r>
        <w:rPr>
          <w:rFonts w:hint="eastAsia"/>
          <w:color w:val="auto"/>
          <w:kern w:val="0"/>
          <w:sz w:val="24"/>
          <w:lang w:val="en-US" w:eastAsia="zh-CN"/>
        </w:rPr>
        <w:t>119</w:t>
      </w:r>
      <w:r>
        <w:rPr>
          <w:color w:val="auto"/>
          <w:kern w:val="0"/>
          <w:sz w:val="24"/>
        </w:rPr>
        <w:t>kg/s</w:t>
      </w:r>
      <w:r>
        <w:rPr>
          <w:rFonts w:hint="eastAsia"/>
          <w:color w:val="auto"/>
          <w:kern w:val="0"/>
          <w:sz w:val="24"/>
          <w:lang w:eastAsia="zh-CN"/>
        </w:rPr>
        <w:t>、</w:t>
      </w:r>
      <w:r>
        <w:rPr>
          <w:rFonts w:hint="eastAsia"/>
          <w:color w:val="auto"/>
          <w:kern w:val="0"/>
          <w:sz w:val="24"/>
          <w:lang w:val="en-US" w:eastAsia="zh-CN"/>
        </w:rPr>
        <w:t>盐酸泄露后质量</w:t>
      </w:r>
      <w:r>
        <w:rPr>
          <w:color w:val="auto"/>
          <w:kern w:val="0"/>
          <w:sz w:val="24"/>
        </w:rPr>
        <w:t>蒸发速率为0.0</w:t>
      </w:r>
      <w:r>
        <w:rPr>
          <w:rFonts w:hint="eastAsia"/>
          <w:color w:val="auto"/>
          <w:kern w:val="0"/>
          <w:sz w:val="24"/>
          <w:lang w:val="en-US" w:eastAsia="zh-CN"/>
        </w:rPr>
        <w:t>28</w:t>
      </w:r>
      <w:r>
        <w:rPr>
          <w:color w:val="auto"/>
          <w:kern w:val="0"/>
          <w:sz w:val="24"/>
        </w:rPr>
        <w:t>kg/s。</w:t>
      </w:r>
    </w:p>
    <w:p w14:paraId="70869B3C">
      <w:pPr>
        <w:spacing w:line="360" w:lineRule="auto"/>
        <w:ind w:firstLine="480" w:firstLineChars="200"/>
        <w:jc w:val="left"/>
        <w:rPr>
          <w:rFonts w:hint="default"/>
          <w:color w:val="auto"/>
          <w:kern w:val="0"/>
          <w:sz w:val="24"/>
          <w:lang w:val="en-US" w:eastAsia="zh-CN"/>
        </w:rPr>
      </w:pPr>
      <w:r>
        <w:rPr>
          <w:rFonts w:hint="eastAsia"/>
          <w:color w:val="auto"/>
          <w:kern w:val="0"/>
          <w:sz w:val="24"/>
          <w:lang w:val="en-US" w:eastAsia="zh-CN"/>
        </w:rPr>
        <w:t>30m</w:t>
      </w:r>
      <w:r>
        <w:rPr>
          <w:rFonts w:hint="eastAsia"/>
          <w:color w:val="auto"/>
          <w:kern w:val="0"/>
          <w:sz w:val="24"/>
          <w:vertAlign w:val="superscript"/>
          <w:lang w:val="en-US" w:eastAsia="zh-CN"/>
        </w:rPr>
        <w:t>3</w:t>
      </w:r>
      <w:r>
        <w:rPr>
          <w:rFonts w:hint="eastAsia"/>
          <w:color w:val="auto"/>
          <w:kern w:val="0"/>
          <w:sz w:val="24"/>
          <w:lang w:val="en-US" w:eastAsia="zh-CN"/>
        </w:rPr>
        <w:t>氢氟酸储罐10min内泄露量为34.5t，泄露速率57.5kg/s，30m</w:t>
      </w:r>
      <w:r>
        <w:rPr>
          <w:rFonts w:hint="eastAsia"/>
          <w:color w:val="auto"/>
          <w:kern w:val="0"/>
          <w:sz w:val="24"/>
          <w:vertAlign w:val="superscript"/>
          <w:lang w:val="en-US" w:eastAsia="zh-CN"/>
        </w:rPr>
        <w:t>3</w:t>
      </w:r>
      <w:r>
        <w:rPr>
          <w:rFonts w:hint="eastAsia"/>
          <w:color w:val="auto"/>
          <w:kern w:val="0"/>
          <w:sz w:val="24"/>
          <w:lang w:val="en-US" w:eastAsia="zh-CN"/>
        </w:rPr>
        <w:t>盐酸储罐10min内泄露量为34.8t，泄露速率58kg/s。</w:t>
      </w:r>
    </w:p>
    <w:p w14:paraId="52EDA4E5">
      <w:pPr>
        <w:pStyle w:val="2"/>
        <w:ind w:left="0" w:leftChars="0" w:firstLine="480" w:firstLineChars="200"/>
        <w:rPr>
          <w:rFonts w:hint="eastAsia" w:eastAsia="宋体"/>
          <w:color w:val="auto"/>
          <w:lang w:val="en-US" w:eastAsia="zh-CN"/>
        </w:rPr>
      </w:pPr>
      <w:r>
        <w:rPr>
          <w:color w:val="auto"/>
          <w:sz w:val="24"/>
        </w:rPr>
        <w:t>氯化氢泄漏计算：</w:t>
      </w:r>
    </w:p>
    <w:p w14:paraId="2A0F3185">
      <w:pPr>
        <w:pStyle w:val="91"/>
        <w:spacing w:line="360" w:lineRule="auto"/>
        <w:ind w:firstLine="480" w:firstLineChars="200"/>
        <w:rPr>
          <w:rFonts w:ascii="Times New Roman" w:cs="Times New Roman"/>
          <w:color w:val="auto"/>
        </w:rPr>
      </w:pPr>
      <w:r>
        <w:rPr>
          <w:rFonts w:ascii="Times New Roman" w:cs="Times New Roman"/>
          <w:color w:val="auto"/>
        </w:rPr>
        <w:t>当下式成立时，气体流动属音速流动(临界流)：</w:t>
      </w:r>
    </w:p>
    <w:p w14:paraId="6BF5A0C6">
      <w:pPr>
        <w:pStyle w:val="91"/>
        <w:spacing w:line="360" w:lineRule="auto"/>
        <w:jc w:val="center"/>
        <w:rPr>
          <w:rFonts w:ascii="Times New Roman" w:cs="Times New Roman"/>
          <w:color w:val="auto"/>
        </w:rPr>
      </w:pPr>
      <w:r>
        <w:rPr>
          <w:rFonts w:ascii="Times New Roman" w:cs="Times New Roman"/>
          <w:color w:val="auto"/>
        </w:rPr>
        <w:drawing>
          <wp:inline distT="0" distB="0" distL="0" distR="0">
            <wp:extent cx="1238250" cy="495300"/>
            <wp:effectExtent l="19050" t="0" r="0" b="0"/>
            <wp:docPr id="2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3"/>
                    <pic:cNvPicPr>
                      <a:picLocks noChangeAspect="1" noChangeArrowheads="1"/>
                    </pic:cNvPicPr>
                  </pic:nvPicPr>
                  <pic:blipFill>
                    <a:blip r:embed="rId49"/>
                    <a:srcRect/>
                    <a:stretch>
                      <a:fillRect/>
                    </a:stretch>
                  </pic:blipFill>
                  <pic:spPr>
                    <a:xfrm>
                      <a:off x="0" y="0"/>
                      <a:ext cx="1238250" cy="495300"/>
                    </a:xfrm>
                    <a:prstGeom prst="rect">
                      <a:avLst/>
                    </a:prstGeom>
                    <a:noFill/>
                    <a:ln w="9525">
                      <a:noFill/>
                      <a:miter lim="800000"/>
                      <a:headEnd/>
                      <a:tailEnd/>
                    </a:ln>
                  </pic:spPr>
                </pic:pic>
              </a:graphicData>
            </a:graphic>
          </wp:inline>
        </w:drawing>
      </w:r>
    </w:p>
    <w:p w14:paraId="27038EA7">
      <w:pPr>
        <w:spacing w:line="360" w:lineRule="auto"/>
        <w:ind w:firstLine="480" w:firstLineChars="200"/>
        <w:rPr>
          <w:color w:val="auto"/>
          <w:sz w:val="24"/>
        </w:rPr>
      </w:pPr>
      <w:r>
        <w:rPr>
          <w:color w:val="auto"/>
          <w:sz w:val="24"/>
        </w:rPr>
        <w:t>当下式成立时，气体流动属于亚音速流动(次临界流)：</w:t>
      </w:r>
    </w:p>
    <w:p w14:paraId="6AB19689">
      <w:pPr>
        <w:pStyle w:val="91"/>
        <w:spacing w:line="360" w:lineRule="auto"/>
        <w:jc w:val="center"/>
        <w:rPr>
          <w:rFonts w:ascii="Times New Roman" w:cs="Times New Roman"/>
          <w:color w:val="auto"/>
        </w:rPr>
      </w:pPr>
      <w:r>
        <w:rPr>
          <w:rFonts w:ascii="Times New Roman" w:cs="Times New Roman"/>
          <w:color w:val="auto"/>
        </w:rPr>
        <w:drawing>
          <wp:inline distT="0" distB="0" distL="0" distR="0">
            <wp:extent cx="1019175" cy="495300"/>
            <wp:effectExtent l="19050" t="0" r="9525" b="0"/>
            <wp:docPr id="2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4"/>
                    <pic:cNvPicPr>
                      <a:picLocks noChangeAspect="1" noChangeArrowheads="1"/>
                    </pic:cNvPicPr>
                  </pic:nvPicPr>
                  <pic:blipFill>
                    <a:blip r:embed="rId50"/>
                    <a:srcRect/>
                    <a:stretch>
                      <a:fillRect/>
                    </a:stretch>
                  </pic:blipFill>
                  <pic:spPr>
                    <a:xfrm>
                      <a:off x="0" y="0"/>
                      <a:ext cx="1019175" cy="495300"/>
                    </a:xfrm>
                    <a:prstGeom prst="rect">
                      <a:avLst/>
                    </a:prstGeom>
                    <a:noFill/>
                    <a:ln w="9525">
                      <a:noFill/>
                      <a:miter lim="800000"/>
                      <a:headEnd/>
                      <a:tailEnd/>
                    </a:ln>
                  </pic:spPr>
                </pic:pic>
              </a:graphicData>
            </a:graphic>
          </wp:inline>
        </w:drawing>
      </w:r>
    </w:p>
    <w:p w14:paraId="6D5FEB17">
      <w:pPr>
        <w:spacing w:line="360" w:lineRule="auto"/>
        <w:ind w:firstLine="480" w:firstLineChars="200"/>
        <w:rPr>
          <w:color w:val="auto"/>
          <w:sz w:val="24"/>
        </w:rPr>
      </w:pPr>
      <w:r>
        <w:rPr>
          <w:color w:val="auto"/>
          <w:sz w:val="24"/>
        </w:rPr>
        <w:t>式中：P--容器压力，Pa</w:t>
      </w:r>
    </w:p>
    <w:p w14:paraId="025B505E">
      <w:pPr>
        <w:spacing w:line="360" w:lineRule="auto"/>
        <w:ind w:firstLine="480" w:firstLineChars="200"/>
        <w:rPr>
          <w:color w:val="auto"/>
          <w:sz w:val="24"/>
        </w:rPr>
      </w:pPr>
      <w:r>
        <w:rPr>
          <w:color w:val="auto"/>
          <w:sz w:val="24"/>
        </w:rPr>
        <w:t>Po--环境压力，Pa</w:t>
      </w:r>
    </w:p>
    <w:p w14:paraId="35643685">
      <w:pPr>
        <w:spacing w:line="360" w:lineRule="auto"/>
        <w:ind w:firstLine="480" w:firstLineChars="200"/>
        <w:rPr>
          <w:color w:val="auto"/>
          <w:sz w:val="24"/>
        </w:rPr>
      </w:pPr>
      <w:r>
        <w:rPr>
          <w:color w:val="auto"/>
          <w:sz w:val="24"/>
        </w:rPr>
        <w:t>γ--气体的绝热指数(比热容比)，即定压比热容C，与定容比热容 Cr之比</w:t>
      </w:r>
    </w:p>
    <w:p w14:paraId="0A05846B">
      <w:pPr>
        <w:spacing w:beforeLines="20" w:line="360" w:lineRule="auto"/>
        <w:ind w:firstLine="480" w:firstLineChars="200"/>
        <w:rPr>
          <w:color w:val="auto"/>
          <w:sz w:val="24"/>
        </w:rPr>
      </w:pPr>
      <w:r>
        <w:rPr>
          <w:color w:val="auto"/>
          <w:sz w:val="24"/>
        </w:rPr>
        <w:t>氯化氢气体的绝热指数(比热容比)为1.4，容器压力4.2MPa，则氯化氢属于音速流动(临界流)。</w:t>
      </w:r>
    </w:p>
    <w:p w14:paraId="3BFD7D8D">
      <w:pPr>
        <w:spacing w:line="360" w:lineRule="auto"/>
        <w:ind w:firstLine="480" w:firstLineChars="200"/>
        <w:rPr>
          <w:color w:val="auto"/>
          <w:sz w:val="24"/>
        </w:rPr>
      </w:pPr>
      <w:r>
        <w:rPr>
          <w:color w:val="auto"/>
          <w:sz w:val="24"/>
        </w:rPr>
        <w:t>假定气体特性为理想气体，其泄漏速率按下式计算</w:t>
      </w:r>
    </w:p>
    <w:p w14:paraId="1211FE9C">
      <w:pPr>
        <w:spacing w:line="360" w:lineRule="auto"/>
        <w:rPr>
          <w:color w:val="auto"/>
          <w:sz w:val="24"/>
        </w:rPr>
      </w:pPr>
      <w:r>
        <w:rPr>
          <w:color w:val="auto"/>
          <w:sz w:val="24"/>
        </w:rPr>
        <w:drawing>
          <wp:inline distT="0" distB="0" distL="0" distR="0">
            <wp:extent cx="5257800" cy="571500"/>
            <wp:effectExtent l="19050" t="0" r="0" b="0"/>
            <wp:docPr id="26"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2"/>
                    <pic:cNvPicPr>
                      <a:picLocks noChangeAspect="1" noChangeArrowheads="1"/>
                    </pic:cNvPicPr>
                  </pic:nvPicPr>
                  <pic:blipFill>
                    <a:blip r:embed="rId51"/>
                    <a:srcRect t="7896" b="70216"/>
                    <a:stretch>
                      <a:fillRect/>
                    </a:stretch>
                  </pic:blipFill>
                  <pic:spPr>
                    <a:xfrm>
                      <a:off x="0" y="0"/>
                      <a:ext cx="5257800" cy="571500"/>
                    </a:xfrm>
                    <a:prstGeom prst="rect">
                      <a:avLst/>
                    </a:prstGeom>
                    <a:noFill/>
                    <a:ln w="9525">
                      <a:noFill/>
                      <a:miter lim="800000"/>
                      <a:headEnd/>
                      <a:tailEnd/>
                    </a:ln>
                  </pic:spPr>
                </pic:pic>
              </a:graphicData>
            </a:graphic>
          </wp:inline>
        </w:drawing>
      </w:r>
    </w:p>
    <w:p w14:paraId="2AB39BE8">
      <w:pPr>
        <w:spacing w:beforeLines="20" w:line="360" w:lineRule="auto"/>
        <w:ind w:firstLine="480" w:firstLineChars="200"/>
        <w:rPr>
          <w:color w:val="auto"/>
          <w:sz w:val="24"/>
        </w:rPr>
      </w:pPr>
      <w:r>
        <w:rPr>
          <w:color w:val="auto"/>
          <w:sz w:val="24"/>
        </w:rPr>
        <w:t>QG--气体泄漏速率，kg/s；</w:t>
      </w:r>
    </w:p>
    <w:p w14:paraId="2E0FA290">
      <w:pPr>
        <w:spacing w:beforeLines="20" w:line="360" w:lineRule="auto"/>
        <w:ind w:firstLine="480" w:firstLineChars="200"/>
        <w:rPr>
          <w:color w:val="auto"/>
          <w:sz w:val="24"/>
        </w:rPr>
      </w:pPr>
      <w:r>
        <w:rPr>
          <w:color w:val="auto"/>
          <w:sz w:val="24"/>
        </w:rPr>
        <w:t>P--容器压力</w:t>
      </w:r>
    </w:p>
    <w:p w14:paraId="59032CD6">
      <w:pPr>
        <w:spacing w:beforeLines="20" w:line="360" w:lineRule="auto"/>
        <w:ind w:firstLine="480" w:firstLineChars="200"/>
        <w:rPr>
          <w:color w:val="auto"/>
          <w:sz w:val="24"/>
        </w:rPr>
      </w:pPr>
      <w:r>
        <w:rPr>
          <w:color w:val="auto"/>
          <w:sz w:val="24"/>
        </w:rPr>
        <w:t>Cd--气体泄漏系数：当裂口形状为圆形时取 1.00，三角形时取 0.95，长方形时取 0.90，本次取1。</w:t>
      </w:r>
    </w:p>
    <w:p w14:paraId="171226B2">
      <w:pPr>
        <w:spacing w:beforeLines="20" w:line="360" w:lineRule="auto"/>
        <w:ind w:firstLine="480" w:firstLineChars="200"/>
        <w:rPr>
          <w:color w:val="auto"/>
          <w:sz w:val="24"/>
        </w:rPr>
      </w:pPr>
      <w:r>
        <w:rPr>
          <w:color w:val="auto"/>
          <w:sz w:val="24"/>
        </w:rPr>
        <w:t>M--物质的摩尔质量</w:t>
      </w:r>
    </w:p>
    <w:p w14:paraId="3ECCE31C">
      <w:pPr>
        <w:spacing w:beforeLines="20" w:line="360" w:lineRule="auto"/>
        <w:ind w:firstLine="480" w:firstLineChars="200"/>
        <w:rPr>
          <w:color w:val="auto"/>
          <w:sz w:val="24"/>
        </w:rPr>
      </w:pPr>
      <w:r>
        <w:rPr>
          <w:color w:val="auto"/>
          <w:sz w:val="24"/>
        </w:rPr>
        <w:t>R--气体常数，J(mol-K)</w:t>
      </w:r>
    </w:p>
    <w:p w14:paraId="35E8C7D1">
      <w:pPr>
        <w:spacing w:beforeLines="20" w:line="360" w:lineRule="auto"/>
        <w:ind w:firstLine="480" w:firstLineChars="200"/>
        <w:rPr>
          <w:color w:val="auto"/>
          <w:sz w:val="24"/>
        </w:rPr>
      </w:pPr>
      <w:r>
        <w:rPr>
          <w:color w:val="auto"/>
          <w:sz w:val="24"/>
        </w:rPr>
        <w:t>TG--气体温度，K</w:t>
      </w:r>
    </w:p>
    <w:p w14:paraId="41A2249F">
      <w:pPr>
        <w:spacing w:beforeLines="20" w:line="360" w:lineRule="auto"/>
        <w:ind w:firstLine="480" w:firstLineChars="200"/>
        <w:rPr>
          <w:color w:val="auto"/>
          <w:sz w:val="24"/>
        </w:rPr>
      </w:pPr>
      <w:r>
        <w:rPr>
          <w:color w:val="auto"/>
          <w:sz w:val="24"/>
        </w:rPr>
        <w:t>A--裂口面积，㎡</w:t>
      </w:r>
    </w:p>
    <w:p w14:paraId="1C0937F0">
      <w:pPr>
        <w:spacing w:beforeLines="20" w:line="360" w:lineRule="auto"/>
        <w:ind w:firstLine="480" w:firstLineChars="200"/>
        <w:rPr>
          <w:color w:val="auto"/>
          <w:sz w:val="24"/>
        </w:rPr>
      </w:pPr>
      <w:r>
        <w:rPr>
          <w:color w:val="auto"/>
          <w:sz w:val="24"/>
        </w:rPr>
        <w:t>Y-流出系数，对于临界流Y=1.0；对于次临界流按下式计算：</w:t>
      </w:r>
    </w:p>
    <w:p w14:paraId="39084695">
      <w:pPr>
        <w:spacing w:beforeLines="20" w:line="360" w:lineRule="auto"/>
        <w:ind w:left="480" w:hanging="480" w:hangingChars="200"/>
        <w:rPr>
          <w:color w:val="auto"/>
          <w:sz w:val="24"/>
        </w:rPr>
      </w:pPr>
      <w:r>
        <w:rPr>
          <w:color w:val="auto"/>
          <w:sz w:val="24"/>
        </w:rPr>
        <w:drawing>
          <wp:inline distT="0" distB="0" distL="0" distR="0">
            <wp:extent cx="6029325" cy="657225"/>
            <wp:effectExtent l="19050" t="0" r="9525" b="0"/>
            <wp:docPr id="27"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2"/>
                    <pic:cNvPicPr>
                      <a:picLocks noChangeAspect="1" noChangeArrowheads="1"/>
                    </pic:cNvPicPr>
                  </pic:nvPicPr>
                  <pic:blipFill>
                    <a:blip r:embed="rId51"/>
                    <a:srcRect t="77338" b="681"/>
                    <a:stretch>
                      <a:fillRect/>
                    </a:stretch>
                  </pic:blipFill>
                  <pic:spPr>
                    <a:xfrm>
                      <a:off x="0" y="0"/>
                      <a:ext cx="6029325" cy="657225"/>
                    </a:xfrm>
                    <a:prstGeom prst="rect">
                      <a:avLst/>
                    </a:prstGeom>
                    <a:noFill/>
                    <a:ln w="9525">
                      <a:noFill/>
                      <a:miter lim="800000"/>
                      <a:headEnd/>
                      <a:tailEnd/>
                    </a:ln>
                  </pic:spPr>
                </pic:pic>
              </a:graphicData>
            </a:graphic>
          </wp:inline>
        </w:drawing>
      </w:r>
    </w:p>
    <w:p w14:paraId="6997C809">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sz w:val="24"/>
        </w:rPr>
      </w:pPr>
      <w:r>
        <w:rPr>
          <w:color w:val="auto"/>
          <w:sz w:val="24"/>
        </w:rPr>
        <w:t>根据以上数据，可以计算得出氯化氢泄漏速率为0.03kg/s，假设</w:t>
      </w:r>
      <w:r>
        <w:rPr>
          <w:rFonts w:hint="eastAsia"/>
          <w:color w:val="auto"/>
          <w:sz w:val="24"/>
          <w:lang w:val="en-US" w:eastAsia="zh-CN"/>
        </w:rPr>
        <w:t>全部泄露</w:t>
      </w:r>
      <w:r>
        <w:rPr>
          <w:color w:val="auto"/>
          <w:sz w:val="24"/>
        </w:rPr>
        <w:t>，则泄漏量为氯化氢0.02</w:t>
      </w:r>
      <w:r>
        <w:rPr>
          <w:rFonts w:hint="eastAsia"/>
          <w:color w:val="auto"/>
          <w:sz w:val="24"/>
          <w:lang w:val="en-US" w:eastAsia="zh-CN"/>
        </w:rPr>
        <w:t>5</w:t>
      </w:r>
      <w:r>
        <w:rPr>
          <w:color w:val="auto"/>
          <w:sz w:val="24"/>
        </w:rPr>
        <w:t>t。</w:t>
      </w:r>
    </w:p>
    <w:p w14:paraId="450459D2">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事故废水源强</w:t>
      </w:r>
    </w:p>
    <w:p w14:paraId="51813A8A">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sz w:val="24"/>
        </w:rPr>
      </w:pPr>
      <w:r>
        <w:rPr>
          <w:color w:val="auto"/>
          <w:sz w:val="24"/>
        </w:rPr>
        <w:t>本次事故应急废水量按《水体污染防控紧急措施设计导则》进行设计，计算公式为：</w:t>
      </w:r>
    </w:p>
    <w:p w14:paraId="14EBE2DF">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sz w:val="24"/>
        </w:rPr>
      </w:pPr>
      <w:r>
        <w:rPr>
          <w:color w:val="auto"/>
          <w:sz w:val="24"/>
        </w:rPr>
        <w:t>V总= （V1+ V2- V3）max + V4+ V5</w:t>
      </w:r>
    </w:p>
    <w:p w14:paraId="4A1B1871">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sz w:val="24"/>
        </w:rPr>
      </w:pPr>
      <w:r>
        <w:rPr>
          <w:color w:val="auto"/>
          <w:sz w:val="24"/>
        </w:rPr>
        <w:t>其中：（V1+ V2- V3）max是指对收集系统范围内不同罐组或装置分别计算V1+ V2- V3，取其中最大值。</w:t>
      </w:r>
    </w:p>
    <w:p w14:paraId="581B862D">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auto"/>
          <w:sz w:val="24"/>
        </w:rPr>
      </w:pPr>
      <w:r>
        <w:rPr>
          <w:color w:val="auto"/>
          <w:sz w:val="24"/>
        </w:rPr>
        <w:t>V1——收集系统范围内发生事故的一个罐组或一套装置的物料量。储存相同物料的罐组按一个最大储罐计，装置物料量按存留最大物料量的一台反应器或中间储罐计；</w:t>
      </w:r>
    </w:p>
    <w:p w14:paraId="205F36CD">
      <w:pPr>
        <w:spacing w:line="360" w:lineRule="auto"/>
        <w:ind w:firstLine="480" w:firstLineChars="200"/>
        <w:rPr>
          <w:color w:val="auto"/>
          <w:sz w:val="24"/>
        </w:rPr>
      </w:pPr>
      <w:r>
        <w:rPr>
          <w:color w:val="auto"/>
          <w:sz w:val="24"/>
        </w:rPr>
        <w:t>V2——发生事故的储罐或装置的消防水量，m</w:t>
      </w:r>
      <w:r>
        <w:rPr>
          <w:color w:val="auto"/>
          <w:sz w:val="24"/>
          <w:vertAlign w:val="superscript"/>
        </w:rPr>
        <w:t>3</w:t>
      </w:r>
      <w:r>
        <w:rPr>
          <w:color w:val="auto"/>
          <w:sz w:val="24"/>
        </w:rPr>
        <w:t xml:space="preserve">； </w:t>
      </w:r>
    </w:p>
    <w:p w14:paraId="196DF3E3">
      <w:pPr>
        <w:spacing w:line="360" w:lineRule="auto"/>
        <w:ind w:firstLine="480" w:firstLineChars="200"/>
        <w:rPr>
          <w:color w:val="auto"/>
          <w:sz w:val="24"/>
        </w:rPr>
      </w:pPr>
      <w:r>
        <w:rPr>
          <w:color w:val="auto"/>
          <w:sz w:val="24"/>
        </w:rPr>
        <w:t>V3——发生事故时可以转输到其他储存或处理设施的物料量，m</w:t>
      </w:r>
      <w:r>
        <w:rPr>
          <w:color w:val="auto"/>
          <w:sz w:val="24"/>
          <w:vertAlign w:val="superscript"/>
        </w:rPr>
        <w:t>3</w:t>
      </w:r>
      <w:r>
        <w:rPr>
          <w:color w:val="auto"/>
          <w:sz w:val="24"/>
        </w:rPr>
        <w:t xml:space="preserve">； </w:t>
      </w:r>
    </w:p>
    <w:p w14:paraId="0C65CC39">
      <w:pPr>
        <w:spacing w:line="360" w:lineRule="auto"/>
        <w:ind w:firstLine="480" w:firstLineChars="200"/>
        <w:rPr>
          <w:color w:val="auto"/>
          <w:sz w:val="24"/>
        </w:rPr>
      </w:pPr>
      <w:r>
        <w:rPr>
          <w:color w:val="auto"/>
          <w:sz w:val="24"/>
        </w:rPr>
        <w:t>V4——发生事故时仍必须进入该收集系统的生产废水量，m</w:t>
      </w:r>
      <w:r>
        <w:rPr>
          <w:color w:val="auto"/>
          <w:sz w:val="24"/>
          <w:vertAlign w:val="superscript"/>
        </w:rPr>
        <w:t>3</w:t>
      </w:r>
      <w:r>
        <w:rPr>
          <w:color w:val="auto"/>
          <w:sz w:val="24"/>
        </w:rPr>
        <w:t>；</w:t>
      </w:r>
    </w:p>
    <w:p w14:paraId="5BED0B74">
      <w:pPr>
        <w:spacing w:line="360" w:lineRule="auto"/>
        <w:ind w:firstLine="480" w:firstLineChars="200"/>
        <w:rPr>
          <w:color w:val="auto"/>
          <w:sz w:val="24"/>
        </w:rPr>
      </w:pPr>
      <w:r>
        <w:rPr>
          <w:color w:val="auto"/>
          <w:sz w:val="24"/>
        </w:rPr>
        <w:t>V5——发生事故时可能进入该收集系统的降雨量，m</w:t>
      </w:r>
      <w:r>
        <w:rPr>
          <w:color w:val="auto"/>
          <w:sz w:val="24"/>
          <w:vertAlign w:val="superscript"/>
        </w:rPr>
        <w:t>3</w:t>
      </w:r>
      <w:r>
        <w:rPr>
          <w:color w:val="auto"/>
          <w:sz w:val="24"/>
        </w:rPr>
        <w:t>；</w:t>
      </w:r>
    </w:p>
    <w:p w14:paraId="413B5D7E">
      <w:pPr>
        <w:spacing w:line="360" w:lineRule="auto"/>
        <w:ind w:firstLine="480" w:firstLineChars="200"/>
        <w:rPr>
          <w:color w:val="auto"/>
          <w:sz w:val="24"/>
        </w:rPr>
      </w:pPr>
      <w:r>
        <w:rPr>
          <w:color w:val="auto"/>
          <w:sz w:val="24"/>
        </w:rPr>
        <w:t>本次环境风险评价中的事故废水源强估算主要考虑</w:t>
      </w:r>
      <w:r>
        <w:rPr>
          <w:rFonts w:hint="eastAsia"/>
          <w:color w:val="auto"/>
          <w:sz w:val="24"/>
          <w:lang w:val="en-US" w:eastAsia="zh-CN"/>
        </w:rPr>
        <w:t>盐酸储罐泄漏、车间高温纯化设备</w:t>
      </w:r>
      <w:r>
        <w:rPr>
          <w:color w:val="auto"/>
          <w:sz w:val="24"/>
        </w:rPr>
        <w:t>火灾产生的事故废水量，包括泄露量、消防用水量以及雨水等</w:t>
      </w:r>
      <w:r>
        <w:rPr>
          <w:rFonts w:hint="eastAsia"/>
          <w:color w:val="auto"/>
          <w:sz w:val="24"/>
          <w:lang w:eastAsia="zh-CN"/>
        </w:rPr>
        <w:t>，</w:t>
      </w:r>
      <w:r>
        <w:rPr>
          <w:rFonts w:hint="eastAsia"/>
          <w:color w:val="auto"/>
          <w:sz w:val="24"/>
          <w:lang w:val="en-US" w:eastAsia="zh-CN"/>
        </w:rPr>
        <w:t>盐酸储罐泄漏、车间高温纯化设备火灾同时发生事故的可能性不大，估本次分别计算其事故废水量，取较大值作为本项目事故废水量</w:t>
      </w:r>
      <w:r>
        <w:rPr>
          <w:color w:val="auto"/>
          <w:sz w:val="24"/>
        </w:rPr>
        <w:t>。</w:t>
      </w:r>
    </w:p>
    <w:p w14:paraId="3565256A">
      <w:pPr>
        <w:spacing w:line="360" w:lineRule="auto"/>
        <w:ind w:firstLine="480" w:firstLineChars="200"/>
        <w:rPr>
          <w:color w:val="auto"/>
          <w:sz w:val="24"/>
        </w:rPr>
      </w:pPr>
      <w:r>
        <w:rPr>
          <w:color w:val="auto"/>
          <w:sz w:val="24"/>
        </w:rPr>
        <w:t>①泄漏量V1</w:t>
      </w:r>
    </w:p>
    <w:p w14:paraId="31F50DDF">
      <w:pPr>
        <w:spacing w:line="360" w:lineRule="auto"/>
        <w:ind w:firstLine="480" w:firstLineChars="200"/>
        <w:rPr>
          <w:color w:val="auto"/>
          <w:sz w:val="24"/>
        </w:rPr>
      </w:pPr>
      <w:r>
        <w:rPr>
          <w:rFonts w:hint="eastAsia"/>
          <w:color w:val="auto"/>
          <w:sz w:val="24"/>
          <w:lang w:val="en-US" w:eastAsia="zh-CN"/>
        </w:rPr>
        <w:t>盐酸储罐泄漏事故：</w:t>
      </w:r>
      <w:r>
        <w:rPr>
          <w:color w:val="auto"/>
          <w:sz w:val="24"/>
        </w:rPr>
        <w:t>随消防用水带走的危险物质量约</w:t>
      </w:r>
      <w:r>
        <w:rPr>
          <w:rFonts w:hint="eastAsia"/>
          <w:color w:val="auto"/>
          <w:sz w:val="24"/>
          <w:lang w:val="en-US" w:eastAsia="zh-CN"/>
        </w:rPr>
        <w:t>单个储罐全部容量30</w:t>
      </w:r>
      <w:r>
        <w:rPr>
          <w:color w:val="auto"/>
          <w:sz w:val="24"/>
        </w:rPr>
        <w:t>m</w:t>
      </w:r>
      <w:r>
        <w:rPr>
          <w:color w:val="auto"/>
          <w:sz w:val="24"/>
          <w:vertAlign w:val="superscript"/>
        </w:rPr>
        <w:t>3</w:t>
      </w:r>
      <w:r>
        <w:rPr>
          <w:color w:val="auto"/>
          <w:sz w:val="24"/>
        </w:rPr>
        <w:t>。</w:t>
      </w:r>
    </w:p>
    <w:p w14:paraId="03FDB16F">
      <w:pPr>
        <w:spacing w:line="360" w:lineRule="auto"/>
        <w:ind w:firstLine="480" w:firstLineChars="200"/>
        <w:rPr>
          <w:rFonts w:hint="default" w:eastAsia="宋体"/>
          <w:color w:val="auto"/>
          <w:sz w:val="24"/>
          <w:lang w:val="en-US" w:eastAsia="zh-CN"/>
        </w:rPr>
      </w:pPr>
      <w:r>
        <w:rPr>
          <w:rFonts w:hint="eastAsia"/>
          <w:color w:val="auto"/>
          <w:sz w:val="24"/>
          <w:lang w:val="en-US" w:eastAsia="zh-CN"/>
        </w:rPr>
        <w:t>车间高温纯化设备</w:t>
      </w:r>
      <w:r>
        <w:rPr>
          <w:color w:val="auto"/>
          <w:sz w:val="24"/>
        </w:rPr>
        <w:t>火灾</w:t>
      </w:r>
      <w:r>
        <w:rPr>
          <w:rFonts w:hint="eastAsia"/>
          <w:color w:val="auto"/>
          <w:sz w:val="24"/>
          <w:lang w:eastAsia="zh-CN"/>
        </w:rPr>
        <w:t>：</w:t>
      </w:r>
      <w:r>
        <w:rPr>
          <w:rFonts w:hint="eastAsia"/>
          <w:color w:val="auto"/>
          <w:sz w:val="24"/>
          <w:lang w:val="en-US" w:eastAsia="zh-CN"/>
        </w:rPr>
        <w:t>泄露为0</w:t>
      </w:r>
      <w:r>
        <w:rPr>
          <w:color w:val="auto"/>
          <w:sz w:val="24"/>
        </w:rPr>
        <w:t>m</w:t>
      </w:r>
      <w:r>
        <w:rPr>
          <w:color w:val="auto"/>
          <w:sz w:val="24"/>
          <w:vertAlign w:val="superscript"/>
        </w:rPr>
        <w:t>3</w:t>
      </w:r>
      <w:r>
        <w:rPr>
          <w:rFonts w:hint="eastAsia"/>
          <w:color w:val="auto"/>
          <w:sz w:val="24"/>
          <w:lang w:val="en-US" w:eastAsia="zh-CN"/>
        </w:rPr>
        <w:t>。</w:t>
      </w:r>
    </w:p>
    <w:p w14:paraId="1BBE9F51">
      <w:pPr>
        <w:spacing w:line="360" w:lineRule="auto"/>
        <w:ind w:firstLine="480" w:firstLineChars="200"/>
        <w:rPr>
          <w:color w:val="auto"/>
          <w:sz w:val="24"/>
        </w:rPr>
      </w:pPr>
      <w:r>
        <w:rPr>
          <w:color w:val="auto"/>
          <w:sz w:val="24"/>
        </w:rPr>
        <w:t>②发生事故的消防水量V2</w:t>
      </w:r>
    </w:p>
    <w:p w14:paraId="38990C0C">
      <w:pPr>
        <w:snapToGrid w:val="0"/>
        <w:spacing w:line="360" w:lineRule="auto"/>
        <w:ind w:firstLine="480" w:firstLineChars="200"/>
        <w:rPr>
          <w:color w:val="auto"/>
          <w:sz w:val="24"/>
        </w:rPr>
      </w:pPr>
      <w:r>
        <w:rPr>
          <w:rFonts w:hint="eastAsia"/>
          <w:color w:val="auto"/>
          <w:sz w:val="24"/>
          <w:lang w:val="en-US" w:eastAsia="zh-CN"/>
        </w:rPr>
        <w:t>车间高温纯化设备</w:t>
      </w:r>
      <w:r>
        <w:rPr>
          <w:color w:val="auto"/>
          <w:sz w:val="24"/>
        </w:rPr>
        <w:t>火灾</w:t>
      </w:r>
      <w:r>
        <w:rPr>
          <w:rFonts w:hint="eastAsia"/>
          <w:color w:val="auto"/>
          <w:sz w:val="24"/>
          <w:lang w:eastAsia="zh-CN"/>
        </w:rPr>
        <w:t>：</w:t>
      </w:r>
      <w:r>
        <w:rPr>
          <w:rFonts w:hint="eastAsia"/>
          <w:color w:val="auto"/>
          <w:sz w:val="24"/>
          <w:lang w:val="en-US" w:eastAsia="zh-CN"/>
        </w:rPr>
        <w:t>车间发生事故</w:t>
      </w:r>
      <w:r>
        <w:rPr>
          <w:color w:val="auto"/>
          <w:sz w:val="24"/>
        </w:rPr>
        <w:t>所需的消防用水量根据《消防给水及消火栓系统技术规范》GB 50974-2014项目室外消防用水量按</w:t>
      </w:r>
      <w:r>
        <w:rPr>
          <w:rFonts w:hint="eastAsia"/>
          <w:color w:val="auto"/>
          <w:sz w:val="24"/>
          <w:lang w:val="en-US" w:eastAsia="zh-CN"/>
        </w:rPr>
        <w:t>30</w:t>
      </w:r>
      <w:r>
        <w:rPr>
          <w:color w:val="auto"/>
          <w:sz w:val="24"/>
        </w:rPr>
        <w:t>L/S计，室内消防用水流量取值10L/S，同时使用消防水枪数2支。发生事故时，生产区消防用水持续时间按</w:t>
      </w:r>
      <w:r>
        <w:rPr>
          <w:rFonts w:hint="eastAsia"/>
          <w:color w:val="auto"/>
          <w:sz w:val="24"/>
          <w:lang w:val="en-US" w:eastAsia="zh-CN"/>
        </w:rPr>
        <w:t>120</w:t>
      </w:r>
      <w:r>
        <w:rPr>
          <w:color w:val="auto"/>
          <w:sz w:val="24"/>
        </w:rPr>
        <w:t>分钟计，因此本消防用水量V2=</w:t>
      </w:r>
      <w:r>
        <w:rPr>
          <w:rFonts w:hint="eastAsia"/>
          <w:color w:val="auto"/>
          <w:sz w:val="24"/>
          <w:lang w:val="en-US" w:eastAsia="zh-CN"/>
        </w:rPr>
        <w:t>360</w:t>
      </w:r>
      <w:r>
        <w:rPr>
          <w:color w:val="auto"/>
          <w:sz w:val="24"/>
        </w:rPr>
        <w:t>m</w:t>
      </w:r>
      <w:r>
        <w:rPr>
          <w:color w:val="auto"/>
          <w:sz w:val="24"/>
          <w:vertAlign w:val="superscript"/>
        </w:rPr>
        <w:t>3</w:t>
      </w:r>
      <w:r>
        <w:rPr>
          <w:color w:val="auto"/>
          <w:sz w:val="24"/>
        </w:rPr>
        <w:t>。</w:t>
      </w:r>
    </w:p>
    <w:p w14:paraId="61121E31">
      <w:pPr>
        <w:spacing w:line="360" w:lineRule="auto"/>
        <w:ind w:firstLine="480" w:firstLineChars="200"/>
        <w:rPr>
          <w:color w:val="auto"/>
          <w:sz w:val="24"/>
        </w:rPr>
      </w:pPr>
      <w:r>
        <w:rPr>
          <w:color w:val="auto"/>
          <w:sz w:val="24"/>
        </w:rPr>
        <w:t>③发生事故时可以转输到其他储存或处理设施的物料量V3</w:t>
      </w:r>
    </w:p>
    <w:p w14:paraId="3B7D0019">
      <w:pPr>
        <w:spacing w:line="360" w:lineRule="auto"/>
        <w:ind w:firstLine="480" w:firstLineChars="200"/>
        <w:rPr>
          <w:color w:val="auto"/>
          <w:sz w:val="24"/>
        </w:rPr>
      </w:pPr>
      <w:r>
        <w:rPr>
          <w:rFonts w:hint="eastAsia"/>
          <w:color w:val="auto"/>
          <w:sz w:val="24"/>
          <w:lang w:val="en-US" w:eastAsia="zh-CN"/>
        </w:rPr>
        <w:t>盐酸储罐泄漏事故：考虑罐区围堰暂存，约84m</w:t>
      </w:r>
      <w:r>
        <w:rPr>
          <w:rFonts w:hint="eastAsia"/>
          <w:color w:val="auto"/>
          <w:sz w:val="24"/>
          <w:vertAlign w:val="superscript"/>
          <w:lang w:val="en-US" w:eastAsia="zh-CN"/>
        </w:rPr>
        <w:t>3</w:t>
      </w:r>
      <w:r>
        <w:rPr>
          <w:color w:val="auto"/>
          <w:sz w:val="24"/>
        </w:rPr>
        <w:t>。</w:t>
      </w:r>
    </w:p>
    <w:p w14:paraId="2CB5E5A4">
      <w:pPr>
        <w:spacing w:line="360" w:lineRule="auto"/>
        <w:ind w:firstLine="480" w:firstLineChars="200"/>
        <w:rPr>
          <w:rFonts w:hint="default"/>
          <w:color w:val="auto"/>
          <w:sz w:val="24"/>
          <w:lang w:val="en-US"/>
        </w:rPr>
      </w:pPr>
      <w:r>
        <w:rPr>
          <w:rFonts w:hint="eastAsia"/>
          <w:color w:val="auto"/>
          <w:sz w:val="24"/>
          <w:lang w:val="en-US" w:eastAsia="zh-CN"/>
        </w:rPr>
        <w:t>车间高温纯化设备</w:t>
      </w:r>
      <w:r>
        <w:rPr>
          <w:color w:val="auto"/>
          <w:sz w:val="24"/>
        </w:rPr>
        <w:t>火灾</w:t>
      </w:r>
      <w:r>
        <w:rPr>
          <w:rFonts w:hint="eastAsia"/>
          <w:color w:val="auto"/>
          <w:sz w:val="24"/>
          <w:lang w:eastAsia="zh-CN"/>
        </w:rPr>
        <w:t>：</w:t>
      </w:r>
      <w:r>
        <w:rPr>
          <w:rFonts w:hint="eastAsia"/>
          <w:color w:val="auto"/>
          <w:sz w:val="24"/>
          <w:lang w:val="en-US" w:eastAsia="zh-CN"/>
        </w:rPr>
        <w:t>纯化区域（车间）密闭并设置围挡，纯化区域480m</w:t>
      </w:r>
      <w:r>
        <w:rPr>
          <w:rFonts w:hint="eastAsia"/>
          <w:color w:val="auto"/>
          <w:sz w:val="24"/>
          <w:vertAlign w:val="superscript"/>
          <w:lang w:val="en-US" w:eastAsia="zh-CN"/>
        </w:rPr>
        <w:t>2</w:t>
      </w:r>
      <w:r>
        <w:rPr>
          <w:rFonts w:hint="eastAsia"/>
          <w:color w:val="auto"/>
          <w:sz w:val="24"/>
          <w:lang w:val="en-US" w:eastAsia="zh-CN"/>
        </w:rPr>
        <w:t>，围挡高度0.5m，折合约240m</w:t>
      </w:r>
      <w:r>
        <w:rPr>
          <w:rFonts w:hint="eastAsia"/>
          <w:color w:val="auto"/>
          <w:sz w:val="24"/>
          <w:vertAlign w:val="superscript"/>
          <w:lang w:val="en-US" w:eastAsia="zh-CN"/>
        </w:rPr>
        <w:t>3</w:t>
      </w:r>
      <w:r>
        <w:rPr>
          <w:rFonts w:hint="eastAsia"/>
          <w:color w:val="auto"/>
          <w:sz w:val="24"/>
          <w:vertAlign w:val="baseline"/>
          <w:lang w:val="en-US" w:eastAsia="zh-CN"/>
        </w:rPr>
        <w:t>。</w:t>
      </w:r>
    </w:p>
    <w:p w14:paraId="3119E465">
      <w:pPr>
        <w:spacing w:line="360" w:lineRule="auto"/>
        <w:ind w:firstLine="480" w:firstLineChars="200"/>
        <w:rPr>
          <w:color w:val="auto"/>
          <w:sz w:val="24"/>
        </w:rPr>
      </w:pPr>
      <w:r>
        <w:rPr>
          <w:color w:val="auto"/>
          <w:sz w:val="24"/>
        </w:rPr>
        <w:t>④发生事故时仍必须进入该收集系统的生产废水量V4</w:t>
      </w:r>
    </w:p>
    <w:p w14:paraId="091B34B0">
      <w:pPr>
        <w:spacing w:line="360" w:lineRule="auto"/>
        <w:ind w:firstLine="480" w:firstLineChars="200"/>
        <w:rPr>
          <w:color w:val="auto"/>
          <w:sz w:val="24"/>
        </w:rPr>
      </w:pPr>
      <w:r>
        <w:rPr>
          <w:color w:val="auto"/>
          <w:sz w:val="24"/>
        </w:rPr>
        <w:t>生产废水可以进入调节池，不需要进入事故应急池，因此V4为0m</w:t>
      </w:r>
      <w:r>
        <w:rPr>
          <w:color w:val="auto"/>
          <w:sz w:val="24"/>
          <w:vertAlign w:val="superscript"/>
        </w:rPr>
        <w:t>3</w:t>
      </w:r>
      <w:r>
        <w:rPr>
          <w:color w:val="auto"/>
          <w:sz w:val="24"/>
        </w:rPr>
        <w:t>。</w:t>
      </w:r>
    </w:p>
    <w:p w14:paraId="59F29FF9">
      <w:pPr>
        <w:spacing w:line="360" w:lineRule="auto"/>
        <w:ind w:firstLine="480" w:firstLineChars="200"/>
        <w:rPr>
          <w:color w:val="auto"/>
          <w:sz w:val="24"/>
        </w:rPr>
      </w:pPr>
      <w:r>
        <w:rPr>
          <w:color w:val="auto"/>
          <w:sz w:val="24"/>
        </w:rPr>
        <w:t>⑤发生事故时可能进入该收集系统的降雨量V5</w:t>
      </w:r>
    </w:p>
    <w:p w14:paraId="0E1DEF3F">
      <w:pPr>
        <w:spacing w:line="360" w:lineRule="auto"/>
        <w:ind w:firstLine="480" w:firstLineChars="200"/>
        <w:rPr>
          <w:color w:val="auto"/>
          <w:sz w:val="24"/>
        </w:rPr>
      </w:pPr>
      <w:r>
        <w:rPr>
          <w:color w:val="auto"/>
          <w:sz w:val="24"/>
        </w:rPr>
        <w:t>年平均降雨量987.34mm，年平均雨日115天，事故汇水面积按0.2hm</w:t>
      </w:r>
      <w:r>
        <w:rPr>
          <w:color w:val="auto"/>
          <w:sz w:val="24"/>
          <w:vertAlign w:val="superscript"/>
        </w:rPr>
        <w:t>2</w:t>
      </w:r>
      <w:r>
        <w:rPr>
          <w:color w:val="auto"/>
          <w:sz w:val="24"/>
        </w:rPr>
        <w:t>，一次降雨量为17m</w:t>
      </w:r>
      <w:r>
        <w:rPr>
          <w:color w:val="auto"/>
          <w:sz w:val="24"/>
          <w:vertAlign w:val="superscript"/>
        </w:rPr>
        <w:t>3</w:t>
      </w:r>
    </w:p>
    <w:p w14:paraId="00FDC79F">
      <w:pPr>
        <w:spacing w:line="360" w:lineRule="auto"/>
        <w:ind w:firstLine="480" w:firstLineChars="200"/>
        <w:rPr>
          <w:color w:val="auto"/>
          <w:sz w:val="24"/>
        </w:rPr>
      </w:pPr>
      <w:r>
        <w:rPr>
          <w:color w:val="auto"/>
          <w:sz w:val="24"/>
        </w:rPr>
        <w:t>⑥事故废水量计算</w:t>
      </w:r>
    </w:p>
    <w:p w14:paraId="7B7A4D6E">
      <w:pPr>
        <w:spacing w:line="360" w:lineRule="auto"/>
        <w:ind w:firstLine="480" w:firstLineChars="200"/>
        <w:rPr>
          <w:color w:val="auto"/>
          <w:sz w:val="24"/>
        </w:rPr>
      </w:pPr>
      <w:r>
        <w:rPr>
          <w:color w:val="auto"/>
          <w:sz w:val="24"/>
        </w:rPr>
        <w:t>根据公式V总=（V1+ V2- V3）max + V4+ V5计算，一旦发生</w:t>
      </w:r>
      <w:r>
        <w:rPr>
          <w:rFonts w:hint="eastAsia"/>
          <w:color w:val="auto"/>
          <w:sz w:val="24"/>
          <w:lang w:val="en-US" w:eastAsia="zh-CN"/>
        </w:rPr>
        <w:t>盐酸储罐泄漏事故：</w:t>
      </w:r>
      <w:r>
        <w:rPr>
          <w:color w:val="auto"/>
          <w:sz w:val="24"/>
        </w:rPr>
        <w:t>产生的事故废水量约</w:t>
      </w:r>
      <w:r>
        <w:rPr>
          <w:rFonts w:hint="eastAsia"/>
          <w:color w:val="auto"/>
          <w:sz w:val="24"/>
          <w:lang w:val="en-US" w:eastAsia="zh-CN"/>
        </w:rPr>
        <w:t>17</w:t>
      </w:r>
      <w:r>
        <w:rPr>
          <w:color w:val="auto"/>
          <w:sz w:val="24"/>
        </w:rPr>
        <w:t>m</w:t>
      </w:r>
      <w:r>
        <w:rPr>
          <w:color w:val="auto"/>
          <w:sz w:val="24"/>
          <w:vertAlign w:val="superscript"/>
        </w:rPr>
        <w:t>3</w:t>
      </w:r>
      <w:r>
        <w:rPr>
          <w:color w:val="auto"/>
          <w:sz w:val="24"/>
        </w:rPr>
        <w:t>/次。一旦发生</w:t>
      </w:r>
      <w:r>
        <w:rPr>
          <w:rFonts w:hint="eastAsia"/>
          <w:color w:val="auto"/>
          <w:sz w:val="24"/>
          <w:lang w:val="en-US" w:eastAsia="zh-CN"/>
        </w:rPr>
        <w:t>盐酸储罐泄漏事故：</w:t>
      </w:r>
      <w:r>
        <w:rPr>
          <w:color w:val="auto"/>
          <w:sz w:val="24"/>
        </w:rPr>
        <w:t>产生的事故废水量约</w:t>
      </w:r>
      <w:r>
        <w:rPr>
          <w:rFonts w:hint="eastAsia"/>
          <w:color w:val="auto"/>
          <w:sz w:val="24"/>
          <w:lang w:val="en-US" w:eastAsia="zh-CN"/>
        </w:rPr>
        <w:t>137</w:t>
      </w:r>
      <w:r>
        <w:rPr>
          <w:color w:val="auto"/>
          <w:sz w:val="24"/>
        </w:rPr>
        <w:t>m</w:t>
      </w:r>
      <w:r>
        <w:rPr>
          <w:color w:val="auto"/>
          <w:sz w:val="24"/>
          <w:vertAlign w:val="superscript"/>
        </w:rPr>
        <w:t>3</w:t>
      </w:r>
      <w:r>
        <w:rPr>
          <w:color w:val="auto"/>
          <w:sz w:val="24"/>
        </w:rPr>
        <w:t>/次。</w:t>
      </w:r>
      <w:r>
        <w:rPr>
          <w:rFonts w:hint="eastAsia"/>
          <w:color w:val="auto"/>
          <w:sz w:val="24"/>
          <w:lang w:val="en-US" w:eastAsia="zh-CN"/>
        </w:rPr>
        <w:t>盐酸储罐泄漏、车间高温纯化设备火灾同时发生事故的可能性不大，故本次以140</w:t>
      </w:r>
      <w:r>
        <w:rPr>
          <w:color w:val="auto"/>
          <w:sz w:val="24"/>
        </w:rPr>
        <w:t>m</w:t>
      </w:r>
      <w:r>
        <w:rPr>
          <w:color w:val="auto"/>
          <w:sz w:val="24"/>
          <w:vertAlign w:val="superscript"/>
        </w:rPr>
        <w:t>3</w:t>
      </w:r>
      <w:r>
        <w:rPr>
          <w:color w:val="auto"/>
          <w:sz w:val="24"/>
        </w:rPr>
        <w:t>/次</w:t>
      </w:r>
      <w:r>
        <w:rPr>
          <w:rFonts w:hint="eastAsia"/>
          <w:color w:val="auto"/>
          <w:sz w:val="24"/>
          <w:lang w:val="en-US" w:eastAsia="zh-CN"/>
        </w:rPr>
        <w:t>计</w:t>
      </w:r>
      <w:r>
        <w:rPr>
          <w:color w:val="auto"/>
          <w:sz w:val="24"/>
        </w:rPr>
        <w:t>。企业拟建容积</w:t>
      </w:r>
      <w:r>
        <w:rPr>
          <w:rFonts w:hint="eastAsia"/>
          <w:color w:val="auto"/>
          <w:sz w:val="24"/>
          <w:lang w:val="en-US" w:eastAsia="zh-CN"/>
        </w:rPr>
        <w:t>140</w:t>
      </w:r>
      <w:r>
        <w:rPr>
          <w:color w:val="auto"/>
          <w:sz w:val="24"/>
        </w:rPr>
        <w:t>m</w:t>
      </w:r>
      <w:r>
        <w:rPr>
          <w:color w:val="auto"/>
          <w:sz w:val="24"/>
          <w:vertAlign w:val="superscript"/>
        </w:rPr>
        <w:t>3</w:t>
      </w:r>
      <w:r>
        <w:rPr>
          <w:color w:val="auto"/>
          <w:sz w:val="24"/>
        </w:rPr>
        <w:t>的事故应急池</w:t>
      </w:r>
      <w:r>
        <w:rPr>
          <w:rFonts w:hint="eastAsia"/>
          <w:color w:val="auto"/>
          <w:sz w:val="24"/>
          <w:lang w:eastAsia="zh-CN"/>
        </w:rPr>
        <w:t>，</w:t>
      </w:r>
      <w:r>
        <w:rPr>
          <w:rFonts w:hint="eastAsia"/>
          <w:color w:val="auto"/>
          <w:sz w:val="24"/>
          <w:lang w:val="en-US" w:eastAsia="zh-CN"/>
        </w:rPr>
        <w:t>位于车间外西侧</w:t>
      </w:r>
      <w:r>
        <w:rPr>
          <w:color w:val="auto"/>
          <w:sz w:val="24"/>
        </w:rPr>
        <w:t>，能够满足事故废水暂存要求。事故水采取“单元、厂区、园区”三级联控，并在雨水排口设置截止阀。当发生事故时，污水进入事故池储存，可确保一般事故状态事故废水不外排；经暂存后送对应废水处理单位处理达标后外排。</w:t>
      </w:r>
    </w:p>
    <w:p w14:paraId="382A7D29">
      <w:pPr>
        <w:tabs>
          <w:tab w:val="left" w:pos="472"/>
        </w:tabs>
        <w:spacing w:line="360" w:lineRule="auto"/>
        <w:ind w:firstLine="480" w:firstLineChars="200"/>
        <w:rPr>
          <w:rFonts w:hint="eastAsia" w:eastAsia="宋体" w:cs="Times New Roman"/>
          <w:color w:val="auto"/>
          <w:sz w:val="24"/>
          <w:szCs w:val="24"/>
          <w:highlight w:val="none"/>
          <w:lang w:val="en-US" w:eastAsia="zh-CN"/>
        </w:rPr>
      </w:pPr>
      <w:r>
        <w:rPr>
          <w:rFonts w:hint="eastAsia" w:eastAsia="宋体"/>
          <w:color w:val="auto"/>
          <w:sz w:val="24"/>
          <w:lang w:val="en-US" w:eastAsia="zh-CN"/>
        </w:rPr>
        <w:t>⑦水环境</w:t>
      </w:r>
      <w:r>
        <w:rPr>
          <w:rFonts w:hint="eastAsia" w:eastAsia="宋体" w:cs="Times New Roman"/>
          <w:color w:val="auto"/>
          <w:sz w:val="24"/>
          <w:szCs w:val="24"/>
          <w:highlight w:val="none"/>
          <w:lang w:val="en-US" w:eastAsia="zh-CN"/>
        </w:rPr>
        <w:t>风险源强</w:t>
      </w:r>
    </w:p>
    <w:p w14:paraId="7603AA8A">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ascii="Times New Roman" w:hAnsi="Times New Roman"/>
          <w:color w:val="auto"/>
          <w:sz w:val="24"/>
          <w:szCs w:val="24"/>
          <w:highlight w:val="none"/>
        </w:rPr>
      </w:pPr>
      <w:r>
        <w:rPr>
          <w:rFonts w:ascii="Times New Roman" w:hAnsi="Times New Roman"/>
          <w:color w:val="auto"/>
          <w:sz w:val="24"/>
          <w:szCs w:val="24"/>
          <w:highlight w:val="none"/>
        </w:rPr>
        <w:t>本项目对地下水污染途径主要为</w:t>
      </w:r>
      <w:r>
        <w:rPr>
          <w:rFonts w:hint="eastAsia"/>
          <w:color w:val="auto"/>
          <w:sz w:val="24"/>
          <w:szCs w:val="24"/>
          <w:highlight w:val="none"/>
          <w:lang w:val="en-US" w:eastAsia="zh-CN"/>
        </w:rPr>
        <w:t>罐区内</w:t>
      </w:r>
      <w:r>
        <w:rPr>
          <w:rFonts w:hint="eastAsia" w:ascii="Times New Roman" w:hAnsi="Times New Roman"/>
          <w:color w:val="auto"/>
          <w:sz w:val="24"/>
          <w:szCs w:val="24"/>
          <w:highlight w:val="none"/>
          <w:lang w:val="en-US" w:eastAsia="zh-CN"/>
        </w:rPr>
        <w:t>事故废水影响地下水</w:t>
      </w:r>
      <w:r>
        <w:rPr>
          <w:rFonts w:ascii="Times New Roman" w:hAnsi="Times New Roman"/>
          <w:color w:val="auto"/>
          <w:sz w:val="24"/>
          <w:szCs w:val="24"/>
          <w:highlight w:val="none"/>
        </w:rPr>
        <w:t>发生事故性渗漏，本项目选取</w:t>
      </w:r>
      <w:r>
        <w:rPr>
          <w:rFonts w:hint="eastAsia"/>
          <w:color w:val="auto"/>
          <w:sz w:val="24"/>
          <w:szCs w:val="24"/>
          <w:highlight w:val="none"/>
          <w:lang w:val="en-US" w:eastAsia="zh-CN"/>
        </w:rPr>
        <w:t>氟化物</w:t>
      </w:r>
      <w:r>
        <w:rPr>
          <w:rFonts w:ascii="Times New Roman" w:hAnsi="Times New Roman"/>
          <w:color w:val="auto"/>
          <w:sz w:val="24"/>
          <w:szCs w:val="24"/>
          <w:highlight w:val="none"/>
        </w:rPr>
        <w:t>作为本次预测因子。</w:t>
      </w:r>
      <w:r>
        <w:rPr>
          <w:rFonts w:hint="eastAsia"/>
          <w:color w:val="auto"/>
          <w:sz w:val="24"/>
          <w:szCs w:val="24"/>
          <w:highlight w:val="none"/>
          <w:lang w:val="en-US" w:eastAsia="zh-CN"/>
        </w:rPr>
        <w:t>预测浓度为20</w:t>
      </w:r>
      <w:r>
        <w:rPr>
          <w:rFonts w:hint="eastAsia" w:ascii="Times New Roman" w:hAnsi="Times New Roman"/>
          <w:color w:val="auto"/>
          <w:sz w:val="24"/>
          <w:szCs w:val="24"/>
          <w:highlight w:val="none"/>
          <w:lang w:val="en-US" w:eastAsia="zh-CN"/>
        </w:rPr>
        <w:t>00</w:t>
      </w:r>
      <w:r>
        <w:rPr>
          <w:rFonts w:ascii="Times New Roman" w:hAnsi="Times New Roman"/>
          <w:color w:val="auto"/>
          <w:sz w:val="24"/>
          <w:szCs w:val="24"/>
          <w:highlight w:val="none"/>
        </w:rPr>
        <w:t>mg/L。</w:t>
      </w:r>
    </w:p>
    <w:p w14:paraId="5BFF8E1E">
      <w:pPr>
        <w:spacing w:line="360" w:lineRule="auto"/>
        <w:rPr>
          <w:color w:val="auto"/>
          <w:sz w:val="24"/>
        </w:rPr>
      </w:pPr>
      <w:r>
        <w:rPr>
          <w:rFonts w:hint="eastAsia"/>
          <w:color w:val="auto"/>
          <w:sz w:val="24"/>
        </w:rPr>
        <w:t xml:space="preserve">9.3 </w:t>
      </w:r>
      <w:r>
        <w:rPr>
          <w:color w:val="auto"/>
          <w:sz w:val="24"/>
        </w:rPr>
        <w:t>环境风险源强一览表</w:t>
      </w:r>
    </w:p>
    <w:p w14:paraId="256EE79C">
      <w:pPr>
        <w:adjustRightInd w:val="0"/>
        <w:snapToGrid w:val="0"/>
        <w:spacing w:beforeLines="25" w:afterLines="25"/>
        <w:ind w:firstLine="422"/>
        <w:jc w:val="center"/>
        <w:outlineLvl w:val="3"/>
        <w:rPr>
          <w:b/>
          <w:bCs/>
          <w:color w:val="auto"/>
          <w:szCs w:val="21"/>
        </w:rPr>
      </w:pPr>
      <w:r>
        <w:rPr>
          <w:rFonts w:hint="eastAsia"/>
          <w:b/>
          <w:bCs/>
          <w:color w:val="auto"/>
          <w:szCs w:val="21"/>
        </w:rPr>
        <w:t>表7.9-2</w:t>
      </w:r>
      <w:r>
        <w:rPr>
          <w:b/>
          <w:bCs/>
          <w:color w:val="auto"/>
          <w:szCs w:val="21"/>
        </w:rPr>
        <w:t xml:space="preserve">  建设项目源强一览表</w:t>
      </w:r>
    </w:p>
    <w:tbl>
      <w:tblPr>
        <w:tblStyle w:val="32"/>
        <w:tblW w:w="50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81"/>
        <w:gridCol w:w="1478"/>
        <w:gridCol w:w="976"/>
        <w:gridCol w:w="1466"/>
        <w:gridCol w:w="1041"/>
        <w:gridCol w:w="941"/>
        <w:gridCol w:w="1016"/>
      </w:tblGrid>
      <w:tr w14:paraId="4ABD60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2276" w:type="dxa"/>
            <w:vAlign w:val="center"/>
          </w:tcPr>
          <w:p w14:paraId="4EE96CEF">
            <w:pPr>
              <w:spacing w:line="280" w:lineRule="exact"/>
              <w:jc w:val="center"/>
              <w:rPr>
                <w:color w:val="auto"/>
              </w:rPr>
            </w:pPr>
            <w:r>
              <w:rPr>
                <w:color w:val="auto"/>
              </w:rPr>
              <w:t>风险事故情形描述</w:t>
            </w:r>
          </w:p>
        </w:tc>
        <w:tc>
          <w:tcPr>
            <w:tcW w:w="1475" w:type="dxa"/>
            <w:vAlign w:val="center"/>
          </w:tcPr>
          <w:p w14:paraId="7AC54936">
            <w:pPr>
              <w:spacing w:line="280" w:lineRule="exact"/>
              <w:jc w:val="center"/>
              <w:rPr>
                <w:color w:val="auto"/>
              </w:rPr>
            </w:pPr>
            <w:r>
              <w:rPr>
                <w:color w:val="auto"/>
              </w:rPr>
              <w:t>危险单元</w:t>
            </w:r>
          </w:p>
        </w:tc>
        <w:tc>
          <w:tcPr>
            <w:tcW w:w="974" w:type="dxa"/>
            <w:vAlign w:val="center"/>
          </w:tcPr>
          <w:p w14:paraId="1AD76773">
            <w:pPr>
              <w:spacing w:line="280" w:lineRule="exact"/>
              <w:jc w:val="center"/>
              <w:rPr>
                <w:color w:val="auto"/>
              </w:rPr>
            </w:pPr>
            <w:r>
              <w:rPr>
                <w:color w:val="auto"/>
              </w:rPr>
              <w:t>危险物质</w:t>
            </w:r>
          </w:p>
        </w:tc>
        <w:tc>
          <w:tcPr>
            <w:tcW w:w="1463" w:type="dxa"/>
            <w:vAlign w:val="center"/>
          </w:tcPr>
          <w:p w14:paraId="4D572A76">
            <w:pPr>
              <w:spacing w:line="280" w:lineRule="exact"/>
              <w:jc w:val="center"/>
              <w:rPr>
                <w:color w:val="auto"/>
              </w:rPr>
            </w:pPr>
            <w:r>
              <w:rPr>
                <w:color w:val="auto"/>
              </w:rPr>
              <w:t>影响途径</w:t>
            </w:r>
          </w:p>
        </w:tc>
        <w:tc>
          <w:tcPr>
            <w:tcW w:w="1039" w:type="dxa"/>
            <w:vAlign w:val="center"/>
          </w:tcPr>
          <w:p w14:paraId="328FB66D">
            <w:pPr>
              <w:spacing w:line="280" w:lineRule="exact"/>
              <w:jc w:val="center"/>
              <w:rPr>
                <w:color w:val="auto"/>
              </w:rPr>
            </w:pPr>
            <w:r>
              <w:rPr>
                <w:color w:val="auto"/>
              </w:rPr>
              <w:t>释放或泄露速率</w:t>
            </w:r>
          </w:p>
        </w:tc>
        <w:tc>
          <w:tcPr>
            <w:tcW w:w="939" w:type="dxa"/>
            <w:vAlign w:val="center"/>
          </w:tcPr>
          <w:p w14:paraId="5C00681E">
            <w:pPr>
              <w:spacing w:line="280" w:lineRule="exact"/>
              <w:jc w:val="center"/>
              <w:rPr>
                <w:color w:val="auto"/>
              </w:rPr>
            </w:pPr>
            <w:r>
              <w:rPr>
                <w:color w:val="auto"/>
              </w:rPr>
              <w:t>泄露时间/min</w:t>
            </w:r>
          </w:p>
        </w:tc>
        <w:tc>
          <w:tcPr>
            <w:tcW w:w="1014" w:type="dxa"/>
            <w:vAlign w:val="center"/>
          </w:tcPr>
          <w:p w14:paraId="723EDF2A">
            <w:pPr>
              <w:spacing w:line="280" w:lineRule="exact"/>
              <w:jc w:val="center"/>
              <w:rPr>
                <w:color w:val="auto"/>
              </w:rPr>
            </w:pPr>
            <w:r>
              <w:rPr>
                <w:color w:val="auto"/>
              </w:rPr>
              <w:t>最大泄漏量</w:t>
            </w:r>
          </w:p>
        </w:tc>
      </w:tr>
      <w:tr w14:paraId="5DCF1F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76" w:type="dxa"/>
            <w:vMerge w:val="restart"/>
            <w:vAlign w:val="center"/>
          </w:tcPr>
          <w:p w14:paraId="09FAAA11">
            <w:pPr>
              <w:spacing w:line="280" w:lineRule="exact"/>
              <w:jc w:val="center"/>
              <w:rPr>
                <w:color w:val="auto"/>
              </w:rPr>
            </w:pPr>
            <w:r>
              <w:rPr>
                <w:color w:val="auto"/>
              </w:rPr>
              <w:t>毒物泄漏</w:t>
            </w:r>
          </w:p>
        </w:tc>
        <w:tc>
          <w:tcPr>
            <w:tcW w:w="1475" w:type="dxa"/>
            <w:vMerge w:val="restart"/>
            <w:vAlign w:val="center"/>
          </w:tcPr>
          <w:p w14:paraId="6739403D">
            <w:pPr>
              <w:spacing w:line="280" w:lineRule="exact"/>
              <w:jc w:val="center"/>
              <w:rPr>
                <w:color w:val="auto"/>
              </w:rPr>
            </w:pPr>
            <w:r>
              <w:rPr>
                <w:color w:val="auto"/>
              </w:rPr>
              <w:t>储罐区</w:t>
            </w:r>
          </w:p>
        </w:tc>
        <w:tc>
          <w:tcPr>
            <w:tcW w:w="974" w:type="dxa"/>
            <w:vAlign w:val="center"/>
          </w:tcPr>
          <w:p w14:paraId="25986259">
            <w:pPr>
              <w:spacing w:line="280" w:lineRule="exact"/>
              <w:jc w:val="center"/>
              <w:rPr>
                <w:rFonts w:hint="default" w:eastAsia="宋体"/>
                <w:color w:val="auto"/>
                <w:lang w:val="en-US" w:eastAsia="zh-CN"/>
              </w:rPr>
            </w:pPr>
            <w:r>
              <w:rPr>
                <w:rFonts w:hint="eastAsia"/>
                <w:color w:val="auto"/>
                <w:lang w:val="en-US" w:eastAsia="zh-CN"/>
              </w:rPr>
              <w:t>氟化物</w:t>
            </w:r>
          </w:p>
        </w:tc>
        <w:tc>
          <w:tcPr>
            <w:tcW w:w="1463" w:type="dxa"/>
            <w:vAlign w:val="center"/>
          </w:tcPr>
          <w:p w14:paraId="6BCB30DD">
            <w:pPr>
              <w:spacing w:line="280" w:lineRule="exact"/>
              <w:jc w:val="center"/>
              <w:rPr>
                <w:rFonts w:hint="eastAsia" w:eastAsia="宋体"/>
                <w:color w:val="auto"/>
                <w:lang w:val="en-US" w:eastAsia="zh-CN"/>
              </w:rPr>
            </w:pPr>
            <w:r>
              <w:rPr>
                <w:rFonts w:hint="eastAsia"/>
                <w:color w:val="auto"/>
                <w:lang w:val="en-US" w:eastAsia="zh-CN"/>
              </w:rPr>
              <w:t>地下水</w:t>
            </w:r>
          </w:p>
        </w:tc>
        <w:tc>
          <w:tcPr>
            <w:tcW w:w="1039" w:type="dxa"/>
            <w:shd w:val="clear" w:color="auto" w:fill="auto"/>
            <w:noWrap/>
            <w:vAlign w:val="center"/>
          </w:tcPr>
          <w:p w14:paraId="04CBE124">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2000mg/L</w:t>
            </w:r>
          </w:p>
        </w:tc>
        <w:tc>
          <w:tcPr>
            <w:tcW w:w="939" w:type="dxa"/>
            <w:vAlign w:val="center"/>
          </w:tcPr>
          <w:p w14:paraId="186FCBA0">
            <w:pPr>
              <w:spacing w:line="280" w:lineRule="exact"/>
              <w:jc w:val="center"/>
              <w:rPr>
                <w:rFonts w:hint="default" w:eastAsia="宋体"/>
                <w:color w:val="auto"/>
                <w:lang w:val="en-US" w:eastAsia="zh-CN"/>
              </w:rPr>
            </w:pPr>
            <w:r>
              <w:rPr>
                <w:rFonts w:hint="eastAsia"/>
                <w:color w:val="auto"/>
                <w:lang w:val="en-US" w:eastAsia="zh-CN"/>
              </w:rPr>
              <w:t>/</w:t>
            </w:r>
          </w:p>
        </w:tc>
        <w:tc>
          <w:tcPr>
            <w:tcW w:w="1014" w:type="dxa"/>
            <w:vAlign w:val="center"/>
          </w:tcPr>
          <w:p w14:paraId="16391554">
            <w:pPr>
              <w:spacing w:line="280" w:lineRule="exact"/>
              <w:jc w:val="center"/>
              <w:rPr>
                <w:rFonts w:hint="eastAsia" w:eastAsia="宋体"/>
                <w:color w:val="auto"/>
                <w:lang w:val="en-US" w:eastAsia="zh-CN"/>
              </w:rPr>
            </w:pPr>
            <w:r>
              <w:rPr>
                <w:rFonts w:hint="eastAsia"/>
                <w:color w:val="auto"/>
                <w:lang w:val="en-US" w:eastAsia="zh-CN"/>
              </w:rPr>
              <w:t>/</w:t>
            </w:r>
          </w:p>
        </w:tc>
      </w:tr>
      <w:tr w14:paraId="769312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76" w:type="dxa"/>
            <w:vMerge w:val="continue"/>
            <w:vAlign w:val="center"/>
          </w:tcPr>
          <w:p w14:paraId="35AAC480">
            <w:pPr>
              <w:spacing w:line="280" w:lineRule="exact"/>
              <w:jc w:val="center"/>
              <w:rPr>
                <w:color w:val="auto"/>
              </w:rPr>
            </w:pPr>
          </w:p>
        </w:tc>
        <w:tc>
          <w:tcPr>
            <w:tcW w:w="1475" w:type="dxa"/>
            <w:vMerge w:val="continue"/>
            <w:vAlign w:val="center"/>
          </w:tcPr>
          <w:p w14:paraId="3E37C4A6">
            <w:pPr>
              <w:spacing w:line="280" w:lineRule="exact"/>
              <w:jc w:val="center"/>
              <w:rPr>
                <w:color w:val="auto"/>
              </w:rPr>
            </w:pPr>
          </w:p>
        </w:tc>
        <w:tc>
          <w:tcPr>
            <w:tcW w:w="974" w:type="dxa"/>
            <w:vMerge w:val="restart"/>
            <w:vAlign w:val="center"/>
          </w:tcPr>
          <w:p w14:paraId="1A709D3F">
            <w:pPr>
              <w:spacing w:line="280" w:lineRule="exact"/>
              <w:jc w:val="center"/>
              <w:rPr>
                <w:color w:val="auto"/>
              </w:rPr>
            </w:pPr>
            <w:r>
              <w:rPr>
                <w:color w:val="auto"/>
              </w:rPr>
              <w:t>氟化氢</w:t>
            </w:r>
          </w:p>
        </w:tc>
        <w:tc>
          <w:tcPr>
            <w:tcW w:w="1463" w:type="dxa"/>
            <w:vAlign w:val="center"/>
          </w:tcPr>
          <w:p w14:paraId="7E0C3A4B">
            <w:pPr>
              <w:spacing w:line="280" w:lineRule="exact"/>
              <w:jc w:val="center"/>
              <w:rPr>
                <w:rFonts w:hint="eastAsia" w:eastAsia="宋体"/>
                <w:color w:val="auto"/>
                <w:lang w:eastAsia="zh-CN"/>
              </w:rPr>
            </w:pPr>
            <w:r>
              <w:rPr>
                <w:color w:val="auto"/>
              </w:rPr>
              <w:t>大气</w:t>
            </w:r>
            <w:r>
              <w:rPr>
                <w:rFonts w:hint="eastAsia"/>
                <w:color w:val="auto"/>
                <w:lang w:eastAsia="zh-CN"/>
              </w:rPr>
              <w:t>（</w:t>
            </w:r>
            <w:r>
              <w:rPr>
                <w:rFonts w:hint="eastAsia"/>
                <w:color w:val="auto"/>
                <w:lang w:val="en-US" w:eastAsia="zh-CN"/>
              </w:rPr>
              <w:t>D稳定度</w:t>
            </w:r>
            <w:r>
              <w:rPr>
                <w:rFonts w:hint="eastAsia"/>
                <w:color w:val="auto"/>
                <w:lang w:eastAsia="zh-CN"/>
              </w:rPr>
              <w:t>）</w:t>
            </w:r>
          </w:p>
        </w:tc>
        <w:tc>
          <w:tcPr>
            <w:tcW w:w="1039" w:type="dxa"/>
            <w:vAlign w:val="center"/>
          </w:tcPr>
          <w:p w14:paraId="75D033AF">
            <w:pPr>
              <w:spacing w:line="280" w:lineRule="exact"/>
              <w:jc w:val="center"/>
              <w:rPr>
                <w:color w:val="auto"/>
              </w:rPr>
            </w:pPr>
            <w:r>
              <w:rPr>
                <w:color w:val="auto"/>
              </w:rPr>
              <w:t>0.</w:t>
            </w:r>
            <w:r>
              <w:rPr>
                <w:rFonts w:hint="eastAsia"/>
                <w:color w:val="auto"/>
                <w:lang w:val="en-US" w:eastAsia="zh-CN"/>
              </w:rPr>
              <w:t>17</w:t>
            </w:r>
            <w:r>
              <w:rPr>
                <w:color w:val="auto"/>
              </w:rPr>
              <w:t>kg/s</w:t>
            </w:r>
          </w:p>
        </w:tc>
        <w:tc>
          <w:tcPr>
            <w:tcW w:w="939" w:type="dxa"/>
            <w:vAlign w:val="center"/>
          </w:tcPr>
          <w:p w14:paraId="1519E991">
            <w:pPr>
              <w:spacing w:line="280" w:lineRule="exact"/>
              <w:jc w:val="center"/>
              <w:rPr>
                <w:rFonts w:hint="default" w:eastAsia="宋体"/>
                <w:color w:val="auto"/>
                <w:lang w:val="en-US" w:eastAsia="zh-CN"/>
              </w:rPr>
            </w:pPr>
            <w:r>
              <w:rPr>
                <w:rFonts w:hint="eastAsia"/>
                <w:color w:val="auto"/>
                <w:lang w:val="en-US" w:eastAsia="zh-CN"/>
              </w:rPr>
              <w:t>30</w:t>
            </w:r>
          </w:p>
        </w:tc>
        <w:tc>
          <w:tcPr>
            <w:tcW w:w="1014" w:type="dxa"/>
            <w:vMerge w:val="restart"/>
            <w:vAlign w:val="center"/>
          </w:tcPr>
          <w:p w14:paraId="53854681">
            <w:pPr>
              <w:spacing w:line="280" w:lineRule="exact"/>
              <w:jc w:val="center"/>
              <w:rPr>
                <w:rFonts w:hint="default" w:eastAsia="宋体"/>
                <w:color w:val="auto"/>
                <w:lang w:val="en-US" w:eastAsia="zh-CN"/>
              </w:rPr>
            </w:pPr>
            <w:r>
              <w:rPr>
                <w:rFonts w:hint="eastAsia"/>
                <w:color w:val="auto"/>
                <w:lang w:val="en-US" w:eastAsia="zh-CN"/>
              </w:rPr>
              <w:t>0.28</w:t>
            </w:r>
          </w:p>
        </w:tc>
      </w:tr>
      <w:tr w14:paraId="3E1CAD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76" w:type="dxa"/>
            <w:vMerge w:val="continue"/>
            <w:vAlign w:val="center"/>
          </w:tcPr>
          <w:p w14:paraId="39EA39F1">
            <w:pPr>
              <w:spacing w:line="280" w:lineRule="exact"/>
              <w:jc w:val="center"/>
              <w:rPr>
                <w:color w:val="auto"/>
              </w:rPr>
            </w:pPr>
            <w:bookmarkStart w:id="224" w:name="_Toc116393153"/>
            <w:bookmarkStart w:id="225" w:name="_Toc23581"/>
          </w:p>
        </w:tc>
        <w:tc>
          <w:tcPr>
            <w:tcW w:w="1475" w:type="dxa"/>
            <w:vMerge w:val="continue"/>
            <w:vAlign w:val="center"/>
          </w:tcPr>
          <w:p w14:paraId="146C7298">
            <w:pPr>
              <w:spacing w:line="280" w:lineRule="exact"/>
              <w:jc w:val="center"/>
              <w:rPr>
                <w:color w:val="auto"/>
              </w:rPr>
            </w:pPr>
          </w:p>
        </w:tc>
        <w:tc>
          <w:tcPr>
            <w:tcW w:w="974" w:type="dxa"/>
            <w:vMerge w:val="continue"/>
            <w:vAlign w:val="center"/>
          </w:tcPr>
          <w:p w14:paraId="6B695DCB">
            <w:pPr>
              <w:spacing w:line="280" w:lineRule="exact"/>
              <w:jc w:val="center"/>
              <w:rPr>
                <w:color w:val="auto"/>
              </w:rPr>
            </w:pPr>
          </w:p>
        </w:tc>
        <w:tc>
          <w:tcPr>
            <w:tcW w:w="1463" w:type="dxa"/>
            <w:vAlign w:val="center"/>
          </w:tcPr>
          <w:p w14:paraId="676548AD">
            <w:pPr>
              <w:spacing w:line="280" w:lineRule="exact"/>
              <w:jc w:val="center"/>
              <w:rPr>
                <w:color w:val="auto"/>
              </w:rPr>
            </w:pPr>
            <w:r>
              <w:rPr>
                <w:color w:val="auto"/>
              </w:rPr>
              <w:t>大气</w:t>
            </w:r>
            <w:r>
              <w:rPr>
                <w:rFonts w:hint="eastAsia"/>
                <w:color w:val="auto"/>
                <w:lang w:eastAsia="zh-CN"/>
              </w:rPr>
              <w:t>（</w:t>
            </w:r>
            <w:r>
              <w:rPr>
                <w:rFonts w:hint="eastAsia"/>
                <w:color w:val="auto"/>
                <w:lang w:val="en-US" w:eastAsia="zh-CN"/>
              </w:rPr>
              <w:t>F稳定度</w:t>
            </w:r>
            <w:r>
              <w:rPr>
                <w:rFonts w:hint="eastAsia"/>
                <w:color w:val="auto"/>
                <w:lang w:eastAsia="zh-CN"/>
              </w:rPr>
              <w:t>）</w:t>
            </w:r>
          </w:p>
        </w:tc>
        <w:tc>
          <w:tcPr>
            <w:tcW w:w="1039" w:type="dxa"/>
            <w:vAlign w:val="center"/>
          </w:tcPr>
          <w:p w14:paraId="4DCFAEC5">
            <w:pPr>
              <w:spacing w:line="280" w:lineRule="exact"/>
              <w:jc w:val="center"/>
              <w:rPr>
                <w:rFonts w:hint="default" w:eastAsia="宋体"/>
                <w:color w:val="auto"/>
                <w:lang w:val="en-US" w:eastAsia="zh-CN"/>
              </w:rPr>
            </w:pPr>
            <w:r>
              <w:rPr>
                <w:rFonts w:hint="eastAsia"/>
                <w:color w:val="auto"/>
                <w:lang w:val="en-US" w:eastAsia="zh-CN"/>
              </w:rPr>
              <w:t>0.119</w:t>
            </w:r>
            <w:r>
              <w:rPr>
                <w:color w:val="auto"/>
              </w:rPr>
              <w:t>kg/s</w:t>
            </w:r>
          </w:p>
        </w:tc>
        <w:tc>
          <w:tcPr>
            <w:tcW w:w="939" w:type="dxa"/>
            <w:vAlign w:val="center"/>
          </w:tcPr>
          <w:p w14:paraId="6184CE11">
            <w:pPr>
              <w:spacing w:line="280" w:lineRule="exact"/>
              <w:jc w:val="center"/>
              <w:rPr>
                <w:rFonts w:hint="default"/>
                <w:color w:val="auto"/>
                <w:lang w:val="en-US" w:eastAsia="zh-CN"/>
              </w:rPr>
            </w:pPr>
            <w:r>
              <w:rPr>
                <w:rFonts w:hint="eastAsia"/>
                <w:color w:val="auto"/>
                <w:lang w:val="en-US" w:eastAsia="zh-CN"/>
              </w:rPr>
              <w:t>30</w:t>
            </w:r>
          </w:p>
        </w:tc>
        <w:tc>
          <w:tcPr>
            <w:tcW w:w="1014" w:type="dxa"/>
            <w:vMerge w:val="continue"/>
            <w:vAlign w:val="center"/>
          </w:tcPr>
          <w:p w14:paraId="67007D1F">
            <w:pPr>
              <w:spacing w:line="280" w:lineRule="exact"/>
              <w:jc w:val="center"/>
              <w:rPr>
                <w:color w:val="auto"/>
              </w:rPr>
            </w:pPr>
          </w:p>
        </w:tc>
      </w:tr>
      <w:tr w14:paraId="711F3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6" w:type="dxa"/>
            <w:vMerge w:val="continue"/>
            <w:vAlign w:val="center"/>
          </w:tcPr>
          <w:p w14:paraId="0C4BD718">
            <w:pPr>
              <w:spacing w:line="280" w:lineRule="exact"/>
              <w:jc w:val="center"/>
              <w:rPr>
                <w:color w:val="auto"/>
              </w:rPr>
            </w:pPr>
          </w:p>
        </w:tc>
        <w:tc>
          <w:tcPr>
            <w:tcW w:w="1475" w:type="dxa"/>
            <w:vMerge w:val="continue"/>
            <w:vAlign w:val="center"/>
          </w:tcPr>
          <w:p w14:paraId="0C3DBCF0">
            <w:pPr>
              <w:spacing w:line="280" w:lineRule="exact"/>
              <w:jc w:val="center"/>
              <w:rPr>
                <w:color w:val="auto"/>
              </w:rPr>
            </w:pPr>
          </w:p>
        </w:tc>
        <w:tc>
          <w:tcPr>
            <w:tcW w:w="974" w:type="dxa"/>
            <w:vMerge w:val="restart"/>
            <w:vAlign w:val="center"/>
          </w:tcPr>
          <w:p w14:paraId="0198484B">
            <w:pPr>
              <w:spacing w:line="280" w:lineRule="exact"/>
              <w:jc w:val="center"/>
              <w:rPr>
                <w:rFonts w:ascii="Times New Roman" w:hAnsi="Times New Roman" w:eastAsia="宋体" w:cs="Times New Roman"/>
                <w:color w:val="auto"/>
                <w:kern w:val="2"/>
                <w:sz w:val="21"/>
                <w:szCs w:val="24"/>
                <w:lang w:val="en-US" w:eastAsia="zh-CN" w:bidi="ar-SA"/>
              </w:rPr>
            </w:pPr>
            <w:r>
              <w:rPr>
                <w:color w:val="auto"/>
              </w:rPr>
              <w:t>氯化氢</w:t>
            </w:r>
          </w:p>
        </w:tc>
        <w:tc>
          <w:tcPr>
            <w:tcW w:w="1463" w:type="dxa"/>
            <w:vAlign w:val="center"/>
          </w:tcPr>
          <w:p w14:paraId="089C0986">
            <w:pPr>
              <w:spacing w:line="280" w:lineRule="exact"/>
              <w:jc w:val="center"/>
              <w:rPr>
                <w:color w:val="auto"/>
              </w:rPr>
            </w:pPr>
            <w:r>
              <w:rPr>
                <w:color w:val="auto"/>
              </w:rPr>
              <w:t>大气</w:t>
            </w:r>
            <w:r>
              <w:rPr>
                <w:rFonts w:hint="eastAsia"/>
                <w:color w:val="auto"/>
                <w:lang w:eastAsia="zh-CN"/>
              </w:rPr>
              <w:t>（</w:t>
            </w:r>
            <w:r>
              <w:rPr>
                <w:rFonts w:hint="eastAsia"/>
                <w:color w:val="auto"/>
                <w:lang w:val="en-US" w:eastAsia="zh-CN"/>
              </w:rPr>
              <w:t>D稳定度</w:t>
            </w:r>
            <w:r>
              <w:rPr>
                <w:rFonts w:hint="eastAsia"/>
                <w:color w:val="auto"/>
                <w:lang w:eastAsia="zh-CN"/>
              </w:rPr>
              <w:t>）</w:t>
            </w:r>
          </w:p>
        </w:tc>
        <w:tc>
          <w:tcPr>
            <w:tcW w:w="1039" w:type="dxa"/>
            <w:vAlign w:val="center"/>
          </w:tcPr>
          <w:p w14:paraId="42249E06">
            <w:pPr>
              <w:spacing w:line="280" w:lineRule="exact"/>
              <w:jc w:val="center"/>
              <w:rPr>
                <w:rFonts w:hint="default" w:eastAsia="宋体"/>
                <w:color w:val="auto"/>
                <w:lang w:val="en-US" w:eastAsia="zh-CN"/>
              </w:rPr>
            </w:pPr>
            <w:r>
              <w:rPr>
                <w:rFonts w:hint="eastAsia"/>
                <w:color w:val="auto"/>
                <w:lang w:val="en-US" w:eastAsia="zh-CN"/>
              </w:rPr>
              <w:t>0.041</w:t>
            </w:r>
            <w:r>
              <w:rPr>
                <w:color w:val="auto"/>
              </w:rPr>
              <w:t>kg/s</w:t>
            </w:r>
          </w:p>
        </w:tc>
        <w:tc>
          <w:tcPr>
            <w:tcW w:w="939" w:type="dxa"/>
            <w:vAlign w:val="center"/>
          </w:tcPr>
          <w:p w14:paraId="5E69E4B2">
            <w:pPr>
              <w:spacing w:line="280" w:lineRule="exact"/>
              <w:jc w:val="center"/>
              <w:rPr>
                <w:rFonts w:hint="default"/>
                <w:color w:val="auto"/>
                <w:lang w:val="en-US" w:eastAsia="zh-CN"/>
              </w:rPr>
            </w:pPr>
            <w:r>
              <w:rPr>
                <w:rFonts w:hint="eastAsia"/>
                <w:color w:val="auto"/>
                <w:lang w:val="en-US" w:eastAsia="zh-CN"/>
              </w:rPr>
              <w:t>30</w:t>
            </w:r>
          </w:p>
        </w:tc>
        <w:tc>
          <w:tcPr>
            <w:tcW w:w="1014" w:type="dxa"/>
            <w:vMerge w:val="restart"/>
            <w:vAlign w:val="center"/>
          </w:tcPr>
          <w:p w14:paraId="50673358">
            <w:pPr>
              <w:spacing w:line="280" w:lineRule="exact"/>
              <w:jc w:val="center"/>
              <w:rPr>
                <w:rFonts w:hint="default" w:eastAsia="宋体"/>
                <w:color w:val="auto"/>
                <w:lang w:val="en-US" w:eastAsia="zh-CN"/>
              </w:rPr>
            </w:pPr>
            <w:r>
              <w:rPr>
                <w:rFonts w:hint="eastAsia"/>
                <w:color w:val="auto"/>
                <w:lang w:val="en-US" w:eastAsia="zh-CN"/>
              </w:rPr>
              <w:t>0.28</w:t>
            </w:r>
          </w:p>
        </w:tc>
      </w:tr>
      <w:tr w14:paraId="51D8A6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76" w:type="dxa"/>
            <w:vMerge w:val="continue"/>
            <w:vAlign w:val="center"/>
          </w:tcPr>
          <w:p w14:paraId="38ECF123">
            <w:pPr>
              <w:spacing w:line="280" w:lineRule="exact"/>
              <w:jc w:val="center"/>
              <w:rPr>
                <w:color w:val="auto"/>
              </w:rPr>
            </w:pPr>
          </w:p>
        </w:tc>
        <w:tc>
          <w:tcPr>
            <w:tcW w:w="1475" w:type="dxa"/>
            <w:vMerge w:val="continue"/>
            <w:vAlign w:val="center"/>
          </w:tcPr>
          <w:p w14:paraId="20146808">
            <w:pPr>
              <w:spacing w:line="280" w:lineRule="exact"/>
              <w:jc w:val="center"/>
              <w:rPr>
                <w:color w:val="auto"/>
              </w:rPr>
            </w:pPr>
          </w:p>
        </w:tc>
        <w:tc>
          <w:tcPr>
            <w:tcW w:w="974" w:type="dxa"/>
            <w:vMerge w:val="continue"/>
            <w:shd w:val="clear" w:color="auto" w:fill="auto"/>
            <w:vAlign w:val="center"/>
          </w:tcPr>
          <w:p w14:paraId="15C5B127">
            <w:pPr>
              <w:spacing w:line="280" w:lineRule="exact"/>
              <w:jc w:val="center"/>
              <w:rPr>
                <w:rFonts w:ascii="Times New Roman" w:hAnsi="Times New Roman" w:eastAsia="宋体" w:cs="Times New Roman"/>
                <w:color w:val="auto"/>
                <w:kern w:val="2"/>
                <w:sz w:val="21"/>
                <w:szCs w:val="24"/>
                <w:lang w:val="en-US" w:eastAsia="zh-CN" w:bidi="ar-SA"/>
              </w:rPr>
            </w:pPr>
          </w:p>
        </w:tc>
        <w:tc>
          <w:tcPr>
            <w:tcW w:w="1463" w:type="dxa"/>
            <w:shd w:val="clear" w:color="auto" w:fill="auto"/>
            <w:vAlign w:val="center"/>
          </w:tcPr>
          <w:p w14:paraId="613E9683">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w:t>
            </w:r>
            <w:r>
              <w:rPr>
                <w:rFonts w:hint="eastAsia"/>
                <w:color w:val="auto"/>
                <w:lang w:eastAsia="zh-CN"/>
              </w:rPr>
              <w:t>（</w:t>
            </w:r>
            <w:r>
              <w:rPr>
                <w:rFonts w:hint="eastAsia"/>
                <w:color w:val="auto"/>
                <w:lang w:val="en-US" w:eastAsia="zh-CN"/>
              </w:rPr>
              <w:t>F稳定度</w:t>
            </w:r>
            <w:r>
              <w:rPr>
                <w:rFonts w:hint="eastAsia"/>
                <w:color w:val="auto"/>
                <w:lang w:eastAsia="zh-CN"/>
              </w:rPr>
              <w:t>）</w:t>
            </w:r>
          </w:p>
        </w:tc>
        <w:tc>
          <w:tcPr>
            <w:tcW w:w="1039" w:type="dxa"/>
            <w:shd w:val="clear" w:color="auto" w:fill="auto"/>
            <w:vAlign w:val="center"/>
          </w:tcPr>
          <w:p w14:paraId="26317FA4">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0.028</w:t>
            </w:r>
            <w:r>
              <w:rPr>
                <w:color w:val="auto"/>
              </w:rPr>
              <w:t>kg/s</w:t>
            </w:r>
          </w:p>
        </w:tc>
        <w:tc>
          <w:tcPr>
            <w:tcW w:w="939" w:type="dxa"/>
            <w:shd w:val="clear" w:color="auto" w:fill="auto"/>
            <w:vAlign w:val="center"/>
          </w:tcPr>
          <w:p w14:paraId="412C550A">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30</w:t>
            </w:r>
          </w:p>
        </w:tc>
        <w:tc>
          <w:tcPr>
            <w:tcW w:w="1014" w:type="dxa"/>
            <w:vMerge w:val="continue"/>
            <w:shd w:val="clear" w:color="auto" w:fill="auto"/>
            <w:vAlign w:val="center"/>
          </w:tcPr>
          <w:p w14:paraId="1B2B22AD">
            <w:pPr>
              <w:spacing w:line="280" w:lineRule="exact"/>
              <w:jc w:val="center"/>
              <w:rPr>
                <w:rFonts w:ascii="Times New Roman" w:hAnsi="Times New Roman" w:eastAsia="宋体" w:cs="Times New Roman"/>
                <w:color w:val="auto"/>
                <w:kern w:val="2"/>
                <w:sz w:val="21"/>
                <w:szCs w:val="24"/>
                <w:lang w:val="en-US" w:eastAsia="zh-CN" w:bidi="ar-SA"/>
              </w:rPr>
            </w:pPr>
          </w:p>
        </w:tc>
      </w:tr>
      <w:tr w14:paraId="4F35A3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jc w:val="center"/>
        </w:trPr>
        <w:tc>
          <w:tcPr>
            <w:tcW w:w="2276" w:type="dxa"/>
            <w:vMerge w:val="continue"/>
            <w:vAlign w:val="center"/>
          </w:tcPr>
          <w:p w14:paraId="1F5A8741">
            <w:pPr>
              <w:spacing w:line="280" w:lineRule="exact"/>
              <w:jc w:val="center"/>
              <w:rPr>
                <w:color w:val="auto"/>
              </w:rPr>
            </w:pPr>
          </w:p>
        </w:tc>
        <w:tc>
          <w:tcPr>
            <w:tcW w:w="1475" w:type="dxa"/>
            <w:vAlign w:val="center"/>
          </w:tcPr>
          <w:p w14:paraId="03E64B47">
            <w:pPr>
              <w:spacing w:line="280" w:lineRule="exact"/>
              <w:jc w:val="center"/>
              <w:rPr>
                <w:color w:val="auto"/>
              </w:rPr>
            </w:pPr>
            <w:r>
              <w:rPr>
                <w:color w:val="auto"/>
              </w:rPr>
              <w:t>仓库</w:t>
            </w:r>
          </w:p>
        </w:tc>
        <w:tc>
          <w:tcPr>
            <w:tcW w:w="974" w:type="dxa"/>
            <w:vAlign w:val="center"/>
          </w:tcPr>
          <w:p w14:paraId="01BDBDB2">
            <w:pPr>
              <w:spacing w:line="280" w:lineRule="exact"/>
              <w:jc w:val="center"/>
              <w:rPr>
                <w:color w:val="auto"/>
              </w:rPr>
            </w:pPr>
            <w:r>
              <w:rPr>
                <w:color w:val="auto"/>
              </w:rPr>
              <w:t>氯化氢</w:t>
            </w:r>
          </w:p>
        </w:tc>
        <w:tc>
          <w:tcPr>
            <w:tcW w:w="1463" w:type="dxa"/>
            <w:vAlign w:val="center"/>
          </w:tcPr>
          <w:p w14:paraId="631F4B27">
            <w:pPr>
              <w:spacing w:line="280" w:lineRule="exact"/>
              <w:jc w:val="center"/>
              <w:rPr>
                <w:color w:val="auto"/>
              </w:rPr>
            </w:pPr>
            <w:r>
              <w:rPr>
                <w:color w:val="auto"/>
              </w:rPr>
              <w:t>大气</w:t>
            </w:r>
          </w:p>
        </w:tc>
        <w:tc>
          <w:tcPr>
            <w:tcW w:w="1039" w:type="dxa"/>
            <w:vAlign w:val="center"/>
          </w:tcPr>
          <w:p w14:paraId="41D131E6">
            <w:pPr>
              <w:spacing w:line="280" w:lineRule="exact"/>
              <w:jc w:val="center"/>
              <w:rPr>
                <w:color w:val="auto"/>
              </w:rPr>
            </w:pPr>
            <w:r>
              <w:rPr>
                <w:color w:val="auto"/>
              </w:rPr>
              <w:t>0.03kg/s</w:t>
            </w:r>
          </w:p>
        </w:tc>
        <w:tc>
          <w:tcPr>
            <w:tcW w:w="939" w:type="dxa"/>
            <w:vAlign w:val="center"/>
          </w:tcPr>
          <w:p w14:paraId="02535B8C">
            <w:pPr>
              <w:spacing w:line="280" w:lineRule="exact"/>
              <w:jc w:val="center"/>
              <w:rPr>
                <w:rFonts w:hint="default" w:eastAsia="宋体"/>
                <w:color w:val="auto"/>
                <w:lang w:val="en-US" w:eastAsia="zh-CN"/>
              </w:rPr>
            </w:pPr>
            <w:r>
              <w:rPr>
                <w:rFonts w:hint="eastAsia"/>
                <w:color w:val="auto"/>
                <w:lang w:val="en-US" w:eastAsia="zh-CN"/>
              </w:rPr>
              <w:t>/</w:t>
            </w:r>
          </w:p>
        </w:tc>
        <w:tc>
          <w:tcPr>
            <w:tcW w:w="1014" w:type="dxa"/>
            <w:vAlign w:val="center"/>
          </w:tcPr>
          <w:p w14:paraId="5FBF1D7A">
            <w:pPr>
              <w:spacing w:line="280" w:lineRule="exact"/>
              <w:jc w:val="center"/>
              <w:rPr>
                <w:color w:val="auto"/>
              </w:rPr>
            </w:pPr>
            <w:r>
              <w:rPr>
                <w:color w:val="auto"/>
              </w:rPr>
              <w:t>0.02</w:t>
            </w:r>
            <w:r>
              <w:rPr>
                <w:rFonts w:hint="eastAsia"/>
                <w:color w:val="auto"/>
                <w:lang w:val="en-US" w:eastAsia="zh-CN"/>
              </w:rPr>
              <w:t>5</w:t>
            </w:r>
            <w:r>
              <w:rPr>
                <w:color w:val="auto"/>
              </w:rPr>
              <w:t>t</w:t>
            </w:r>
          </w:p>
        </w:tc>
      </w:tr>
      <w:bookmarkEnd w:id="224"/>
      <w:bookmarkEnd w:id="225"/>
    </w:tbl>
    <w:p w14:paraId="07BD8986">
      <w:pPr>
        <w:spacing w:line="360" w:lineRule="auto"/>
        <w:rPr>
          <w:color w:val="auto"/>
          <w:sz w:val="24"/>
        </w:rPr>
      </w:pPr>
      <w:r>
        <w:rPr>
          <w:rFonts w:hint="eastAsia"/>
          <w:color w:val="auto"/>
          <w:sz w:val="24"/>
        </w:rPr>
        <w:t>9.4</w:t>
      </w:r>
      <w:r>
        <w:rPr>
          <w:color w:val="auto"/>
          <w:sz w:val="24"/>
        </w:rPr>
        <w:t>风险预测与评价</w:t>
      </w:r>
    </w:p>
    <w:p w14:paraId="657196AF">
      <w:pPr>
        <w:spacing w:line="360" w:lineRule="auto"/>
        <w:ind w:firstLine="480" w:firstLineChars="200"/>
        <w:rPr>
          <w:bCs/>
          <w:color w:val="auto"/>
          <w:sz w:val="24"/>
        </w:rPr>
      </w:pPr>
      <w:r>
        <w:rPr>
          <w:bCs/>
          <w:color w:val="auto"/>
          <w:sz w:val="24"/>
        </w:rPr>
        <w:t>（1）参数设置</w:t>
      </w:r>
    </w:p>
    <w:p w14:paraId="3A684E05">
      <w:pPr>
        <w:spacing w:line="360" w:lineRule="auto"/>
        <w:ind w:firstLine="480" w:firstLineChars="200"/>
        <w:rPr>
          <w:color w:val="auto"/>
          <w:sz w:val="24"/>
        </w:rPr>
      </w:pPr>
      <w:r>
        <w:rPr>
          <w:color w:val="auto"/>
          <w:sz w:val="24"/>
        </w:rPr>
        <w:t>①判断气体性质</w:t>
      </w:r>
    </w:p>
    <w:p w14:paraId="356BAA95">
      <w:pPr>
        <w:spacing w:before="60" w:line="360" w:lineRule="auto"/>
        <w:ind w:firstLine="480" w:firstLineChars="200"/>
        <w:rPr>
          <w:color w:val="auto"/>
          <w:sz w:val="24"/>
        </w:rPr>
      </w:pPr>
      <w:r>
        <w:rPr>
          <w:color w:val="auto"/>
          <w:sz w:val="24"/>
        </w:rPr>
        <w:t>采用理查德森数（Ri）来判断烟团/烟羽是否为重质气体。</w:t>
      </w:r>
    </w:p>
    <w:p w14:paraId="2ECA5924">
      <w:pPr>
        <w:spacing w:before="60" w:line="360" w:lineRule="auto"/>
        <w:ind w:firstLine="480" w:firstLineChars="200"/>
        <w:rPr>
          <w:color w:val="auto"/>
          <w:sz w:val="24"/>
        </w:rPr>
      </w:pPr>
      <w:r>
        <w:rPr>
          <w:color w:val="auto"/>
          <w:sz w:val="24"/>
        </w:rPr>
        <w:t>对比排放时间Td和污染物到达最近的受体点（网格点或敏感点）的时间</w:t>
      </w:r>
    </w:p>
    <w:p w14:paraId="02D2D7F8">
      <w:pPr>
        <w:spacing w:line="360" w:lineRule="auto"/>
        <w:ind w:firstLine="2640" w:firstLineChars="1100"/>
        <w:rPr>
          <w:color w:val="auto"/>
          <w:sz w:val="24"/>
        </w:rPr>
      </w:pPr>
      <w:r>
        <w:rPr>
          <w:color w:val="auto"/>
          <w:sz w:val="24"/>
        </w:rPr>
        <w:t>T=2X/Ur</w:t>
      </w:r>
    </w:p>
    <w:p w14:paraId="4259D98B">
      <w:pPr>
        <w:spacing w:line="360" w:lineRule="auto"/>
        <w:ind w:firstLine="480" w:firstLineChars="200"/>
        <w:rPr>
          <w:color w:val="auto"/>
          <w:sz w:val="24"/>
        </w:rPr>
      </w:pPr>
      <w:r>
        <w:rPr>
          <w:color w:val="auto"/>
          <w:sz w:val="24"/>
        </w:rPr>
        <w:t>其中：X ——事故发生地与计算点的距离，m，本项目取最近网格点50m；</w:t>
      </w:r>
    </w:p>
    <w:p w14:paraId="6A0C0B46">
      <w:pPr>
        <w:spacing w:line="360" w:lineRule="auto"/>
        <w:ind w:firstLine="480" w:firstLineChars="200"/>
        <w:rPr>
          <w:color w:val="auto"/>
          <w:sz w:val="24"/>
        </w:rPr>
      </w:pPr>
      <w:r>
        <w:rPr>
          <w:color w:val="auto"/>
          <w:sz w:val="24"/>
        </w:rPr>
        <w:t>Ur——10m 高处风速，m/s；</w:t>
      </w:r>
    </w:p>
    <w:p w14:paraId="37A3A619">
      <w:pPr>
        <w:spacing w:before="60" w:line="360" w:lineRule="auto"/>
        <w:ind w:firstLine="480" w:firstLineChars="200"/>
        <w:rPr>
          <w:color w:val="auto"/>
          <w:sz w:val="24"/>
        </w:rPr>
      </w:pPr>
      <w:r>
        <w:rPr>
          <w:color w:val="auto"/>
          <w:sz w:val="24"/>
        </w:rPr>
        <w:t>假设风速和风向在 T 时间段内保持不变；</w:t>
      </w:r>
    </w:p>
    <w:p w14:paraId="0A5E0283">
      <w:pPr>
        <w:spacing w:before="60" w:line="360" w:lineRule="auto"/>
        <w:ind w:firstLine="480" w:firstLineChars="200"/>
        <w:rPr>
          <w:color w:val="auto"/>
          <w:sz w:val="24"/>
        </w:rPr>
      </w:pPr>
      <w:r>
        <w:rPr>
          <w:color w:val="auto"/>
          <w:sz w:val="24"/>
        </w:rPr>
        <w:t>根据上述计算得到T=20.75s，因此Td＞T，可认为属于连续排放。</w:t>
      </w:r>
    </w:p>
    <w:p w14:paraId="347D00FE">
      <w:pPr>
        <w:spacing w:before="60" w:line="360" w:lineRule="auto"/>
        <w:ind w:firstLine="480" w:firstLineChars="200"/>
        <w:rPr>
          <w:color w:val="auto"/>
          <w:sz w:val="24"/>
        </w:rPr>
      </w:pPr>
      <w:r>
        <w:rPr>
          <w:color w:val="auto"/>
          <w:sz w:val="24"/>
        </w:rPr>
        <w:t>据此，采用连续排放的理查德森数计算公式，如下：</w:t>
      </w:r>
    </w:p>
    <w:p w14:paraId="22A86BCC">
      <w:pPr>
        <w:spacing w:line="360" w:lineRule="auto"/>
        <w:ind w:firstLine="420" w:firstLineChars="200"/>
        <w:jc w:val="center"/>
        <w:rPr>
          <w:color w:val="auto"/>
          <w:szCs w:val="22"/>
        </w:rPr>
      </w:pPr>
      <w:r>
        <w:rPr>
          <w:color w:val="auto"/>
          <w:szCs w:val="22"/>
        </w:rPr>
        <w:drawing>
          <wp:inline distT="0" distB="0" distL="0" distR="0">
            <wp:extent cx="2030095" cy="648970"/>
            <wp:effectExtent l="0" t="0" r="8255" b="17780"/>
            <wp:docPr id="2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7"/>
                    <pic:cNvPicPr>
                      <a:picLocks noChangeAspect="1" noChangeArrowheads="1"/>
                    </pic:cNvPicPr>
                  </pic:nvPicPr>
                  <pic:blipFill>
                    <a:blip r:embed="rId52"/>
                    <a:srcRect/>
                    <a:stretch>
                      <a:fillRect/>
                    </a:stretch>
                  </pic:blipFill>
                  <pic:spPr>
                    <a:xfrm>
                      <a:off x="0" y="0"/>
                      <a:ext cx="2030095" cy="648970"/>
                    </a:xfrm>
                    <a:prstGeom prst="rect">
                      <a:avLst/>
                    </a:prstGeom>
                    <a:noFill/>
                    <a:ln w="9525">
                      <a:noFill/>
                      <a:miter lim="800000"/>
                      <a:headEnd/>
                      <a:tailEnd/>
                    </a:ln>
                  </pic:spPr>
                </pic:pic>
              </a:graphicData>
            </a:graphic>
          </wp:inline>
        </w:drawing>
      </w:r>
    </w:p>
    <w:p w14:paraId="2A2AC9AF">
      <w:pPr>
        <w:spacing w:line="360" w:lineRule="auto"/>
        <w:ind w:firstLine="480" w:firstLineChars="200"/>
        <w:rPr>
          <w:color w:val="auto"/>
          <w:sz w:val="24"/>
        </w:rPr>
      </w:pPr>
      <w:r>
        <w:rPr>
          <w:color w:val="auto"/>
          <w:sz w:val="24"/>
        </w:rPr>
        <w:t xml:space="preserve">式中：ρrel ——排放物质进入大气的初始密度； </w:t>
      </w:r>
    </w:p>
    <w:p w14:paraId="6F89A803">
      <w:pPr>
        <w:spacing w:line="360" w:lineRule="auto"/>
        <w:ind w:firstLine="1200" w:firstLineChars="500"/>
        <w:rPr>
          <w:color w:val="auto"/>
          <w:sz w:val="24"/>
        </w:rPr>
      </w:pPr>
      <w:r>
        <w:rPr>
          <w:color w:val="auto"/>
          <w:sz w:val="24"/>
        </w:rPr>
        <w:t>ρa——环境空气密度，1.293kg/m</w:t>
      </w:r>
      <w:r>
        <w:rPr>
          <w:color w:val="auto"/>
          <w:sz w:val="24"/>
          <w:vertAlign w:val="superscript"/>
        </w:rPr>
        <w:t>3</w:t>
      </w:r>
      <w:r>
        <w:rPr>
          <w:color w:val="auto"/>
          <w:sz w:val="24"/>
        </w:rPr>
        <w:t>；</w:t>
      </w:r>
    </w:p>
    <w:p w14:paraId="450CC301">
      <w:pPr>
        <w:spacing w:line="360" w:lineRule="auto"/>
        <w:ind w:firstLine="1200" w:firstLineChars="500"/>
        <w:rPr>
          <w:color w:val="auto"/>
          <w:sz w:val="24"/>
        </w:rPr>
      </w:pPr>
      <w:r>
        <w:rPr>
          <w:color w:val="auto"/>
          <w:sz w:val="24"/>
        </w:rPr>
        <w:t xml:space="preserve">Q——连续排放烟羽的排放速率； </w:t>
      </w:r>
    </w:p>
    <w:p w14:paraId="53E8DBCE">
      <w:pPr>
        <w:spacing w:line="360" w:lineRule="auto"/>
        <w:ind w:firstLine="1200" w:firstLineChars="500"/>
        <w:rPr>
          <w:color w:val="auto"/>
          <w:sz w:val="24"/>
        </w:rPr>
      </w:pPr>
      <w:r>
        <w:rPr>
          <w:color w:val="auto"/>
          <w:sz w:val="24"/>
        </w:rPr>
        <w:t xml:space="preserve">Drel——初始的烟团宽度，即源直径，m； </w:t>
      </w:r>
    </w:p>
    <w:p w14:paraId="77EE31F1">
      <w:pPr>
        <w:spacing w:line="360" w:lineRule="auto"/>
        <w:ind w:firstLine="1200" w:firstLineChars="500"/>
        <w:rPr>
          <w:color w:val="auto"/>
          <w:sz w:val="24"/>
        </w:rPr>
      </w:pPr>
      <w:r>
        <w:rPr>
          <w:color w:val="auto"/>
          <w:sz w:val="24"/>
        </w:rPr>
        <w:t>Ur——10m 高处风速，m/s。</w:t>
      </w:r>
    </w:p>
    <w:p w14:paraId="76BE6D7B">
      <w:pPr>
        <w:spacing w:before="60" w:line="360" w:lineRule="auto"/>
        <w:ind w:firstLine="480" w:firstLineChars="200"/>
        <w:rPr>
          <w:color w:val="auto"/>
          <w:sz w:val="24"/>
        </w:rPr>
      </w:pPr>
      <w:r>
        <w:rPr>
          <w:color w:val="auto"/>
          <w:sz w:val="24"/>
        </w:rPr>
        <w:t>计算得氟化氢、氯化氢理查德森数小于1/6，因此均为轻质气体。</w:t>
      </w:r>
    </w:p>
    <w:p w14:paraId="638A6130">
      <w:pPr>
        <w:spacing w:before="60" w:line="360" w:lineRule="auto"/>
        <w:ind w:firstLine="480" w:firstLineChars="200"/>
        <w:rPr>
          <w:color w:val="auto"/>
          <w:sz w:val="24"/>
        </w:rPr>
      </w:pPr>
      <w:r>
        <w:rPr>
          <w:color w:val="auto"/>
          <w:sz w:val="24"/>
        </w:rPr>
        <w:t>②模型选择</w:t>
      </w:r>
    </w:p>
    <w:p w14:paraId="028E04EF">
      <w:pPr>
        <w:spacing w:before="60" w:line="360" w:lineRule="auto"/>
        <w:ind w:firstLine="480" w:firstLineChars="200"/>
        <w:rPr>
          <w:color w:val="auto"/>
          <w:sz w:val="24"/>
        </w:rPr>
      </w:pPr>
      <w:r>
        <w:rPr>
          <w:color w:val="auto"/>
          <w:sz w:val="24"/>
        </w:rPr>
        <w:t>本项目所在地形平坦，根据风险导则附录G，轻质气体推荐模型为AFTOX模型。</w:t>
      </w:r>
    </w:p>
    <w:p w14:paraId="691124DD">
      <w:pPr>
        <w:spacing w:before="60" w:line="360" w:lineRule="auto"/>
        <w:ind w:firstLine="480" w:firstLineChars="200"/>
        <w:rPr>
          <w:color w:val="auto"/>
          <w:sz w:val="24"/>
        </w:rPr>
      </w:pPr>
      <w:r>
        <w:rPr>
          <w:color w:val="auto"/>
          <w:sz w:val="24"/>
        </w:rPr>
        <w:t>③预测范围与计算点</w:t>
      </w:r>
    </w:p>
    <w:p w14:paraId="32263EAE">
      <w:pPr>
        <w:spacing w:before="60" w:line="360" w:lineRule="auto"/>
        <w:ind w:firstLine="480" w:firstLineChars="200"/>
        <w:rPr>
          <w:color w:val="auto"/>
          <w:sz w:val="24"/>
        </w:rPr>
      </w:pPr>
      <w:r>
        <w:rPr>
          <w:color w:val="auto"/>
          <w:sz w:val="24"/>
        </w:rPr>
        <w:t>A本项目预测范围根据模型取预测物质浓度达到评价标准时的最大影响范围。</w:t>
      </w:r>
    </w:p>
    <w:p w14:paraId="5EEA6BFE">
      <w:pPr>
        <w:spacing w:before="60" w:line="360" w:lineRule="auto"/>
        <w:ind w:firstLine="480" w:firstLineChars="200"/>
        <w:rPr>
          <w:color w:val="auto"/>
          <w:sz w:val="24"/>
        </w:rPr>
      </w:pPr>
      <w:r>
        <w:rPr>
          <w:color w:val="auto"/>
          <w:sz w:val="24"/>
        </w:rPr>
        <w:t>B计算点的设置：网格间距50m。</w:t>
      </w:r>
    </w:p>
    <w:p w14:paraId="32EF36E9">
      <w:pPr>
        <w:spacing w:line="360" w:lineRule="auto"/>
        <w:ind w:firstLine="480" w:firstLineChars="200"/>
        <w:rPr>
          <w:color w:val="auto"/>
          <w:sz w:val="24"/>
        </w:rPr>
      </w:pPr>
      <w:r>
        <w:rPr>
          <w:color w:val="auto"/>
          <w:sz w:val="24"/>
        </w:rPr>
        <w:t>④大气毒性终点值选取</w:t>
      </w:r>
    </w:p>
    <w:p w14:paraId="65CD29BB">
      <w:pPr>
        <w:spacing w:line="360" w:lineRule="auto"/>
        <w:ind w:firstLine="480" w:firstLineChars="200"/>
        <w:rPr>
          <w:color w:val="auto"/>
          <w:sz w:val="24"/>
        </w:rPr>
      </w:pPr>
      <w:r>
        <w:rPr>
          <w:color w:val="auto"/>
          <w:sz w:val="24"/>
        </w:rPr>
        <w:t>根据风险导则附录H表H.1选择毒性终点值，具体见下表。其中1级为当大气中危险物质浓度低于该限值时，绝大多数人员暴露1h不会对生命造成威胁，当超过该限值时，有可能对人群造成生命威胁；2级为当大气中危险物质浓度低于该限值时，暴露1h 一般不会对人体造成不可逆的伤害，或出现的症状一般不会损伤该个体采取有效防护措施的能力。</w:t>
      </w:r>
    </w:p>
    <w:p w14:paraId="2C8988C5">
      <w:pPr>
        <w:autoSpaceDE w:val="0"/>
        <w:autoSpaceDN w:val="0"/>
        <w:adjustRightInd w:val="0"/>
        <w:jc w:val="center"/>
        <w:rPr>
          <w:b/>
          <w:color w:val="auto"/>
          <w:szCs w:val="21"/>
        </w:rPr>
      </w:pPr>
      <w:r>
        <w:rPr>
          <w:rFonts w:hint="eastAsia"/>
          <w:b/>
          <w:color w:val="auto"/>
          <w:szCs w:val="21"/>
        </w:rPr>
        <w:t>表7.9-3</w:t>
      </w:r>
      <w:r>
        <w:rPr>
          <w:b/>
          <w:color w:val="auto"/>
          <w:szCs w:val="21"/>
        </w:rPr>
        <w:t xml:space="preserve">  泄漏物质毒性终点值</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1269"/>
        <w:gridCol w:w="1282"/>
        <w:gridCol w:w="2947"/>
        <w:gridCol w:w="2987"/>
      </w:tblGrid>
      <w:tr w14:paraId="7F1C5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58" w:type="dxa"/>
            <w:vAlign w:val="center"/>
          </w:tcPr>
          <w:p w14:paraId="0F8255E9">
            <w:pPr>
              <w:spacing w:line="320" w:lineRule="exact"/>
              <w:jc w:val="center"/>
              <w:textAlignment w:val="baseline"/>
              <w:rPr>
                <w:color w:val="auto"/>
                <w:szCs w:val="21"/>
              </w:rPr>
            </w:pPr>
            <w:r>
              <w:rPr>
                <w:color w:val="auto"/>
                <w:szCs w:val="21"/>
              </w:rPr>
              <w:t>序号</w:t>
            </w:r>
          </w:p>
        </w:tc>
        <w:tc>
          <w:tcPr>
            <w:tcW w:w="1269" w:type="dxa"/>
            <w:vAlign w:val="center"/>
          </w:tcPr>
          <w:p w14:paraId="59E6170B">
            <w:pPr>
              <w:spacing w:line="320" w:lineRule="exact"/>
              <w:jc w:val="center"/>
              <w:textAlignment w:val="baseline"/>
              <w:rPr>
                <w:color w:val="auto"/>
                <w:szCs w:val="21"/>
              </w:rPr>
            </w:pPr>
            <w:r>
              <w:rPr>
                <w:color w:val="auto"/>
                <w:szCs w:val="21"/>
              </w:rPr>
              <w:t>物质名称</w:t>
            </w:r>
          </w:p>
        </w:tc>
        <w:tc>
          <w:tcPr>
            <w:tcW w:w="1282" w:type="dxa"/>
            <w:vAlign w:val="center"/>
          </w:tcPr>
          <w:p w14:paraId="2D44F063">
            <w:pPr>
              <w:spacing w:line="320" w:lineRule="exact"/>
              <w:jc w:val="center"/>
              <w:textAlignment w:val="baseline"/>
              <w:rPr>
                <w:color w:val="auto"/>
                <w:szCs w:val="21"/>
              </w:rPr>
            </w:pPr>
            <w:r>
              <w:rPr>
                <w:color w:val="auto"/>
                <w:szCs w:val="21"/>
              </w:rPr>
              <w:t>CAS号</w:t>
            </w:r>
          </w:p>
        </w:tc>
        <w:tc>
          <w:tcPr>
            <w:tcW w:w="2947" w:type="dxa"/>
            <w:vAlign w:val="center"/>
          </w:tcPr>
          <w:p w14:paraId="25B2CE28">
            <w:pPr>
              <w:spacing w:line="320" w:lineRule="exact"/>
              <w:jc w:val="center"/>
              <w:textAlignment w:val="baseline"/>
              <w:rPr>
                <w:color w:val="auto"/>
                <w:szCs w:val="21"/>
              </w:rPr>
            </w:pPr>
            <w:r>
              <w:rPr>
                <w:color w:val="auto"/>
                <w:szCs w:val="21"/>
              </w:rPr>
              <w:t>毒性终点浓度-1/（mg/m</w:t>
            </w:r>
            <w:r>
              <w:rPr>
                <w:color w:val="auto"/>
                <w:szCs w:val="21"/>
                <w:vertAlign w:val="superscript"/>
              </w:rPr>
              <w:t>3</w:t>
            </w:r>
            <w:r>
              <w:rPr>
                <w:color w:val="auto"/>
                <w:szCs w:val="21"/>
              </w:rPr>
              <w:t>）</w:t>
            </w:r>
          </w:p>
        </w:tc>
        <w:tc>
          <w:tcPr>
            <w:tcW w:w="2987" w:type="dxa"/>
            <w:vAlign w:val="center"/>
          </w:tcPr>
          <w:p w14:paraId="65CE1F9B">
            <w:pPr>
              <w:spacing w:line="320" w:lineRule="exact"/>
              <w:jc w:val="center"/>
              <w:textAlignment w:val="baseline"/>
              <w:rPr>
                <w:color w:val="auto"/>
                <w:szCs w:val="21"/>
              </w:rPr>
            </w:pPr>
            <w:r>
              <w:rPr>
                <w:color w:val="auto"/>
                <w:szCs w:val="21"/>
              </w:rPr>
              <w:t>毒性终点浓度-2/（mg/m</w:t>
            </w:r>
            <w:r>
              <w:rPr>
                <w:color w:val="auto"/>
                <w:szCs w:val="21"/>
                <w:vertAlign w:val="superscript"/>
              </w:rPr>
              <w:t>3</w:t>
            </w:r>
            <w:r>
              <w:rPr>
                <w:color w:val="auto"/>
                <w:szCs w:val="21"/>
              </w:rPr>
              <w:t>）</w:t>
            </w:r>
          </w:p>
        </w:tc>
      </w:tr>
      <w:tr w14:paraId="39E9E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8" w:type="dxa"/>
            <w:vAlign w:val="center"/>
          </w:tcPr>
          <w:p w14:paraId="4E4C9EEE">
            <w:pPr>
              <w:spacing w:line="320" w:lineRule="exact"/>
              <w:jc w:val="center"/>
              <w:textAlignment w:val="baseline"/>
              <w:rPr>
                <w:color w:val="auto"/>
                <w:szCs w:val="21"/>
              </w:rPr>
            </w:pPr>
            <w:r>
              <w:rPr>
                <w:color w:val="auto"/>
                <w:szCs w:val="21"/>
              </w:rPr>
              <w:t>1</w:t>
            </w:r>
          </w:p>
        </w:tc>
        <w:tc>
          <w:tcPr>
            <w:tcW w:w="1269" w:type="dxa"/>
            <w:vAlign w:val="center"/>
          </w:tcPr>
          <w:p w14:paraId="46BBC947">
            <w:pPr>
              <w:spacing w:line="320" w:lineRule="exact"/>
              <w:jc w:val="center"/>
              <w:textAlignment w:val="baseline"/>
              <w:rPr>
                <w:color w:val="auto"/>
                <w:szCs w:val="21"/>
              </w:rPr>
            </w:pPr>
            <w:r>
              <w:rPr>
                <w:color w:val="auto"/>
                <w:szCs w:val="21"/>
              </w:rPr>
              <w:t>氢氟酸</w:t>
            </w:r>
          </w:p>
        </w:tc>
        <w:tc>
          <w:tcPr>
            <w:tcW w:w="1282" w:type="dxa"/>
            <w:vAlign w:val="center"/>
          </w:tcPr>
          <w:p w14:paraId="5705FAC6">
            <w:pPr>
              <w:spacing w:line="320" w:lineRule="exact"/>
              <w:jc w:val="center"/>
              <w:textAlignment w:val="baseline"/>
              <w:rPr>
                <w:color w:val="auto"/>
                <w:szCs w:val="21"/>
              </w:rPr>
            </w:pPr>
            <w:r>
              <w:rPr>
                <w:color w:val="auto"/>
                <w:sz w:val="20"/>
                <w:szCs w:val="20"/>
              </w:rPr>
              <w:t>7664-39-3</w:t>
            </w:r>
          </w:p>
        </w:tc>
        <w:tc>
          <w:tcPr>
            <w:tcW w:w="2947" w:type="dxa"/>
            <w:vAlign w:val="center"/>
          </w:tcPr>
          <w:p w14:paraId="5D430519">
            <w:pPr>
              <w:spacing w:line="320" w:lineRule="exact"/>
              <w:jc w:val="center"/>
              <w:textAlignment w:val="baseline"/>
              <w:rPr>
                <w:color w:val="auto"/>
                <w:szCs w:val="21"/>
              </w:rPr>
            </w:pPr>
            <w:r>
              <w:rPr>
                <w:color w:val="auto"/>
                <w:szCs w:val="21"/>
              </w:rPr>
              <w:t>36</w:t>
            </w:r>
          </w:p>
        </w:tc>
        <w:tc>
          <w:tcPr>
            <w:tcW w:w="2987" w:type="dxa"/>
            <w:vAlign w:val="center"/>
          </w:tcPr>
          <w:p w14:paraId="3635C290">
            <w:pPr>
              <w:spacing w:line="320" w:lineRule="exact"/>
              <w:jc w:val="center"/>
              <w:textAlignment w:val="baseline"/>
              <w:rPr>
                <w:color w:val="auto"/>
                <w:szCs w:val="21"/>
              </w:rPr>
            </w:pPr>
            <w:r>
              <w:rPr>
                <w:color w:val="auto"/>
                <w:szCs w:val="21"/>
              </w:rPr>
              <w:t>20</w:t>
            </w:r>
          </w:p>
        </w:tc>
      </w:tr>
      <w:tr w14:paraId="55AA5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8" w:type="dxa"/>
            <w:vAlign w:val="center"/>
          </w:tcPr>
          <w:p w14:paraId="244ED2D2">
            <w:pPr>
              <w:spacing w:line="320" w:lineRule="exact"/>
              <w:jc w:val="center"/>
              <w:textAlignment w:val="baseline"/>
              <w:rPr>
                <w:color w:val="auto"/>
                <w:szCs w:val="21"/>
              </w:rPr>
            </w:pPr>
            <w:r>
              <w:rPr>
                <w:color w:val="auto"/>
                <w:szCs w:val="21"/>
              </w:rPr>
              <w:t>2</w:t>
            </w:r>
          </w:p>
        </w:tc>
        <w:tc>
          <w:tcPr>
            <w:tcW w:w="1269" w:type="dxa"/>
            <w:vAlign w:val="center"/>
          </w:tcPr>
          <w:p w14:paraId="37B06FA2">
            <w:pPr>
              <w:spacing w:line="320" w:lineRule="exact"/>
              <w:jc w:val="center"/>
              <w:textAlignment w:val="baseline"/>
              <w:rPr>
                <w:color w:val="auto"/>
                <w:szCs w:val="21"/>
              </w:rPr>
            </w:pPr>
            <w:r>
              <w:rPr>
                <w:color w:val="auto"/>
                <w:szCs w:val="21"/>
              </w:rPr>
              <w:t>氯化氢</w:t>
            </w:r>
          </w:p>
        </w:tc>
        <w:tc>
          <w:tcPr>
            <w:tcW w:w="1282" w:type="dxa"/>
            <w:vAlign w:val="center"/>
          </w:tcPr>
          <w:p w14:paraId="42990A80">
            <w:pPr>
              <w:spacing w:line="320" w:lineRule="exact"/>
              <w:jc w:val="center"/>
              <w:textAlignment w:val="baseline"/>
              <w:rPr>
                <w:color w:val="auto"/>
                <w:sz w:val="20"/>
                <w:szCs w:val="20"/>
              </w:rPr>
            </w:pPr>
            <w:r>
              <w:rPr>
                <w:color w:val="auto"/>
                <w:sz w:val="20"/>
                <w:szCs w:val="20"/>
              </w:rPr>
              <w:t>7647-01-0</w:t>
            </w:r>
          </w:p>
        </w:tc>
        <w:tc>
          <w:tcPr>
            <w:tcW w:w="2947" w:type="dxa"/>
            <w:vAlign w:val="center"/>
          </w:tcPr>
          <w:p w14:paraId="25D51647">
            <w:pPr>
              <w:spacing w:line="320" w:lineRule="exact"/>
              <w:jc w:val="center"/>
              <w:textAlignment w:val="baseline"/>
              <w:rPr>
                <w:color w:val="auto"/>
                <w:szCs w:val="21"/>
              </w:rPr>
            </w:pPr>
            <w:r>
              <w:rPr>
                <w:color w:val="auto"/>
                <w:szCs w:val="21"/>
              </w:rPr>
              <w:t>150</w:t>
            </w:r>
          </w:p>
        </w:tc>
        <w:tc>
          <w:tcPr>
            <w:tcW w:w="2987" w:type="dxa"/>
            <w:vAlign w:val="center"/>
          </w:tcPr>
          <w:p w14:paraId="507C94F8">
            <w:pPr>
              <w:spacing w:line="320" w:lineRule="exact"/>
              <w:jc w:val="center"/>
              <w:textAlignment w:val="baseline"/>
              <w:rPr>
                <w:color w:val="auto"/>
                <w:szCs w:val="21"/>
              </w:rPr>
            </w:pPr>
            <w:r>
              <w:rPr>
                <w:color w:val="auto"/>
                <w:szCs w:val="21"/>
              </w:rPr>
              <w:t>33</w:t>
            </w:r>
          </w:p>
        </w:tc>
      </w:tr>
    </w:tbl>
    <w:p w14:paraId="479B64CE">
      <w:pPr>
        <w:autoSpaceDE w:val="0"/>
        <w:autoSpaceDN w:val="0"/>
        <w:adjustRightInd w:val="0"/>
        <w:spacing w:beforeLines="50"/>
        <w:jc w:val="center"/>
        <w:rPr>
          <w:color w:val="auto"/>
        </w:rPr>
      </w:pPr>
      <w:r>
        <w:rPr>
          <w:rFonts w:hint="eastAsia"/>
          <w:b/>
          <w:color w:val="auto"/>
          <w:szCs w:val="21"/>
        </w:rPr>
        <w:t>表7.9-4</w:t>
      </w:r>
      <w:r>
        <w:rPr>
          <w:b/>
          <w:color w:val="auto"/>
          <w:szCs w:val="21"/>
        </w:rPr>
        <w:t xml:space="preserve">  大气风险预测主要参数表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2"/>
        <w:gridCol w:w="1096"/>
        <w:gridCol w:w="2210"/>
        <w:gridCol w:w="4325"/>
      </w:tblGrid>
      <w:tr w14:paraId="3123D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Align w:val="center"/>
          </w:tcPr>
          <w:p w14:paraId="4C4C7443">
            <w:pPr>
              <w:spacing w:line="312" w:lineRule="atLeast"/>
              <w:jc w:val="center"/>
              <w:textAlignment w:val="baseline"/>
              <w:rPr>
                <w:color w:val="auto"/>
                <w:szCs w:val="21"/>
              </w:rPr>
            </w:pPr>
            <w:r>
              <w:rPr>
                <w:color w:val="auto"/>
                <w:szCs w:val="21"/>
              </w:rPr>
              <w:t>参数类型</w:t>
            </w:r>
          </w:p>
        </w:tc>
        <w:tc>
          <w:tcPr>
            <w:tcW w:w="3306" w:type="dxa"/>
            <w:gridSpan w:val="2"/>
            <w:vAlign w:val="center"/>
          </w:tcPr>
          <w:p w14:paraId="1B752A34">
            <w:pPr>
              <w:spacing w:line="312" w:lineRule="atLeast"/>
              <w:jc w:val="center"/>
              <w:textAlignment w:val="baseline"/>
              <w:rPr>
                <w:color w:val="auto"/>
                <w:szCs w:val="21"/>
              </w:rPr>
            </w:pPr>
            <w:r>
              <w:rPr>
                <w:color w:val="auto"/>
                <w:szCs w:val="21"/>
              </w:rPr>
              <w:t>选项</w:t>
            </w:r>
          </w:p>
        </w:tc>
        <w:tc>
          <w:tcPr>
            <w:tcW w:w="4325" w:type="dxa"/>
            <w:vAlign w:val="center"/>
          </w:tcPr>
          <w:p w14:paraId="6F775571">
            <w:pPr>
              <w:spacing w:line="312" w:lineRule="atLeast"/>
              <w:jc w:val="center"/>
              <w:textAlignment w:val="baseline"/>
              <w:rPr>
                <w:color w:val="auto"/>
                <w:szCs w:val="21"/>
              </w:rPr>
            </w:pPr>
            <w:r>
              <w:rPr>
                <w:color w:val="auto"/>
                <w:szCs w:val="21"/>
              </w:rPr>
              <w:t>参数</w:t>
            </w:r>
          </w:p>
        </w:tc>
      </w:tr>
      <w:tr w14:paraId="60989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restart"/>
            <w:vAlign w:val="center"/>
          </w:tcPr>
          <w:p w14:paraId="08B91FE6">
            <w:pPr>
              <w:spacing w:line="312" w:lineRule="atLeast"/>
              <w:jc w:val="center"/>
              <w:textAlignment w:val="baseline"/>
              <w:rPr>
                <w:color w:val="auto"/>
                <w:szCs w:val="21"/>
              </w:rPr>
            </w:pPr>
            <w:r>
              <w:rPr>
                <w:color w:val="auto"/>
                <w:szCs w:val="21"/>
              </w:rPr>
              <w:t>基本情况</w:t>
            </w:r>
          </w:p>
        </w:tc>
        <w:tc>
          <w:tcPr>
            <w:tcW w:w="3306" w:type="dxa"/>
            <w:gridSpan w:val="2"/>
            <w:shd w:val="clear" w:color="auto" w:fill="auto"/>
            <w:vAlign w:val="center"/>
          </w:tcPr>
          <w:p w14:paraId="148F7AC9">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事故源类型</w:t>
            </w:r>
          </w:p>
        </w:tc>
        <w:tc>
          <w:tcPr>
            <w:tcW w:w="4325" w:type="dxa"/>
            <w:shd w:val="clear" w:color="auto" w:fill="auto"/>
            <w:vAlign w:val="center"/>
          </w:tcPr>
          <w:p w14:paraId="2993468F">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泄露</w:t>
            </w:r>
          </w:p>
        </w:tc>
      </w:tr>
      <w:tr w14:paraId="5CA49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0829779C">
            <w:pPr>
              <w:spacing w:line="312" w:lineRule="atLeast"/>
              <w:jc w:val="center"/>
              <w:textAlignment w:val="baseline"/>
              <w:rPr>
                <w:color w:val="auto"/>
                <w:szCs w:val="21"/>
              </w:rPr>
            </w:pPr>
          </w:p>
        </w:tc>
        <w:tc>
          <w:tcPr>
            <w:tcW w:w="1096" w:type="dxa"/>
            <w:vMerge w:val="restart"/>
            <w:vAlign w:val="center"/>
          </w:tcPr>
          <w:p w14:paraId="6AD236C9">
            <w:pPr>
              <w:spacing w:line="312" w:lineRule="atLeast"/>
              <w:jc w:val="center"/>
              <w:textAlignment w:val="baseline"/>
              <w:rPr>
                <w:color w:val="auto"/>
                <w:szCs w:val="21"/>
              </w:rPr>
            </w:pPr>
            <w:r>
              <w:rPr>
                <w:rFonts w:hint="eastAsia"/>
                <w:color w:val="auto"/>
                <w:szCs w:val="21"/>
              </w:rPr>
              <w:t>储罐区</w:t>
            </w:r>
          </w:p>
        </w:tc>
        <w:tc>
          <w:tcPr>
            <w:tcW w:w="2210" w:type="dxa"/>
            <w:vAlign w:val="center"/>
          </w:tcPr>
          <w:p w14:paraId="7391F2A0">
            <w:pPr>
              <w:spacing w:line="312" w:lineRule="atLeast"/>
              <w:jc w:val="center"/>
              <w:textAlignment w:val="baseline"/>
              <w:rPr>
                <w:color w:val="auto"/>
                <w:szCs w:val="21"/>
              </w:rPr>
            </w:pPr>
            <w:r>
              <w:rPr>
                <w:color w:val="auto"/>
                <w:szCs w:val="21"/>
              </w:rPr>
              <w:t>事故源经度/（°）</w:t>
            </w:r>
          </w:p>
        </w:tc>
        <w:tc>
          <w:tcPr>
            <w:tcW w:w="4325" w:type="dxa"/>
            <w:vAlign w:val="center"/>
          </w:tcPr>
          <w:p w14:paraId="4E95563C">
            <w:pPr>
              <w:spacing w:line="312" w:lineRule="atLeast"/>
              <w:jc w:val="center"/>
              <w:textAlignment w:val="baseline"/>
              <w:rPr>
                <w:color w:val="auto"/>
                <w:szCs w:val="21"/>
              </w:rPr>
            </w:pPr>
            <w:r>
              <w:rPr>
                <w:rFonts w:hint="eastAsia"/>
                <w:color w:val="auto"/>
                <w:szCs w:val="21"/>
              </w:rPr>
              <w:t xml:space="preserve">117.086647 </w:t>
            </w:r>
          </w:p>
        </w:tc>
      </w:tr>
      <w:tr w14:paraId="302AA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6BE19C17">
            <w:pPr>
              <w:spacing w:line="312" w:lineRule="atLeast"/>
              <w:jc w:val="center"/>
              <w:textAlignment w:val="baseline"/>
              <w:rPr>
                <w:color w:val="auto"/>
                <w:szCs w:val="21"/>
              </w:rPr>
            </w:pPr>
          </w:p>
        </w:tc>
        <w:tc>
          <w:tcPr>
            <w:tcW w:w="1096" w:type="dxa"/>
            <w:vMerge w:val="continue"/>
            <w:vAlign w:val="center"/>
          </w:tcPr>
          <w:p w14:paraId="667F688B">
            <w:pPr>
              <w:spacing w:line="312" w:lineRule="atLeast"/>
              <w:jc w:val="center"/>
              <w:textAlignment w:val="baseline"/>
              <w:rPr>
                <w:color w:val="auto"/>
                <w:szCs w:val="21"/>
              </w:rPr>
            </w:pPr>
          </w:p>
        </w:tc>
        <w:tc>
          <w:tcPr>
            <w:tcW w:w="2210" w:type="dxa"/>
            <w:vAlign w:val="center"/>
          </w:tcPr>
          <w:p w14:paraId="3C4B9EE2">
            <w:pPr>
              <w:spacing w:line="312" w:lineRule="atLeast"/>
              <w:jc w:val="center"/>
              <w:textAlignment w:val="baseline"/>
              <w:rPr>
                <w:color w:val="auto"/>
                <w:szCs w:val="21"/>
              </w:rPr>
            </w:pPr>
            <w:r>
              <w:rPr>
                <w:color w:val="auto"/>
                <w:szCs w:val="21"/>
              </w:rPr>
              <w:t>事故源纬度/（°）</w:t>
            </w:r>
          </w:p>
        </w:tc>
        <w:tc>
          <w:tcPr>
            <w:tcW w:w="4325" w:type="dxa"/>
            <w:vAlign w:val="center"/>
          </w:tcPr>
          <w:p w14:paraId="4C560C11">
            <w:pPr>
              <w:spacing w:line="312" w:lineRule="atLeast"/>
              <w:jc w:val="center"/>
              <w:textAlignment w:val="baseline"/>
              <w:rPr>
                <w:color w:val="auto"/>
                <w:szCs w:val="21"/>
              </w:rPr>
            </w:pPr>
            <w:r>
              <w:rPr>
                <w:rFonts w:hint="eastAsia"/>
                <w:color w:val="auto"/>
                <w:szCs w:val="21"/>
              </w:rPr>
              <w:t xml:space="preserve">32.635289 </w:t>
            </w:r>
          </w:p>
        </w:tc>
      </w:tr>
      <w:tr w14:paraId="073D4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52655F25">
            <w:pPr>
              <w:spacing w:line="312" w:lineRule="atLeast"/>
              <w:jc w:val="center"/>
              <w:textAlignment w:val="baseline"/>
              <w:rPr>
                <w:color w:val="auto"/>
                <w:szCs w:val="21"/>
              </w:rPr>
            </w:pPr>
          </w:p>
        </w:tc>
        <w:tc>
          <w:tcPr>
            <w:tcW w:w="3306" w:type="dxa"/>
            <w:gridSpan w:val="2"/>
            <w:shd w:val="clear" w:color="auto" w:fill="auto"/>
            <w:vAlign w:val="center"/>
          </w:tcPr>
          <w:p w14:paraId="0B80C65F">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事故源类型</w:t>
            </w:r>
          </w:p>
        </w:tc>
        <w:tc>
          <w:tcPr>
            <w:tcW w:w="4325" w:type="dxa"/>
            <w:shd w:val="clear" w:color="auto" w:fill="auto"/>
            <w:vAlign w:val="center"/>
          </w:tcPr>
          <w:p w14:paraId="7B9E37DE">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泄露</w:t>
            </w:r>
          </w:p>
        </w:tc>
      </w:tr>
      <w:tr w14:paraId="7198C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7BADFF4E">
            <w:pPr>
              <w:spacing w:line="312" w:lineRule="atLeast"/>
              <w:jc w:val="center"/>
              <w:textAlignment w:val="baseline"/>
              <w:rPr>
                <w:color w:val="auto"/>
                <w:szCs w:val="21"/>
              </w:rPr>
            </w:pPr>
          </w:p>
        </w:tc>
        <w:tc>
          <w:tcPr>
            <w:tcW w:w="1096" w:type="dxa"/>
            <w:vMerge w:val="restart"/>
            <w:vAlign w:val="center"/>
          </w:tcPr>
          <w:p w14:paraId="1A930E79">
            <w:pPr>
              <w:spacing w:line="312" w:lineRule="atLeast"/>
              <w:jc w:val="center"/>
              <w:textAlignment w:val="baseline"/>
              <w:rPr>
                <w:color w:val="auto"/>
                <w:szCs w:val="21"/>
              </w:rPr>
            </w:pPr>
            <w:r>
              <w:rPr>
                <w:color w:val="auto"/>
                <w:szCs w:val="21"/>
              </w:rPr>
              <w:t>仓库</w:t>
            </w:r>
          </w:p>
        </w:tc>
        <w:tc>
          <w:tcPr>
            <w:tcW w:w="2210" w:type="dxa"/>
            <w:vAlign w:val="center"/>
          </w:tcPr>
          <w:p w14:paraId="5CDC05C8">
            <w:pPr>
              <w:spacing w:line="312" w:lineRule="atLeast"/>
              <w:jc w:val="center"/>
              <w:textAlignment w:val="baseline"/>
              <w:rPr>
                <w:color w:val="auto"/>
                <w:szCs w:val="21"/>
              </w:rPr>
            </w:pPr>
            <w:r>
              <w:rPr>
                <w:color w:val="auto"/>
                <w:szCs w:val="21"/>
              </w:rPr>
              <w:t>事故源经度/（°）</w:t>
            </w:r>
          </w:p>
        </w:tc>
        <w:tc>
          <w:tcPr>
            <w:tcW w:w="4325" w:type="dxa"/>
            <w:vAlign w:val="center"/>
          </w:tcPr>
          <w:p w14:paraId="17FE5930">
            <w:pPr>
              <w:spacing w:line="312" w:lineRule="atLeast"/>
              <w:jc w:val="center"/>
              <w:textAlignment w:val="baseline"/>
              <w:rPr>
                <w:color w:val="auto"/>
                <w:szCs w:val="21"/>
              </w:rPr>
            </w:pPr>
            <w:r>
              <w:rPr>
                <w:rFonts w:hint="eastAsia"/>
                <w:color w:val="auto"/>
                <w:szCs w:val="21"/>
              </w:rPr>
              <w:t xml:space="preserve">117.086632 </w:t>
            </w:r>
          </w:p>
        </w:tc>
      </w:tr>
      <w:tr w14:paraId="41CFA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6480C616">
            <w:pPr>
              <w:spacing w:line="312" w:lineRule="atLeast"/>
              <w:jc w:val="center"/>
              <w:textAlignment w:val="baseline"/>
              <w:rPr>
                <w:color w:val="auto"/>
                <w:szCs w:val="21"/>
              </w:rPr>
            </w:pPr>
          </w:p>
        </w:tc>
        <w:tc>
          <w:tcPr>
            <w:tcW w:w="1096" w:type="dxa"/>
            <w:vMerge w:val="continue"/>
            <w:vAlign w:val="center"/>
          </w:tcPr>
          <w:p w14:paraId="41B08585">
            <w:pPr>
              <w:spacing w:line="312" w:lineRule="atLeast"/>
              <w:jc w:val="center"/>
              <w:textAlignment w:val="baseline"/>
              <w:rPr>
                <w:color w:val="auto"/>
                <w:szCs w:val="21"/>
              </w:rPr>
            </w:pPr>
          </w:p>
        </w:tc>
        <w:tc>
          <w:tcPr>
            <w:tcW w:w="2210" w:type="dxa"/>
            <w:vAlign w:val="center"/>
          </w:tcPr>
          <w:p w14:paraId="5991EB10">
            <w:pPr>
              <w:spacing w:line="312" w:lineRule="atLeast"/>
              <w:jc w:val="center"/>
              <w:textAlignment w:val="baseline"/>
              <w:rPr>
                <w:color w:val="auto"/>
                <w:szCs w:val="21"/>
              </w:rPr>
            </w:pPr>
            <w:r>
              <w:rPr>
                <w:color w:val="auto"/>
                <w:szCs w:val="21"/>
              </w:rPr>
              <w:t>事故源纬度/（°）</w:t>
            </w:r>
          </w:p>
        </w:tc>
        <w:tc>
          <w:tcPr>
            <w:tcW w:w="4325" w:type="dxa"/>
            <w:vAlign w:val="center"/>
          </w:tcPr>
          <w:p w14:paraId="64570D23">
            <w:pPr>
              <w:spacing w:line="312" w:lineRule="atLeast"/>
              <w:jc w:val="center"/>
              <w:textAlignment w:val="baseline"/>
              <w:rPr>
                <w:color w:val="auto"/>
                <w:szCs w:val="21"/>
              </w:rPr>
            </w:pPr>
            <w:r>
              <w:rPr>
                <w:rFonts w:hint="eastAsia"/>
                <w:color w:val="auto"/>
                <w:szCs w:val="21"/>
              </w:rPr>
              <w:t xml:space="preserve">32.635265 </w:t>
            </w:r>
          </w:p>
        </w:tc>
      </w:tr>
      <w:tr w14:paraId="30A94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restart"/>
            <w:vAlign w:val="center"/>
          </w:tcPr>
          <w:p w14:paraId="6366E6C9">
            <w:pPr>
              <w:spacing w:line="312" w:lineRule="atLeast"/>
              <w:jc w:val="center"/>
              <w:textAlignment w:val="baseline"/>
              <w:rPr>
                <w:color w:val="auto"/>
                <w:szCs w:val="21"/>
              </w:rPr>
            </w:pPr>
            <w:r>
              <w:rPr>
                <w:color w:val="auto"/>
                <w:szCs w:val="21"/>
              </w:rPr>
              <w:t>气象参数</w:t>
            </w:r>
          </w:p>
        </w:tc>
        <w:tc>
          <w:tcPr>
            <w:tcW w:w="3306" w:type="dxa"/>
            <w:gridSpan w:val="2"/>
            <w:vAlign w:val="center"/>
          </w:tcPr>
          <w:p w14:paraId="54F358FF">
            <w:pPr>
              <w:spacing w:line="312" w:lineRule="atLeast"/>
              <w:jc w:val="center"/>
              <w:textAlignment w:val="baseline"/>
              <w:rPr>
                <w:color w:val="auto"/>
                <w:szCs w:val="21"/>
              </w:rPr>
            </w:pPr>
            <w:r>
              <w:rPr>
                <w:color w:val="auto"/>
                <w:szCs w:val="21"/>
              </w:rPr>
              <w:t>气象条件类型</w:t>
            </w:r>
          </w:p>
        </w:tc>
        <w:tc>
          <w:tcPr>
            <w:tcW w:w="4325" w:type="dxa"/>
            <w:vAlign w:val="center"/>
          </w:tcPr>
          <w:p w14:paraId="52886D3F">
            <w:pPr>
              <w:spacing w:line="312" w:lineRule="atLeast"/>
              <w:jc w:val="center"/>
              <w:textAlignment w:val="baseline"/>
              <w:rPr>
                <w:color w:val="auto"/>
                <w:szCs w:val="21"/>
              </w:rPr>
            </w:pPr>
            <w:r>
              <w:rPr>
                <w:color w:val="auto"/>
                <w:szCs w:val="21"/>
              </w:rPr>
              <w:t>最不利气象</w:t>
            </w:r>
          </w:p>
        </w:tc>
      </w:tr>
      <w:tr w14:paraId="35A4A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181B6816">
            <w:pPr>
              <w:spacing w:line="312" w:lineRule="atLeast"/>
              <w:jc w:val="center"/>
              <w:textAlignment w:val="baseline"/>
              <w:rPr>
                <w:color w:val="auto"/>
                <w:szCs w:val="21"/>
              </w:rPr>
            </w:pPr>
          </w:p>
        </w:tc>
        <w:tc>
          <w:tcPr>
            <w:tcW w:w="3306" w:type="dxa"/>
            <w:gridSpan w:val="2"/>
            <w:vAlign w:val="center"/>
          </w:tcPr>
          <w:p w14:paraId="4DCEB8F9">
            <w:pPr>
              <w:spacing w:line="312" w:lineRule="atLeast"/>
              <w:jc w:val="center"/>
              <w:textAlignment w:val="baseline"/>
              <w:rPr>
                <w:color w:val="auto"/>
                <w:szCs w:val="21"/>
              </w:rPr>
            </w:pPr>
            <w:r>
              <w:rPr>
                <w:color w:val="auto"/>
                <w:szCs w:val="21"/>
              </w:rPr>
              <w:t>风速/(m/s)</w:t>
            </w:r>
          </w:p>
        </w:tc>
        <w:tc>
          <w:tcPr>
            <w:tcW w:w="4325" w:type="dxa"/>
            <w:vAlign w:val="center"/>
          </w:tcPr>
          <w:p w14:paraId="07E8B5D6">
            <w:pPr>
              <w:spacing w:line="312" w:lineRule="atLeast"/>
              <w:jc w:val="center"/>
              <w:textAlignment w:val="baseline"/>
              <w:rPr>
                <w:color w:val="auto"/>
                <w:szCs w:val="21"/>
              </w:rPr>
            </w:pPr>
            <w:r>
              <w:rPr>
                <w:color w:val="auto"/>
                <w:szCs w:val="21"/>
              </w:rPr>
              <w:t>1.5</w:t>
            </w:r>
          </w:p>
        </w:tc>
      </w:tr>
      <w:tr w14:paraId="2A213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4F604549">
            <w:pPr>
              <w:spacing w:line="312" w:lineRule="atLeast"/>
              <w:jc w:val="center"/>
              <w:textAlignment w:val="baseline"/>
              <w:rPr>
                <w:color w:val="auto"/>
                <w:szCs w:val="21"/>
              </w:rPr>
            </w:pPr>
          </w:p>
        </w:tc>
        <w:tc>
          <w:tcPr>
            <w:tcW w:w="3306" w:type="dxa"/>
            <w:gridSpan w:val="2"/>
            <w:vAlign w:val="center"/>
          </w:tcPr>
          <w:p w14:paraId="2DD8E485">
            <w:pPr>
              <w:spacing w:line="312" w:lineRule="atLeast"/>
              <w:jc w:val="center"/>
              <w:textAlignment w:val="baseline"/>
              <w:rPr>
                <w:color w:val="auto"/>
                <w:szCs w:val="21"/>
              </w:rPr>
            </w:pPr>
            <w:r>
              <w:rPr>
                <w:color w:val="auto"/>
                <w:szCs w:val="21"/>
              </w:rPr>
              <w:t>温度/℃</w:t>
            </w:r>
          </w:p>
        </w:tc>
        <w:tc>
          <w:tcPr>
            <w:tcW w:w="4325" w:type="dxa"/>
            <w:vAlign w:val="center"/>
          </w:tcPr>
          <w:p w14:paraId="13EC6D0D">
            <w:pPr>
              <w:spacing w:line="312" w:lineRule="atLeast"/>
              <w:jc w:val="center"/>
              <w:textAlignment w:val="baseline"/>
              <w:rPr>
                <w:color w:val="auto"/>
                <w:szCs w:val="21"/>
              </w:rPr>
            </w:pPr>
            <w:r>
              <w:rPr>
                <w:color w:val="auto"/>
                <w:szCs w:val="21"/>
              </w:rPr>
              <w:t>25</w:t>
            </w:r>
          </w:p>
        </w:tc>
      </w:tr>
      <w:tr w14:paraId="39DB0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535096DE">
            <w:pPr>
              <w:spacing w:line="312" w:lineRule="atLeast"/>
              <w:jc w:val="center"/>
              <w:textAlignment w:val="baseline"/>
              <w:rPr>
                <w:color w:val="auto"/>
                <w:szCs w:val="21"/>
              </w:rPr>
            </w:pPr>
          </w:p>
        </w:tc>
        <w:tc>
          <w:tcPr>
            <w:tcW w:w="3306" w:type="dxa"/>
            <w:gridSpan w:val="2"/>
            <w:vAlign w:val="center"/>
          </w:tcPr>
          <w:p w14:paraId="05EAE39F">
            <w:pPr>
              <w:spacing w:line="312" w:lineRule="atLeast"/>
              <w:jc w:val="center"/>
              <w:textAlignment w:val="baseline"/>
              <w:rPr>
                <w:color w:val="auto"/>
                <w:szCs w:val="21"/>
              </w:rPr>
            </w:pPr>
            <w:r>
              <w:rPr>
                <w:color w:val="auto"/>
                <w:szCs w:val="21"/>
              </w:rPr>
              <w:t>相对湿度/%</w:t>
            </w:r>
          </w:p>
        </w:tc>
        <w:tc>
          <w:tcPr>
            <w:tcW w:w="4325" w:type="dxa"/>
            <w:vAlign w:val="center"/>
          </w:tcPr>
          <w:p w14:paraId="382AF299">
            <w:pPr>
              <w:spacing w:line="312" w:lineRule="atLeast"/>
              <w:jc w:val="center"/>
              <w:textAlignment w:val="baseline"/>
              <w:rPr>
                <w:color w:val="auto"/>
                <w:szCs w:val="21"/>
              </w:rPr>
            </w:pPr>
            <w:r>
              <w:rPr>
                <w:color w:val="auto"/>
                <w:szCs w:val="21"/>
              </w:rPr>
              <w:t>50</w:t>
            </w:r>
          </w:p>
        </w:tc>
      </w:tr>
      <w:tr w14:paraId="59262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0DA32873">
            <w:pPr>
              <w:spacing w:line="312" w:lineRule="atLeast"/>
              <w:jc w:val="center"/>
              <w:textAlignment w:val="baseline"/>
              <w:rPr>
                <w:color w:val="auto"/>
                <w:szCs w:val="21"/>
              </w:rPr>
            </w:pPr>
          </w:p>
        </w:tc>
        <w:tc>
          <w:tcPr>
            <w:tcW w:w="3306" w:type="dxa"/>
            <w:gridSpan w:val="2"/>
            <w:vAlign w:val="center"/>
          </w:tcPr>
          <w:p w14:paraId="4F27370D">
            <w:pPr>
              <w:spacing w:line="312" w:lineRule="atLeast"/>
              <w:jc w:val="center"/>
              <w:textAlignment w:val="baseline"/>
              <w:rPr>
                <w:color w:val="auto"/>
                <w:szCs w:val="21"/>
              </w:rPr>
            </w:pPr>
            <w:r>
              <w:rPr>
                <w:color w:val="auto"/>
                <w:szCs w:val="21"/>
              </w:rPr>
              <w:t>稳定度</w:t>
            </w:r>
          </w:p>
        </w:tc>
        <w:tc>
          <w:tcPr>
            <w:tcW w:w="4325" w:type="dxa"/>
            <w:vAlign w:val="center"/>
          </w:tcPr>
          <w:p w14:paraId="51880C2B">
            <w:pPr>
              <w:spacing w:line="312" w:lineRule="atLeast"/>
              <w:jc w:val="center"/>
              <w:textAlignment w:val="baseline"/>
              <w:rPr>
                <w:color w:val="auto"/>
                <w:szCs w:val="21"/>
              </w:rPr>
            </w:pPr>
            <w:r>
              <w:rPr>
                <w:color w:val="auto"/>
                <w:szCs w:val="21"/>
              </w:rPr>
              <w:t>F</w:t>
            </w:r>
          </w:p>
        </w:tc>
      </w:tr>
      <w:tr w14:paraId="53F5C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72896EAB">
            <w:pPr>
              <w:spacing w:line="312" w:lineRule="atLeast"/>
              <w:jc w:val="center"/>
              <w:textAlignment w:val="baseline"/>
              <w:rPr>
                <w:color w:val="auto"/>
                <w:szCs w:val="21"/>
              </w:rPr>
            </w:pPr>
          </w:p>
        </w:tc>
        <w:tc>
          <w:tcPr>
            <w:tcW w:w="3306" w:type="dxa"/>
            <w:gridSpan w:val="2"/>
            <w:shd w:val="clear" w:color="auto" w:fill="auto"/>
            <w:vAlign w:val="center"/>
          </w:tcPr>
          <w:p w14:paraId="6C4F9214">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气象条件类型</w:t>
            </w:r>
          </w:p>
        </w:tc>
        <w:tc>
          <w:tcPr>
            <w:tcW w:w="4325" w:type="dxa"/>
            <w:shd w:val="clear" w:color="auto" w:fill="auto"/>
            <w:vAlign w:val="center"/>
          </w:tcPr>
          <w:p w14:paraId="1392BA8C">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最</w:t>
            </w:r>
            <w:r>
              <w:rPr>
                <w:rFonts w:hint="eastAsia"/>
                <w:color w:val="auto"/>
                <w:szCs w:val="21"/>
                <w:lang w:val="en-US" w:eastAsia="zh-CN"/>
              </w:rPr>
              <w:t>常见</w:t>
            </w:r>
            <w:r>
              <w:rPr>
                <w:color w:val="auto"/>
                <w:szCs w:val="21"/>
              </w:rPr>
              <w:t>气象</w:t>
            </w:r>
          </w:p>
        </w:tc>
      </w:tr>
      <w:tr w14:paraId="6F40D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678A7A36">
            <w:pPr>
              <w:spacing w:line="312" w:lineRule="atLeast"/>
              <w:jc w:val="center"/>
              <w:textAlignment w:val="baseline"/>
              <w:rPr>
                <w:color w:val="auto"/>
                <w:szCs w:val="21"/>
              </w:rPr>
            </w:pPr>
          </w:p>
        </w:tc>
        <w:tc>
          <w:tcPr>
            <w:tcW w:w="3306" w:type="dxa"/>
            <w:gridSpan w:val="2"/>
            <w:shd w:val="clear" w:color="auto" w:fill="auto"/>
            <w:vAlign w:val="center"/>
          </w:tcPr>
          <w:p w14:paraId="3243CBA3">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风速/(m/s)</w:t>
            </w:r>
          </w:p>
        </w:tc>
        <w:tc>
          <w:tcPr>
            <w:tcW w:w="4325" w:type="dxa"/>
            <w:shd w:val="clear" w:color="auto" w:fill="auto"/>
            <w:vAlign w:val="center"/>
          </w:tcPr>
          <w:p w14:paraId="3AFE615F">
            <w:pPr>
              <w:spacing w:line="312" w:lineRule="atLeast"/>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2.6</w:t>
            </w:r>
          </w:p>
        </w:tc>
      </w:tr>
      <w:tr w14:paraId="70641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3471F239">
            <w:pPr>
              <w:spacing w:line="312" w:lineRule="atLeast"/>
              <w:jc w:val="center"/>
              <w:textAlignment w:val="baseline"/>
              <w:rPr>
                <w:color w:val="auto"/>
                <w:szCs w:val="21"/>
              </w:rPr>
            </w:pPr>
          </w:p>
        </w:tc>
        <w:tc>
          <w:tcPr>
            <w:tcW w:w="3306" w:type="dxa"/>
            <w:gridSpan w:val="2"/>
            <w:shd w:val="clear" w:color="auto" w:fill="auto"/>
            <w:vAlign w:val="center"/>
          </w:tcPr>
          <w:p w14:paraId="412A0871">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温度/℃</w:t>
            </w:r>
          </w:p>
        </w:tc>
        <w:tc>
          <w:tcPr>
            <w:tcW w:w="4325" w:type="dxa"/>
            <w:shd w:val="clear" w:color="auto" w:fill="auto"/>
            <w:vAlign w:val="center"/>
          </w:tcPr>
          <w:p w14:paraId="22F2DA8D">
            <w:pPr>
              <w:spacing w:line="312" w:lineRule="atLeast"/>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15.7</w:t>
            </w:r>
          </w:p>
        </w:tc>
      </w:tr>
      <w:tr w14:paraId="225FD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616C8D8F">
            <w:pPr>
              <w:spacing w:line="312" w:lineRule="atLeast"/>
              <w:jc w:val="center"/>
              <w:textAlignment w:val="baseline"/>
              <w:rPr>
                <w:color w:val="auto"/>
                <w:szCs w:val="21"/>
              </w:rPr>
            </w:pPr>
          </w:p>
        </w:tc>
        <w:tc>
          <w:tcPr>
            <w:tcW w:w="3306" w:type="dxa"/>
            <w:gridSpan w:val="2"/>
            <w:shd w:val="clear" w:color="auto" w:fill="auto"/>
            <w:vAlign w:val="center"/>
          </w:tcPr>
          <w:p w14:paraId="28787C51">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相对湿度/%</w:t>
            </w:r>
          </w:p>
        </w:tc>
        <w:tc>
          <w:tcPr>
            <w:tcW w:w="4325" w:type="dxa"/>
            <w:shd w:val="clear" w:color="auto" w:fill="auto"/>
            <w:vAlign w:val="center"/>
          </w:tcPr>
          <w:p w14:paraId="199040BD">
            <w:pPr>
              <w:spacing w:line="312" w:lineRule="atLeast"/>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72</w:t>
            </w:r>
          </w:p>
        </w:tc>
      </w:tr>
      <w:tr w14:paraId="3C327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205395EF">
            <w:pPr>
              <w:spacing w:line="312" w:lineRule="atLeast"/>
              <w:jc w:val="center"/>
              <w:textAlignment w:val="baseline"/>
              <w:rPr>
                <w:color w:val="auto"/>
                <w:szCs w:val="21"/>
              </w:rPr>
            </w:pPr>
          </w:p>
        </w:tc>
        <w:tc>
          <w:tcPr>
            <w:tcW w:w="3306" w:type="dxa"/>
            <w:gridSpan w:val="2"/>
            <w:shd w:val="clear" w:color="auto" w:fill="auto"/>
            <w:vAlign w:val="center"/>
          </w:tcPr>
          <w:p w14:paraId="05F15C99">
            <w:pPr>
              <w:spacing w:line="312" w:lineRule="atLeast"/>
              <w:jc w:val="center"/>
              <w:textAlignment w:val="baseline"/>
              <w:rPr>
                <w:rFonts w:ascii="Times New Roman" w:hAnsi="Times New Roman" w:eastAsia="宋体" w:cs="Times New Roman"/>
                <w:color w:val="auto"/>
                <w:kern w:val="2"/>
                <w:sz w:val="21"/>
                <w:szCs w:val="21"/>
                <w:lang w:val="en-US" w:eastAsia="zh-CN" w:bidi="ar-SA"/>
              </w:rPr>
            </w:pPr>
            <w:r>
              <w:rPr>
                <w:color w:val="auto"/>
                <w:szCs w:val="21"/>
              </w:rPr>
              <w:t>稳定度</w:t>
            </w:r>
          </w:p>
        </w:tc>
        <w:tc>
          <w:tcPr>
            <w:tcW w:w="4325" w:type="dxa"/>
            <w:shd w:val="clear" w:color="auto" w:fill="auto"/>
            <w:vAlign w:val="center"/>
          </w:tcPr>
          <w:p w14:paraId="7E8EED53">
            <w:pPr>
              <w:spacing w:line="312" w:lineRule="atLeast"/>
              <w:jc w:val="center"/>
              <w:textAlignment w:val="baseline"/>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D</w:t>
            </w:r>
          </w:p>
        </w:tc>
      </w:tr>
      <w:tr w14:paraId="11A00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restart"/>
            <w:vAlign w:val="center"/>
          </w:tcPr>
          <w:p w14:paraId="499E80CB">
            <w:pPr>
              <w:spacing w:line="312" w:lineRule="atLeast"/>
              <w:jc w:val="center"/>
              <w:textAlignment w:val="baseline"/>
              <w:rPr>
                <w:color w:val="auto"/>
                <w:szCs w:val="21"/>
              </w:rPr>
            </w:pPr>
            <w:r>
              <w:rPr>
                <w:color w:val="auto"/>
                <w:szCs w:val="21"/>
              </w:rPr>
              <w:t>其他参数</w:t>
            </w:r>
          </w:p>
        </w:tc>
        <w:tc>
          <w:tcPr>
            <w:tcW w:w="3306" w:type="dxa"/>
            <w:gridSpan w:val="2"/>
            <w:vAlign w:val="center"/>
          </w:tcPr>
          <w:p w14:paraId="07F69220">
            <w:pPr>
              <w:spacing w:line="312" w:lineRule="atLeast"/>
              <w:jc w:val="center"/>
              <w:textAlignment w:val="baseline"/>
              <w:rPr>
                <w:color w:val="auto"/>
                <w:szCs w:val="21"/>
              </w:rPr>
            </w:pPr>
            <w:r>
              <w:rPr>
                <w:color w:val="auto"/>
                <w:szCs w:val="21"/>
              </w:rPr>
              <w:t>地表粗糙度/m</w:t>
            </w:r>
          </w:p>
        </w:tc>
        <w:tc>
          <w:tcPr>
            <w:tcW w:w="4325" w:type="dxa"/>
            <w:vAlign w:val="center"/>
          </w:tcPr>
          <w:p w14:paraId="1E9E925D">
            <w:pPr>
              <w:spacing w:line="312" w:lineRule="atLeast"/>
              <w:jc w:val="center"/>
              <w:textAlignment w:val="baseline"/>
              <w:rPr>
                <w:color w:val="auto"/>
                <w:szCs w:val="21"/>
              </w:rPr>
            </w:pPr>
            <w:r>
              <w:rPr>
                <w:color w:val="auto"/>
                <w:szCs w:val="21"/>
              </w:rPr>
              <w:t>1.0</w:t>
            </w:r>
          </w:p>
        </w:tc>
      </w:tr>
      <w:tr w14:paraId="19690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0535156B">
            <w:pPr>
              <w:spacing w:line="312" w:lineRule="atLeast"/>
              <w:jc w:val="center"/>
              <w:textAlignment w:val="baseline"/>
              <w:rPr>
                <w:color w:val="auto"/>
                <w:szCs w:val="21"/>
              </w:rPr>
            </w:pPr>
          </w:p>
        </w:tc>
        <w:tc>
          <w:tcPr>
            <w:tcW w:w="3306" w:type="dxa"/>
            <w:gridSpan w:val="2"/>
            <w:vAlign w:val="center"/>
          </w:tcPr>
          <w:p w14:paraId="6556564A">
            <w:pPr>
              <w:spacing w:line="312" w:lineRule="atLeast"/>
              <w:jc w:val="center"/>
              <w:textAlignment w:val="baseline"/>
              <w:rPr>
                <w:color w:val="auto"/>
                <w:szCs w:val="21"/>
              </w:rPr>
            </w:pPr>
            <w:r>
              <w:rPr>
                <w:color w:val="auto"/>
                <w:szCs w:val="21"/>
              </w:rPr>
              <w:t>是否考虑地形</w:t>
            </w:r>
          </w:p>
        </w:tc>
        <w:tc>
          <w:tcPr>
            <w:tcW w:w="4325" w:type="dxa"/>
            <w:vAlign w:val="center"/>
          </w:tcPr>
          <w:p w14:paraId="6A6FAC19">
            <w:pPr>
              <w:spacing w:line="312" w:lineRule="atLeast"/>
              <w:jc w:val="center"/>
              <w:textAlignment w:val="baseline"/>
              <w:rPr>
                <w:color w:val="auto"/>
                <w:szCs w:val="21"/>
              </w:rPr>
            </w:pPr>
            <w:r>
              <w:rPr>
                <w:color w:val="auto"/>
                <w:szCs w:val="21"/>
              </w:rPr>
              <w:t>否</w:t>
            </w:r>
          </w:p>
        </w:tc>
      </w:tr>
      <w:tr w14:paraId="30142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12" w:type="dxa"/>
            <w:vMerge w:val="continue"/>
            <w:vAlign w:val="center"/>
          </w:tcPr>
          <w:p w14:paraId="10210B01">
            <w:pPr>
              <w:spacing w:line="312" w:lineRule="atLeast"/>
              <w:jc w:val="center"/>
              <w:textAlignment w:val="baseline"/>
              <w:rPr>
                <w:color w:val="auto"/>
                <w:szCs w:val="21"/>
              </w:rPr>
            </w:pPr>
          </w:p>
        </w:tc>
        <w:tc>
          <w:tcPr>
            <w:tcW w:w="3306" w:type="dxa"/>
            <w:gridSpan w:val="2"/>
            <w:vAlign w:val="center"/>
          </w:tcPr>
          <w:p w14:paraId="6A2A2826">
            <w:pPr>
              <w:spacing w:line="312" w:lineRule="atLeast"/>
              <w:jc w:val="center"/>
              <w:textAlignment w:val="baseline"/>
              <w:rPr>
                <w:color w:val="auto"/>
                <w:szCs w:val="21"/>
              </w:rPr>
            </w:pPr>
            <w:r>
              <w:rPr>
                <w:color w:val="auto"/>
                <w:szCs w:val="21"/>
              </w:rPr>
              <w:t>地形数据精度/m</w:t>
            </w:r>
          </w:p>
        </w:tc>
        <w:tc>
          <w:tcPr>
            <w:tcW w:w="4325" w:type="dxa"/>
            <w:vAlign w:val="center"/>
          </w:tcPr>
          <w:p w14:paraId="250A508A">
            <w:pPr>
              <w:spacing w:line="312" w:lineRule="atLeast"/>
              <w:jc w:val="center"/>
              <w:textAlignment w:val="baseline"/>
              <w:rPr>
                <w:color w:val="auto"/>
                <w:szCs w:val="21"/>
              </w:rPr>
            </w:pPr>
            <w:r>
              <w:rPr>
                <w:color w:val="auto"/>
                <w:szCs w:val="21"/>
              </w:rPr>
              <w:t>/</w:t>
            </w:r>
          </w:p>
        </w:tc>
      </w:tr>
    </w:tbl>
    <w:p w14:paraId="3D6F2E1B">
      <w:pPr>
        <w:spacing w:line="360" w:lineRule="auto"/>
        <w:ind w:firstLine="480" w:firstLineChars="200"/>
        <w:rPr>
          <w:color w:val="auto"/>
          <w:sz w:val="24"/>
        </w:rPr>
      </w:pPr>
      <w:r>
        <w:rPr>
          <w:color w:val="auto"/>
          <w:sz w:val="24"/>
        </w:rPr>
        <w:t>（2）预测结果</w:t>
      </w:r>
    </w:p>
    <w:p w14:paraId="6B2D1E33">
      <w:pPr>
        <w:spacing w:line="360" w:lineRule="auto"/>
        <w:ind w:firstLine="480" w:firstLineChars="200"/>
        <w:rPr>
          <w:color w:val="auto"/>
          <w:sz w:val="24"/>
        </w:rPr>
      </w:pPr>
      <w:r>
        <w:rPr>
          <w:rFonts w:hint="default"/>
          <w:color w:val="auto"/>
          <w:sz w:val="24"/>
          <w:lang w:val="en-US"/>
        </w:rPr>
        <w:t>A</w:t>
      </w:r>
      <w:r>
        <w:rPr>
          <w:color w:val="auto"/>
          <w:sz w:val="24"/>
        </w:rPr>
        <w:t>、氯化氢泄漏</w:t>
      </w:r>
    </w:p>
    <w:p w14:paraId="1511B2CE">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5</w:t>
      </w:r>
      <w:r>
        <w:rPr>
          <w:b/>
          <w:bCs/>
          <w:color w:val="auto"/>
          <w:szCs w:val="21"/>
        </w:rPr>
        <w:t xml:space="preserve">  氯化氢泄漏预测后果信息表</w:t>
      </w:r>
    </w:p>
    <w:tbl>
      <w:tblPr>
        <w:tblStyle w:val="32"/>
        <w:tblW w:w="48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2383"/>
        <w:gridCol w:w="1772"/>
        <w:gridCol w:w="1835"/>
        <w:gridCol w:w="1633"/>
      </w:tblGrid>
      <w:tr w14:paraId="3A896743">
        <w:tblPrEx>
          <w:tblCellMar>
            <w:top w:w="0" w:type="dxa"/>
            <w:left w:w="108" w:type="dxa"/>
            <w:bottom w:w="0" w:type="dxa"/>
            <w:right w:w="108" w:type="dxa"/>
          </w:tblCellMar>
        </w:tblPrEx>
        <w:trPr>
          <w:tblHeader/>
        </w:trPr>
        <w:tc>
          <w:tcPr>
            <w:tcW w:w="790" w:type="pct"/>
            <w:vAlign w:val="center"/>
          </w:tcPr>
          <w:p w14:paraId="0DBE24AF">
            <w:pPr>
              <w:spacing w:line="280" w:lineRule="exact"/>
              <w:jc w:val="center"/>
              <w:rPr>
                <w:color w:val="auto"/>
                <w:lang w:val="en-GB"/>
              </w:rPr>
            </w:pPr>
            <w:r>
              <w:rPr>
                <w:color w:val="auto"/>
                <w:lang w:val="en-GB"/>
              </w:rPr>
              <w:t>预测气象条件</w:t>
            </w:r>
          </w:p>
        </w:tc>
        <w:tc>
          <w:tcPr>
            <w:tcW w:w="1315" w:type="pct"/>
            <w:vAlign w:val="center"/>
          </w:tcPr>
          <w:p w14:paraId="40ECB1A6">
            <w:pPr>
              <w:spacing w:line="280" w:lineRule="exact"/>
              <w:jc w:val="center"/>
              <w:rPr>
                <w:color w:val="auto"/>
                <w:lang w:val="en-GB"/>
              </w:rPr>
            </w:pPr>
            <w:r>
              <w:rPr>
                <w:color w:val="auto"/>
                <w:lang w:val="en-GB"/>
              </w:rPr>
              <w:t>指标</w:t>
            </w:r>
          </w:p>
        </w:tc>
        <w:tc>
          <w:tcPr>
            <w:tcW w:w="978" w:type="pct"/>
            <w:vAlign w:val="center"/>
          </w:tcPr>
          <w:p w14:paraId="79BA765C">
            <w:pPr>
              <w:spacing w:line="280" w:lineRule="exact"/>
              <w:jc w:val="center"/>
              <w:rPr>
                <w:color w:val="auto"/>
                <w:lang w:val="en-GB"/>
              </w:rPr>
            </w:pPr>
            <w:r>
              <w:rPr>
                <w:color w:val="auto"/>
                <w:lang w:val="en-GB"/>
              </w:rPr>
              <w:t>浓度值(</w:t>
            </w:r>
            <w:r>
              <w:rPr>
                <w:color w:val="auto"/>
              </w:rPr>
              <w:t>mg/m</w:t>
            </w:r>
            <w:r>
              <w:rPr>
                <w:color w:val="auto"/>
                <w:vertAlign w:val="superscript"/>
              </w:rPr>
              <w:t>3</w:t>
            </w:r>
            <w:r>
              <w:rPr>
                <w:color w:val="auto"/>
                <w:lang w:val="en-GB"/>
              </w:rPr>
              <w:t>)</w:t>
            </w:r>
          </w:p>
        </w:tc>
        <w:tc>
          <w:tcPr>
            <w:tcW w:w="1013" w:type="pct"/>
            <w:vAlign w:val="center"/>
          </w:tcPr>
          <w:p w14:paraId="65E61DCD">
            <w:pPr>
              <w:spacing w:line="280" w:lineRule="exact"/>
              <w:jc w:val="center"/>
              <w:rPr>
                <w:color w:val="auto"/>
                <w:lang w:val="en-GB"/>
              </w:rPr>
            </w:pPr>
            <w:r>
              <w:rPr>
                <w:color w:val="auto"/>
                <w:lang w:val="en-GB"/>
              </w:rPr>
              <w:t>最远影响距离(m)</w:t>
            </w:r>
          </w:p>
        </w:tc>
        <w:tc>
          <w:tcPr>
            <w:tcW w:w="901" w:type="pct"/>
            <w:vAlign w:val="center"/>
          </w:tcPr>
          <w:p w14:paraId="0D5CBAD8">
            <w:pPr>
              <w:spacing w:line="280" w:lineRule="exact"/>
              <w:jc w:val="center"/>
              <w:rPr>
                <w:color w:val="auto"/>
                <w:lang w:val="en-GB"/>
              </w:rPr>
            </w:pPr>
            <w:r>
              <w:rPr>
                <w:color w:val="auto"/>
                <w:lang w:val="en-GB"/>
              </w:rPr>
              <w:t>达到时间(min)</w:t>
            </w:r>
          </w:p>
        </w:tc>
      </w:tr>
      <w:tr w14:paraId="474E4C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90" w:type="pct"/>
            <w:vMerge w:val="restart"/>
            <w:vAlign w:val="center"/>
          </w:tcPr>
          <w:p w14:paraId="04155A08">
            <w:pPr>
              <w:spacing w:line="280" w:lineRule="exact"/>
              <w:jc w:val="center"/>
              <w:rPr>
                <w:color w:val="auto"/>
                <w:lang w:val="en-GB"/>
              </w:rPr>
            </w:pPr>
            <w:r>
              <w:rPr>
                <w:color w:val="auto"/>
                <w:lang w:val="en-GB"/>
              </w:rPr>
              <w:t>最不利气象条件</w:t>
            </w:r>
          </w:p>
        </w:tc>
        <w:tc>
          <w:tcPr>
            <w:tcW w:w="1315" w:type="pct"/>
            <w:vAlign w:val="center"/>
          </w:tcPr>
          <w:p w14:paraId="7E76BFA9">
            <w:pPr>
              <w:spacing w:line="280" w:lineRule="exact"/>
              <w:jc w:val="center"/>
              <w:rPr>
                <w:color w:val="auto"/>
                <w:lang w:val="en-GB"/>
              </w:rPr>
            </w:pPr>
            <w:r>
              <w:rPr>
                <w:color w:val="auto"/>
                <w:lang w:val="en-GB"/>
              </w:rPr>
              <w:t>大气毒性终点浓度-1</w:t>
            </w:r>
          </w:p>
        </w:tc>
        <w:tc>
          <w:tcPr>
            <w:tcW w:w="978" w:type="pct"/>
            <w:vAlign w:val="center"/>
          </w:tcPr>
          <w:p w14:paraId="442B2406">
            <w:pPr>
              <w:spacing w:line="280" w:lineRule="exact"/>
              <w:jc w:val="center"/>
              <w:rPr>
                <w:color w:val="auto"/>
              </w:rPr>
            </w:pPr>
            <w:r>
              <w:rPr>
                <w:color w:val="auto"/>
              </w:rPr>
              <w:t>150</w:t>
            </w:r>
          </w:p>
        </w:tc>
        <w:tc>
          <w:tcPr>
            <w:tcW w:w="1013" w:type="pct"/>
            <w:vAlign w:val="center"/>
          </w:tcPr>
          <w:p w14:paraId="1F744F21">
            <w:pPr>
              <w:spacing w:line="280" w:lineRule="exact"/>
              <w:jc w:val="center"/>
              <w:rPr>
                <w:rFonts w:hint="default" w:eastAsia="宋体"/>
                <w:color w:val="auto"/>
                <w:lang w:val="en-US" w:eastAsia="zh-CN"/>
              </w:rPr>
            </w:pPr>
            <w:r>
              <w:rPr>
                <w:rFonts w:hint="eastAsia"/>
                <w:color w:val="auto"/>
                <w:lang w:val="en-US" w:eastAsia="zh-CN"/>
              </w:rPr>
              <w:t>90</w:t>
            </w:r>
          </w:p>
        </w:tc>
        <w:tc>
          <w:tcPr>
            <w:tcW w:w="901" w:type="pct"/>
            <w:vAlign w:val="center"/>
          </w:tcPr>
          <w:p w14:paraId="6444825B">
            <w:pPr>
              <w:spacing w:line="280" w:lineRule="exact"/>
              <w:jc w:val="center"/>
              <w:rPr>
                <w:rFonts w:hint="default" w:eastAsia="宋体"/>
                <w:color w:val="auto"/>
                <w:lang w:val="en-US" w:eastAsia="zh-CN"/>
              </w:rPr>
            </w:pPr>
            <w:r>
              <w:rPr>
                <w:rFonts w:hint="eastAsia"/>
                <w:color w:val="auto"/>
                <w:lang w:val="en-US" w:eastAsia="zh-CN"/>
              </w:rPr>
              <w:t>0.9</w:t>
            </w:r>
          </w:p>
        </w:tc>
      </w:tr>
      <w:tr w14:paraId="0CA6C2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90" w:type="pct"/>
            <w:vMerge w:val="continue"/>
            <w:vAlign w:val="center"/>
          </w:tcPr>
          <w:p w14:paraId="39AA81FD">
            <w:pPr>
              <w:spacing w:line="280" w:lineRule="exact"/>
              <w:jc w:val="center"/>
              <w:rPr>
                <w:color w:val="auto"/>
                <w:lang w:val="en-GB"/>
              </w:rPr>
            </w:pPr>
          </w:p>
        </w:tc>
        <w:tc>
          <w:tcPr>
            <w:tcW w:w="1315" w:type="pct"/>
            <w:vAlign w:val="center"/>
          </w:tcPr>
          <w:p w14:paraId="53530AB4">
            <w:pPr>
              <w:spacing w:line="280" w:lineRule="exact"/>
              <w:jc w:val="center"/>
              <w:rPr>
                <w:color w:val="auto"/>
                <w:lang w:val="en-GB"/>
              </w:rPr>
            </w:pPr>
            <w:r>
              <w:rPr>
                <w:color w:val="auto"/>
                <w:lang w:val="en-GB"/>
              </w:rPr>
              <w:t>大气毒性终点浓度-2</w:t>
            </w:r>
          </w:p>
        </w:tc>
        <w:tc>
          <w:tcPr>
            <w:tcW w:w="978" w:type="pct"/>
            <w:vAlign w:val="center"/>
          </w:tcPr>
          <w:p w14:paraId="621A7F0C">
            <w:pPr>
              <w:spacing w:line="280" w:lineRule="exact"/>
              <w:jc w:val="center"/>
              <w:rPr>
                <w:color w:val="auto"/>
              </w:rPr>
            </w:pPr>
            <w:r>
              <w:rPr>
                <w:color w:val="auto"/>
              </w:rPr>
              <w:t>33</w:t>
            </w:r>
          </w:p>
        </w:tc>
        <w:tc>
          <w:tcPr>
            <w:tcW w:w="1013" w:type="pct"/>
            <w:vAlign w:val="center"/>
          </w:tcPr>
          <w:p w14:paraId="72303AB9">
            <w:pPr>
              <w:spacing w:line="280" w:lineRule="exact"/>
              <w:jc w:val="center"/>
              <w:rPr>
                <w:rFonts w:hint="default" w:eastAsia="宋体"/>
                <w:color w:val="auto"/>
                <w:lang w:val="en-US" w:eastAsia="zh-CN"/>
              </w:rPr>
            </w:pPr>
            <w:r>
              <w:rPr>
                <w:rFonts w:hint="eastAsia"/>
                <w:color w:val="auto"/>
                <w:lang w:val="en-US" w:eastAsia="zh-CN"/>
              </w:rPr>
              <w:t>250</w:t>
            </w:r>
          </w:p>
        </w:tc>
        <w:tc>
          <w:tcPr>
            <w:tcW w:w="901" w:type="pct"/>
            <w:vAlign w:val="center"/>
          </w:tcPr>
          <w:p w14:paraId="6BDF8595">
            <w:pPr>
              <w:spacing w:line="280" w:lineRule="exact"/>
              <w:jc w:val="center"/>
              <w:rPr>
                <w:rFonts w:hint="default" w:eastAsia="宋体"/>
                <w:color w:val="auto"/>
                <w:lang w:val="en-US" w:eastAsia="zh-CN"/>
              </w:rPr>
            </w:pPr>
            <w:r>
              <w:rPr>
                <w:rFonts w:hint="eastAsia"/>
                <w:color w:val="auto"/>
                <w:lang w:val="en-US" w:eastAsia="zh-CN"/>
              </w:rPr>
              <w:t>2.1</w:t>
            </w:r>
          </w:p>
        </w:tc>
      </w:tr>
      <w:tr w14:paraId="42BA1D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90" w:type="pct"/>
            <w:vMerge w:val="restart"/>
            <w:shd w:val="clear" w:color="auto" w:fill="auto"/>
            <w:vAlign w:val="center"/>
          </w:tcPr>
          <w:p w14:paraId="697881A7">
            <w:pPr>
              <w:spacing w:line="280" w:lineRule="exact"/>
              <w:jc w:val="center"/>
              <w:rPr>
                <w:rFonts w:hint="eastAsia" w:ascii="Times New Roman" w:hAnsi="Times New Roman" w:eastAsia="宋体" w:cs="Times New Roman"/>
                <w:color w:val="auto"/>
                <w:kern w:val="2"/>
                <w:sz w:val="21"/>
                <w:szCs w:val="24"/>
                <w:lang w:val="en-GB" w:eastAsia="zh-CN" w:bidi="ar-SA"/>
              </w:rPr>
            </w:pPr>
            <w:r>
              <w:rPr>
                <w:rFonts w:hint="eastAsia"/>
                <w:color w:val="auto"/>
                <w:lang w:val="en-US" w:eastAsia="zh-CN"/>
              </w:rPr>
              <w:t>最常见</w:t>
            </w:r>
            <w:r>
              <w:rPr>
                <w:color w:val="auto"/>
                <w:lang w:val="en-GB"/>
              </w:rPr>
              <w:t>气象条件</w:t>
            </w:r>
          </w:p>
        </w:tc>
        <w:tc>
          <w:tcPr>
            <w:tcW w:w="1315" w:type="pct"/>
            <w:shd w:val="clear" w:color="auto" w:fill="auto"/>
            <w:vAlign w:val="center"/>
          </w:tcPr>
          <w:p w14:paraId="04849DEB">
            <w:pPr>
              <w:spacing w:line="280" w:lineRule="exact"/>
              <w:jc w:val="center"/>
              <w:rPr>
                <w:rFonts w:ascii="Times New Roman" w:hAnsi="Times New Roman" w:eastAsia="宋体" w:cs="Times New Roman"/>
                <w:color w:val="auto"/>
                <w:kern w:val="2"/>
                <w:sz w:val="21"/>
                <w:szCs w:val="24"/>
                <w:lang w:val="en-GB" w:eastAsia="zh-CN" w:bidi="ar-SA"/>
              </w:rPr>
            </w:pPr>
            <w:r>
              <w:rPr>
                <w:color w:val="auto"/>
                <w:lang w:val="en-GB"/>
              </w:rPr>
              <w:t>大气毒性终点浓度-1</w:t>
            </w:r>
          </w:p>
        </w:tc>
        <w:tc>
          <w:tcPr>
            <w:tcW w:w="978" w:type="pct"/>
            <w:shd w:val="clear" w:color="auto" w:fill="auto"/>
            <w:vAlign w:val="center"/>
          </w:tcPr>
          <w:p w14:paraId="2BAD2C1B">
            <w:pPr>
              <w:spacing w:line="280" w:lineRule="exact"/>
              <w:jc w:val="center"/>
              <w:rPr>
                <w:rFonts w:ascii="Times New Roman" w:hAnsi="Times New Roman" w:eastAsia="宋体" w:cs="Times New Roman"/>
                <w:color w:val="auto"/>
                <w:kern w:val="2"/>
                <w:sz w:val="21"/>
                <w:szCs w:val="24"/>
                <w:lang w:val="en-US" w:eastAsia="zh-CN" w:bidi="ar-SA"/>
              </w:rPr>
            </w:pPr>
            <w:r>
              <w:rPr>
                <w:color w:val="auto"/>
              </w:rPr>
              <w:t>150</w:t>
            </w:r>
          </w:p>
        </w:tc>
        <w:tc>
          <w:tcPr>
            <w:tcW w:w="1013" w:type="pct"/>
            <w:vAlign w:val="center"/>
          </w:tcPr>
          <w:p w14:paraId="504C6673">
            <w:pPr>
              <w:spacing w:line="280" w:lineRule="exact"/>
              <w:jc w:val="center"/>
              <w:rPr>
                <w:rFonts w:hint="default" w:eastAsia="宋体"/>
                <w:color w:val="auto"/>
                <w:lang w:val="en-US" w:eastAsia="zh-CN"/>
              </w:rPr>
            </w:pPr>
            <w:r>
              <w:rPr>
                <w:rFonts w:hint="eastAsia"/>
                <w:color w:val="auto"/>
                <w:lang w:val="en-US" w:eastAsia="zh-CN"/>
              </w:rPr>
              <w:t>40</w:t>
            </w:r>
          </w:p>
        </w:tc>
        <w:tc>
          <w:tcPr>
            <w:tcW w:w="901" w:type="pct"/>
            <w:vAlign w:val="center"/>
          </w:tcPr>
          <w:p w14:paraId="7BFAE69B">
            <w:pPr>
              <w:spacing w:line="280" w:lineRule="exact"/>
              <w:jc w:val="center"/>
              <w:rPr>
                <w:rFonts w:hint="default" w:eastAsia="宋体"/>
                <w:color w:val="auto"/>
                <w:lang w:val="en-US" w:eastAsia="zh-CN"/>
              </w:rPr>
            </w:pPr>
            <w:r>
              <w:rPr>
                <w:rFonts w:hint="eastAsia"/>
                <w:color w:val="auto"/>
                <w:lang w:val="en-US" w:eastAsia="zh-CN"/>
              </w:rPr>
              <w:t>0.4</w:t>
            </w:r>
          </w:p>
        </w:tc>
      </w:tr>
      <w:tr w14:paraId="0E8225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90" w:type="pct"/>
            <w:vMerge w:val="continue"/>
            <w:vAlign w:val="center"/>
          </w:tcPr>
          <w:p w14:paraId="1904D851">
            <w:pPr>
              <w:spacing w:line="280" w:lineRule="exact"/>
              <w:jc w:val="center"/>
              <w:rPr>
                <w:color w:val="auto"/>
                <w:lang w:val="en-GB"/>
              </w:rPr>
            </w:pPr>
          </w:p>
        </w:tc>
        <w:tc>
          <w:tcPr>
            <w:tcW w:w="1315" w:type="pct"/>
            <w:shd w:val="clear" w:color="auto" w:fill="auto"/>
            <w:vAlign w:val="center"/>
          </w:tcPr>
          <w:p w14:paraId="6DF49312">
            <w:pPr>
              <w:spacing w:line="280" w:lineRule="exact"/>
              <w:jc w:val="center"/>
              <w:rPr>
                <w:rFonts w:ascii="Times New Roman" w:hAnsi="Times New Roman" w:eastAsia="宋体" w:cs="Times New Roman"/>
                <w:color w:val="auto"/>
                <w:kern w:val="2"/>
                <w:sz w:val="21"/>
                <w:szCs w:val="24"/>
                <w:lang w:val="en-GB" w:eastAsia="zh-CN" w:bidi="ar-SA"/>
              </w:rPr>
            </w:pPr>
            <w:r>
              <w:rPr>
                <w:color w:val="auto"/>
                <w:lang w:val="en-GB"/>
              </w:rPr>
              <w:t>大气毒性终点浓度-2</w:t>
            </w:r>
          </w:p>
        </w:tc>
        <w:tc>
          <w:tcPr>
            <w:tcW w:w="978" w:type="pct"/>
            <w:shd w:val="clear" w:color="auto" w:fill="auto"/>
            <w:vAlign w:val="center"/>
          </w:tcPr>
          <w:p w14:paraId="6ED40D3F">
            <w:pPr>
              <w:spacing w:line="280" w:lineRule="exact"/>
              <w:jc w:val="center"/>
              <w:rPr>
                <w:rFonts w:ascii="Times New Roman" w:hAnsi="Times New Roman" w:eastAsia="宋体" w:cs="Times New Roman"/>
                <w:color w:val="auto"/>
                <w:kern w:val="2"/>
                <w:sz w:val="21"/>
                <w:szCs w:val="24"/>
                <w:lang w:val="en-US" w:eastAsia="zh-CN" w:bidi="ar-SA"/>
              </w:rPr>
            </w:pPr>
            <w:r>
              <w:rPr>
                <w:color w:val="auto"/>
              </w:rPr>
              <w:t>33</w:t>
            </w:r>
          </w:p>
        </w:tc>
        <w:tc>
          <w:tcPr>
            <w:tcW w:w="1013" w:type="pct"/>
            <w:vAlign w:val="center"/>
          </w:tcPr>
          <w:p w14:paraId="2E064C0A">
            <w:pPr>
              <w:spacing w:line="280" w:lineRule="exact"/>
              <w:jc w:val="center"/>
              <w:rPr>
                <w:rFonts w:hint="default" w:eastAsia="宋体"/>
                <w:color w:val="auto"/>
                <w:lang w:val="en-US" w:eastAsia="zh-CN"/>
              </w:rPr>
            </w:pPr>
            <w:r>
              <w:rPr>
                <w:rFonts w:hint="eastAsia"/>
                <w:color w:val="auto"/>
                <w:lang w:val="en-US" w:eastAsia="zh-CN"/>
              </w:rPr>
              <w:t>120</w:t>
            </w:r>
          </w:p>
        </w:tc>
        <w:tc>
          <w:tcPr>
            <w:tcW w:w="901" w:type="pct"/>
            <w:vAlign w:val="center"/>
          </w:tcPr>
          <w:p w14:paraId="19B0EA91">
            <w:pPr>
              <w:spacing w:line="280" w:lineRule="exact"/>
              <w:jc w:val="center"/>
              <w:rPr>
                <w:rFonts w:hint="default" w:eastAsia="宋体"/>
                <w:color w:val="auto"/>
                <w:lang w:val="en-US" w:eastAsia="zh-CN"/>
              </w:rPr>
            </w:pPr>
            <w:r>
              <w:rPr>
                <w:rFonts w:hint="eastAsia"/>
                <w:color w:val="auto"/>
                <w:lang w:val="en-US" w:eastAsia="zh-CN"/>
              </w:rPr>
              <w:t>1</w:t>
            </w:r>
          </w:p>
        </w:tc>
      </w:tr>
    </w:tbl>
    <w:p w14:paraId="50EFD045">
      <w:pPr>
        <w:spacing w:before="60"/>
        <w:jc w:val="center"/>
        <w:rPr>
          <w:color w:val="auto"/>
        </w:rPr>
      </w:pPr>
      <w:r>
        <w:rPr>
          <w:color w:val="auto"/>
        </w:rPr>
        <w:drawing>
          <wp:inline distT="0" distB="0" distL="114300" distR="114300">
            <wp:extent cx="3568700" cy="2160270"/>
            <wp:effectExtent l="0" t="0" r="12700" b="11430"/>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pic:cNvPicPr>
                  </pic:nvPicPr>
                  <pic:blipFill>
                    <a:blip r:embed="rId53"/>
                    <a:stretch>
                      <a:fillRect/>
                    </a:stretch>
                  </pic:blipFill>
                  <pic:spPr>
                    <a:xfrm>
                      <a:off x="0" y="0"/>
                      <a:ext cx="3568700" cy="2160270"/>
                    </a:xfrm>
                    <a:prstGeom prst="rect">
                      <a:avLst/>
                    </a:prstGeom>
                    <a:noFill/>
                    <a:ln>
                      <a:noFill/>
                    </a:ln>
                  </pic:spPr>
                </pic:pic>
              </a:graphicData>
            </a:graphic>
          </wp:inline>
        </w:drawing>
      </w:r>
    </w:p>
    <w:p w14:paraId="719C1610">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w:t>
      </w:r>
      <w:r>
        <w:rPr>
          <w:b/>
          <w:bCs/>
          <w:color w:val="auto"/>
          <w:szCs w:val="21"/>
        </w:rPr>
        <w:t xml:space="preserve">  氯化氢泄漏预测结果图(最不利气象条件)</w:t>
      </w:r>
    </w:p>
    <w:p w14:paraId="2CAC1D82">
      <w:pPr>
        <w:spacing w:line="360" w:lineRule="auto"/>
        <w:jc w:val="center"/>
        <w:rPr>
          <w:color w:val="auto"/>
        </w:rPr>
      </w:pPr>
      <w:r>
        <w:rPr>
          <w:color w:val="auto"/>
        </w:rPr>
        <w:drawing>
          <wp:inline distT="0" distB="0" distL="114300" distR="114300">
            <wp:extent cx="4298315" cy="2160270"/>
            <wp:effectExtent l="0" t="0" r="6985" b="11430"/>
            <wp:docPr id="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pic:cNvPicPr>
                      <a:picLocks noChangeAspect="1"/>
                    </pic:cNvPicPr>
                  </pic:nvPicPr>
                  <pic:blipFill>
                    <a:blip r:embed="rId54"/>
                    <a:stretch>
                      <a:fillRect/>
                    </a:stretch>
                  </pic:blipFill>
                  <pic:spPr>
                    <a:xfrm>
                      <a:off x="0" y="0"/>
                      <a:ext cx="4298315" cy="2160270"/>
                    </a:xfrm>
                    <a:prstGeom prst="rect">
                      <a:avLst/>
                    </a:prstGeom>
                    <a:noFill/>
                    <a:ln>
                      <a:noFill/>
                    </a:ln>
                  </pic:spPr>
                </pic:pic>
              </a:graphicData>
            </a:graphic>
          </wp:inline>
        </w:drawing>
      </w:r>
    </w:p>
    <w:p w14:paraId="6D069A0C">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2</w:t>
      </w:r>
      <w:r>
        <w:rPr>
          <w:b/>
          <w:bCs/>
          <w:color w:val="auto"/>
          <w:szCs w:val="21"/>
        </w:rPr>
        <w:t xml:space="preserve">  氯化氢泄漏下风向不同距离处最大浓度图(最不利气象条件)</w:t>
      </w:r>
    </w:p>
    <w:p w14:paraId="2199B888">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6</w:t>
      </w:r>
      <w:r>
        <w:rPr>
          <w:b/>
          <w:bCs/>
          <w:color w:val="auto"/>
          <w:szCs w:val="21"/>
        </w:rPr>
        <w:t xml:space="preserve">  氯化氢泄漏各关心点处浓度超标及持续时间表</w:t>
      </w:r>
    </w:p>
    <w:tbl>
      <w:tblPr>
        <w:tblStyle w:val="32"/>
        <w:tblW w:w="499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134"/>
        <w:gridCol w:w="1854"/>
        <w:gridCol w:w="1759"/>
        <w:gridCol w:w="1521"/>
        <w:gridCol w:w="1957"/>
      </w:tblGrid>
      <w:tr w14:paraId="341BBB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156" w:type="pct"/>
            <w:tcBorders>
              <w:tl2br w:val="nil"/>
              <w:tr2bl w:val="nil"/>
            </w:tcBorders>
            <w:vAlign w:val="center"/>
          </w:tcPr>
          <w:p w14:paraId="16A88DB9">
            <w:pPr>
              <w:spacing w:line="280" w:lineRule="exact"/>
              <w:jc w:val="center"/>
              <w:rPr>
                <w:color w:val="auto"/>
              </w:rPr>
            </w:pPr>
            <w:r>
              <w:rPr>
                <w:color w:val="auto"/>
              </w:rPr>
              <w:t>气象条件</w:t>
            </w:r>
          </w:p>
        </w:tc>
        <w:tc>
          <w:tcPr>
            <w:tcW w:w="1004" w:type="pct"/>
            <w:tcBorders>
              <w:tl2br w:val="nil"/>
              <w:tr2bl w:val="nil"/>
            </w:tcBorders>
            <w:vAlign w:val="center"/>
          </w:tcPr>
          <w:p w14:paraId="7E37666A">
            <w:pPr>
              <w:spacing w:line="280" w:lineRule="exact"/>
              <w:jc w:val="center"/>
              <w:rPr>
                <w:color w:val="auto"/>
              </w:rPr>
            </w:pPr>
            <w:r>
              <w:rPr>
                <w:color w:val="auto"/>
              </w:rPr>
              <w:t>关心点</w:t>
            </w:r>
          </w:p>
        </w:tc>
        <w:tc>
          <w:tcPr>
            <w:tcW w:w="953" w:type="pct"/>
            <w:tcBorders>
              <w:tl2br w:val="nil"/>
              <w:tr2bl w:val="nil"/>
            </w:tcBorders>
            <w:vAlign w:val="center"/>
          </w:tcPr>
          <w:p w14:paraId="50B46D2B">
            <w:pPr>
              <w:spacing w:line="280" w:lineRule="exact"/>
              <w:jc w:val="center"/>
              <w:rPr>
                <w:color w:val="auto"/>
              </w:rPr>
            </w:pPr>
            <w:r>
              <w:rPr>
                <w:color w:val="auto"/>
              </w:rPr>
              <w:t>最大浓度mg/m</w:t>
            </w:r>
            <w:r>
              <w:rPr>
                <w:color w:val="auto"/>
                <w:vertAlign w:val="superscript"/>
              </w:rPr>
              <w:t>3</w:t>
            </w:r>
          </w:p>
        </w:tc>
        <w:tc>
          <w:tcPr>
            <w:tcW w:w="824" w:type="pct"/>
            <w:tcBorders>
              <w:tl2br w:val="nil"/>
              <w:tr2bl w:val="nil"/>
            </w:tcBorders>
            <w:vAlign w:val="center"/>
          </w:tcPr>
          <w:p w14:paraId="08C8C87F">
            <w:pPr>
              <w:spacing w:line="280" w:lineRule="exact"/>
              <w:jc w:val="center"/>
              <w:rPr>
                <w:color w:val="auto"/>
              </w:rPr>
            </w:pPr>
            <w:r>
              <w:rPr>
                <w:color w:val="auto"/>
              </w:rPr>
              <w:t>出现时间min</w:t>
            </w:r>
          </w:p>
        </w:tc>
        <w:tc>
          <w:tcPr>
            <w:tcW w:w="1060" w:type="pct"/>
            <w:tcBorders>
              <w:tl2br w:val="nil"/>
              <w:tr2bl w:val="nil"/>
            </w:tcBorders>
            <w:vAlign w:val="center"/>
          </w:tcPr>
          <w:p w14:paraId="0A4D08CC">
            <w:pPr>
              <w:spacing w:line="280" w:lineRule="exact"/>
              <w:jc w:val="center"/>
              <w:rPr>
                <w:color w:val="auto"/>
              </w:rPr>
            </w:pPr>
            <w:r>
              <w:rPr>
                <w:color w:val="auto"/>
              </w:rPr>
              <w:t>超标持续时间min</w:t>
            </w:r>
          </w:p>
        </w:tc>
      </w:tr>
      <w:tr w14:paraId="2A0CAF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156" w:type="pct"/>
            <w:tcBorders>
              <w:tl2br w:val="nil"/>
              <w:tr2bl w:val="nil"/>
            </w:tcBorders>
            <w:vAlign w:val="center"/>
          </w:tcPr>
          <w:p w14:paraId="0D33AE2E">
            <w:pPr>
              <w:spacing w:line="280" w:lineRule="exact"/>
              <w:jc w:val="center"/>
              <w:rPr>
                <w:color w:val="auto"/>
              </w:rPr>
            </w:pPr>
            <w:r>
              <w:rPr>
                <w:color w:val="auto"/>
              </w:rPr>
              <w:t>最不利气象条件</w:t>
            </w:r>
          </w:p>
        </w:tc>
        <w:tc>
          <w:tcPr>
            <w:tcW w:w="1004" w:type="pct"/>
            <w:tcBorders>
              <w:tl2br w:val="nil"/>
              <w:tr2bl w:val="nil"/>
            </w:tcBorders>
            <w:vAlign w:val="center"/>
          </w:tcPr>
          <w:p w14:paraId="5DD74ADC">
            <w:pPr>
              <w:adjustRightInd w:val="0"/>
              <w:snapToGrid w:val="0"/>
              <w:jc w:val="center"/>
              <w:rPr>
                <w:rFonts w:hint="default" w:eastAsia="宋体"/>
                <w:color w:val="auto"/>
                <w:lang w:val="en-US" w:eastAsia="zh-CN"/>
              </w:rPr>
            </w:pPr>
            <w:r>
              <w:rPr>
                <w:rFonts w:hint="eastAsia"/>
                <w:color w:val="auto"/>
                <w:kern w:val="0"/>
                <w:szCs w:val="21"/>
                <w:lang w:val="en-US" w:eastAsia="zh-CN"/>
              </w:rPr>
              <w:t>园区宿舍楼</w:t>
            </w:r>
          </w:p>
        </w:tc>
        <w:tc>
          <w:tcPr>
            <w:tcW w:w="953" w:type="pct"/>
            <w:tcBorders>
              <w:tl2br w:val="nil"/>
              <w:tr2bl w:val="nil"/>
            </w:tcBorders>
            <w:vAlign w:val="center"/>
          </w:tcPr>
          <w:p w14:paraId="74446F6D">
            <w:pPr>
              <w:spacing w:line="280" w:lineRule="exact"/>
              <w:jc w:val="center"/>
              <w:rPr>
                <w:rFonts w:hint="default" w:eastAsia="宋体"/>
                <w:color w:val="auto"/>
                <w:lang w:val="en-US" w:eastAsia="zh-CN"/>
              </w:rPr>
            </w:pPr>
            <w:r>
              <w:rPr>
                <w:rFonts w:hint="eastAsia"/>
                <w:color w:val="auto"/>
                <w:lang w:val="en-US" w:eastAsia="zh-CN"/>
              </w:rPr>
              <w:t>1.04</w:t>
            </w:r>
            <w:r>
              <w:rPr>
                <w:color w:val="auto"/>
              </w:rPr>
              <w:t>E</w:t>
            </w:r>
            <w:r>
              <w:rPr>
                <w:rFonts w:hint="eastAsia"/>
                <w:color w:val="auto"/>
                <w:lang w:val="en-US" w:eastAsia="zh-CN"/>
              </w:rPr>
              <w:t>-01</w:t>
            </w:r>
          </w:p>
        </w:tc>
        <w:tc>
          <w:tcPr>
            <w:tcW w:w="824" w:type="pct"/>
            <w:tcBorders>
              <w:tl2br w:val="nil"/>
              <w:tr2bl w:val="nil"/>
            </w:tcBorders>
            <w:vAlign w:val="center"/>
          </w:tcPr>
          <w:p w14:paraId="0EE08BCA">
            <w:pPr>
              <w:spacing w:line="280" w:lineRule="exact"/>
              <w:jc w:val="center"/>
              <w:rPr>
                <w:rFonts w:hint="eastAsia" w:eastAsia="宋体"/>
                <w:color w:val="auto"/>
                <w:lang w:eastAsia="zh-CN"/>
              </w:rPr>
            </w:pPr>
            <w:r>
              <w:rPr>
                <w:rFonts w:hint="eastAsia"/>
                <w:color w:val="auto"/>
                <w:lang w:val="en-US" w:eastAsia="zh-CN"/>
              </w:rPr>
              <w:t>5</w:t>
            </w:r>
          </w:p>
        </w:tc>
        <w:tc>
          <w:tcPr>
            <w:tcW w:w="1060" w:type="pct"/>
            <w:tcBorders>
              <w:tl2br w:val="nil"/>
              <w:tr2bl w:val="nil"/>
            </w:tcBorders>
            <w:vAlign w:val="center"/>
          </w:tcPr>
          <w:p w14:paraId="70E7CA27">
            <w:pPr>
              <w:spacing w:line="280" w:lineRule="exact"/>
              <w:jc w:val="center"/>
              <w:rPr>
                <w:color w:val="auto"/>
              </w:rPr>
            </w:pPr>
            <w:r>
              <w:rPr>
                <w:color w:val="auto"/>
              </w:rPr>
              <w:t>无</w:t>
            </w:r>
          </w:p>
        </w:tc>
      </w:tr>
    </w:tbl>
    <w:p w14:paraId="0119BD74">
      <w:pPr>
        <w:jc w:val="center"/>
        <w:rPr>
          <w:color w:val="auto"/>
        </w:rPr>
      </w:pPr>
      <w:r>
        <w:rPr>
          <w:color w:val="auto"/>
        </w:rPr>
        <w:drawing>
          <wp:inline distT="0" distB="0" distL="114300" distR="114300">
            <wp:extent cx="4298315" cy="2160270"/>
            <wp:effectExtent l="0" t="0" r="6985" b="11430"/>
            <wp:docPr id="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4"/>
                    <pic:cNvPicPr>
                      <a:picLocks noChangeAspect="1"/>
                    </pic:cNvPicPr>
                  </pic:nvPicPr>
                  <pic:blipFill>
                    <a:blip r:embed="rId55"/>
                    <a:stretch>
                      <a:fillRect/>
                    </a:stretch>
                  </pic:blipFill>
                  <pic:spPr>
                    <a:xfrm>
                      <a:off x="0" y="0"/>
                      <a:ext cx="4298315" cy="2160270"/>
                    </a:xfrm>
                    <a:prstGeom prst="rect">
                      <a:avLst/>
                    </a:prstGeom>
                    <a:noFill/>
                    <a:ln>
                      <a:noFill/>
                    </a:ln>
                  </pic:spPr>
                </pic:pic>
              </a:graphicData>
            </a:graphic>
          </wp:inline>
        </w:drawing>
      </w:r>
    </w:p>
    <w:p w14:paraId="009BA16A">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9</w:t>
      </w:r>
      <w:r>
        <w:rPr>
          <w:b/>
          <w:bCs/>
          <w:color w:val="auto"/>
          <w:szCs w:val="21"/>
        </w:rPr>
        <w:t xml:space="preserve">  各关心点处氯化氢浓度随时间的变化曲线（最不利气象） </w:t>
      </w:r>
    </w:p>
    <w:p w14:paraId="3041CB7F">
      <w:pPr>
        <w:spacing w:before="60"/>
        <w:jc w:val="center"/>
        <w:rPr>
          <w:color w:val="auto"/>
        </w:rPr>
      </w:pPr>
      <w:r>
        <w:rPr>
          <w:color w:val="auto"/>
        </w:rPr>
        <w:drawing>
          <wp:inline distT="0" distB="0" distL="114300" distR="114300">
            <wp:extent cx="3568700" cy="2160270"/>
            <wp:effectExtent l="0" t="0" r="12700" b="11430"/>
            <wp:docPr id="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7"/>
                    <pic:cNvPicPr>
                      <a:picLocks noChangeAspect="1"/>
                    </pic:cNvPicPr>
                  </pic:nvPicPr>
                  <pic:blipFill>
                    <a:blip r:embed="rId56"/>
                    <a:stretch>
                      <a:fillRect/>
                    </a:stretch>
                  </pic:blipFill>
                  <pic:spPr>
                    <a:xfrm>
                      <a:off x="0" y="0"/>
                      <a:ext cx="3568700" cy="2160270"/>
                    </a:xfrm>
                    <a:prstGeom prst="rect">
                      <a:avLst/>
                    </a:prstGeom>
                    <a:noFill/>
                    <a:ln>
                      <a:noFill/>
                    </a:ln>
                  </pic:spPr>
                </pic:pic>
              </a:graphicData>
            </a:graphic>
          </wp:inline>
        </w:drawing>
      </w:r>
    </w:p>
    <w:p w14:paraId="0A6A546C">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4</w:t>
      </w:r>
      <w:r>
        <w:rPr>
          <w:b/>
          <w:bCs/>
          <w:color w:val="auto"/>
          <w:szCs w:val="21"/>
        </w:rPr>
        <w:t xml:space="preserve">  氯化氢泄漏预测结果图(最</w:t>
      </w:r>
      <w:r>
        <w:rPr>
          <w:rFonts w:hint="eastAsia"/>
          <w:b/>
          <w:bCs/>
          <w:color w:val="auto"/>
          <w:szCs w:val="21"/>
          <w:lang w:eastAsia="zh-CN"/>
        </w:rPr>
        <w:t>常见</w:t>
      </w:r>
      <w:r>
        <w:rPr>
          <w:b/>
          <w:bCs/>
          <w:color w:val="auto"/>
          <w:szCs w:val="21"/>
        </w:rPr>
        <w:t>气象条件)</w:t>
      </w:r>
    </w:p>
    <w:p w14:paraId="621CBD4B">
      <w:pPr>
        <w:spacing w:line="360" w:lineRule="auto"/>
        <w:jc w:val="center"/>
        <w:rPr>
          <w:color w:val="auto"/>
        </w:rPr>
      </w:pPr>
      <w:r>
        <w:rPr>
          <w:color w:val="auto"/>
        </w:rPr>
        <w:drawing>
          <wp:inline distT="0" distB="0" distL="114300" distR="114300">
            <wp:extent cx="4298315" cy="2160270"/>
            <wp:effectExtent l="0" t="0" r="6985" b="11430"/>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57"/>
                    <a:stretch>
                      <a:fillRect/>
                    </a:stretch>
                  </pic:blipFill>
                  <pic:spPr>
                    <a:xfrm>
                      <a:off x="0" y="0"/>
                      <a:ext cx="4298315" cy="2160270"/>
                    </a:xfrm>
                    <a:prstGeom prst="rect">
                      <a:avLst/>
                    </a:prstGeom>
                    <a:noFill/>
                    <a:ln>
                      <a:noFill/>
                    </a:ln>
                  </pic:spPr>
                </pic:pic>
              </a:graphicData>
            </a:graphic>
          </wp:inline>
        </w:drawing>
      </w:r>
    </w:p>
    <w:p w14:paraId="4DD4CEBB">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5</w:t>
      </w:r>
      <w:r>
        <w:rPr>
          <w:b/>
          <w:bCs/>
          <w:color w:val="auto"/>
          <w:szCs w:val="21"/>
        </w:rPr>
        <w:t xml:space="preserve">  氯化氢泄漏下风向不同距离处最大浓度图(最</w:t>
      </w:r>
      <w:r>
        <w:rPr>
          <w:rFonts w:hint="eastAsia"/>
          <w:b/>
          <w:bCs/>
          <w:color w:val="auto"/>
          <w:szCs w:val="21"/>
          <w:lang w:eastAsia="zh-CN"/>
        </w:rPr>
        <w:t>常见</w:t>
      </w:r>
      <w:r>
        <w:rPr>
          <w:b/>
          <w:bCs/>
          <w:color w:val="auto"/>
          <w:szCs w:val="21"/>
        </w:rPr>
        <w:t>气象条件)</w:t>
      </w:r>
    </w:p>
    <w:p w14:paraId="2D6D723C">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7</w:t>
      </w:r>
      <w:r>
        <w:rPr>
          <w:b/>
          <w:bCs/>
          <w:color w:val="auto"/>
          <w:szCs w:val="21"/>
        </w:rPr>
        <w:t xml:space="preserve">  氯化氢泄漏各关心点处浓度超标及持续时间表</w:t>
      </w:r>
    </w:p>
    <w:tbl>
      <w:tblPr>
        <w:tblStyle w:val="32"/>
        <w:tblW w:w="499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909"/>
        <w:gridCol w:w="2079"/>
        <w:gridCol w:w="1759"/>
        <w:gridCol w:w="1521"/>
        <w:gridCol w:w="1957"/>
      </w:tblGrid>
      <w:tr w14:paraId="71BEF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034" w:type="pct"/>
            <w:tcBorders>
              <w:tl2br w:val="nil"/>
              <w:tr2bl w:val="nil"/>
            </w:tcBorders>
            <w:vAlign w:val="center"/>
          </w:tcPr>
          <w:p w14:paraId="346FE63E">
            <w:pPr>
              <w:spacing w:line="280" w:lineRule="exact"/>
              <w:jc w:val="center"/>
              <w:rPr>
                <w:color w:val="auto"/>
              </w:rPr>
            </w:pPr>
            <w:r>
              <w:rPr>
                <w:color w:val="auto"/>
              </w:rPr>
              <w:t>气象条件</w:t>
            </w:r>
          </w:p>
        </w:tc>
        <w:tc>
          <w:tcPr>
            <w:tcW w:w="1126" w:type="pct"/>
            <w:tcBorders>
              <w:tl2br w:val="nil"/>
              <w:tr2bl w:val="nil"/>
            </w:tcBorders>
            <w:vAlign w:val="center"/>
          </w:tcPr>
          <w:p w14:paraId="62DD9F34">
            <w:pPr>
              <w:spacing w:line="280" w:lineRule="exact"/>
              <w:jc w:val="center"/>
              <w:rPr>
                <w:color w:val="auto"/>
              </w:rPr>
            </w:pPr>
            <w:r>
              <w:rPr>
                <w:color w:val="auto"/>
              </w:rPr>
              <w:t>关心点</w:t>
            </w:r>
          </w:p>
        </w:tc>
        <w:tc>
          <w:tcPr>
            <w:tcW w:w="953" w:type="pct"/>
            <w:tcBorders>
              <w:tl2br w:val="nil"/>
              <w:tr2bl w:val="nil"/>
            </w:tcBorders>
            <w:vAlign w:val="center"/>
          </w:tcPr>
          <w:p w14:paraId="24BDD7B3">
            <w:pPr>
              <w:spacing w:line="280" w:lineRule="exact"/>
              <w:jc w:val="center"/>
              <w:rPr>
                <w:color w:val="auto"/>
              </w:rPr>
            </w:pPr>
            <w:r>
              <w:rPr>
                <w:color w:val="auto"/>
              </w:rPr>
              <w:t>最大浓度mg/m</w:t>
            </w:r>
            <w:r>
              <w:rPr>
                <w:color w:val="auto"/>
                <w:vertAlign w:val="superscript"/>
              </w:rPr>
              <w:t>3</w:t>
            </w:r>
          </w:p>
        </w:tc>
        <w:tc>
          <w:tcPr>
            <w:tcW w:w="824" w:type="pct"/>
            <w:tcBorders>
              <w:tl2br w:val="nil"/>
              <w:tr2bl w:val="nil"/>
            </w:tcBorders>
            <w:vAlign w:val="center"/>
          </w:tcPr>
          <w:p w14:paraId="575CE7E3">
            <w:pPr>
              <w:spacing w:line="280" w:lineRule="exact"/>
              <w:jc w:val="center"/>
              <w:rPr>
                <w:color w:val="auto"/>
              </w:rPr>
            </w:pPr>
            <w:r>
              <w:rPr>
                <w:color w:val="auto"/>
              </w:rPr>
              <w:t>出现时间min</w:t>
            </w:r>
          </w:p>
        </w:tc>
        <w:tc>
          <w:tcPr>
            <w:tcW w:w="1060" w:type="pct"/>
            <w:tcBorders>
              <w:tl2br w:val="nil"/>
              <w:tr2bl w:val="nil"/>
            </w:tcBorders>
            <w:vAlign w:val="center"/>
          </w:tcPr>
          <w:p w14:paraId="02D05FF9">
            <w:pPr>
              <w:spacing w:line="280" w:lineRule="exact"/>
              <w:jc w:val="center"/>
              <w:rPr>
                <w:color w:val="auto"/>
              </w:rPr>
            </w:pPr>
            <w:r>
              <w:rPr>
                <w:color w:val="auto"/>
              </w:rPr>
              <w:t>超标持续时间min</w:t>
            </w:r>
          </w:p>
        </w:tc>
      </w:tr>
      <w:tr w14:paraId="71CC0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034" w:type="pct"/>
            <w:tcBorders>
              <w:tl2br w:val="nil"/>
              <w:tr2bl w:val="nil"/>
            </w:tcBorders>
            <w:vAlign w:val="center"/>
          </w:tcPr>
          <w:p w14:paraId="3DB6418E">
            <w:pPr>
              <w:spacing w:line="280" w:lineRule="exact"/>
              <w:jc w:val="center"/>
              <w:rPr>
                <w:color w:val="auto"/>
              </w:rPr>
            </w:pPr>
            <w:r>
              <w:rPr>
                <w:color w:val="auto"/>
              </w:rPr>
              <w:t>最</w:t>
            </w:r>
            <w:r>
              <w:rPr>
                <w:rFonts w:hint="eastAsia"/>
                <w:color w:val="auto"/>
                <w:lang w:val="en-US" w:eastAsia="zh-CN"/>
              </w:rPr>
              <w:t>常见</w:t>
            </w:r>
            <w:r>
              <w:rPr>
                <w:color w:val="auto"/>
              </w:rPr>
              <w:t>气象条件</w:t>
            </w:r>
          </w:p>
        </w:tc>
        <w:tc>
          <w:tcPr>
            <w:tcW w:w="1126" w:type="pct"/>
            <w:tcBorders>
              <w:tl2br w:val="nil"/>
              <w:tr2bl w:val="nil"/>
            </w:tcBorders>
            <w:vAlign w:val="center"/>
          </w:tcPr>
          <w:p w14:paraId="2A1DD0A8">
            <w:pPr>
              <w:adjustRightInd w:val="0"/>
              <w:snapToGrid w:val="0"/>
              <w:jc w:val="center"/>
              <w:rPr>
                <w:color w:val="auto"/>
              </w:rPr>
            </w:pPr>
            <w:r>
              <w:rPr>
                <w:rFonts w:hint="eastAsia"/>
                <w:color w:val="auto"/>
                <w:kern w:val="0"/>
                <w:szCs w:val="21"/>
                <w:lang w:val="en-US" w:eastAsia="zh-CN"/>
              </w:rPr>
              <w:t>园区宿舍楼</w:t>
            </w:r>
          </w:p>
        </w:tc>
        <w:tc>
          <w:tcPr>
            <w:tcW w:w="953" w:type="pct"/>
            <w:tcBorders>
              <w:tl2br w:val="nil"/>
              <w:tr2bl w:val="nil"/>
            </w:tcBorders>
            <w:vAlign w:val="center"/>
          </w:tcPr>
          <w:p w14:paraId="4D27121F">
            <w:pPr>
              <w:spacing w:line="280" w:lineRule="exact"/>
              <w:jc w:val="center"/>
              <w:rPr>
                <w:rFonts w:hint="eastAsia" w:ascii="Times New Roman" w:hAnsi="Times New Roman" w:eastAsia="宋体" w:cs="Times New Roman"/>
                <w:color w:val="auto"/>
                <w:lang w:val="en-US" w:eastAsia="zh-CN"/>
              </w:rPr>
            </w:pPr>
            <w:r>
              <w:rPr>
                <w:rFonts w:hint="eastAsia" w:cs="Times New Roman"/>
                <w:color w:val="auto"/>
                <w:lang w:val="en-US" w:eastAsia="zh-CN"/>
              </w:rPr>
              <w:t>1.18</w:t>
            </w:r>
            <w:r>
              <w:rPr>
                <w:rFonts w:hint="eastAsia" w:ascii="Times New Roman" w:hAnsi="Times New Roman" w:eastAsia="宋体" w:cs="Times New Roman"/>
                <w:color w:val="auto"/>
              </w:rPr>
              <w:t>E-0</w:t>
            </w:r>
            <w:r>
              <w:rPr>
                <w:rFonts w:hint="eastAsia" w:cs="Times New Roman"/>
                <w:color w:val="auto"/>
                <w:lang w:val="en-US" w:eastAsia="zh-CN"/>
              </w:rPr>
              <w:t>0</w:t>
            </w:r>
          </w:p>
        </w:tc>
        <w:tc>
          <w:tcPr>
            <w:tcW w:w="824" w:type="pct"/>
            <w:tcBorders>
              <w:tl2br w:val="nil"/>
              <w:tr2bl w:val="nil"/>
            </w:tcBorders>
            <w:vAlign w:val="center"/>
          </w:tcPr>
          <w:p w14:paraId="4F407FEA">
            <w:pPr>
              <w:spacing w:line="280" w:lineRule="exact"/>
              <w:jc w:val="center"/>
              <w:rPr>
                <w:color w:val="auto"/>
              </w:rPr>
            </w:pPr>
            <w:r>
              <w:rPr>
                <w:color w:val="auto"/>
              </w:rPr>
              <w:t>5</w:t>
            </w:r>
          </w:p>
        </w:tc>
        <w:tc>
          <w:tcPr>
            <w:tcW w:w="1060" w:type="pct"/>
            <w:tcBorders>
              <w:tl2br w:val="nil"/>
              <w:tr2bl w:val="nil"/>
            </w:tcBorders>
            <w:vAlign w:val="center"/>
          </w:tcPr>
          <w:p w14:paraId="630B8BC5">
            <w:pPr>
              <w:spacing w:line="280" w:lineRule="exact"/>
              <w:jc w:val="center"/>
              <w:rPr>
                <w:color w:val="auto"/>
              </w:rPr>
            </w:pPr>
            <w:r>
              <w:rPr>
                <w:color w:val="auto"/>
              </w:rPr>
              <w:t>无</w:t>
            </w:r>
          </w:p>
        </w:tc>
      </w:tr>
    </w:tbl>
    <w:p w14:paraId="374F4015">
      <w:pPr>
        <w:jc w:val="center"/>
        <w:rPr>
          <w:color w:val="auto"/>
        </w:rPr>
      </w:pPr>
      <w:r>
        <w:rPr>
          <w:color w:val="auto"/>
        </w:rPr>
        <w:drawing>
          <wp:inline distT="0" distB="0" distL="114300" distR="114300">
            <wp:extent cx="4298315" cy="2160270"/>
            <wp:effectExtent l="0" t="0" r="6985" b="11430"/>
            <wp:docPr id="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pic:cNvPicPr>
                      <a:picLocks noChangeAspect="1"/>
                    </pic:cNvPicPr>
                  </pic:nvPicPr>
                  <pic:blipFill>
                    <a:blip r:embed="rId58"/>
                    <a:stretch>
                      <a:fillRect/>
                    </a:stretch>
                  </pic:blipFill>
                  <pic:spPr>
                    <a:xfrm>
                      <a:off x="0" y="0"/>
                      <a:ext cx="4298315" cy="2160270"/>
                    </a:xfrm>
                    <a:prstGeom prst="rect">
                      <a:avLst/>
                    </a:prstGeom>
                    <a:noFill/>
                    <a:ln>
                      <a:noFill/>
                    </a:ln>
                  </pic:spPr>
                </pic:pic>
              </a:graphicData>
            </a:graphic>
          </wp:inline>
        </w:drawing>
      </w:r>
    </w:p>
    <w:p w14:paraId="61195C90">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6</w:t>
      </w:r>
      <w:r>
        <w:rPr>
          <w:b/>
          <w:bCs/>
          <w:color w:val="auto"/>
          <w:szCs w:val="21"/>
        </w:rPr>
        <w:t xml:space="preserve">  各关心点处氯化氢浓度随时间的变化曲线（最</w:t>
      </w:r>
      <w:r>
        <w:rPr>
          <w:rFonts w:hint="eastAsia"/>
          <w:b/>
          <w:bCs/>
          <w:color w:val="auto"/>
          <w:szCs w:val="21"/>
          <w:lang w:eastAsia="zh-CN"/>
        </w:rPr>
        <w:t>常见</w:t>
      </w:r>
      <w:r>
        <w:rPr>
          <w:b/>
          <w:bCs/>
          <w:color w:val="auto"/>
          <w:szCs w:val="21"/>
        </w:rPr>
        <w:t xml:space="preserve">气象） </w:t>
      </w:r>
    </w:p>
    <w:p w14:paraId="08C5740C">
      <w:pPr>
        <w:spacing w:line="360" w:lineRule="auto"/>
        <w:ind w:firstLine="480" w:firstLineChars="200"/>
        <w:jc w:val="left"/>
        <w:rPr>
          <w:color w:val="auto"/>
          <w:sz w:val="24"/>
        </w:rPr>
      </w:pPr>
      <w:r>
        <w:rPr>
          <w:color w:val="auto"/>
          <w:sz w:val="24"/>
        </w:rPr>
        <w:t>最不利气象条件下，在距排放源中心</w:t>
      </w:r>
      <w:r>
        <w:rPr>
          <w:rFonts w:hint="eastAsia"/>
          <w:color w:val="auto"/>
          <w:sz w:val="24"/>
          <w:lang w:val="en-US" w:eastAsia="zh-CN"/>
        </w:rPr>
        <w:t>90</w:t>
      </w:r>
      <w:r>
        <w:rPr>
          <w:color w:val="auto"/>
          <w:sz w:val="24"/>
        </w:rPr>
        <w:t>m的范围内，氯化氢浓度大于150mg/m</w:t>
      </w:r>
      <w:r>
        <w:rPr>
          <w:color w:val="auto"/>
          <w:sz w:val="24"/>
          <w:vertAlign w:val="superscript"/>
        </w:rPr>
        <w:t>3</w:t>
      </w:r>
      <w:r>
        <w:rPr>
          <w:color w:val="auto"/>
          <w:sz w:val="24"/>
        </w:rPr>
        <w:t>，此范围内氯化氢浓度大于毒性终点浓度1级，此范围能对人群造成生命威胁，主要在本厂区内或周边企业厂区内；在距排放源中心</w:t>
      </w:r>
      <w:r>
        <w:rPr>
          <w:rFonts w:hint="eastAsia"/>
          <w:color w:val="auto"/>
          <w:sz w:val="24"/>
          <w:lang w:val="en-US" w:eastAsia="zh-CN"/>
        </w:rPr>
        <w:t>25</w:t>
      </w:r>
      <w:r>
        <w:rPr>
          <w:color w:val="auto"/>
          <w:sz w:val="24"/>
        </w:rPr>
        <w:t>0m的范围内，氯化氢浓度大于33mg/m</w:t>
      </w:r>
      <w:r>
        <w:rPr>
          <w:color w:val="auto"/>
          <w:sz w:val="24"/>
          <w:vertAlign w:val="superscript"/>
        </w:rPr>
        <w:t>3</w:t>
      </w:r>
      <w:r>
        <w:rPr>
          <w:color w:val="auto"/>
          <w:sz w:val="24"/>
        </w:rPr>
        <w:t>，此范围内氯化氢浓度介于毒性终点浓度1级和2级之间，绝大多数人员暴露1h不会对生命造成威胁；在距排放源中心</w:t>
      </w:r>
      <w:r>
        <w:rPr>
          <w:rFonts w:hint="eastAsia"/>
          <w:color w:val="auto"/>
          <w:sz w:val="24"/>
          <w:lang w:val="en-US" w:eastAsia="zh-CN"/>
        </w:rPr>
        <w:t>250</w:t>
      </w:r>
      <w:r>
        <w:rPr>
          <w:color w:val="auto"/>
          <w:sz w:val="24"/>
        </w:rPr>
        <w:t>m的范围外，氯化氢浓度低于毒性终点浓度2级，此范围内暴露1h一般不会对人体造成不可逆的伤害，或出现的症状一般不会损伤该个体采取有效防护措施的能力。</w:t>
      </w:r>
    </w:p>
    <w:p w14:paraId="779592C0">
      <w:pPr>
        <w:spacing w:line="360" w:lineRule="auto"/>
        <w:ind w:firstLine="480" w:firstLineChars="200"/>
        <w:jc w:val="left"/>
        <w:rPr>
          <w:color w:val="auto"/>
          <w:sz w:val="24"/>
        </w:rPr>
      </w:pPr>
      <w:r>
        <w:rPr>
          <w:color w:val="auto"/>
          <w:sz w:val="24"/>
        </w:rPr>
        <w:t>最</w:t>
      </w:r>
      <w:r>
        <w:rPr>
          <w:rFonts w:hint="eastAsia"/>
          <w:color w:val="auto"/>
          <w:sz w:val="24"/>
          <w:lang w:eastAsia="zh-CN"/>
        </w:rPr>
        <w:t>常见</w:t>
      </w:r>
      <w:r>
        <w:rPr>
          <w:color w:val="auto"/>
          <w:sz w:val="24"/>
        </w:rPr>
        <w:t>气象条件下，在距排放源中心</w:t>
      </w:r>
      <w:r>
        <w:rPr>
          <w:rFonts w:hint="eastAsia"/>
          <w:color w:val="auto"/>
          <w:sz w:val="24"/>
          <w:lang w:val="en-US" w:eastAsia="zh-CN"/>
        </w:rPr>
        <w:t>40</w:t>
      </w:r>
      <w:r>
        <w:rPr>
          <w:color w:val="auto"/>
          <w:sz w:val="24"/>
        </w:rPr>
        <w:t>m的范围内，氯化氢浓度大于150mg/m</w:t>
      </w:r>
      <w:r>
        <w:rPr>
          <w:color w:val="auto"/>
          <w:sz w:val="24"/>
          <w:vertAlign w:val="superscript"/>
        </w:rPr>
        <w:t>3</w:t>
      </w:r>
      <w:r>
        <w:rPr>
          <w:color w:val="auto"/>
          <w:sz w:val="24"/>
        </w:rPr>
        <w:t>，此范围内氯化氢浓度大于毒性终点浓度1级，此范围能对人群造成生命威胁，主要在本厂区内或周边企业厂区内；在距排放源中心</w:t>
      </w:r>
      <w:r>
        <w:rPr>
          <w:rFonts w:hint="eastAsia"/>
          <w:color w:val="auto"/>
          <w:sz w:val="24"/>
          <w:lang w:val="en-US" w:eastAsia="zh-CN"/>
        </w:rPr>
        <w:t>120</w:t>
      </w:r>
      <w:r>
        <w:rPr>
          <w:color w:val="auto"/>
          <w:sz w:val="24"/>
        </w:rPr>
        <w:t>m的范围内，氯化氢浓度大于33mg/m</w:t>
      </w:r>
      <w:r>
        <w:rPr>
          <w:color w:val="auto"/>
          <w:sz w:val="24"/>
          <w:vertAlign w:val="superscript"/>
        </w:rPr>
        <w:t>3</w:t>
      </w:r>
      <w:r>
        <w:rPr>
          <w:color w:val="auto"/>
          <w:sz w:val="24"/>
        </w:rPr>
        <w:t>，此范围内氯化氢浓度介于毒性终点浓度1级和2级之间，绝大多数人员暴露1h不会对生命造成威胁；在距排放源中心</w:t>
      </w:r>
      <w:r>
        <w:rPr>
          <w:rFonts w:hint="eastAsia"/>
          <w:color w:val="auto"/>
          <w:sz w:val="24"/>
          <w:lang w:val="en-US" w:eastAsia="zh-CN"/>
        </w:rPr>
        <w:t>120</w:t>
      </w:r>
      <w:r>
        <w:rPr>
          <w:color w:val="auto"/>
          <w:sz w:val="24"/>
        </w:rPr>
        <w:t>m的范围外，氯化氢浓度低于毒性终点浓度2级，此范围内暴露1h一般不会对人体造成不可逆的伤害，或出现的症状一般不会损伤该个体采取有效防护措施的能力。</w:t>
      </w:r>
    </w:p>
    <w:p w14:paraId="59378CED">
      <w:pPr>
        <w:spacing w:line="360" w:lineRule="auto"/>
        <w:ind w:firstLine="480" w:firstLineChars="200"/>
        <w:rPr>
          <w:color w:val="auto"/>
          <w:sz w:val="24"/>
        </w:rPr>
      </w:pPr>
      <w:r>
        <w:rPr>
          <w:color w:val="auto"/>
          <w:sz w:val="24"/>
        </w:rPr>
        <w:t>根据预测结果，在最不利的情况下敏感点污染物浓度均小于大气毒性终点浓度-2，因此泄漏氯化氢对周边大气环境风险影响较小。</w:t>
      </w:r>
    </w:p>
    <w:p w14:paraId="665A7EB0">
      <w:pPr>
        <w:spacing w:line="360" w:lineRule="auto"/>
        <w:ind w:firstLine="480" w:firstLineChars="200"/>
        <w:rPr>
          <w:rFonts w:hint="eastAsia" w:eastAsia="宋体"/>
          <w:color w:val="auto"/>
          <w:sz w:val="24"/>
          <w:lang w:eastAsia="zh-CN"/>
        </w:rPr>
      </w:pPr>
      <w:r>
        <w:rPr>
          <w:rFonts w:hint="eastAsia"/>
          <w:color w:val="auto"/>
          <w:sz w:val="24"/>
          <w:lang w:val="en-US" w:eastAsia="zh-CN"/>
        </w:rPr>
        <w:t>B</w:t>
      </w:r>
      <w:r>
        <w:rPr>
          <w:color w:val="auto"/>
          <w:sz w:val="24"/>
        </w:rPr>
        <w:t>、</w:t>
      </w:r>
      <w:r>
        <w:rPr>
          <w:rFonts w:hint="eastAsia"/>
          <w:color w:val="auto"/>
          <w:sz w:val="24"/>
          <w:lang w:val="en-US" w:eastAsia="zh-CN"/>
        </w:rPr>
        <w:t>氢氟酸</w:t>
      </w:r>
    </w:p>
    <w:p w14:paraId="59F357D4">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8</w:t>
      </w:r>
      <w:r>
        <w:rPr>
          <w:b/>
          <w:bCs/>
          <w:color w:val="auto"/>
          <w:szCs w:val="21"/>
        </w:rPr>
        <w:t xml:space="preserve">  </w:t>
      </w:r>
      <w:r>
        <w:rPr>
          <w:rFonts w:hint="eastAsia"/>
          <w:b/>
          <w:bCs/>
          <w:color w:val="auto"/>
          <w:szCs w:val="21"/>
          <w:lang w:eastAsia="zh-CN"/>
        </w:rPr>
        <w:t>氢氟酸</w:t>
      </w:r>
      <w:r>
        <w:rPr>
          <w:b/>
          <w:bCs/>
          <w:color w:val="auto"/>
          <w:szCs w:val="21"/>
        </w:rPr>
        <w:t>泄漏预测后果信息表</w:t>
      </w:r>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2236"/>
        <w:gridCol w:w="1809"/>
        <w:gridCol w:w="1874"/>
        <w:gridCol w:w="1667"/>
      </w:tblGrid>
      <w:tr w14:paraId="6B0E18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896" w:type="pct"/>
            <w:vAlign w:val="center"/>
          </w:tcPr>
          <w:p w14:paraId="2CF3FB50">
            <w:pPr>
              <w:spacing w:line="280" w:lineRule="exact"/>
              <w:jc w:val="center"/>
              <w:rPr>
                <w:color w:val="auto"/>
                <w:lang w:val="en-GB"/>
              </w:rPr>
            </w:pPr>
            <w:r>
              <w:rPr>
                <w:color w:val="auto"/>
                <w:lang w:val="en-GB"/>
              </w:rPr>
              <w:t>预测气象条件</w:t>
            </w:r>
          </w:p>
        </w:tc>
        <w:tc>
          <w:tcPr>
            <w:tcW w:w="1209" w:type="pct"/>
            <w:vAlign w:val="center"/>
          </w:tcPr>
          <w:p w14:paraId="5C10F966">
            <w:pPr>
              <w:spacing w:line="280" w:lineRule="exact"/>
              <w:jc w:val="center"/>
              <w:rPr>
                <w:color w:val="auto"/>
                <w:lang w:val="en-GB"/>
              </w:rPr>
            </w:pPr>
            <w:r>
              <w:rPr>
                <w:color w:val="auto"/>
                <w:lang w:val="en-GB"/>
              </w:rPr>
              <w:t>指标</w:t>
            </w:r>
          </w:p>
        </w:tc>
        <w:tc>
          <w:tcPr>
            <w:tcW w:w="978" w:type="pct"/>
            <w:vAlign w:val="center"/>
          </w:tcPr>
          <w:p w14:paraId="78F61232">
            <w:pPr>
              <w:spacing w:line="280" w:lineRule="exact"/>
              <w:jc w:val="center"/>
              <w:rPr>
                <w:color w:val="auto"/>
                <w:lang w:val="en-GB"/>
              </w:rPr>
            </w:pPr>
            <w:r>
              <w:rPr>
                <w:color w:val="auto"/>
                <w:lang w:val="en-GB"/>
              </w:rPr>
              <w:t>浓度值(</w:t>
            </w:r>
            <w:r>
              <w:rPr>
                <w:color w:val="auto"/>
              </w:rPr>
              <w:t>mg/m</w:t>
            </w:r>
            <w:r>
              <w:rPr>
                <w:color w:val="auto"/>
                <w:vertAlign w:val="superscript"/>
              </w:rPr>
              <w:t>3</w:t>
            </w:r>
            <w:r>
              <w:rPr>
                <w:color w:val="auto"/>
                <w:lang w:val="en-GB"/>
              </w:rPr>
              <w:t>)</w:t>
            </w:r>
          </w:p>
        </w:tc>
        <w:tc>
          <w:tcPr>
            <w:tcW w:w="1013" w:type="pct"/>
            <w:vAlign w:val="center"/>
          </w:tcPr>
          <w:p w14:paraId="0FABFAB8">
            <w:pPr>
              <w:spacing w:line="280" w:lineRule="exact"/>
              <w:jc w:val="center"/>
              <w:rPr>
                <w:color w:val="auto"/>
                <w:lang w:val="en-GB"/>
              </w:rPr>
            </w:pPr>
            <w:r>
              <w:rPr>
                <w:color w:val="auto"/>
                <w:lang w:val="en-GB"/>
              </w:rPr>
              <w:t>最远影响距离(m)</w:t>
            </w:r>
          </w:p>
        </w:tc>
        <w:tc>
          <w:tcPr>
            <w:tcW w:w="901" w:type="pct"/>
            <w:vAlign w:val="center"/>
          </w:tcPr>
          <w:p w14:paraId="58890735">
            <w:pPr>
              <w:spacing w:line="280" w:lineRule="exact"/>
              <w:jc w:val="center"/>
              <w:rPr>
                <w:color w:val="auto"/>
                <w:lang w:val="en-GB"/>
              </w:rPr>
            </w:pPr>
            <w:r>
              <w:rPr>
                <w:color w:val="auto"/>
                <w:lang w:val="en-GB"/>
              </w:rPr>
              <w:t>达到时间(min)</w:t>
            </w:r>
          </w:p>
        </w:tc>
      </w:tr>
      <w:tr w14:paraId="0A4B98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96" w:type="pct"/>
            <w:vMerge w:val="restart"/>
            <w:vAlign w:val="center"/>
          </w:tcPr>
          <w:p w14:paraId="7A8133C8">
            <w:pPr>
              <w:spacing w:line="280" w:lineRule="exact"/>
              <w:jc w:val="center"/>
              <w:rPr>
                <w:color w:val="auto"/>
                <w:lang w:val="en-GB"/>
              </w:rPr>
            </w:pPr>
            <w:r>
              <w:rPr>
                <w:color w:val="auto"/>
                <w:lang w:val="en-GB"/>
              </w:rPr>
              <w:t>最不利气象条件</w:t>
            </w:r>
          </w:p>
        </w:tc>
        <w:tc>
          <w:tcPr>
            <w:tcW w:w="1209" w:type="pct"/>
            <w:vAlign w:val="center"/>
          </w:tcPr>
          <w:p w14:paraId="7D8216D4">
            <w:pPr>
              <w:spacing w:line="280" w:lineRule="exact"/>
              <w:jc w:val="center"/>
              <w:rPr>
                <w:color w:val="auto"/>
                <w:lang w:val="en-GB"/>
              </w:rPr>
            </w:pPr>
            <w:r>
              <w:rPr>
                <w:color w:val="auto"/>
                <w:lang w:val="en-GB"/>
              </w:rPr>
              <w:t>大气毒性终点浓度-1</w:t>
            </w:r>
          </w:p>
        </w:tc>
        <w:tc>
          <w:tcPr>
            <w:tcW w:w="978" w:type="pct"/>
            <w:vAlign w:val="center"/>
          </w:tcPr>
          <w:p w14:paraId="70E0E9F0">
            <w:pPr>
              <w:spacing w:line="280" w:lineRule="exact"/>
              <w:jc w:val="center"/>
              <w:rPr>
                <w:color w:val="auto"/>
              </w:rPr>
            </w:pPr>
            <w:r>
              <w:rPr>
                <w:color w:val="auto"/>
              </w:rPr>
              <w:t>36</w:t>
            </w:r>
          </w:p>
        </w:tc>
        <w:tc>
          <w:tcPr>
            <w:tcW w:w="1013" w:type="pct"/>
            <w:vAlign w:val="center"/>
          </w:tcPr>
          <w:p w14:paraId="29F37E30">
            <w:pPr>
              <w:spacing w:line="280" w:lineRule="exact"/>
              <w:jc w:val="center"/>
              <w:rPr>
                <w:rFonts w:hint="default" w:eastAsia="宋体"/>
                <w:color w:val="auto"/>
                <w:lang w:val="en-US" w:eastAsia="zh-CN"/>
              </w:rPr>
            </w:pPr>
            <w:r>
              <w:rPr>
                <w:rFonts w:hint="eastAsia"/>
                <w:color w:val="auto"/>
                <w:lang w:val="en-US" w:eastAsia="zh-CN"/>
              </w:rPr>
              <w:t>310</w:t>
            </w:r>
          </w:p>
        </w:tc>
        <w:tc>
          <w:tcPr>
            <w:tcW w:w="901" w:type="pct"/>
            <w:vAlign w:val="center"/>
          </w:tcPr>
          <w:p w14:paraId="3D69DB72">
            <w:pPr>
              <w:spacing w:line="280" w:lineRule="exact"/>
              <w:jc w:val="center"/>
              <w:rPr>
                <w:rFonts w:hint="default" w:eastAsia="宋体"/>
                <w:color w:val="auto"/>
                <w:lang w:val="en-US" w:eastAsia="zh-CN"/>
              </w:rPr>
            </w:pPr>
            <w:r>
              <w:rPr>
                <w:rFonts w:hint="eastAsia"/>
                <w:color w:val="auto"/>
                <w:lang w:val="en-US" w:eastAsia="zh-CN"/>
              </w:rPr>
              <w:t>1.4</w:t>
            </w:r>
          </w:p>
        </w:tc>
      </w:tr>
      <w:tr w14:paraId="39A6E5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96" w:type="pct"/>
            <w:vMerge w:val="continue"/>
            <w:vAlign w:val="center"/>
          </w:tcPr>
          <w:p w14:paraId="41947A0C">
            <w:pPr>
              <w:spacing w:line="280" w:lineRule="exact"/>
              <w:jc w:val="center"/>
              <w:rPr>
                <w:color w:val="auto"/>
                <w:lang w:val="en-GB"/>
              </w:rPr>
            </w:pPr>
          </w:p>
        </w:tc>
        <w:tc>
          <w:tcPr>
            <w:tcW w:w="1209" w:type="pct"/>
            <w:vAlign w:val="center"/>
          </w:tcPr>
          <w:p w14:paraId="5A3836D3">
            <w:pPr>
              <w:spacing w:line="280" w:lineRule="exact"/>
              <w:jc w:val="center"/>
              <w:rPr>
                <w:color w:val="auto"/>
                <w:lang w:val="en-GB"/>
              </w:rPr>
            </w:pPr>
            <w:r>
              <w:rPr>
                <w:color w:val="auto"/>
                <w:lang w:val="en-GB"/>
              </w:rPr>
              <w:t>大气毒性终点浓度-2</w:t>
            </w:r>
          </w:p>
        </w:tc>
        <w:tc>
          <w:tcPr>
            <w:tcW w:w="978" w:type="pct"/>
            <w:vAlign w:val="center"/>
          </w:tcPr>
          <w:p w14:paraId="5F128D38">
            <w:pPr>
              <w:spacing w:line="280" w:lineRule="exact"/>
              <w:jc w:val="center"/>
              <w:rPr>
                <w:color w:val="auto"/>
              </w:rPr>
            </w:pPr>
            <w:r>
              <w:rPr>
                <w:color w:val="auto"/>
              </w:rPr>
              <w:t>20</w:t>
            </w:r>
          </w:p>
        </w:tc>
        <w:tc>
          <w:tcPr>
            <w:tcW w:w="1013" w:type="pct"/>
            <w:vAlign w:val="center"/>
          </w:tcPr>
          <w:p w14:paraId="6BF0B5DE">
            <w:pPr>
              <w:spacing w:line="280" w:lineRule="exact"/>
              <w:jc w:val="center"/>
              <w:rPr>
                <w:rFonts w:hint="default" w:eastAsia="宋体"/>
                <w:color w:val="auto"/>
                <w:lang w:val="en-US" w:eastAsia="zh-CN"/>
              </w:rPr>
            </w:pPr>
            <w:r>
              <w:rPr>
                <w:rFonts w:hint="eastAsia"/>
                <w:color w:val="auto"/>
                <w:lang w:val="en-US" w:eastAsia="zh-CN"/>
              </w:rPr>
              <w:t>440</w:t>
            </w:r>
          </w:p>
        </w:tc>
        <w:tc>
          <w:tcPr>
            <w:tcW w:w="901" w:type="pct"/>
            <w:vAlign w:val="center"/>
          </w:tcPr>
          <w:p w14:paraId="13062A4D">
            <w:pPr>
              <w:spacing w:line="280" w:lineRule="exact"/>
              <w:jc w:val="center"/>
              <w:rPr>
                <w:rFonts w:hint="default" w:eastAsia="宋体"/>
                <w:color w:val="auto"/>
                <w:lang w:val="en-US" w:eastAsia="zh-CN"/>
              </w:rPr>
            </w:pPr>
            <w:r>
              <w:rPr>
                <w:rFonts w:hint="eastAsia"/>
                <w:color w:val="auto"/>
                <w:lang w:val="en-US" w:eastAsia="zh-CN"/>
              </w:rPr>
              <w:t>2.0</w:t>
            </w:r>
          </w:p>
        </w:tc>
      </w:tr>
      <w:tr w14:paraId="0CFAE2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96" w:type="pct"/>
            <w:vMerge w:val="restart"/>
            <w:vAlign w:val="center"/>
          </w:tcPr>
          <w:p w14:paraId="3FE35FC1">
            <w:pPr>
              <w:spacing w:line="280" w:lineRule="exact"/>
              <w:jc w:val="center"/>
              <w:rPr>
                <w:color w:val="auto"/>
                <w:lang w:val="en-GB"/>
              </w:rPr>
            </w:pPr>
            <w:r>
              <w:rPr>
                <w:color w:val="auto"/>
              </w:rPr>
              <w:t>最</w:t>
            </w:r>
            <w:r>
              <w:rPr>
                <w:rFonts w:hint="eastAsia"/>
                <w:color w:val="auto"/>
                <w:lang w:eastAsia="zh-CN"/>
              </w:rPr>
              <w:t>常见</w:t>
            </w:r>
            <w:r>
              <w:rPr>
                <w:color w:val="auto"/>
              </w:rPr>
              <w:t>气象条件</w:t>
            </w:r>
          </w:p>
        </w:tc>
        <w:tc>
          <w:tcPr>
            <w:tcW w:w="1209" w:type="pct"/>
            <w:shd w:val="clear" w:color="auto" w:fill="auto"/>
            <w:vAlign w:val="center"/>
          </w:tcPr>
          <w:p w14:paraId="55E8E68E">
            <w:pPr>
              <w:spacing w:line="280" w:lineRule="exact"/>
              <w:jc w:val="center"/>
              <w:rPr>
                <w:rFonts w:ascii="Times New Roman" w:hAnsi="Times New Roman" w:eastAsia="宋体" w:cs="Times New Roman"/>
                <w:color w:val="auto"/>
                <w:kern w:val="2"/>
                <w:sz w:val="21"/>
                <w:szCs w:val="24"/>
                <w:lang w:val="en-GB" w:eastAsia="zh-CN" w:bidi="ar-SA"/>
              </w:rPr>
            </w:pPr>
            <w:r>
              <w:rPr>
                <w:color w:val="auto"/>
                <w:lang w:val="en-GB"/>
              </w:rPr>
              <w:t>大气毒性终点浓度-1</w:t>
            </w:r>
          </w:p>
        </w:tc>
        <w:tc>
          <w:tcPr>
            <w:tcW w:w="978" w:type="pct"/>
            <w:shd w:val="clear" w:color="auto" w:fill="auto"/>
            <w:vAlign w:val="center"/>
          </w:tcPr>
          <w:p w14:paraId="12D4255C">
            <w:pPr>
              <w:spacing w:line="280" w:lineRule="exact"/>
              <w:jc w:val="center"/>
              <w:rPr>
                <w:rFonts w:ascii="Times New Roman" w:hAnsi="Times New Roman" w:eastAsia="宋体" w:cs="Times New Roman"/>
                <w:color w:val="auto"/>
                <w:kern w:val="2"/>
                <w:sz w:val="21"/>
                <w:szCs w:val="24"/>
                <w:lang w:val="en-US" w:eastAsia="zh-CN" w:bidi="ar-SA"/>
              </w:rPr>
            </w:pPr>
            <w:r>
              <w:rPr>
                <w:color w:val="auto"/>
              </w:rPr>
              <w:t>36</w:t>
            </w:r>
          </w:p>
        </w:tc>
        <w:tc>
          <w:tcPr>
            <w:tcW w:w="1013" w:type="pct"/>
            <w:vAlign w:val="center"/>
          </w:tcPr>
          <w:p w14:paraId="5391BABA">
            <w:pPr>
              <w:spacing w:line="280" w:lineRule="exact"/>
              <w:jc w:val="center"/>
              <w:rPr>
                <w:rFonts w:hint="default" w:eastAsia="宋体"/>
                <w:color w:val="auto"/>
                <w:lang w:val="en-US" w:eastAsia="zh-CN"/>
              </w:rPr>
            </w:pPr>
            <w:r>
              <w:rPr>
                <w:rFonts w:hint="eastAsia"/>
                <w:color w:val="auto"/>
                <w:lang w:val="en-US" w:eastAsia="zh-CN"/>
              </w:rPr>
              <w:t>220</w:t>
            </w:r>
          </w:p>
        </w:tc>
        <w:tc>
          <w:tcPr>
            <w:tcW w:w="901" w:type="pct"/>
            <w:vAlign w:val="center"/>
          </w:tcPr>
          <w:p w14:paraId="44DF1C93">
            <w:pPr>
              <w:spacing w:line="280" w:lineRule="exact"/>
              <w:jc w:val="center"/>
              <w:rPr>
                <w:rFonts w:hint="default" w:eastAsia="宋体"/>
                <w:color w:val="auto"/>
                <w:lang w:val="en-US" w:eastAsia="zh-CN"/>
              </w:rPr>
            </w:pPr>
            <w:r>
              <w:rPr>
                <w:rFonts w:hint="eastAsia"/>
                <w:color w:val="auto"/>
                <w:lang w:val="en-US" w:eastAsia="zh-CN"/>
              </w:rPr>
              <w:t>1.3</w:t>
            </w:r>
          </w:p>
        </w:tc>
      </w:tr>
      <w:tr w14:paraId="53A108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96" w:type="pct"/>
            <w:vMerge w:val="continue"/>
            <w:vAlign w:val="center"/>
          </w:tcPr>
          <w:p w14:paraId="37D47F08">
            <w:pPr>
              <w:spacing w:line="280" w:lineRule="exact"/>
              <w:jc w:val="center"/>
              <w:rPr>
                <w:color w:val="auto"/>
                <w:lang w:val="en-GB"/>
              </w:rPr>
            </w:pPr>
          </w:p>
        </w:tc>
        <w:tc>
          <w:tcPr>
            <w:tcW w:w="1209" w:type="pct"/>
            <w:shd w:val="clear" w:color="auto" w:fill="auto"/>
            <w:vAlign w:val="center"/>
          </w:tcPr>
          <w:p w14:paraId="4FD788A0">
            <w:pPr>
              <w:spacing w:line="280" w:lineRule="exact"/>
              <w:jc w:val="center"/>
              <w:rPr>
                <w:rFonts w:ascii="Times New Roman" w:hAnsi="Times New Roman" w:eastAsia="宋体" w:cs="Times New Roman"/>
                <w:color w:val="auto"/>
                <w:kern w:val="2"/>
                <w:sz w:val="21"/>
                <w:szCs w:val="24"/>
                <w:lang w:val="en-GB" w:eastAsia="zh-CN" w:bidi="ar-SA"/>
              </w:rPr>
            </w:pPr>
            <w:r>
              <w:rPr>
                <w:color w:val="auto"/>
                <w:lang w:val="en-GB"/>
              </w:rPr>
              <w:t>大气毒性终点浓度-2</w:t>
            </w:r>
          </w:p>
        </w:tc>
        <w:tc>
          <w:tcPr>
            <w:tcW w:w="978" w:type="pct"/>
            <w:shd w:val="clear" w:color="auto" w:fill="auto"/>
            <w:vAlign w:val="center"/>
          </w:tcPr>
          <w:p w14:paraId="5A4DD75A">
            <w:pPr>
              <w:spacing w:line="280" w:lineRule="exact"/>
              <w:jc w:val="center"/>
              <w:rPr>
                <w:rFonts w:ascii="Times New Roman" w:hAnsi="Times New Roman" w:eastAsia="宋体" w:cs="Times New Roman"/>
                <w:color w:val="auto"/>
                <w:kern w:val="2"/>
                <w:sz w:val="21"/>
                <w:szCs w:val="24"/>
                <w:lang w:val="en-US" w:eastAsia="zh-CN" w:bidi="ar-SA"/>
              </w:rPr>
            </w:pPr>
            <w:r>
              <w:rPr>
                <w:color w:val="auto"/>
              </w:rPr>
              <w:t>20</w:t>
            </w:r>
          </w:p>
        </w:tc>
        <w:tc>
          <w:tcPr>
            <w:tcW w:w="1013" w:type="pct"/>
            <w:vAlign w:val="center"/>
          </w:tcPr>
          <w:p w14:paraId="26DEFB17">
            <w:pPr>
              <w:spacing w:line="280" w:lineRule="exact"/>
              <w:jc w:val="center"/>
              <w:rPr>
                <w:rFonts w:hint="default" w:eastAsia="宋体"/>
                <w:color w:val="auto"/>
                <w:lang w:val="en-US" w:eastAsia="zh-CN"/>
              </w:rPr>
            </w:pPr>
            <w:r>
              <w:rPr>
                <w:rFonts w:hint="eastAsia"/>
                <w:color w:val="auto"/>
                <w:lang w:val="en-US" w:eastAsia="zh-CN"/>
              </w:rPr>
              <w:t>310</w:t>
            </w:r>
          </w:p>
        </w:tc>
        <w:tc>
          <w:tcPr>
            <w:tcW w:w="901" w:type="pct"/>
            <w:vAlign w:val="center"/>
          </w:tcPr>
          <w:p w14:paraId="2641836C">
            <w:pPr>
              <w:spacing w:line="280" w:lineRule="exact"/>
              <w:jc w:val="center"/>
              <w:rPr>
                <w:rFonts w:hint="default" w:eastAsia="宋体"/>
                <w:color w:val="auto"/>
                <w:lang w:val="en-US" w:eastAsia="zh-CN"/>
              </w:rPr>
            </w:pPr>
            <w:r>
              <w:rPr>
                <w:rFonts w:hint="eastAsia"/>
                <w:color w:val="auto"/>
                <w:lang w:val="en-US" w:eastAsia="zh-CN"/>
              </w:rPr>
              <w:t>1.4</w:t>
            </w:r>
          </w:p>
        </w:tc>
      </w:tr>
    </w:tbl>
    <w:p w14:paraId="6DD971DE">
      <w:pPr>
        <w:spacing w:before="60"/>
        <w:jc w:val="center"/>
        <w:rPr>
          <w:color w:val="auto"/>
        </w:rPr>
      </w:pPr>
      <w:r>
        <w:rPr>
          <w:color w:val="auto"/>
        </w:rPr>
        <w:drawing>
          <wp:inline distT="0" distB="0" distL="114300" distR="114300">
            <wp:extent cx="3568700" cy="2160270"/>
            <wp:effectExtent l="0" t="0" r="12700" b="11430"/>
            <wp:docPr id="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2"/>
                    <pic:cNvPicPr>
                      <a:picLocks noChangeAspect="1"/>
                    </pic:cNvPicPr>
                  </pic:nvPicPr>
                  <pic:blipFill>
                    <a:blip r:embed="rId59"/>
                    <a:stretch>
                      <a:fillRect/>
                    </a:stretch>
                  </pic:blipFill>
                  <pic:spPr>
                    <a:xfrm>
                      <a:off x="0" y="0"/>
                      <a:ext cx="3568700" cy="2160270"/>
                    </a:xfrm>
                    <a:prstGeom prst="rect">
                      <a:avLst/>
                    </a:prstGeom>
                    <a:noFill/>
                    <a:ln>
                      <a:noFill/>
                    </a:ln>
                  </pic:spPr>
                </pic:pic>
              </a:graphicData>
            </a:graphic>
          </wp:inline>
        </w:drawing>
      </w:r>
    </w:p>
    <w:p w14:paraId="20D76880">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7</w:t>
      </w:r>
      <w:r>
        <w:rPr>
          <w:b/>
          <w:bCs/>
          <w:color w:val="auto"/>
          <w:szCs w:val="21"/>
        </w:rPr>
        <w:t xml:space="preserve">  </w:t>
      </w:r>
      <w:r>
        <w:rPr>
          <w:rFonts w:hint="eastAsia"/>
          <w:b/>
          <w:bCs/>
          <w:color w:val="auto"/>
          <w:szCs w:val="21"/>
          <w:lang w:val="en-US" w:eastAsia="zh-CN"/>
        </w:rPr>
        <w:t>氢氟酸泄漏</w:t>
      </w:r>
      <w:r>
        <w:rPr>
          <w:b/>
          <w:bCs/>
          <w:color w:val="auto"/>
          <w:szCs w:val="21"/>
        </w:rPr>
        <w:t>预测结果图(最不利气象条件)</w:t>
      </w:r>
    </w:p>
    <w:p w14:paraId="577B9C37">
      <w:pPr>
        <w:spacing w:line="360" w:lineRule="auto"/>
        <w:jc w:val="center"/>
        <w:rPr>
          <w:color w:val="auto"/>
        </w:rPr>
      </w:pPr>
      <w:r>
        <w:rPr>
          <w:color w:val="auto"/>
        </w:rPr>
        <w:drawing>
          <wp:inline distT="0" distB="0" distL="114300" distR="114300">
            <wp:extent cx="4298315" cy="2160270"/>
            <wp:effectExtent l="0" t="0" r="6985" b="1143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60"/>
                    <a:stretch>
                      <a:fillRect/>
                    </a:stretch>
                  </pic:blipFill>
                  <pic:spPr>
                    <a:xfrm>
                      <a:off x="0" y="0"/>
                      <a:ext cx="4298315" cy="2160270"/>
                    </a:xfrm>
                    <a:prstGeom prst="rect">
                      <a:avLst/>
                    </a:prstGeom>
                    <a:noFill/>
                    <a:ln>
                      <a:noFill/>
                    </a:ln>
                  </pic:spPr>
                </pic:pic>
              </a:graphicData>
            </a:graphic>
          </wp:inline>
        </w:drawing>
      </w:r>
    </w:p>
    <w:p w14:paraId="2FE96A6B">
      <w:pPr>
        <w:adjustRightInd w:val="0"/>
        <w:snapToGrid w:val="0"/>
        <w:spacing w:beforeLines="25" w:afterLines="25"/>
        <w:ind w:firstLine="422"/>
        <w:jc w:val="center"/>
        <w:outlineLvl w:val="3"/>
        <w:rPr>
          <w:b/>
          <w:bCs/>
          <w:color w:val="auto"/>
          <w:szCs w:val="21"/>
        </w:rPr>
      </w:pPr>
      <w:r>
        <w:rPr>
          <w:rFonts w:hint="eastAsia"/>
          <w:b/>
          <w:bCs/>
          <w:color w:val="auto"/>
          <w:szCs w:val="21"/>
          <w:lang w:val="en-US" w:eastAsia="zh-CN"/>
        </w:rPr>
        <w:t>图7.9-8</w:t>
      </w:r>
      <w:r>
        <w:rPr>
          <w:b/>
          <w:bCs/>
          <w:color w:val="auto"/>
          <w:szCs w:val="21"/>
        </w:rPr>
        <w:t xml:space="preserve">  氟化氢下风向不同距离处最大浓度图(最不利气象条件)</w:t>
      </w:r>
    </w:p>
    <w:p w14:paraId="02A01637">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9</w:t>
      </w:r>
      <w:r>
        <w:rPr>
          <w:b/>
          <w:bCs/>
          <w:color w:val="auto"/>
          <w:szCs w:val="21"/>
        </w:rPr>
        <w:t xml:space="preserve">  氟化氢各关心点处浓度超标及持续时间表</w:t>
      </w:r>
    </w:p>
    <w:tbl>
      <w:tblPr>
        <w:tblStyle w:val="32"/>
        <w:tblW w:w="499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73"/>
        <w:gridCol w:w="1915"/>
        <w:gridCol w:w="1759"/>
        <w:gridCol w:w="1521"/>
        <w:gridCol w:w="1957"/>
      </w:tblGrid>
      <w:tr w14:paraId="18B883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12" w:hRule="atLeast"/>
          <w:tblHeader/>
        </w:trPr>
        <w:tc>
          <w:tcPr>
            <w:tcW w:w="1123" w:type="pct"/>
            <w:tcBorders>
              <w:tl2br w:val="nil"/>
              <w:tr2bl w:val="nil"/>
            </w:tcBorders>
            <w:vAlign w:val="center"/>
          </w:tcPr>
          <w:p w14:paraId="51B17675">
            <w:pPr>
              <w:spacing w:line="280" w:lineRule="exact"/>
              <w:jc w:val="center"/>
              <w:rPr>
                <w:color w:val="auto"/>
              </w:rPr>
            </w:pPr>
            <w:r>
              <w:rPr>
                <w:color w:val="auto"/>
              </w:rPr>
              <w:t>气象条件</w:t>
            </w:r>
          </w:p>
        </w:tc>
        <w:tc>
          <w:tcPr>
            <w:tcW w:w="1037" w:type="pct"/>
            <w:tcBorders>
              <w:tl2br w:val="nil"/>
              <w:tr2bl w:val="nil"/>
            </w:tcBorders>
            <w:vAlign w:val="center"/>
          </w:tcPr>
          <w:p w14:paraId="77FDB1F4">
            <w:pPr>
              <w:spacing w:line="280" w:lineRule="exact"/>
              <w:jc w:val="center"/>
              <w:rPr>
                <w:color w:val="auto"/>
              </w:rPr>
            </w:pPr>
            <w:r>
              <w:rPr>
                <w:color w:val="auto"/>
              </w:rPr>
              <w:t>关心点</w:t>
            </w:r>
          </w:p>
        </w:tc>
        <w:tc>
          <w:tcPr>
            <w:tcW w:w="953" w:type="pct"/>
            <w:tcBorders>
              <w:tl2br w:val="nil"/>
              <w:tr2bl w:val="nil"/>
            </w:tcBorders>
            <w:vAlign w:val="center"/>
          </w:tcPr>
          <w:p w14:paraId="02835D8B">
            <w:pPr>
              <w:spacing w:line="280" w:lineRule="exact"/>
              <w:jc w:val="center"/>
              <w:rPr>
                <w:color w:val="auto"/>
              </w:rPr>
            </w:pPr>
            <w:r>
              <w:rPr>
                <w:color w:val="auto"/>
              </w:rPr>
              <w:t>最大浓度mg/m</w:t>
            </w:r>
            <w:r>
              <w:rPr>
                <w:color w:val="auto"/>
                <w:vertAlign w:val="superscript"/>
              </w:rPr>
              <w:t>3</w:t>
            </w:r>
          </w:p>
        </w:tc>
        <w:tc>
          <w:tcPr>
            <w:tcW w:w="824" w:type="pct"/>
            <w:tcBorders>
              <w:tl2br w:val="nil"/>
              <w:tr2bl w:val="nil"/>
            </w:tcBorders>
            <w:vAlign w:val="center"/>
          </w:tcPr>
          <w:p w14:paraId="51F2E51B">
            <w:pPr>
              <w:spacing w:line="280" w:lineRule="exact"/>
              <w:jc w:val="center"/>
              <w:rPr>
                <w:color w:val="auto"/>
              </w:rPr>
            </w:pPr>
            <w:r>
              <w:rPr>
                <w:color w:val="auto"/>
              </w:rPr>
              <w:t>出现时间min</w:t>
            </w:r>
          </w:p>
        </w:tc>
        <w:tc>
          <w:tcPr>
            <w:tcW w:w="1060" w:type="pct"/>
            <w:tcBorders>
              <w:tl2br w:val="nil"/>
              <w:tr2bl w:val="nil"/>
            </w:tcBorders>
            <w:vAlign w:val="center"/>
          </w:tcPr>
          <w:p w14:paraId="28D34876">
            <w:pPr>
              <w:spacing w:line="280" w:lineRule="exact"/>
              <w:jc w:val="center"/>
              <w:rPr>
                <w:color w:val="auto"/>
              </w:rPr>
            </w:pPr>
            <w:r>
              <w:rPr>
                <w:color w:val="auto"/>
              </w:rPr>
              <w:t>超标持续时间min</w:t>
            </w:r>
          </w:p>
        </w:tc>
      </w:tr>
      <w:tr w14:paraId="14CA37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123" w:type="pct"/>
            <w:tcBorders>
              <w:tl2br w:val="nil"/>
              <w:tr2bl w:val="nil"/>
            </w:tcBorders>
            <w:vAlign w:val="center"/>
          </w:tcPr>
          <w:p w14:paraId="331E29DA">
            <w:pPr>
              <w:spacing w:line="280" w:lineRule="exact"/>
              <w:jc w:val="center"/>
              <w:rPr>
                <w:color w:val="auto"/>
              </w:rPr>
            </w:pPr>
            <w:r>
              <w:rPr>
                <w:color w:val="auto"/>
              </w:rPr>
              <w:t>最不利气象条件</w:t>
            </w:r>
          </w:p>
        </w:tc>
        <w:tc>
          <w:tcPr>
            <w:tcW w:w="1037" w:type="pct"/>
            <w:tcBorders>
              <w:tl2br w:val="nil"/>
              <w:tr2bl w:val="nil"/>
            </w:tcBorders>
            <w:vAlign w:val="center"/>
          </w:tcPr>
          <w:p w14:paraId="1B4B53EB">
            <w:pPr>
              <w:adjustRightInd w:val="0"/>
              <w:snapToGrid w:val="0"/>
              <w:jc w:val="center"/>
              <w:rPr>
                <w:color w:val="auto"/>
              </w:rPr>
            </w:pPr>
            <w:r>
              <w:rPr>
                <w:rFonts w:hint="eastAsia"/>
                <w:color w:val="auto"/>
                <w:kern w:val="0"/>
                <w:szCs w:val="21"/>
                <w:lang w:val="en-US" w:eastAsia="zh-CN"/>
              </w:rPr>
              <w:t>园区宿舍楼</w:t>
            </w:r>
          </w:p>
        </w:tc>
        <w:tc>
          <w:tcPr>
            <w:tcW w:w="953" w:type="pct"/>
            <w:tcBorders>
              <w:tl2br w:val="nil"/>
              <w:tr2bl w:val="nil"/>
            </w:tcBorders>
            <w:vAlign w:val="center"/>
          </w:tcPr>
          <w:p w14:paraId="2955FE34">
            <w:pPr>
              <w:spacing w:line="280" w:lineRule="exact"/>
              <w:jc w:val="center"/>
              <w:rPr>
                <w:rFonts w:hint="default" w:eastAsia="宋体"/>
                <w:color w:val="auto"/>
                <w:lang w:val="en-US" w:eastAsia="zh-CN"/>
              </w:rPr>
            </w:pPr>
            <w:r>
              <w:rPr>
                <w:rFonts w:hint="eastAsia"/>
                <w:color w:val="auto"/>
                <w:lang w:val="en-US" w:eastAsia="zh-CN"/>
              </w:rPr>
              <w:t>7.51E-01</w:t>
            </w:r>
          </w:p>
        </w:tc>
        <w:tc>
          <w:tcPr>
            <w:tcW w:w="824" w:type="pct"/>
            <w:tcBorders>
              <w:tl2br w:val="nil"/>
              <w:tr2bl w:val="nil"/>
            </w:tcBorders>
            <w:vAlign w:val="center"/>
          </w:tcPr>
          <w:p w14:paraId="45A6481D">
            <w:pPr>
              <w:spacing w:line="280" w:lineRule="exact"/>
              <w:jc w:val="center"/>
              <w:rPr>
                <w:color w:val="auto"/>
              </w:rPr>
            </w:pPr>
            <w:r>
              <w:rPr>
                <w:color w:val="auto"/>
              </w:rPr>
              <w:t>5</w:t>
            </w:r>
          </w:p>
        </w:tc>
        <w:tc>
          <w:tcPr>
            <w:tcW w:w="1060" w:type="pct"/>
            <w:tcBorders>
              <w:tl2br w:val="nil"/>
              <w:tr2bl w:val="nil"/>
            </w:tcBorders>
            <w:vAlign w:val="center"/>
          </w:tcPr>
          <w:p w14:paraId="0E98BCD2">
            <w:pPr>
              <w:spacing w:line="280" w:lineRule="exact"/>
              <w:jc w:val="center"/>
              <w:rPr>
                <w:color w:val="auto"/>
              </w:rPr>
            </w:pPr>
            <w:r>
              <w:rPr>
                <w:color w:val="auto"/>
              </w:rPr>
              <w:t>无</w:t>
            </w:r>
          </w:p>
        </w:tc>
      </w:tr>
    </w:tbl>
    <w:p w14:paraId="5773CEFF">
      <w:pPr>
        <w:jc w:val="center"/>
        <w:rPr>
          <w:color w:val="auto"/>
        </w:rPr>
      </w:pPr>
      <w:r>
        <w:rPr>
          <w:color w:val="auto"/>
        </w:rPr>
        <w:drawing>
          <wp:inline distT="0" distB="0" distL="114300" distR="114300">
            <wp:extent cx="4298315" cy="2160270"/>
            <wp:effectExtent l="0" t="0" r="6985" b="11430"/>
            <wp:docPr id="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pic:cNvPicPr>
                      <a:picLocks noChangeAspect="1"/>
                    </pic:cNvPicPr>
                  </pic:nvPicPr>
                  <pic:blipFill>
                    <a:blip r:embed="rId61"/>
                    <a:stretch>
                      <a:fillRect/>
                    </a:stretch>
                  </pic:blipFill>
                  <pic:spPr>
                    <a:xfrm>
                      <a:off x="0" y="0"/>
                      <a:ext cx="4298315" cy="2160270"/>
                    </a:xfrm>
                    <a:prstGeom prst="rect">
                      <a:avLst/>
                    </a:prstGeom>
                    <a:noFill/>
                    <a:ln>
                      <a:noFill/>
                    </a:ln>
                  </pic:spPr>
                </pic:pic>
              </a:graphicData>
            </a:graphic>
          </wp:inline>
        </w:drawing>
      </w:r>
    </w:p>
    <w:p w14:paraId="4A5B51C6">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9</w:t>
      </w:r>
      <w:r>
        <w:rPr>
          <w:b/>
          <w:bCs/>
          <w:color w:val="auto"/>
          <w:szCs w:val="21"/>
        </w:rPr>
        <w:t xml:space="preserve">  各关心点处氟化氢浓度随时间的变化曲线（最不利气象） </w:t>
      </w:r>
    </w:p>
    <w:p w14:paraId="53184A6D">
      <w:pPr>
        <w:spacing w:before="60"/>
        <w:jc w:val="center"/>
        <w:rPr>
          <w:color w:val="auto"/>
        </w:rPr>
      </w:pPr>
      <w:r>
        <w:rPr>
          <w:color w:val="auto"/>
        </w:rPr>
        <w:drawing>
          <wp:inline distT="0" distB="0" distL="114300" distR="114300">
            <wp:extent cx="3568700" cy="2160270"/>
            <wp:effectExtent l="0" t="0" r="12700" b="11430"/>
            <wp:docPr id="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7"/>
                    <pic:cNvPicPr>
                      <a:picLocks noChangeAspect="1"/>
                    </pic:cNvPicPr>
                  </pic:nvPicPr>
                  <pic:blipFill>
                    <a:blip r:embed="rId62"/>
                    <a:stretch>
                      <a:fillRect/>
                    </a:stretch>
                  </pic:blipFill>
                  <pic:spPr>
                    <a:xfrm>
                      <a:off x="0" y="0"/>
                      <a:ext cx="3568700" cy="2160270"/>
                    </a:xfrm>
                    <a:prstGeom prst="rect">
                      <a:avLst/>
                    </a:prstGeom>
                    <a:noFill/>
                    <a:ln>
                      <a:noFill/>
                    </a:ln>
                  </pic:spPr>
                </pic:pic>
              </a:graphicData>
            </a:graphic>
          </wp:inline>
        </w:drawing>
      </w:r>
    </w:p>
    <w:p w14:paraId="09B41128">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10</w:t>
      </w:r>
      <w:r>
        <w:rPr>
          <w:b/>
          <w:bCs/>
          <w:color w:val="auto"/>
          <w:szCs w:val="21"/>
        </w:rPr>
        <w:t xml:space="preserve"> </w:t>
      </w:r>
      <w:r>
        <w:rPr>
          <w:rFonts w:hint="eastAsia"/>
          <w:b/>
          <w:bCs/>
          <w:color w:val="auto"/>
          <w:szCs w:val="21"/>
          <w:lang w:val="en-US" w:eastAsia="zh-CN"/>
        </w:rPr>
        <w:t>氟化氢</w:t>
      </w:r>
      <w:r>
        <w:rPr>
          <w:b/>
          <w:bCs/>
          <w:color w:val="auto"/>
          <w:szCs w:val="21"/>
        </w:rPr>
        <w:t>预测结果图(最</w:t>
      </w:r>
      <w:r>
        <w:rPr>
          <w:rFonts w:hint="eastAsia"/>
          <w:b/>
          <w:bCs/>
          <w:color w:val="auto"/>
          <w:szCs w:val="21"/>
          <w:lang w:eastAsia="zh-CN"/>
        </w:rPr>
        <w:t>常见</w:t>
      </w:r>
      <w:r>
        <w:rPr>
          <w:b/>
          <w:bCs/>
          <w:color w:val="auto"/>
          <w:szCs w:val="21"/>
        </w:rPr>
        <w:t>气象条件)</w:t>
      </w:r>
    </w:p>
    <w:p w14:paraId="0B0E55C9">
      <w:pPr>
        <w:spacing w:line="360" w:lineRule="auto"/>
        <w:jc w:val="center"/>
        <w:rPr>
          <w:color w:val="auto"/>
        </w:rPr>
      </w:pPr>
      <w:r>
        <w:rPr>
          <w:color w:val="auto"/>
        </w:rPr>
        <w:drawing>
          <wp:inline distT="0" distB="0" distL="114300" distR="114300">
            <wp:extent cx="4298315" cy="2160270"/>
            <wp:effectExtent l="0" t="0" r="6985" b="1143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63"/>
                    <a:stretch>
                      <a:fillRect/>
                    </a:stretch>
                  </pic:blipFill>
                  <pic:spPr>
                    <a:xfrm>
                      <a:off x="0" y="0"/>
                      <a:ext cx="4298315" cy="2160270"/>
                    </a:xfrm>
                    <a:prstGeom prst="rect">
                      <a:avLst/>
                    </a:prstGeom>
                    <a:noFill/>
                    <a:ln>
                      <a:noFill/>
                    </a:ln>
                  </pic:spPr>
                </pic:pic>
              </a:graphicData>
            </a:graphic>
          </wp:inline>
        </w:drawing>
      </w:r>
    </w:p>
    <w:p w14:paraId="2D4F5E2A">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11</w:t>
      </w:r>
      <w:r>
        <w:rPr>
          <w:b/>
          <w:bCs/>
          <w:color w:val="auto"/>
          <w:szCs w:val="21"/>
        </w:rPr>
        <w:t xml:space="preserve">  氟化氢下风向不同距离处最大浓度图(最</w:t>
      </w:r>
      <w:r>
        <w:rPr>
          <w:rFonts w:hint="eastAsia"/>
          <w:b/>
          <w:bCs/>
          <w:color w:val="auto"/>
          <w:szCs w:val="21"/>
          <w:lang w:eastAsia="zh-CN"/>
        </w:rPr>
        <w:t>常见</w:t>
      </w:r>
      <w:r>
        <w:rPr>
          <w:b/>
          <w:bCs/>
          <w:color w:val="auto"/>
          <w:szCs w:val="21"/>
        </w:rPr>
        <w:t>气象条件)</w:t>
      </w:r>
    </w:p>
    <w:p w14:paraId="2A3424DC">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10</w:t>
      </w:r>
      <w:r>
        <w:rPr>
          <w:b/>
          <w:bCs/>
          <w:color w:val="auto"/>
          <w:szCs w:val="21"/>
        </w:rPr>
        <w:t xml:space="preserve">  氟化氢各关心点处浓度超标及持续时间表</w:t>
      </w:r>
    </w:p>
    <w:tbl>
      <w:tblPr>
        <w:tblStyle w:val="32"/>
        <w:tblW w:w="499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89"/>
        <w:gridCol w:w="1899"/>
        <w:gridCol w:w="1759"/>
        <w:gridCol w:w="1521"/>
        <w:gridCol w:w="1957"/>
      </w:tblGrid>
      <w:tr w14:paraId="69F2ED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132" w:type="pct"/>
            <w:tcBorders>
              <w:tl2br w:val="nil"/>
              <w:tr2bl w:val="nil"/>
            </w:tcBorders>
            <w:vAlign w:val="center"/>
          </w:tcPr>
          <w:p w14:paraId="5E15D1CB">
            <w:pPr>
              <w:spacing w:line="280" w:lineRule="exact"/>
              <w:jc w:val="center"/>
              <w:rPr>
                <w:color w:val="auto"/>
              </w:rPr>
            </w:pPr>
            <w:r>
              <w:rPr>
                <w:color w:val="auto"/>
              </w:rPr>
              <w:t>气象条件</w:t>
            </w:r>
          </w:p>
        </w:tc>
        <w:tc>
          <w:tcPr>
            <w:tcW w:w="1029" w:type="pct"/>
            <w:tcBorders>
              <w:tl2br w:val="nil"/>
              <w:tr2bl w:val="nil"/>
            </w:tcBorders>
            <w:vAlign w:val="center"/>
          </w:tcPr>
          <w:p w14:paraId="74DFED73">
            <w:pPr>
              <w:spacing w:line="280" w:lineRule="exact"/>
              <w:jc w:val="center"/>
              <w:rPr>
                <w:color w:val="auto"/>
              </w:rPr>
            </w:pPr>
            <w:r>
              <w:rPr>
                <w:color w:val="auto"/>
              </w:rPr>
              <w:t>关心点</w:t>
            </w:r>
          </w:p>
        </w:tc>
        <w:tc>
          <w:tcPr>
            <w:tcW w:w="953" w:type="pct"/>
            <w:tcBorders>
              <w:tl2br w:val="nil"/>
              <w:tr2bl w:val="nil"/>
            </w:tcBorders>
            <w:vAlign w:val="center"/>
          </w:tcPr>
          <w:p w14:paraId="50E31EE4">
            <w:pPr>
              <w:spacing w:line="280" w:lineRule="exact"/>
              <w:jc w:val="center"/>
              <w:rPr>
                <w:color w:val="auto"/>
              </w:rPr>
            </w:pPr>
            <w:r>
              <w:rPr>
                <w:color w:val="auto"/>
              </w:rPr>
              <w:t>最大浓度mg/m</w:t>
            </w:r>
            <w:r>
              <w:rPr>
                <w:color w:val="auto"/>
                <w:vertAlign w:val="superscript"/>
              </w:rPr>
              <w:t>3</w:t>
            </w:r>
          </w:p>
        </w:tc>
        <w:tc>
          <w:tcPr>
            <w:tcW w:w="824" w:type="pct"/>
            <w:tcBorders>
              <w:tl2br w:val="nil"/>
              <w:tr2bl w:val="nil"/>
            </w:tcBorders>
            <w:vAlign w:val="center"/>
          </w:tcPr>
          <w:p w14:paraId="4F3AC460">
            <w:pPr>
              <w:spacing w:line="280" w:lineRule="exact"/>
              <w:jc w:val="center"/>
              <w:rPr>
                <w:color w:val="auto"/>
              </w:rPr>
            </w:pPr>
            <w:r>
              <w:rPr>
                <w:color w:val="auto"/>
              </w:rPr>
              <w:t>出现时间min</w:t>
            </w:r>
          </w:p>
        </w:tc>
        <w:tc>
          <w:tcPr>
            <w:tcW w:w="1060" w:type="pct"/>
            <w:tcBorders>
              <w:tl2br w:val="nil"/>
              <w:tr2bl w:val="nil"/>
            </w:tcBorders>
            <w:vAlign w:val="center"/>
          </w:tcPr>
          <w:p w14:paraId="4568BB9E">
            <w:pPr>
              <w:spacing w:line="280" w:lineRule="exact"/>
              <w:jc w:val="center"/>
              <w:rPr>
                <w:color w:val="auto"/>
              </w:rPr>
            </w:pPr>
            <w:r>
              <w:rPr>
                <w:color w:val="auto"/>
              </w:rPr>
              <w:t>超标持续时间min</w:t>
            </w:r>
          </w:p>
        </w:tc>
      </w:tr>
      <w:tr w14:paraId="7B4375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132" w:type="pct"/>
            <w:tcBorders>
              <w:tl2br w:val="nil"/>
              <w:tr2bl w:val="nil"/>
            </w:tcBorders>
            <w:vAlign w:val="center"/>
          </w:tcPr>
          <w:p w14:paraId="14180D6A">
            <w:pPr>
              <w:spacing w:line="280" w:lineRule="exact"/>
              <w:jc w:val="center"/>
              <w:rPr>
                <w:color w:val="auto"/>
              </w:rPr>
            </w:pPr>
            <w:r>
              <w:rPr>
                <w:color w:val="auto"/>
              </w:rPr>
              <w:t>最</w:t>
            </w:r>
            <w:r>
              <w:rPr>
                <w:rFonts w:hint="eastAsia"/>
                <w:color w:val="auto"/>
                <w:lang w:val="en-US" w:eastAsia="zh-CN"/>
              </w:rPr>
              <w:t>常见</w:t>
            </w:r>
            <w:r>
              <w:rPr>
                <w:color w:val="auto"/>
              </w:rPr>
              <w:t>气象条件</w:t>
            </w:r>
          </w:p>
        </w:tc>
        <w:tc>
          <w:tcPr>
            <w:tcW w:w="1029" w:type="pct"/>
            <w:tcBorders>
              <w:tl2br w:val="nil"/>
              <w:tr2bl w:val="nil"/>
            </w:tcBorders>
            <w:vAlign w:val="center"/>
          </w:tcPr>
          <w:p w14:paraId="4D9C85AB">
            <w:pPr>
              <w:adjustRightInd w:val="0"/>
              <w:snapToGrid w:val="0"/>
              <w:jc w:val="center"/>
              <w:rPr>
                <w:color w:val="auto"/>
              </w:rPr>
            </w:pPr>
            <w:r>
              <w:rPr>
                <w:rFonts w:hint="eastAsia"/>
                <w:color w:val="auto"/>
                <w:kern w:val="0"/>
                <w:szCs w:val="21"/>
                <w:lang w:val="en-US" w:eastAsia="zh-CN"/>
              </w:rPr>
              <w:t>园区宿舍楼</w:t>
            </w:r>
          </w:p>
        </w:tc>
        <w:tc>
          <w:tcPr>
            <w:tcW w:w="953" w:type="pct"/>
            <w:tcBorders>
              <w:tl2br w:val="nil"/>
              <w:tr2bl w:val="nil"/>
            </w:tcBorders>
            <w:vAlign w:val="center"/>
          </w:tcPr>
          <w:p w14:paraId="533B3657">
            <w:pPr>
              <w:spacing w:line="280" w:lineRule="exact"/>
              <w:jc w:val="center"/>
              <w:rPr>
                <w:rFonts w:hint="default" w:ascii="Times New Roman" w:hAnsi="Times New Roman" w:eastAsia="宋体" w:cs="Times New Roman"/>
                <w:color w:val="auto"/>
                <w:lang w:val="en-US" w:eastAsia="zh-CN"/>
              </w:rPr>
            </w:pPr>
            <w:r>
              <w:rPr>
                <w:rFonts w:hint="eastAsia" w:cs="Times New Roman"/>
                <w:color w:val="auto"/>
                <w:lang w:val="en-US" w:eastAsia="zh-CN"/>
              </w:rPr>
              <w:t>1.82</w:t>
            </w:r>
            <w:r>
              <w:rPr>
                <w:rFonts w:hint="eastAsia" w:ascii="Times New Roman" w:hAnsi="Times New Roman" w:eastAsia="宋体" w:cs="Times New Roman"/>
                <w:color w:val="auto"/>
              </w:rPr>
              <w:t>E</w:t>
            </w:r>
            <w:r>
              <w:rPr>
                <w:rFonts w:hint="eastAsia" w:cs="Times New Roman"/>
                <w:color w:val="auto"/>
                <w:lang w:val="en-US" w:eastAsia="zh-CN"/>
              </w:rPr>
              <w:t>+00</w:t>
            </w:r>
          </w:p>
        </w:tc>
        <w:tc>
          <w:tcPr>
            <w:tcW w:w="824" w:type="pct"/>
            <w:tcBorders>
              <w:tl2br w:val="nil"/>
              <w:tr2bl w:val="nil"/>
            </w:tcBorders>
            <w:vAlign w:val="center"/>
          </w:tcPr>
          <w:p w14:paraId="27F4FAF0">
            <w:pPr>
              <w:spacing w:line="280" w:lineRule="exact"/>
              <w:jc w:val="center"/>
              <w:rPr>
                <w:color w:val="auto"/>
              </w:rPr>
            </w:pPr>
            <w:r>
              <w:rPr>
                <w:color w:val="auto"/>
              </w:rPr>
              <w:t>5</w:t>
            </w:r>
          </w:p>
        </w:tc>
        <w:tc>
          <w:tcPr>
            <w:tcW w:w="1060" w:type="pct"/>
            <w:tcBorders>
              <w:tl2br w:val="nil"/>
              <w:tr2bl w:val="nil"/>
            </w:tcBorders>
            <w:vAlign w:val="center"/>
          </w:tcPr>
          <w:p w14:paraId="42D6E6F3">
            <w:pPr>
              <w:spacing w:line="280" w:lineRule="exact"/>
              <w:jc w:val="center"/>
              <w:rPr>
                <w:color w:val="auto"/>
              </w:rPr>
            </w:pPr>
            <w:r>
              <w:rPr>
                <w:color w:val="auto"/>
              </w:rPr>
              <w:t>无</w:t>
            </w:r>
          </w:p>
        </w:tc>
      </w:tr>
    </w:tbl>
    <w:p w14:paraId="3557AC59">
      <w:pPr>
        <w:jc w:val="center"/>
        <w:rPr>
          <w:color w:val="auto"/>
        </w:rPr>
      </w:pPr>
      <w:r>
        <w:rPr>
          <w:color w:val="auto"/>
        </w:rPr>
        <w:drawing>
          <wp:inline distT="0" distB="0" distL="114300" distR="114300">
            <wp:extent cx="4298315" cy="2160270"/>
            <wp:effectExtent l="0" t="0" r="6985" b="1143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64"/>
                    <a:stretch>
                      <a:fillRect/>
                    </a:stretch>
                  </pic:blipFill>
                  <pic:spPr>
                    <a:xfrm>
                      <a:off x="0" y="0"/>
                      <a:ext cx="4298315" cy="2160270"/>
                    </a:xfrm>
                    <a:prstGeom prst="rect">
                      <a:avLst/>
                    </a:prstGeom>
                    <a:noFill/>
                    <a:ln>
                      <a:noFill/>
                    </a:ln>
                  </pic:spPr>
                </pic:pic>
              </a:graphicData>
            </a:graphic>
          </wp:inline>
        </w:drawing>
      </w:r>
    </w:p>
    <w:p w14:paraId="08139276">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12</w:t>
      </w:r>
      <w:r>
        <w:rPr>
          <w:b/>
          <w:bCs/>
          <w:color w:val="auto"/>
          <w:szCs w:val="21"/>
        </w:rPr>
        <w:t xml:space="preserve">  各关心点处氟化氢浓度随时间的变化曲线（最</w:t>
      </w:r>
      <w:r>
        <w:rPr>
          <w:rFonts w:hint="eastAsia"/>
          <w:b/>
          <w:bCs/>
          <w:color w:val="auto"/>
          <w:szCs w:val="21"/>
          <w:lang w:eastAsia="zh-CN"/>
        </w:rPr>
        <w:t>常见</w:t>
      </w:r>
      <w:r>
        <w:rPr>
          <w:b/>
          <w:bCs/>
          <w:color w:val="auto"/>
          <w:szCs w:val="21"/>
        </w:rPr>
        <w:t xml:space="preserve">气象） </w:t>
      </w:r>
    </w:p>
    <w:p w14:paraId="5320DD68">
      <w:pPr>
        <w:spacing w:line="360" w:lineRule="auto"/>
        <w:ind w:firstLine="480" w:firstLineChars="200"/>
        <w:jc w:val="left"/>
        <w:rPr>
          <w:color w:val="auto"/>
          <w:sz w:val="24"/>
        </w:rPr>
      </w:pPr>
      <w:r>
        <w:rPr>
          <w:color w:val="auto"/>
          <w:sz w:val="24"/>
        </w:rPr>
        <w:t>最不利气象条件下，在距排放源中心</w:t>
      </w:r>
      <w:r>
        <w:rPr>
          <w:rFonts w:hint="eastAsia"/>
          <w:color w:val="auto"/>
          <w:sz w:val="24"/>
          <w:lang w:val="en-US" w:eastAsia="zh-CN"/>
        </w:rPr>
        <w:t>310</w:t>
      </w:r>
      <w:r>
        <w:rPr>
          <w:color w:val="auto"/>
          <w:sz w:val="24"/>
        </w:rPr>
        <w:t>m的范围内，氟化氢浓度大于36mg/m</w:t>
      </w:r>
      <w:r>
        <w:rPr>
          <w:color w:val="auto"/>
          <w:sz w:val="24"/>
          <w:vertAlign w:val="superscript"/>
        </w:rPr>
        <w:t>3</w:t>
      </w:r>
      <w:r>
        <w:rPr>
          <w:color w:val="auto"/>
          <w:sz w:val="24"/>
        </w:rPr>
        <w:t>，此范围内氟化氢浓度大于毒性终点浓度1级，此范围能对人群造成生命威胁，主要在本厂区内或周边企业厂区内；在距排放源中心</w:t>
      </w:r>
      <w:r>
        <w:rPr>
          <w:rFonts w:hint="eastAsia"/>
          <w:color w:val="auto"/>
          <w:sz w:val="24"/>
          <w:lang w:val="en-US" w:eastAsia="zh-CN"/>
        </w:rPr>
        <w:t>440</w:t>
      </w:r>
      <w:r>
        <w:rPr>
          <w:color w:val="auto"/>
          <w:sz w:val="24"/>
        </w:rPr>
        <w:t>m的范围内，氟化氢浓度大于</w:t>
      </w:r>
      <w:r>
        <w:rPr>
          <w:rFonts w:hint="eastAsia"/>
          <w:color w:val="auto"/>
          <w:sz w:val="24"/>
          <w:lang w:val="en-US" w:eastAsia="zh-CN"/>
        </w:rPr>
        <w:t>20</w:t>
      </w:r>
      <w:r>
        <w:rPr>
          <w:color w:val="auto"/>
          <w:sz w:val="24"/>
        </w:rPr>
        <w:t>mg/m</w:t>
      </w:r>
      <w:r>
        <w:rPr>
          <w:color w:val="auto"/>
          <w:sz w:val="24"/>
          <w:vertAlign w:val="superscript"/>
        </w:rPr>
        <w:t>3</w:t>
      </w:r>
      <w:r>
        <w:rPr>
          <w:color w:val="auto"/>
          <w:sz w:val="24"/>
        </w:rPr>
        <w:t>，此范围内氟化氢浓度介于毒性终点浓度1级和2级之间，绝大多数人员暴露1h不会对生命造成威胁；在距排放源中心</w:t>
      </w:r>
      <w:r>
        <w:rPr>
          <w:rFonts w:hint="eastAsia"/>
          <w:color w:val="auto"/>
          <w:sz w:val="24"/>
          <w:lang w:val="en-US" w:eastAsia="zh-CN"/>
        </w:rPr>
        <w:t>440</w:t>
      </w:r>
      <w:r>
        <w:rPr>
          <w:color w:val="auto"/>
          <w:sz w:val="24"/>
        </w:rPr>
        <w:t>m的范围外，氟化氢浓度低于毒性终点浓度2级，此范围内暴露1h一般不会对人体造成不可逆的伤害，或出现的症状一般不会损伤该个体采取有效防护措施的能力。</w:t>
      </w:r>
    </w:p>
    <w:p w14:paraId="12B9009A">
      <w:pPr>
        <w:spacing w:line="360" w:lineRule="auto"/>
        <w:ind w:firstLine="480" w:firstLineChars="200"/>
        <w:jc w:val="left"/>
        <w:rPr>
          <w:color w:val="auto"/>
          <w:sz w:val="24"/>
        </w:rPr>
      </w:pPr>
      <w:r>
        <w:rPr>
          <w:color w:val="auto"/>
          <w:sz w:val="24"/>
        </w:rPr>
        <w:t>最</w:t>
      </w:r>
      <w:r>
        <w:rPr>
          <w:rFonts w:hint="eastAsia"/>
          <w:color w:val="auto"/>
          <w:sz w:val="24"/>
          <w:lang w:eastAsia="zh-CN"/>
        </w:rPr>
        <w:t>常见</w:t>
      </w:r>
      <w:r>
        <w:rPr>
          <w:color w:val="auto"/>
          <w:sz w:val="24"/>
        </w:rPr>
        <w:t>气象条件下，在距排放源中心</w:t>
      </w:r>
      <w:r>
        <w:rPr>
          <w:rFonts w:hint="eastAsia"/>
          <w:color w:val="auto"/>
          <w:sz w:val="24"/>
          <w:lang w:val="en-US" w:eastAsia="zh-CN"/>
        </w:rPr>
        <w:t>220</w:t>
      </w:r>
      <w:r>
        <w:rPr>
          <w:color w:val="auto"/>
          <w:sz w:val="24"/>
        </w:rPr>
        <w:t>m的范围内，氟化氢浓度大于36mg/m</w:t>
      </w:r>
      <w:r>
        <w:rPr>
          <w:color w:val="auto"/>
          <w:sz w:val="24"/>
          <w:vertAlign w:val="superscript"/>
        </w:rPr>
        <w:t>3</w:t>
      </w:r>
      <w:r>
        <w:rPr>
          <w:color w:val="auto"/>
          <w:sz w:val="24"/>
        </w:rPr>
        <w:t>，此范围内氟化氢浓度大于毒性终点浓度1级，此范围能对人群造成生命威胁，主要在本厂区内或周边企业厂区内；在距排放源中心</w:t>
      </w:r>
      <w:r>
        <w:rPr>
          <w:rFonts w:hint="eastAsia"/>
          <w:color w:val="auto"/>
          <w:sz w:val="24"/>
          <w:lang w:val="en-US" w:eastAsia="zh-CN"/>
        </w:rPr>
        <w:t>310</w:t>
      </w:r>
      <w:r>
        <w:rPr>
          <w:color w:val="auto"/>
          <w:sz w:val="24"/>
        </w:rPr>
        <w:t>m的范围内，氟化氢浓度大于</w:t>
      </w:r>
      <w:r>
        <w:rPr>
          <w:rFonts w:hint="eastAsia"/>
          <w:color w:val="auto"/>
          <w:sz w:val="24"/>
          <w:lang w:val="en-US" w:eastAsia="zh-CN"/>
        </w:rPr>
        <w:t>20</w:t>
      </w:r>
      <w:r>
        <w:rPr>
          <w:color w:val="auto"/>
          <w:sz w:val="24"/>
        </w:rPr>
        <w:t>mg/m</w:t>
      </w:r>
      <w:r>
        <w:rPr>
          <w:color w:val="auto"/>
          <w:sz w:val="24"/>
          <w:vertAlign w:val="superscript"/>
        </w:rPr>
        <w:t>3</w:t>
      </w:r>
      <w:r>
        <w:rPr>
          <w:color w:val="auto"/>
          <w:sz w:val="24"/>
        </w:rPr>
        <w:t>，此范围内氟化氢浓度介于毒性终点浓度1级和2级之间，绝大多数人员暴露1h不会对生命造成威胁；在距排放源中心</w:t>
      </w:r>
      <w:r>
        <w:rPr>
          <w:rFonts w:hint="eastAsia"/>
          <w:color w:val="auto"/>
          <w:sz w:val="24"/>
          <w:lang w:val="en-US" w:eastAsia="zh-CN"/>
        </w:rPr>
        <w:t>310</w:t>
      </w:r>
      <w:r>
        <w:rPr>
          <w:color w:val="auto"/>
          <w:sz w:val="24"/>
        </w:rPr>
        <w:t>m的范围外，氟化氢浓度低于毒性终点浓度2级，此范围内暴露1h一般不会对人体造成不可逆的伤害，或出现的症状一般不会损伤该个体采取有效防护措施的能力。</w:t>
      </w:r>
    </w:p>
    <w:p w14:paraId="377F67F2">
      <w:pPr>
        <w:spacing w:line="360" w:lineRule="auto"/>
        <w:ind w:firstLine="480" w:firstLineChars="200"/>
        <w:jc w:val="left"/>
        <w:rPr>
          <w:color w:val="auto"/>
          <w:sz w:val="24"/>
        </w:rPr>
      </w:pPr>
      <w:r>
        <w:rPr>
          <w:color w:val="auto"/>
          <w:sz w:val="24"/>
        </w:rPr>
        <w:t>根据预测结果，在最不利的情况下敏感点污染物浓度均小于大气毒性终点浓度-2，因此泄漏氟化氢对周边大气环境风险影响较小。</w:t>
      </w:r>
    </w:p>
    <w:p w14:paraId="66C7B2BE">
      <w:pPr>
        <w:spacing w:line="360" w:lineRule="auto"/>
        <w:ind w:firstLine="480" w:firstLineChars="200"/>
        <w:rPr>
          <w:rFonts w:hint="eastAsia" w:eastAsia="宋体"/>
          <w:color w:val="auto"/>
          <w:sz w:val="24"/>
          <w:lang w:eastAsia="zh-CN"/>
        </w:rPr>
      </w:pPr>
      <w:r>
        <w:rPr>
          <w:rFonts w:hint="eastAsia"/>
          <w:color w:val="auto"/>
          <w:sz w:val="24"/>
          <w:lang w:val="en-US" w:eastAsia="zh-CN"/>
        </w:rPr>
        <w:t>C</w:t>
      </w:r>
      <w:r>
        <w:rPr>
          <w:color w:val="auto"/>
          <w:sz w:val="24"/>
        </w:rPr>
        <w:t>、</w:t>
      </w:r>
      <w:r>
        <w:rPr>
          <w:rFonts w:hint="eastAsia"/>
          <w:color w:val="auto"/>
          <w:sz w:val="24"/>
          <w:lang w:val="en-US" w:eastAsia="zh-CN"/>
        </w:rPr>
        <w:t>盐酸</w:t>
      </w:r>
    </w:p>
    <w:p w14:paraId="084517A0">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11</w:t>
      </w:r>
      <w:r>
        <w:rPr>
          <w:b/>
          <w:bCs/>
          <w:color w:val="auto"/>
          <w:szCs w:val="21"/>
        </w:rPr>
        <w:t xml:space="preserve">  </w:t>
      </w:r>
      <w:r>
        <w:rPr>
          <w:rFonts w:hint="eastAsia"/>
          <w:b/>
          <w:bCs/>
          <w:color w:val="auto"/>
          <w:szCs w:val="21"/>
          <w:lang w:eastAsia="zh-CN"/>
        </w:rPr>
        <w:t>盐酸</w:t>
      </w:r>
      <w:r>
        <w:rPr>
          <w:b/>
          <w:bCs/>
          <w:color w:val="auto"/>
          <w:szCs w:val="21"/>
        </w:rPr>
        <w:t>泄漏预测后果信息表</w:t>
      </w:r>
    </w:p>
    <w:tbl>
      <w:tblPr>
        <w:tblStyle w:val="3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2236"/>
        <w:gridCol w:w="1809"/>
        <w:gridCol w:w="1874"/>
        <w:gridCol w:w="1667"/>
      </w:tblGrid>
      <w:tr w14:paraId="40AE4F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blHeader/>
        </w:trPr>
        <w:tc>
          <w:tcPr>
            <w:tcW w:w="896" w:type="pct"/>
            <w:vAlign w:val="center"/>
          </w:tcPr>
          <w:p w14:paraId="74E9A381">
            <w:pPr>
              <w:spacing w:line="280" w:lineRule="exact"/>
              <w:jc w:val="center"/>
              <w:rPr>
                <w:color w:val="auto"/>
                <w:lang w:val="en-GB"/>
              </w:rPr>
            </w:pPr>
            <w:r>
              <w:rPr>
                <w:color w:val="auto"/>
                <w:lang w:val="en-GB"/>
              </w:rPr>
              <w:t>预测气象条件</w:t>
            </w:r>
          </w:p>
        </w:tc>
        <w:tc>
          <w:tcPr>
            <w:tcW w:w="1209" w:type="pct"/>
            <w:vAlign w:val="center"/>
          </w:tcPr>
          <w:p w14:paraId="1D0CC5E0">
            <w:pPr>
              <w:spacing w:line="280" w:lineRule="exact"/>
              <w:jc w:val="center"/>
              <w:rPr>
                <w:color w:val="auto"/>
                <w:lang w:val="en-GB"/>
              </w:rPr>
            </w:pPr>
            <w:r>
              <w:rPr>
                <w:color w:val="auto"/>
                <w:lang w:val="en-GB"/>
              </w:rPr>
              <w:t>指标</w:t>
            </w:r>
          </w:p>
        </w:tc>
        <w:tc>
          <w:tcPr>
            <w:tcW w:w="978" w:type="pct"/>
            <w:vAlign w:val="center"/>
          </w:tcPr>
          <w:p w14:paraId="1CA712C6">
            <w:pPr>
              <w:spacing w:line="280" w:lineRule="exact"/>
              <w:jc w:val="center"/>
              <w:rPr>
                <w:color w:val="auto"/>
                <w:lang w:val="en-GB"/>
              </w:rPr>
            </w:pPr>
            <w:r>
              <w:rPr>
                <w:color w:val="auto"/>
                <w:lang w:val="en-GB"/>
              </w:rPr>
              <w:t>浓度值(</w:t>
            </w:r>
            <w:r>
              <w:rPr>
                <w:color w:val="auto"/>
              </w:rPr>
              <w:t>mg/m</w:t>
            </w:r>
            <w:r>
              <w:rPr>
                <w:color w:val="auto"/>
                <w:vertAlign w:val="superscript"/>
              </w:rPr>
              <w:t>3</w:t>
            </w:r>
            <w:r>
              <w:rPr>
                <w:color w:val="auto"/>
                <w:lang w:val="en-GB"/>
              </w:rPr>
              <w:t>)</w:t>
            </w:r>
          </w:p>
        </w:tc>
        <w:tc>
          <w:tcPr>
            <w:tcW w:w="1013" w:type="pct"/>
            <w:vAlign w:val="center"/>
          </w:tcPr>
          <w:p w14:paraId="1B380421">
            <w:pPr>
              <w:spacing w:line="280" w:lineRule="exact"/>
              <w:jc w:val="center"/>
              <w:rPr>
                <w:color w:val="auto"/>
                <w:lang w:val="en-GB"/>
              </w:rPr>
            </w:pPr>
            <w:r>
              <w:rPr>
                <w:color w:val="auto"/>
                <w:lang w:val="en-GB"/>
              </w:rPr>
              <w:t>最远影响距离(m)</w:t>
            </w:r>
          </w:p>
        </w:tc>
        <w:tc>
          <w:tcPr>
            <w:tcW w:w="901" w:type="pct"/>
            <w:vAlign w:val="center"/>
          </w:tcPr>
          <w:p w14:paraId="6751F83A">
            <w:pPr>
              <w:spacing w:line="280" w:lineRule="exact"/>
              <w:jc w:val="center"/>
              <w:rPr>
                <w:color w:val="auto"/>
                <w:lang w:val="en-GB"/>
              </w:rPr>
            </w:pPr>
            <w:r>
              <w:rPr>
                <w:color w:val="auto"/>
                <w:lang w:val="en-GB"/>
              </w:rPr>
              <w:t>达到时间(min)</w:t>
            </w:r>
          </w:p>
        </w:tc>
      </w:tr>
      <w:tr w14:paraId="4A75F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96" w:type="pct"/>
            <w:vMerge w:val="restart"/>
            <w:vAlign w:val="center"/>
          </w:tcPr>
          <w:p w14:paraId="2716A82E">
            <w:pPr>
              <w:spacing w:line="280" w:lineRule="exact"/>
              <w:jc w:val="center"/>
              <w:rPr>
                <w:color w:val="auto"/>
                <w:lang w:val="en-GB"/>
              </w:rPr>
            </w:pPr>
            <w:r>
              <w:rPr>
                <w:color w:val="auto"/>
                <w:lang w:val="en-GB"/>
              </w:rPr>
              <w:t>最不利气象条件</w:t>
            </w:r>
          </w:p>
        </w:tc>
        <w:tc>
          <w:tcPr>
            <w:tcW w:w="1209" w:type="pct"/>
            <w:vAlign w:val="center"/>
          </w:tcPr>
          <w:p w14:paraId="1FEC9A0C">
            <w:pPr>
              <w:spacing w:line="280" w:lineRule="exact"/>
              <w:jc w:val="center"/>
              <w:rPr>
                <w:color w:val="auto"/>
                <w:lang w:val="en-GB"/>
              </w:rPr>
            </w:pPr>
            <w:r>
              <w:rPr>
                <w:color w:val="auto"/>
                <w:lang w:val="en-GB"/>
              </w:rPr>
              <w:t>大气毒性终点浓度-1</w:t>
            </w:r>
          </w:p>
        </w:tc>
        <w:tc>
          <w:tcPr>
            <w:tcW w:w="978" w:type="pct"/>
            <w:vAlign w:val="center"/>
          </w:tcPr>
          <w:p w14:paraId="5CDE5DF0">
            <w:pPr>
              <w:spacing w:line="280" w:lineRule="exact"/>
              <w:jc w:val="center"/>
              <w:rPr>
                <w:rFonts w:hint="default" w:eastAsia="宋体"/>
                <w:color w:val="auto"/>
                <w:lang w:val="en-US" w:eastAsia="zh-CN"/>
              </w:rPr>
            </w:pPr>
            <w:r>
              <w:rPr>
                <w:rFonts w:hint="eastAsia"/>
                <w:color w:val="auto"/>
                <w:lang w:val="en-US" w:eastAsia="zh-CN"/>
              </w:rPr>
              <w:t>150</w:t>
            </w:r>
          </w:p>
        </w:tc>
        <w:tc>
          <w:tcPr>
            <w:tcW w:w="1013" w:type="pct"/>
            <w:vAlign w:val="center"/>
          </w:tcPr>
          <w:p w14:paraId="51FAE732">
            <w:pPr>
              <w:spacing w:line="280" w:lineRule="exact"/>
              <w:jc w:val="center"/>
              <w:rPr>
                <w:rFonts w:hint="default" w:eastAsia="宋体"/>
                <w:color w:val="auto"/>
                <w:lang w:val="en-US" w:eastAsia="zh-CN"/>
              </w:rPr>
            </w:pPr>
            <w:r>
              <w:rPr>
                <w:rFonts w:hint="eastAsia"/>
                <w:color w:val="auto"/>
                <w:lang w:val="en-US" w:eastAsia="zh-CN"/>
              </w:rPr>
              <w:t>110</w:t>
            </w:r>
          </w:p>
        </w:tc>
        <w:tc>
          <w:tcPr>
            <w:tcW w:w="901" w:type="pct"/>
            <w:vAlign w:val="center"/>
          </w:tcPr>
          <w:p w14:paraId="4A3E94E8">
            <w:pPr>
              <w:spacing w:line="280" w:lineRule="exact"/>
              <w:jc w:val="center"/>
              <w:rPr>
                <w:rFonts w:hint="default" w:eastAsia="宋体"/>
                <w:color w:val="auto"/>
                <w:lang w:val="en-US" w:eastAsia="zh-CN"/>
              </w:rPr>
            </w:pPr>
            <w:r>
              <w:rPr>
                <w:rFonts w:hint="eastAsia"/>
                <w:color w:val="auto"/>
                <w:lang w:val="en-US" w:eastAsia="zh-CN"/>
              </w:rPr>
              <w:t>1.2</w:t>
            </w:r>
          </w:p>
        </w:tc>
      </w:tr>
      <w:tr w14:paraId="32F668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96" w:type="pct"/>
            <w:vMerge w:val="continue"/>
            <w:vAlign w:val="center"/>
          </w:tcPr>
          <w:p w14:paraId="48FA22D6">
            <w:pPr>
              <w:spacing w:line="280" w:lineRule="exact"/>
              <w:jc w:val="center"/>
              <w:rPr>
                <w:color w:val="auto"/>
                <w:lang w:val="en-GB"/>
              </w:rPr>
            </w:pPr>
          </w:p>
        </w:tc>
        <w:tc>
          <w:tcPr>
            <w:tcW w:w="1209" w:type="pct"/>
            <w:vAlign w:val="center"/>
          </w:tcPr>
          <w:p w14:paraId="75E9C3C5">
            <w:pPr>
              <w:spacing w:line="280" w:lineRule="exact"/>
              <w:jc w:val="center"/>
              <w:rPr>
                <w:color w:val="auto"/>
                <w:lang w:val="en-GB"/>
              </w:rPr>
            </w:pPr>
            <w:r>
              <w:rPr>
                <w:color w:val="auto"/>
                <w:lang w:val="en-GB"/>
              </w:rPr>
              <w:t>大气毒性终点浓度-2</w:t>
            </w:r>
          </w:p>
        </w:tc>
        <w:tc>
          <w:tcPr>
            <w:tcW w:w="978" w:type="pct"/>
            <w:vAlign w:val="center"/>
          </w:tcPr>
          <w:p w14:paraId="381EEC41">
            <w:pPr>
              <w:spacing w:line="280" w:lineRule="exact"/>
              <w:jc w:val="center"/>
              <w:rPr>
                <w:rFonts w:hint="default" w:eastAsia="宋体"/>
                <w:color w:val="auto"/>
                <w:lang w:val="en-US" w:eastAsia="zh-CN"/>
              </w:rPr>
            </w:pPr>
            <w:r>
              <w:rPr>
                <w:rFonts w:hint="eastAsia"/>
                <w:color w:val="auto"/>
                <w:lang w:val="en-US" w:eastAsia="zh-CN"/>
              </w:rPr>
              <w:t>33</w:t>
            </w:r>
          </w:p>
        </w:tc>
        <w:tc>
          <w:tcPr>
            <w:tcW w:w="1013" w:type="pct"/>
            <w:vAlign w:val="center"/>
          </w:tcPr>
          <w:p w14:paraId="65039005">
            <w:pPr>
              <w:spacing w:line="280" w:lineRule="exact"/>
              <w:jc w:val="center"/>
              <w:rPr>
                <w:rFonts w:hint="default" w:eastAsia="宋体"/>
                <w:color w:val="auto"/>
                <w:lang w:val="en-US" w:eastAsia="zh-CN"/>
              </w:rPr>
            </w:pPr>
            <w:r>
              <w:rPr>
                <w:rFonts w:hint="eastAsia"/>
                <w:color w:val="auto"/>
                <w:lang w:val="en-US" w:eastAsia="zh-CN"/>
              </w:rPr>
              <w:t>290</w:t>
            </w:r>
          </w:p>
        </w:tc>
        <w:tc>
          <w:tcPr>
            <w:tcW w:w="901" w:type="pct"/>
            <w:vAlign w:val="center"/>
          </w:tcPr>
          <w:p w14:paraId="57311F61">
            <w:pPr>
              <w:spacing w:line="280" w:lineRule="exact"/>
              <w:jc w:val="center"/>
              <w:rPr>
                <w:rFonts w:hint="default" w:eastAsia="宋体"/>
                <w:color w:val="auto"/>
                <w:lang w:val="en-US" w:eastAsia="zh-CN"/>
              </w:rPr>
            </w:pPr>
            <w:r>
              <w:rPr>
                <w:rFonts w:hint="eastAsia"/>
                <w:color w:val="auto"/>
                <w:lang w:val="en-US" w:eastAsia="zh-CN"/>
              </w:rPr>
              <w:t>3.3</w:t>
            </w:r>
          </w:p>
        </w:tc>
      </w:tr>
      <w:tr w14:paraId="7FC27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96" w:type="pct"/>
            <w:vMerge w:val="restart"/>
            <w:vAlign w:val="center"/>
          </w:tcPr>
          <w:p w14:paraId="206941BD">
            <w:pPr>
              <w:spacing w:line="280" w:lineRule="exact"/>
              <w:jc w:val="center"/>
              <w:rPr>
                <w:color w:val="auto"/>
                <w:lang w:val="en-GB"/>
              </w:rPr>
            </w:pPr>
            <w:r>
              <w:rPr>
                <w:color w:val="auto"/>
              </w:rPr>
              <w:t>最</w:t>
            </w:r>
            <w:r>
              <w:rPr>
                <w:rFonts w:hint="eastAsia"/>
                <w:color w:val="auto"/>
                <w:lang w:eastAsia="zh-CN"/>
              </w:rPr>
              <w:t>常见</w:t>
            </w:r>
            <w:r>
              <w:rPr>
                <w:color w:val="auto"/>
              </w:rPr>
              <w:t>气象条件</w:t>
            </w:r>
          </w:p>
        </w:tc>
        <w:tc>
          <w:tcPr>
            <w:tcW w:w="1209" w:type="pct"/>
            <w:shd w:val="clear" w:color="auto" w:fill="auto"/>
            <w:vAlign w:val="center"/>
          </w:tcPr>
          <w:p w14:paraId="1D994777">
            <w:pPr>
              <w:spacing w:line="280" w:lineRule="exact"/>
              <w:jc w:val="center"/>
              <w:rPr>
                <w:rFonts w:ascii="Times New Roman" w:hAnsi="Times New Roman" w:eastAsia="宋体" w:cs="Times New Roman"/>
                <w:color w:val="auto"/>
                <w:kern w:val="2"/>
                <w:sz w:val="21"/>
                <w:szCs w:val="24"/>
                <w:lang w:val="en-GB" w:eastAsia="zh-CN" w:bidi="ar-SA"/>
              </w:rPr>
            </w:pPr>
            <w:r>
              <w:rPr>
                <w:color w:val="auto"/>
                <w:lang w:val="en-GB"/>
              </w:rPr>
              <w:t>大气毒性终点浓度-1</w:t>
            </w:r>
          </w:p>
        </w:tc>
        <w:tc>
          <w:tcPr>
            <w:tcW w:w="978" w:type="pct"/>
            <w:shd w:val="clear" w:color="auto" w:fill="auto"/>
            <w:vAlign w:val="center"/>
          </w:tcPr>
          <w:p w14:paraId="5A73D15A">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150</w:t>
            </w:r>
          </w:p>
        </w:tc>
        <w:tc>
          <w:tcPr>
            <w:tcW w:w="1013" w:type="pct"/>
            <w:vAlign w:val="center"/>
          </w:tcPr>
          <w:p w14:paraId="37ED0DF1">
            <w:pPr>
              <w:spacing w:line="280" w:lineRule="exact"/>
              <w:jc w:val="center"/>
              <w:rPr>
                <w:rFonts w:hint="default" w:eastAsia="宋体"/>
                <w:color w:val="auto"/>
                <w:lang w:val="en-US" w:eastAsia="zh-CN"/>
              </w:rPr>
            </w:pPr>
            <w:r>
              <w:rPr>
                <w:rFonts w:hint="eastAsia"/>
                <w:color w:val="auto"/>
                <w:lang w:val="en-US" w:eastAsia="zh-CN"/>
              </w:rPr>
              <w:t>50</w:t>
            </w:r>
          </w:p>
        </w:tc>
        <w:tc>
          <w:tcPr>
            <w:tcW w:w="901" w:type="pct"/>
            <w:vAlign w:val="center"/>
          </w:tcPr>
          <w:p w14:paraId="582E114C">
            <w:pPr>
              <w:spacing w:line="280" w:lineRule="exact"/>
              <w:jc w:val="center"/>
              <w:rPr>
                <w:rFonts w:hint="default" w:eastAsia="宋体"/>
                <w:color w:val="auto"/>
                <w:lang w:val="en-US" w:eastAsia="zh-CN"/>
              </w:rPr>
            </w:pPr>
            <w:r>
              <w:rPr>
                <w:rFonts w:hint="eastAsia"/>
                <w:color w:val="auto"/>
                <w:lang w:val="en-US" w:eastAsia="zh-CN"/>
              </w:rPr>
              <w:t>0.3</w:t>
            </w:r>
          </w:p>
        </w:tc>
      </w:tr>
      <w:tr w14:paraId="77D542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96" w:type="pct"/>
            <w:vMerge w:val="continue"/>
            <w:vAlign w:val="center"/>
          </w:tcPr>
          <w:p w14:paraId="5EA2297C">
            <w:pPr>
              <w:spacing w:line="280" w:lineRule="exact"/>
              <w:jc w:val="center"/>
              <w:rPr>
                <w:color w:val="auto"/>
                <w:lang w:val="en-GB"/>
              </w:rPr>
            </w:pPr>
          </w:p>
        </w:tc>
        <w:tc>
          <w:tcPr>
            <w:tcW w:w="1209" w:type="pct"/>
            <w:shd w:val="clear" w:color="auto" w:fill="auto"/>
            <w:vAlign w:val="center"/>
          </w:tcPr>
          <w:p w14:paraId="78A70407">
            <w:pPr>
              <w:spacing w:line="280" w:lineRule="exact"/>
              <w:jc w:val="center"/>
              <w:rPr>
                <w:rFonts w:ascii="Times New Roman" w:hAnsi="Times New Roman" w:eastAsia="宋体" w:cs="Times New Roman"/>
                <w:color w:val="auto"/>
                <w:kern w:val="2"/>
                <w:sz w:val="21"/>
                <w:szCs w:val="24"/>
                <w:lang w:val="en-GB" w:eastAsia="zh-CN" w:bidi="ar-SA"/>
              </w:rPr>
            </w:pPr>
            <w:r>
              <w:rPr>
                <w:color w:val="auto"/>
                <w:lang w:val="en-GB"/>
              </w:rPr>
              <w:t>大气毒性终点浓度-2</w:t>
            </w:r>
          </w:p>
        </w:tc>
        <w:tc>
          <w:tcPr>
            <w:tcW w:w="978" w:type="pct"/>
            <w:shd w:val="clear" w:color="auto" w:fill="auto"/>
            <w:vAlign w:val="center"/>
          </w:tcPr>
          <w:p w14:paraId="1CE21147">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33</w:t>
            </w:r>
          </w:p>
        </w:tc>
        <w:tc>
          <w:tcPr>
            <w:tcW w:w="1013" w:type="pct"/>
            <w:vAlign w:val="center"/>
          </w:tcPr>
          <w:p w14:paraId="60D68A7A">
            <w:pPr>
              <w:spacing w:line="280" w:lineRule="exact"/>
              <w:jc w:val="center"/>
              <w:rPr>
                <w:rFonts w:hint="default" w:eastAsia="宋体"/>
                <w:color w:val="auto"/>
                <w:lang w:val="en-US" w:eastAsia="zh-CN"/>
              </w:rPr>
            </w:pPr>
            <w:r>
              <w:rPr>
                <w:rFonts w:hint="eastAsia"/>
                <w:color w:val="auto"/>
                <w:lang w:val="en-US" w:eastAsia="zh-CN"/>
              </w:rPr>
              <w:t>120</w:t>
            </w:r>
          </w:p>
        </w:tc>
        <w:tc>
          <w:tcPr>
            <w:tcW w:w="901" w:type="pct"/>
            <w:vAlign w:val="center"/>
          </w:tcPr>
          <w:p w14:paraId="47860928">
            <w:pPr>
              <w:spacing w:line="280" w:lineRule="exact"/>
              <w:jc w:val="center"/>
              <w:rPr>
                <w:rFonts w:hint="default" w:eastAsia="宋体"/>
                <w:color w:val="auto"/>
                <w:lang w:val="en-US" w:eastAsia="zh-CN"/>
              </w:rPr>
            </w:pPr>
            <w:r>
              <w:rPr>
                <w:rFonts w:hint="eastAsia"/>
                <w:color w:val="auto"/>
                <w:lang w:val="en-US" w:eastAsia="zh-CN"/>
              </w:rPr>
              <w:t>0.8</w:t>
            </w:r>
          </w:p>
        </w:tc>
      </w:tr>
    </w:tbl>
    <w:p w14:paraId="1C8F8F1A">
      <w:pPr>
        <w:spacing w:before="60"/>
        <w:jc w:val="center"/>
        <w:rPr>
          <w:color w:val="auto"/>
        </w:rPr>
      </w:pPr>
      <w:r>
        <w:rPr>
          <w:color w:val="auto"/>
        </w:rPr>
        <w:drawing>
          <wp:inline distT="0" distB="0" distL="114300" distR="114300">
            <wp:extent cx="3568700" cy="2160270"/>
            <wp:effectExtent l="0" t="0" r="12700" b="11430"/>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pic:cNvPicPr>
                      <a:picLocks noChangeAspect="1"/>
                    </pic:cNvPicPr>
                  </pic:nvPicPr>
                  <pic:blipFill>
                    <a:blip r:embed="rId65"/>
                    <a:stretch>
                      <a:fillRect/>
                    </a:stretch>
                  </pic:blipFill>
                  <pic:spPr>
                    <a:xfrm>
                      <a:off x="0" y="0"/>
                      <a:ext cx="3568700" cy="2160270"/>
                    </a:xfrm>
                    <a:prstGeom prst="rect">
                      <a:avLst/>
                    </a:prstGeom>
                    <a:noFill/>
                    <a:ln>
                      <a:noFill/>
                    </a:ln>
                  </pic:spPr>
                </pic:pic>
              </a:graphicData>
            </a:graphic>
          </wp:inline>
        </w:drawing>
      </w:r>
    </w:p>
    <w:p w14:paraId="67F73F84">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13</w:t>
      </w:r>
      <w:r>
        <w:rPr>
          <w:b/>
          <w:bCs/>
          <w:color w:val="auto"/>
          <w:szCs w:val="21"/>
        </w:rPr>
        <w:t xml:space="preserve">  </w:t>
      </w:r>
      <w:r>
        <w:rPr>
          <w:rFonts w:hint="eastAsia"/>
          <w:b/>
          <w:bCs/>
          <w:color w:val="auto"/>
          <w:szCs w:val="21"/>
          <w:lang w:val="en-US" w:eastAsia="zh-CN"/>
        </w:rPr>
        <w:t>盐酸泄漏</w:t>
      </w:r>
      <w:r>
        <w:rPr>
          <w:b/>
          <w:bCs/>
          <w:color w:val="auto"/>
          <w:szCs w:val="21"/>
        </w:rPr>
        <w:t>预测结果图(最不利气象条件)</w:t>
      </w:r>
    </w:p>
    <w:p w14:paraId="0D28176D">
      <w:pPr>
        <w:spacing w:line="360" w:lineRule="auto"/>
        <w:jc w:val="center"/>
        <w:rPr>
          <w:color w:val="auto"/>
        </w:rPr>
      </w:pPr>
      <w:r>
        <w:rPr>
          <w:color w:val="auto"/>
        </w:rPr>
        <w:drawing>
          <wp:inline distT="0" distB="0" distL="114300" distR="114300">
            <wp:extent cx="4298315" cy="2160270"/>
            <wp:effectExtent l="0" t="0" r="6985" b="11430"/>
            <wp:docPr id="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pic:cNvPicPr>
                      <a:picLocks noChangeAspect="1"/>
                    </pic:cNvPicPr>
                  </pic:nvPicPr>
                  <pic:blipFill>
                    <a:blip r:embed="rId66"/>
                    <a:stretch>
                      <a:fillRect/>
                    </a:stretch>
                  </pic:blipFill>
                  <pic:spPr>
                    <a:xfrm>
                      <a:off x="0" y="0"/>
                      <a:ext cx="4298315" cy="2160270"/>
                    </a:xfrm>
                    <a:prstGeom prst="rect">
                      <a:avLst/>
                    </a:prstGeom>
                    <a:noFill/>
                    <a:ln>
                      <a:noFill/>
                    </a:ln>
                  </pic:spPr>
                </pic:pic>
              </a:graphicData>
            </a:graphic>
          </wp:inline>
        </w:drawing>
      </w:r>
    </w:p>
    <w:p w14:paraId="59ACCF71">
      <w:pPr>
        <w:adjustRightInd w:val="0"/>
        <w:snapToGrid w:val="0"/>
        <w:spacing w:beforeLines="25" w:afterLines="25"/>
        <w:ind w:firstLine="422"/>
        <w:jc w:val="center"/>
        <w:outlineLvl w:val="3"/>
        <w:rPr>
          <w:b/>
          <w:bCs/>
          <w:color w:val="auto"/>
          <w:szCs w:val="21"/>
        </w:rPr>
      </w:pPr>
      <w:r>
        <w:rPr>
          <w:rFonts w:hint="eastAsia"/>
          <w:b/>
          <w:bCs/>
          <w:color w:val="auto"/>
          <w:szCs w:val="21"/>
          <w:lang w:val="en-US" w:eastAsia="zh-CN"/>
        </w:rPr>
        <w:t>图7.9-14</w:t>
      </w:r>
      <w:r>
        <w:rPr>
          <w:b/>
          <w:bCs/>
          <w:color w:val="auto"/>
          <w:szCs w:val="21"/>
        </w:rPr>
        <w:t xml:space="preserve">  </w:t>
      </w:r>
      <w:r>
        <w:rPr>
          <w:rFonts w:hint="eastAsia"/>
          <w:b/>
          <w:bCs/>
          <w:color w:val="auto"/>
          <w:szCs w:val="21"/>
          <w:lang w:eastAsia="zh-CN"/>
        </w:rPr>
        <w:t>氯化氢</w:t>
      </w:r>
      <w:r>
        <w:rPr>
          <w:b/>
          <w:bCs/>
          <w:color w:val="auto"/>
          <w:szCs w:val="21"/>
        </w:rPr>
        <w:t>下风向不同距离处最大浓度图(最不利气象条件)</w:t>
      </w:r>
    </w:p>
    <w:p w14:paraId="4CADF8E1">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12</w:t>
      </w:r>
      <w:r>
        <w:rPr>
          <w:b/>
          <w:bCs/>
          <w:color w:val="auto"/>
          <w:szCs w:val="21"/>
        </w:rPr>
        <w:t xml:space="preserve">  </w:t>
      </w:r>
      <w:r>
        <w:rPr>
          <w:rFonts w:hint="eastAsia"/>
          <w:b/>
          <w:bCs/>
          <w:color w:val="auto"/>
          <w:szCs w:val="21"/>
          <w:lang w:eastAsia="zh-CN"/>
        </w:rPr>
        <w:t>氯化氢</w:t>
      </w:r>
      <w:r>
        <w:rPr>
          <w:b/>
          <w:bCs/>
          <w:color w:val="auto"/>
          <w:szCs w:val="21"/>
        </w:rPr>
        <w:t>各关心点处浓度超标及持续时间表</w:t>
      </w:r>
    </w:p>
    <w:tbl>
      <w:tblPr>
        <w:tblStyle w:val="32"/>
        <w:tblW w:w="499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969"/>
        <w:gridCol w:w="2019"/>
        <w:gridCol w:w="1759"/>
        <w:gridCol w:w="1521"/>
        <w:gridCol w:w="1957"/>
      </w:tblGrid>
      <w:tr w14:paraId="454683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067" w:type="pct"/>
            <w:tcBorders>
              <w:tl2br w:val="nil"/>
              <w:tr2bl w:val="nil"/>
            </w:tcBorders>
            <w:vAlign w:val="center"/>
          </w:tcPr>
          <w:p w14:paraId="16A4F577">
            <w:pPr>
              <w:spacing w:line="280" w:lineRule="exact"/>
              <w:jc w:val="center"/>
              <w:rPr>
                <w:color w:val="auto"/>
              </w:rPr>
            </w:pPr>
            <w:r>
              <w:rPr>
                <w:color w:val="auto"/>
              </w:rPr>
              <w:t>气象条件</w:t>
            </w:r>
          </w:p>
        </w:tc>
        <w:tc>
          <w:tcPr>
            <w:tcW w:w="1094" w:type="pct"/>
            <w:tcBorders>
              <w:tl2br w:val="nil"/>
              <w:tr2bl w:val="nil"/>
            </w:tcBorders>
            <w:vAlign w:val="center"/>
          </w:tcPr>
          <w:p w14:paraId="4A649FDB">
            <w:pPr>
              <w:spacing w:line="280" w:lineRule="exact"/>
              <w:jc w:val="center"/>
              <w:rPr>
                <w:color w:val="auto"/>
              </w:rPr>
            </w:pPr>
            <w:r>
              <w:rPr>
                <w:color w:val="auto"/>
              </w:rPr>
              <w:t>关心点</w:t>
            </w:r>
          </w:p>
        </w:tc>
        <w:tc>
          <w:tcPr>
            <w:tcW w:w="953" w:type="pct"/>
            <w:tcBorders>
              <w:tl2br w:val="nil"/>
              <w:tr2bl w:val="nil"/>
            </w:tcBorders>
            <w:vAlign w:val="center"/>
          </w:tcPr>
          <w:p w14:paraId="49A70A12">
            <w:pPr>
              <w:spacing w:line="280" w:lineRule="exact"/>
              <w:jc w:val="center"/>
              <w:rPr>
                <w:color w:val="auto"/>
              </w:rPr>
            </w:pPr>
            <w:r>
              <w:rPr>
                <w:color w:val="auto"/>
              </w:rPr>
              <w:t>最大浓度mg/m</w:t>
            </w:r>
            <w:r>
              <w:rPr>
                <w:color w:val="auto"/>
                <w:vertAlign w:val="superscript"/>
              </w:rPr>
              <w:t>3</w:t>
            </w:r>
          </w:p>
        </w:tc>
        <w:tc>
          <w:tcPr>
            <w:tcW w:w="824" w:type="pct"/>
            <w:tcBorders>
              <w:tl2br w:val="nil"/>
              <w:tr2bl w:val="nil"/>
            </w:tcBorders>
            <w:vAlign w:val="center"/>
          </w:tcPr>
          <w:p w14:paraId="3D40AD91">
            <w:pPr>
              <w:spacing w:line="280" w:lineRule="exact"/>
              <w:jc w:val="center"/>
              <w:rPr>
                <w:color w:val="auto"/>
              </w:rPr>
            </w:pPr>
            <w:r>
              <w:rPr>
                <w:color w:val="auto"/>
              </w:rPr>
              <w:t>出现时间min</w:t>
            </w:r>
          </w:p>
        </w:tc>
        <w:tc>
          <w:tcPr>
            <w:tcW w:w="1060" w:type="pct"/>
            <w:tcBorders>
              <w:tl2br w:val="nil"/>
              <w:tr2bl w:val="nil"/>
            </w:tcBorders>
            <w:vAlign w:val="center"/>
          </w:tcPr>
          <w:p w14:paraId="52B02977">
            <w:pPr>
              <w:spacing w:line="280" w:lineRule="exact"/>
              <w:jc w:val="center"/>
              <w:rPr>
                <w:color w:val="auto"/>
              </w:rPr>
            </w:pPr>
            <w:r>
              <w:rPr>
                <w:color w:val="auto"/>
              </w:rPr>
              <w:t>超标持续时间min</w:t>
            </w:r>
          </w:p>
        </w:tc>
      </w:tr>
      <w:tr w14:paraId="31B661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969" w:type="dxa"/>
            <w:tcBorders>
              <w:tl2br w:val="nil"/>
              <w:tr2bl w:val="nil"/>
            </w:tcBorders>
            <w:vAlign w:val="center"/>
          </w:tcPr>
          <w:p w14:paraId="2A34A203">
            <w:pPr>
              <w:spacing w:line="280" w:lineRule="exact"/>
              <w:jc w:val="center"/>
              <w:rPr>
                <w:color w:val="auto"/>
              </w:rPr>
            </w:pPr>
            <w:r>
              <w:rPr>
                <w:color w:val="auto"/>
              </w:rPr>
              <w:t>最不利气象条件</w:t>
            </w:r>
          </w:p>
        </w:tc>
        <w:tc>
          <w:tcPr>
            <w:tcW w:w="2019" w:type="dxa"/>
            <w:tcBorders>
              <w:tl2br w:val="nil"/>
              <w:tr2bl w:val="nil"/>
            </w:tcBorders>
            <w:vAlign w:val="center"/>
          </w:tcPr>
          <w:p w14:paraId="19E52F88">
            <w:pPr>
              <w:adjustRightInd w:val="0"/>
              <w:snapToGrid w:val="0"/>
              <w:jc w:val="center"/>
              <w:rPr>
                <w:color w:val="auto"/>
              </w:rPr>
            </w:pPr>
            <w:r>
              <w:rPr>
                <w:rFonts w:hint="eastAsia"/>
                <w:color w:val="auto"/>
                <w:kern w:val="0"/>
                <w:szCs w:val="21"/>
                <w:lang w:val="en-US" w:eastAsia="zh-CN"/>
              </w:rPr>
              <w:t>园区宿舍楼</w:t>
            </w:r>
          </w:p>
        </w:tc>
        <w:tc>
          <w:tcPr>
            <w:tcW w:w="953" w:type="pct"/>
            <w:tcBorders>
              <w:tl2br w:val="nil"/>
              <w:tr2bl w:val="nil"/>
            </w:tcBorders>
            <w:vAlign w:val="center"/>
          </w:tcPr>
          <w:p w14:paraId="2BFE6667">
            <w:pPr>
              <w:spacing w:line="280" w:lineRule="exact"/>
              <w:jc w:val="center"/>
              <w:rPr>
                <w:rFonts w:hint="default" w:eastAsia="宋体"/>
                <w:color w:val="auto"/>
                <w:lang w:val="en-US" w:eastAsia="zh-CN"/>
              </w:rPr>
            </w:pPr>
            <w:r>
              <w:rPr>
                <w:rFonts w:hint="eastAsia"/>
                <w:color w:val="auto"/>
                <w:lang w:val="en-US" w:eastAsia="zh-CN"/>
              </w:rPr>
              <w:t>7.96</w:t>
            </w:r>
            <w:r>
              <w:rPr>
                <w:color w:val="auto"/>
              </w:rPr>
              <w:t>E-</w:t>
            </w:r>
            <w:r>
              <w:rPr>
                <w:rFonts w:hint="eastAsia"/>
                <w:color w:val="auto"/>
                <w:lang w:val="en-US" w:eastAsia="zh-CN"/>
              </w:rPr>
              <w:t>08</w:t>
            </w:r>
          </w:p>
        </w:tc>
        <w:tc>
          <w:tcPr>
            <w:tcW w:w="824" w:type="pct"/>
            <w:tcBorders>
              <w:tl2br w:val="nil"/>
              <w:tr2bl w:val="nil"/>
            </w:tcBorders>
            <w:vAlign w:val="center"/>
          </w:tcPr>
          <w:p w14:paraId="67496405">
            <w:pPr>
              <w:spacing w:line="280" w:lineRule="exact"/>
              <w:jc w:val="center"/>
              <w:rPr>
                <w:color w:val="auto"/>
              </w:rPr>
            </w:pPr>
            <w:r>
              <w:rPr>
                <w:color w:val="auto"/>
              </w:rPr>
              <w:t>5</w:t>
            </w:r>
          </w:p>
        </w:tc>
        <w:tc>
          <w:tcPr>
            <w:tcW w:w="1060" w:type="pct"/>
            <w:tcBorders>
              <w:tl2br w:val="nil"/>
              <w:tr2bl w:val="nil"/>
            </w:tcBorders>
            <w:vAlign w:val="center"/>
          </w:tcPr>
          <w:p w14:paraId="68A062C2">
            <w:pPr>
              <w:spacing w:line="280" w:lineRule="exact"/>
              <w:jc w:val="center"/>
              <w:rPr>
                <w:color w:val="auto"/>
              </w:rPr>
            </w:pPr>
            <w:r>
              <w:rPr>
                <w:color w:val="auto"/>
              </w:rPr>
              <w:t>无</w:t>
            </w:r>
          </w:p>
        </w:tc>
      </w:tr>
    </w:tbl>
    <w:p w14:paraId="2A838CBE">
      <w:pPr>
        <w:jc w:val="center"/>
        <w:rPr>
          <w:color w:val="auto"/>
        </w:rPr>
      </w:pPr>
      <w:r>
        <w:rPr>
          <w:color w:val="auto"/>
        </w:rPr>
        <w:drawing>
          <wp:inline distT="0" distB="0" distL="114300" distR="114300">
            <wp:extent cx="4032250" cy="2026920"/>
            <wp:effectExtent l="0" t="0" r="6350" b="11430"/>
            <wp:docPr id="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
                    <pic:cNvPicPr>
                      <a:picLocks noChangeAspect="1"/>
                    </pic:cNvPicPr>
                  </pic:nvPicPr>
                  <pic:blipFill>
                    <a:blip r:embed="rId67"/>
                    <a:stretch>
                      <a:fillRect/>
                    </a:stretch>
                  </pic:blipFill>
                  <pic:spPr>
                    <a:xfrm>
                      <a:off x="0" y="0"/>
                      <a:ext cx="4032250" cy="2026920"/>
                    </a:xfrm>
                    <a:prstGeom prst="rect">
                      <a:avLst/>
                    </a:prstGeom>
                    <a:noFill/>
                    <a:ln>
                      <a:noFill/>
                    </a:ln>
                  </pic:spPr>
                </pic:pic>
              </a:graphicData>
            </a:graphic>
          </wp:inline>
        </w:drawing>
      </w:r>
    </w:p>
    <w:p w14:paraId="7C94BD0E">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15</w:t>
      </w:r>
      <w:r>
        <w:rPr>
          <w:b/>
          <w:bCs/>
          <w:color w:val="auto"/>
          <w:szCs w:val="21"/>
        </w:rPr>
        <w:t xml:space="preserve">  各关心点处</w:t>
      </w:r>
      <w:r>
        <w:rPr>
          <w:rFonts w:hint="eastAsia"/>
          <w:b/>
          <w:bCs/>
          <w:color w:val="auto"/>
          <w:szCs w:val="21"/>
          <w:lang w:eastAsia="zh-CN"/>
        </w:rPr>
        <w:t>氯化氢</w:t>
      </w:r>
      <w:r>
        <w:rPr>
          <w:b/>
          <w:bCs/>
          <w:color w:val="auto"/>
          <w:szCs w:val="21"/>
        </w:rPr>
        <w:t xml:space="preserve">浓度随时间的变化曲线（最不利气象） </w:t>
      </w:r>
    </w:p>
    <w:p w14:paraId="753D4046">
      <w:pPr>
        <w:spacing w:before="60"/>
        <w:jc w:val="center"/>
        <w:rPr>
          <w:color w:val="auto"/>
        </w:rPr>
      </w:pPr>
      <w:r>
        <w:rPr>
          <w:color w:val="auto"/>
        </w:rPr>
        <w:drawing>
          <wp:inline distT="0" distB="0" distL="114300" distR="114300">
            <wp:extent cx="3568700" cy="2160270"/>
            <wp:effectExtent l="0" t="0" r="12700" b="11430"/>
            <wp:docPr id="4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3"/>
                    <pic:cNvPicPr>
                      <a:picLocks noChangeAspect="1"/>
                    </pic:cNvPicPr>
                  </pic:nvPicPr>
                  <pic:blipFill>
                    <a:blip r:embed="rId68"/>
                    <a:stretch>
                      <a:fillRect/>
                    </a:stretch>
                  </pic:blipFill>
                  <pic:spPr>
                    <a:xfrm>
                      <a:off x="0" y="0"/>
                      <a:ext cx="3568700" cy="2160270"/>
                    </a:xfrm>
                    <a:prstGeom prst="rect">
                      <a:avLst/>
                    </a:prstGeom>
                    <a:noFill/>
                    <a:ln>
                      <a:noFill/>
                    </a:ln>
                  </pic:spPr>
                </pic:pic>
              </a:graphicData>
            </a:graphic>
          </wp:inline>
        </w:drawing>
      </w:r>
    </w:p>
    <w:p w14:paraId="363C7247">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16</w:t>
      </w:r>
      <w:r>
        <w:rPr>
          <w:b/>
          <w:bCs/>
          <w:color w:val="auto"/>
          <w:szCs w:val="21"/>
        </w:rPr>
        <w:t xml:space="preserve"> </w:t>
      </w:r>
      <w:r>
        <w:rPr>
          <w:rFonts w:hint="eastAsia"/>
          <w:b/>
          <w:bCs/>
          <w:color w:val="auto"/>
          <w:szCs w:val="21"/>
          <w:lang w:val="en-US" w:eastAsia="zh-CN"/>
        </w:rPr>
        <w:t>氯化氢</w:t>
      </w:r>
      <w:r>
        <w:rPr>
          <w:b/>
          <w:bCs/>
          <w:color w:val="auto"/>
          <w:szCs w:val="21"/>
        </w:rPr>
        <w:t>预测结果图(最</w:t>
      </w:r>
      <w:r>
        <w:rPr>
          <w:rFonts w:hint="eastAsia"/>
          <w:b/>
          <w:bCs/>
          <w:color w:val="auto"/>
          <w:szCs w:val="21"/>
          <w:lang w:eastAsia="zh-CN"/>
        </w:rPr>
        <w:t>常见</w:t>
      </w:r>
      <w:r>
        <w:rPr>
          <w:b/>
          <w:bCs/>
          <w:color w:val="auto"/>
          <w:szCs w:val="21"/>
        </w:rPr>
        <w:t>气象条件)</w:t>
      </w:r>
    </w:p>
    <w:p w14:paraId="32E7CB17">
      <w:pPr>
        <w:spacing w:line="360" w:lineRule="auto"/>
        <w:jc w:val="center"/>
        <w:rPr>
          <w:color w:val="auto"/>
        </w:rPr>
      </w:pPr>
      <w:r>
        <w:rPr>
          <w:color w:val="auto"/>
        </w:rPr>
        <w:drawing>
          <wp:inline distT="0" distB="0" distL="114300" distR="114300">
            <wp:extent cx="4298315" cy="2160270"/>
            <wp:effectExtent l="0" t="0" r="6985" b="11430"/>
            <wp:docPr id="4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2"/>
                    <pic:cNvPicPr>
                      <a:picLocks noChangeAspect="1"/>
                    </pic:cNvPicPr>
                  </pic:nvPicPr>
                  <pic:blipFill>
                    <a:blip r:embed="rId69"/>
                    <a:stretch>
                      <a:fillRect/>
                    </a:stretch>
                  </pic:blipFill>
                  <pic:spPr>
                    <a:xfrm>
                      <a:off x="0" y="0"/>
                      <a:ext cx="4298315" cy="2160270"/>
                    </a:xfrm>
                    <a:prstGeom prst="rect">
                      <a:avLst/>
                    </a:prstGeom>
                    <a:noFill/>
                    <a:ln>
                      <a:noFill/>
                    </a:ln>
                  </pic:spPr>
                </pic:pic>
              </a:graphicData>
            </a:graphic>
          </wp:inline>
        </w:drawing>
      </w:r>
    </w:p>
    <w:p w14:paraId="228E5978">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17</w:t>
      </w:r>
      <w:r>
        <w:rPr>
          <w:b/>
          <w:bCs/>
          <w:color w:val="auto"/>
          <w:szCs w:val="21"/>
        </w:rPr>
        <w:t xml:space="preserve">  </w:t>
      </w:r>
      <w:r>
        <w:rPr>
          <w:rFonts w:hint="eastAsia"/>
          <w:b/>
          <w:bCs/>
          <w:color w:val="auto"/>
          <w:szCs w:val="21"/>
          <w:lang w:eastAsia="zh-CN"/>
        </w:rPr>
        <w:t>氯化氢</w:t>
      </w:r>
      <w:r>
        <w:rPr>
          <w:b/>
          <w:bCs/>
          <w:color w:val="auto"/>
          <w:szCs w:val="21"/>
        </w:rPr>
        <w:t>下风向不同距离处最大浓度图(最</w:t>
      </w:r>
      <w:r>
        <w:rPr>
          <w:rFonts w:hint="eastAsia"/>
          <w:b/>
          <w:bCs/>
          <w:color w:val="auto"/>
          <w:szCs w:val="21"/>
          <w:lang w:eastAsia="zh-CN"/>
        </w:rPr>
        <w:t>常见</w:t>
      </w:r>
      <w:r>
        <w:rPr>
          <w:b/>
          <w:bCs/>
          <w:color w:val="auto"/>
          <w:szCs w:val="21"/>
        </w:rPr>
        <w:t>气象条件)</w:t>
      </w:r>
    </w:p>
    <w:p w14:paraId="6D8726F0">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13</w:t>
      </w:r>
      <w:r>
        <w:rPr>
          <w:b/>
          <w:bCs/>
          <w:color w:val="auto"/>
          <w:szCs w:val="21"/>
        </w:rPr>
        <w:t xml:space="preserve">  </w:t>
      </w:r>
      <w:r>
        <w:rPr>
          <w:rFonts w:hint="eastAsia"/>
          <w:b/>
          <w:bCs/>
          <w:color w:val="auto"/>
          <w:szCs w:val="21"/>
          <w:lang w:eastAsia="zh-CN"/>
        </w:rPr>
        <w:t>氯化氢</w:t>
      </w:r>
      <w:r>
        <w:rPr>
          <w:b/>
          <w:bCs/>
          <w:color w:val="auto"/>
          <w:szCs w:val="21"/>
        </w:rPr>
        <w:t>各关心点处浓度超标及持续时间表</w:t>
      </w:r>
    </w:p>
    <w:tbl>
      <w:tblPr>
        <w:tblStyle w:val="32"/>
        <w:tblW w:w="499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894"/>
        <w:gridCol w:w="2094"/>
        <w:gridCol w:w="1759"/>
        <w:gridCol w:w="1521"/>
        <w:gridCol w:w="1957"/>
      </w:tblGrid>
      <w:tr w14:paraId="1ABAD2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026" w:type="pct"/>
            <w:tcBorders>
              <w:tl2br w:val="nil"/>
              <w:tr2bl w:val="nil"/>
            </w:tcBorders>
            <w:vAlign w:val="center"/>
          </w:tcPr>
          <w:p w14:paraId="5B6DE70E">
            <w:pPr>
              <w:spacing w:line="280" w:lineRule="exact"/>
              <w:jc w:val="center"/>
              <w:rPr>
                <w:color w:val="auto"/>
              </w:rPr>
            </w:pPr>
            <w:r>
              <w:rPr>
                <w:color w:val="auto"/>
              </w:rPr>
              <w:t>气象条件</w:t>
            </w:r>
          </w:p>
        </w:tc>
        <w:tc>
          <w:tcPr>
            <w:tcW w:w="1134" w:type="pct"/>
            <w:tcBorders>
              <w:tl2br w:val="nil"/>
              <w:tr2bl w:val="nil"/>
            </w:tcBorders>
            <w:vAlign w:val="center"/>
          </w:tcPr>
          <w:p w14:paraId="29F94A34">
            <w:pPr>
              <w:spacing w:line="280" w:lineRule="exact"/>
              <w:jc w:val="center"/>
              <w:rPr>
                <w:color w:val="auto"/>
              </w:rPr>
            </w:pPr>
            <w:r>
              <w:rPr>
                <w:color w:val="auto"/>
              </w:rPr>
              <w:t>关心点</w:t>
            </w:r>
          </w:p>
        </w:tc>
        <w:tc>
          <w:tcPr>
            <w:tcW w:w="953" w:type="pct"/>
            <w:tcBorders>
              <w:tl2br w:val="nil"/>
              <w:tr2bl w:val="nil"/>
            </w:tcBorders>
            <w:vAlign w:val="center"/>
          </w:tcPr>
          <w:p w14:paraId="44EFD2F7">
            <w:pPr>
              <w:spacing w:line="280" w:lineRule="exact"/>
              <w:jc w:val="center"/>
              <w:rPr>
                <w:color w:val="auto"/>
              </w:rPr>
            </w:pPr>
            <w:r>
              <w:rPr>
                <w:color w:val="auto"/>
              </w:rPr>
              <w:t>最大浓度mg/m</w:t>
            </w:r>
            <w:r>
              <w:rPr>
                <w:color w:val="auto"/>
                <w:vertAlign w:val="superscript"/>
              </w:rPr>
              <w:t>3</w:t>
            </w:r>
          </w:p>
        </w:tc>
        <w:tc>
          <w:tcPr>
            <w:tcW w:w="824" w:type="pct"/>
            <w:tcBorders>
              <w:tl2br w:val="nil"/>
              <w:tr2bl w:val="nil"/>
            </w:tcBorders>
            <w:vAlign w:val="center"/>
          </w:tcPr>
          <w:p w14:paraId="6A894EF7">
            <w:pPr>
              <w:spacing w:line="280" w:lineRule="exact"/>
              <w:jc w:val="center"/>
              <w:rPr>
                <w:color w:val="auto"/>
              </w:rPr>
            </w:pPr>
            <w:r>
              <w:rPr>
                <w:color w:val="auto"/>
              </w:rPr>
              <w:t>出现时间min</w:t>
            </w:r>
          </w:p>
        </w:tc>
        <w:tc>
          <w:tcPr>
            <w:tcW w:w="1060" w:type="pct"/>
            <w:tcBorders>
              <w:tl2br w:val="nil"/>
              <w:tr2bl w:val="nil"/>
            </w:tcBorders>
            <w:vAlign w:val="center"/>
          </w:tcPr>
          <w:p w14:paraId="4CFC03D8">
            <w:pPr>
              <w:spacing w:line="280" w:lineRule="exact"/>
              <w:jc w:val="center"/>
              <w:rPr>
                <w:color w:val="auto"/>
              </w:rPr>
            </w:pPr>
            <w:r>
              <w:rPr>
                <w:color w:val="auto"/>
              </w:rPr>
              <w:t>超标持续时间min</w:t>
            </w:r>
          </w:p>
        </w:tc>
      </w:tr>
      <w:tr w14:paraId="713667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026" w:type="pct"/>
            <w:tcBorders>
              <w:tl2br w:val="nil"/>
              <w:tr2bl w:val="nil"/>
            </w:tcBorders>
            <w:vAlign w:val="center"/>
          </w:tcPr>
          <w:p w14:paraId="28E1E863">
            <w:pPr>
              <w:spacing w:line="280" w:lineRule="exact"/>
              <w:jc w:val="center"/>
              <w:rPr>
                <w:color w:val="auto"/>
              </w:rPr>
            </w:pPr>
            <w:r>
              <w:rPr>
                <w:color w:val="auto"/>
              </w:rPr>
              <w:t>最</w:t>
            </w:r>
            <w:r>
              <w:rPr>
                <w:rFonts w:hint="eastAsia"/>
                <w:color w:val="auto"/>
                <w:lang w:val="en-US" w:eastAsia="zh-CN"/>
              </w:rPr>
              <w:t>常见</w:t>
            </w:r>
            <w:r>
              <w:rPr>
                <w:color w:val="auto"/>
              </w:rPr>
              <w:t>气象条件</w:t>
            </w:r>
          </w:p>
        </w:tc>
        <w:tc>
          <w:tcPr>
            <w:tcW w:w="1134" w:type="pct"/>
            <w:tcBorders>
              <w:tl2br w:val="nil"/>
              <w:tr2bl w:val="nil"/>
            </w:tcBorders>
            <w:vAlign w:val="center"/>
          </w:tcPr>
          <w:p w14:paraId="57DC95C1">
            <w:pPr>
              <w:adjustRightInd w:val="0"/>
              <w:snapToGrid w:val="0"/>
              <w:jc w:val="center"/>
              <w:rPr>
                <w:color w:val="auto"/>
              </w:rPr>
            </w:pPr>
            <w:r>
              <w:rPr>
                <w:rFonts w:hint="eastAsia"/>
                <w:color w:val="auto"/>
                <w:kern w:val="0"/>
                <w:szCs w:val="21"/>
                <w:lang w:val="en-US" w:eastAsia="zh-CN"/>
              </w:rPr>
              <w:t>园区宿舍楼</w:t>
            </w:r>
          </w:p>
        </w:tc>
        <w:tc>
          <w:tcPr>
            <w:tcW w:w="953" w:type="pct"/>
            <w:tcBorders>
              <w:tl2br w:val="nil"/>
              <w:tr2bl w:val="nil"/>
            </w:tcBorders>
            <w:vAlign w:val="center"/>
          </w:tcPr>
          <w:p w14:paraId="5B535460">
            <w:pPr>
              <w:spacing w:line="280" w:lineRule="exact"/>
              <w:jc w:val="center"/>
              <w:rPr>
                <w:rFonts w:hint="eastAsia" w:ascii="Times New Roman" w:hAnsi="Times New Roman" w:eastAsia="宋体" w:cs="Times New Roman"/>
                <w:color w:val="auto"/>
                <w:lang w:eastAsia="zh-CN"/>
              </w:rPr>
            </w:pPr>
            <w:r>
              <w:rPr>
                <w:rFonts w:hint="eastAsia" w:cs="Times New Roman"/>
                <w:color w:val="auto"/>
                <w:lang w:val="en-US" w:eastAsia="zh-CN"/>
              </w:rPr>
              <w:t>4.16</w:t>
            </w:r>
            <w:r>
              <w:rPr>
                <w:rFonts w:hint="eastAsia" w:ascii="Times New Roman" w:hAnsi="Times New Roman" w:eastAsia="宋体" w:cs="Times New Roman"/>
                <w:color w:val="auto"/>
              </w:rPr>
              <w:t>E-0</w:t>
            </w:r>
            <w:r>
              <w:rPr>
                <w:rFonts w:hint="eastAsia" w:cs="Times New Roman"/>
                <w:color w:val="auto"/>
                <w:lang w:val="en-US" w:eastAsia="zh-CN"/>
              </w:rPr>
              <w:t>2</w:t>
            </w:r>
          </w:p>
        </w:tc>
        <w:tc>
          <w:tcPr>
            <w:tcW w:w="824" w:type="pct"/>
            <w:tcBorders>
              <w:tl2br w:val="nil"/>
              <w:tr2bl w:val="nil"/>
            </w:tcBorders>
            <w:vAlign w:val="center"/>
          </w:tcPr>
          <w:p w14:paraId="65609831">
            <w:pPr>
              <w:spacing w:line="280" w:lineRule="exact"/>
              <w:jc w:val="center"/>
              <w:rPr>
                <w:color w:val="auto"/>
              </w:rPr>
            </w:pPr>
            <w:r>
              <w:rPr>
                <w:color w:val="auto"/>
              </w:rPr>
              <w:t>5</w:t>
            </w:r>
          </w:p>
        </w:tc>
        <w:tc>
          <w:tcPr>
            <w:tcW w:w="1060" w:type="pct"/>
            <w:tcBorders>
              <w:tl2br w:val="nil"/>
              <w:tr2bl w:val="nil"/>
            </w:tcBorders>
            <w:vAlign w:val="center"/>
          </w:tcPr>
          <w:p w14:paraId="05C9BE51">
            <w:pPr>
              <w:spacing w:line="280" w:lineRule="exact"/>
              <w:jc w:val="center"/>
              <w:rPr>
                <w:color w:val="auto"/>
              </w:rPr>
            </w:pPr>
            <w:r>
              <w:rPr>
                <w:color w:val="auto"/>
              </w:rPr>
              <w:t>无</w:t>
            </w:r>
          </w:p>
        </w:tc>
      </w:tr>
    </w:tbl>
    <w:p w14:paraId="15871BC9">
      <w:pPr>
        <w:jc w:val="center"/>
        <w:rPr>
          <w:color w:val="auto"/>
        </w:rPr>
      </w:pPr>
      <w:r>
        <w:rPr>
          <w:color w:val="auto"/>
        </w:rPr>
        <w:drawing>
          <wp:inline distT="0" distB="0" distL="114300" distR="114300">
            <wp:extent cx="4298315" cy="2160270"/>
            <wp:effectExtent l="0" t="0" r="6985" b="11430"/>
            <wp:docPr id="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1"/>
                    <pic:cNvPicPr>
                      <a:picLocks noChangeAspect="1"/>
                    </pic:cNvPicPr>
                  </pic:nvPicPr>
                  <pic:blipFill>
                    <a:blip r:embed="rId70"/>
                    <a:stretch>
                      <a:fillRect/>
                    </a:stretch>
                  </pic:blipFill>
                  <pic:spPr>
                    <a:xfrm>
                      <a:off x="0" y="0"/>
                      <a:ext cx="4298315" cy="2160270"/>
                    </a:xfrm>
                    <a:prstGeom prst="rect">
                      <a:avLst/>
                    </a:prstGeom>
                    <a:noFill/>
                    <a:ln>
                      <a:noFill/>
                    </a:ln>
                  </pic:spPr>
                </pic:pic>
              </a:graphicData>
            </a:graphic>
          </wp:inline>
        </w:drawing>
      </w:r>
    </w:p>
    <w:p w14:paraId="4867C365">
      <w:pPr>
        <w:adjustRightInd w:val="0"/>
        <w:snapToGrid w:val="0"/>
        <w:spacing w:beforeLines="25" w:afterLines="25"/>
        <w:ind w:firstLine="422"/>
        <w:jc w:val="center"/>
        <w:outlineLvl w:val="3"/>
        <w:rPr>
          <w:b/>
          <w:bCs/>
          <w:color w:val="auto"/>
          <w:szCs w:val="21"/>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18</w:t>
      </w:r>
      <w:r>
        <w:rPr>
          <w:b/>
          <w:bCs/>
          <w:color w:val="auto"/>
          <w:szCs w:val="21"/>
        </w:rPr>
        <w:t xml:space="preserve">  各关心点处</w:t>
      </w:r>
      <w:r>
        <w:rPr>
          <w:rFonts w:hint="eastAsia"/>
          <w:b/>
          <w:bCs/>
          <w:color w:val="auto"/>
          <w:szCs w:val="21"/>
          <w:lang w:eastAsia="zh-CN"/>
        </w:rPr>
        <w:t>氯化氢</w:t>
      </w:r>
      <w:r>
        <w:rPr>
          <w:b/>
          <w:bCs/>
          <w:color w:val="auto"/>
          <w:szCs w:val="21"/>
        </w:rPr>
        <w:t>浓度随时间的变化曲线（最</w:t>
      </w:r>
      <w:r>
        <w:rPr>
          <w:rFonts w:hint="eastAsia"/>
          <w:b/>
          <w:bCs/>
          <w:color w:val="auto"/>
          <w:szCs w:val="21"/>
          <w:lang w:eastAsia="zh-CN"/>
        </w:rPr>
        <w:t>常见</w:t>
      </w:r>
      <w:r>
        <w:rPr>
          <w:b/>
          <w:bCs/>
          <w:color w:val="auto"/>
          <w:szCs w:val="21"/>
        </w:rPr>
        <w:t xml:space="preserve">气象） </w:t>
      </w:r>
    </w:p>
    <w:p w14:paraId="3F7A894C">
      <w:pPr>
        <w:spacing w:line="360" w:lineRule="auto"/>
        <w:ind w:firstLine="480" w:firstLineChars="200"/>
        <w:jc w:val="left"/>
        <w:rPr>
          <w:color w:val="auto"/>
          <w:sz w:val="24"/>
        </w:rPr>
      </w:pPr>
      <w:r>
        <w:rPr>
          <w:color w:val="auto"/>
          <w:sz w:val="24"/>
        </w:rPr>
        <w:t>最不利气象条件下，在距排放源中心</w:t>
      </w:r>
      <w:r>
        <w:rPr>
          <w:rFonts w:hint="eastAsia"/>
          <w:color w:val="auto"/>
          <w:sz w:val="24"/>
          <w:lang w:val="en-US" w:eastAsia="zh-CN"/>
        </w:rPr>
        <w:t>80</w:t>
      </w:r>
      <w:r>
        <w:rPr>
          <w:color w:val="auto"/>
          <w:sz w:val="24"/>
        </w:rPr>
        <w:t>m的范围内，</w:t>
      </w:r>
      <w:r>
        <w:rPr>
          <w:rFonts w:hint="eastAsia"/>
          <w:color w:val="auto"/>
          <w:sz w:val="24"/>
          <w:lang w:eastAsia="zh-CN"/>
        </w:rPr>
        <w:t>氯化氢</w:t>
      </w:r>
      <w:r>
        <w:rPr>
          <w:color w:val="auto"/>
          <w:sz w:val="24"/>
        </w:rPr>
        <w:t>浓度大于</w:t>
      </w:r>
      <w:r>
        <w:rPr>
          <w:rFonts w:hint="eastAsia"/>
          <w:color w:val="auto"/>
          <w:sz w:val="24"/>
          <w:lang w:val="en-US" w:eastAsia="zh-CN"/>
        </w:rPr>
        <w:t>150</w:t>
      </w:r>
      <w:r>
        <w:rPr>
          <w:color w:val="auto"/>
          <w:sz w:val="24"/>
        </w:rPr>
        <w:t>mg/m</w:t>
      </w:r>
      <w:r>
        <w:rPr>
          <w:color w:val="auto"/>
          <w:sz w:val="24"/>
          <w:vertAlign w:val="superscript"/>
        </w:rPr>
        <w:t>3</w:t>
      </w:r>
      <w:r>
        <w:rPr>
          <w:color w:val="auto"/>
          <w:sz w:val="24"/>
        </w:rPr>
        <w:t>，此范围内</w:t>
      </w:r>
      <w:r>
        <w:rPr>
          <w:rFonts w:hint="eastAsia"/>
          <w:color w:val="auto"/>
          <w:sz w:val="24"/>
          <w:lang w:eastAsia="zh-CN"/>
        </w:rPr>
        <w:t>氯化氢</w:t>
      </w:r>
      <w:r>
        <w:rPr>
          <w:color w:val="auto"/>
          <w:sz w:val="24"/>
        </w:rPr>
        <w:t>浓度大于毒性终点浓度1级，此范围能对人群造成生命威胁，主要在本厂区内或周边企业厂区内；在距排放源中心</w:t>
      </w:r>
      <w:r>
        <w:rPr>
          <w:rFonts w:hint="eastAsia"/>
          <w:color w:val="auto"/>
          <w:sz w:val="24"/>
          <w:lang w:val="en-US" w:eastAsia="zh-CN"/>
        </w:rPr>
        <w:t>220</w:t>
      </w:r>
      <w:r>
        <w:rPr>
          <w:color w:val="auto"/>
          <w:sz w:val="24"/>
        </w:rPr>
        <w:t>m的范围内，</w:t>
      </w:r>
      <w:r>
        <w:rPr>
          <w:rFonts w:hint="eastAsia"/>
          <w:color w:val="auto"/>
          <w:sz w:val="24"/>
          <w:lang w:eastAsia="zh-CN"/>
        </w:rPr>
        <w:t>氯化氢</w:t>
      </w:r>
      <w:r>
        <w:rPr>
          <w:color w:val="auto"/>
          <w:sz w:val="24"/>
        </w:rPr>
        <w:t>浓度大于3</w:t>
      </w:r>
      <w:r>
        <w:rPr>
          <w:rFonts w:hint="eastAsia"/>
          <w:color w:val="auto"/>
          <w:sz w:val="24"/>
          <w:lang w:val="en-US" w:eastAsia="zh-CN"/>
        </w:rPr>
        <w:t>3</w:t>
      </w:r>
      <w:r>
        <w:rPr>
          <w:color w:val="auto"/>
          <w:sz w:val="24"/>
        </w:rPr>
        <w:t>mg/m</w:t>
      </w:r>
      <w:r>
        <w:rPr>
          <w:color w:val="auto"/>
          <w:sz w:val="24"/>
          <w:vertAlign w:val="superscript"/>
        </w:rPr>
        <w:t>3</w:t>
      </w:r>
      <w:r>
        <w:rPr>
          <w:color w:val="auto"/>
          <w:sz w:val="24"/>
        </w:rPr>
        <w:t>，此范围内</w:t>
      </w:r>
      <w:r>
        <w:rPr>
          <w:rFonts w:hint="eastAsia"/>
          <w:color w:val="auto"/>
          <w:sz w:val="24"/>
          <w:lang w:eastAsia="zh-CN"/>
        </w:rPr>
        <w:t>氯化氢</w:t>
      </w:r>
      <w:r>
        <w:rPr>
          <w:color w:val="auto"/>
          <w:sz w:val="24"/>
        </w:rPr>
        <w:t>浓度介于毒性终点浓度1级和2级之间，绝大多数人员暴露1h不会对生命造成威胁；在距排放源中心</w:t>
      </w:r>
      <w:r>
        <w:rPr>
          <w:rFonts w:hint="eastAsia"/>
          <w:color w:val="auto"/>
          <w:sz w:val="24"/>
          <w:lang w:val="en-US" w:eastAsia="zh-CN"/>
        </w:rPr>
        <w:t>220</w:t>
      </w:r>
      <w:r>
        <w:rPr>
          <w:color w:val="auto"/>
          <w:sz w:val="24"/>
        </w:rPr>
        <w:t>m的范围外，</w:t>
      </w:r>
      <w:r>
        <w:rPr>
          <w:rFonts w:hint="eastAsia"/>
          <w:color w:val="auto"/>
          <w:sz w:val="24"/>
          <w:lang w:eastAsia="zh-CN"/>
        </w:rPr>
        <w:t>氯化氢</w:t>
      </w:r>
      <w:r>
        <w:rPr>
          <w:color w:val="auto"/>
          <w:sz w:val="24"/>
        </w:rPr>
        <w:t>浓度低于毒性终点浓度2级，此范围内暴露1h一般不会对人体造成不可逆的伤害，或出现的症状一般不会损伤该个体采取有效防护措施的能力。</w:t>
      </w:r>
    </w:p>
    <w:p w14:paraId="6D9A0E95">
      <w:pPr>
        <w:spacing w:line="360" w:lineRule="auto"/>
        <w:ind w:firstLine="480" w:firstLineChars="200"/>
        <w:jc w:val="left"/>
        <w:rPr>
          <w:color w:val="auto"/>
          <w:sz w:val="24"/>
        </w:rPr>
      </w:pPr>
      <w:r>
        <w:rPr>
          <w:color w:val="auto"/>
          <w:sz w:val="24"/>
        </w:rPr>
        <w:t>最</w:t>
      </w:r>
      <w:r>
        <w:rPr>
          <w:rFonts w:hint="eastAsia"/>
          <w:color w:val="auto"/>
          <w:sz w:val="24"/>
          <w:lang w:eastAsia="zh-CN"/>
        </w:rPr>
        <w:t>常见</w:t>
      </w:r>
      <w:r>
        <w:rPr>
          <w:color w:val="auto"/>
          <w:sz w:val="24"/>
        </w:rPr>
        <w:t>气象条件下，在距排放源中心</w:t>
      </w:r>
      <w:r>
        <w:rPr>
          <w:rFonts w:hint="eastAsia"/>
          <w:color w:val="auto"/>
          <w:sz w:val="24"/>
          <w:lang w:val="en-US" w:eastAsia="zh-CN"/>
        </w:rPr>
        <w:t>30</w:t>
      </w:r>
      <w:r>
        <w:rPr>
          <w:color w:val="auto"/>
          <w:sz w:val="24"/>
        </w:rPr>
        <w:t>m的范围内，</w:t>
      </w:r>
      <w:r>
        <w:rPr>
          <w:rFonts w:hint="eastAsia"/>
          <w:color w:val="auto"/>
          <w:sz w:val="24"/>
          <w:lang w:eastAsia="zh-CN"/>
        </w:rPr>
        <w:t>氯化氢</w:t>
      </w:r>
      <w:r>
        <w:rPr>
          <w:color w:val="auto"/>
          <w:sz w:val="24"/>
        </w:rPr>
        <w:t>浓度大于</w:t>
      </w:r>
      <w:r>
        <w:rPr>
          <w:rFonts w:hint="eastAsia"/>
          <w:color w:val="auto"/>
          <w:sz w:val="24"/>
          <w:lang w:val="en-US" w:eastAsia="zh-CN"/>
        </w:rPr>
        <w:t>150</w:t>
      </w:r>
      <w:r>
        <w:rPr>
          <w:color w:val="auto"/>
          <w:sz w:val="24"/>
        </w:rPr>
        <w:t>mg/m</w:t>
      </w:r>
      <w:r>
        <w:rPr>
          <w:color w:val="auto"/>
          <w:sz w:val="24"/>
          <w:vertAlign w:val="superscript"/>
        </w:rPr>
        <w:t>3</w:t>
      </w:r>
      <w:r>
        <w:rPr>
          <w:color w:val="auto"/>
          <w:sz w:val="24"/>
        </w:rPr>
        <w:t>，此范围内</w:t>
      </w:r>
      <w:r>
        <w:rPr>
          <w:rFonts w:hint="eastAsia"/>
          <w:color w:val="auto"/>
          <w:sz w:val="24"/>
          <w:lang w:eastAsia="zh-CN"/>
        </w:rPr>
        <w:t>氯化氢</w:t>
      </w:r>
      <w:r>
        <w:rPr>
          <w:color w:val="auto"/>
          <w:sz w:val="24"/>
        </w:rPr>
        <w:t>浓度大于毒性终点浓度1级，此范围能对人群造成生命威胁，主要在本厂区内或周边企业厂区内；在距排放源中心</w:t>
      </w:r>
      <w:r>
        <w:rPr>
          <w:rFonts w:hint="eastAsia"/>
          <w:color w:val="auto"/>
          <w:sz w:val="24"/>
          <w:lang w:val="en-US" w:eastAsia="zh-CN"/>
        </w:rPr>
        <w:t>90</w:t>
      </w:r>
      <w:r>
        <w:rPr>
          <w:color w:val="auto"/>
          <w:sz w:val="24"/>
        </w:rPr>
        <w:t>m的范围内，</w:t>
      </w:r>
      <w:r>
        <w:rPr>
          <w:rFonts w:hint="eastAsia"/>
          <w:color w:val="auto"/>
          <w:sz w:val="24"/>
          <w:lang w:eastAsia="zh-CN"/>
        </w:rPr>
        <w:t>氯化氢</w:t>
      </w:r>
      <w:r>
        <w:rPr>
          <w:color w:val="auto"/>
          <w:sz w:val="24"/>
        </w:rPr>
        <w:t>浓度大于3</w:t>
      </w:r>
      <w:r>
        <w:rPr>
          <w:rFonts w:hint="eastAsia"/>
          <w:color w:val="auto"/>
          <w:sz w:val="24"/>
          <w:lang w:val="en-US" w:eastAsia="zh-CN"/>
        </w:rPr>
        <w:t>3</w:t>
      </w:r>
      <w:r>
        <w:rPr>
          <w:color w:val="auto"/>
          <w:sz w:val="24"/>
        </w:rPr>
        <w:t>mg/m</w:t>
      </w:r>
      <w:r>
        <w:rPr>
          <w:color w:val="auto"/>
          <w:sz w:val="24"/>
          <w:vertAlign w:val="superscript"/>
        </w:rPr>
        <w:t>3</w:t>
      </w:r>
      <w:r>
        <w:rPr>
          <w:color w:val="auto"/>
          <w:sz w:val="24"/>
        </w:rPr>
        <w:t>，此范围内</w:t>
      </w:r>
      <w:r>
        <w:rPr>
          <w:rFonts w:hint="eastAsia"/>
          <w:color w:val="auto"/>
          <w:sz w:val="24"/>
          <w:lang w:eastAsia="zh-CN"/>
        </w:rPr>
        <w:t>氯化氢</w:t>
      </w:r>
      <w:r>
        <w:rPr>
          <w:color w:val="auto"/>
          <w:sz w:val="24"/>
        </w:rPr>
        <w:t>浓度介于毒性终点浓度1级和2级之间，绝大多数人员暴露1h不会对生命造成威胁；在距排放源中心</w:t>
      </w:r>
      <w:r>
        <w:rPr>
          <w:rFonts w:hint="eastAsia"/>
          <w:color w:val="auto"/>
          <w:sz w:val="24"/>
          <w:lang w:val="en-US" w:eastAsia="zh-CN"/>
        </w:rPr>
        <w:t>90</w:t>
      </w:r>
      <w:r>
        <w:rPr>
          <w:color w:val="auto"/>
          <w:sz w:val="24"/>
        </w:rPr>
        <w:t>m的范围外，</w:t>
      </w:r>
      <w:r>
        <w:rPr>
          <w:rFonts w:hint="eastAsia"/>
          <w:color w:val="auto"/>
          <w:sz w:val="24"/>
          <w:lang w:eastAsia="zh-CN"/>
        </w:rPr>
        <w:t>氯化氢</w:t>
      </w:r>
      <w:r>
        <w:rPr>
          <w:color w:val="auto"/>
          <w:sz w:val="24"/>
        </w:rPr>
        <w:t>浓度低于毒性终点浓度2级，此范围内暴露1h一般不会对人体造成不可逆的伤害，或出现的症状一般不会损伤该个体采取有效防护措施的能力。</w:t>
      </w:r>
    </w:p>
    <w:p w14:paraId="6EA62130">
      <w:pPr>
        <w:spacing w:line="360" w:lineRule="auto"/>
        <w:ind w:firstLine="480" w:firstLineChars="200"/>
        <w:jc w:val="left"/>
        <w:rPr>
          <w:color w:val="auto"/>
          <w:sz w:val="24"/>
        </w:rPr>
      </w:pPr>
      <w:r>
        <w:rPr>
          <w:color w:val="auto"/>
          <w:sz w:val="24"/>
        </w:rPr>
        <w:t>根据预测结果，在最不利的情况下敏感点污染物浓度均小于大气毒性终点浓度-2，因此泄漏</w:t>
      </w:r>
      <w:r>
        <w:rPr>
          <w:rFonts w:hint="eastAsia"/>
          <w:color w:val="auto"/>
          <w:sz w:val="24"/>
          <w:lang w:eastAsia="zh-CN"/>
        </w:rPr>
        <w:t>氯化氢</w:t>
      </w:r>
      <w:r>
        <w:rPr>
          <w:color w:val="auto"/>
          <w:sz w:val="24"/>
        </w:rPr>
        <w:t>对周边大气环境风险影响较小。</w:t>
      </w:r>
    </w:p>
    <w:p w14:paraId="3EB4BD7A">
      <w:pPr>
        <w:spacing w:line="360" w:lineRule="auto"/>
        <w:rPr>
          <w:color w:val="auto"/>
          <w:sz w:val="24"/>
        </w:rPr>
      </w:pPr>
      <w:r>
        <w:rPr>
          <w:rFonts w:hint="eastAsia"/>
          <w:color w:val="auto"/>
          <w:sz w:val="24"/>
        </w:rPr>
        <w:t>9.5</w:t>
      </w:r>
      <w:r>
        <w:rPr>
          <w:color w:val="auto"/>
          <w:sz w:val="24"/>
        </w:rPr>
        <w:t>有毒有害物质在水环境中的运移扩散</w:t>
      </w:r>
    </w:p>
    <w:p w14:paraId="36FB4134">
      <w:pPr>
        <w:spacing w:line="360" w:lineRule="auto"/>
        <w:ind w:firstLine="480" w:firstLineChars="200"/>
        <w:rPr>
          <w:b/>
          <w:color w:val="auto"/>
          <w:sz w:val="24"/>
        </w:rPr>
      </w:pPr>
      <w:r>
        <w:rPr>
          <w:bCs/>
          <w:color w:val="auto"/>
          <w:sz w:val="24"/>
        </w:rPr>
        <w:t>1、地表水</w:t>
      </w:r>
    </w:p>
    <w:p w14:paraId="0521AA79">
      <w:pPr>
        <w:spacing w:line="360" w:lineRule="auto"/>
        <w:ind w:firstLine="480" w:firstLineChars="200"/>
        <w:rPr>
          <w:rFonts w:hint="eastAsia"/>
          <w:color w:val="auto"/>
          <w:sz w:val="24"/>
        </w:rPr>
      </w:pPr>
      <w:r>
        <w:rPr>
          <w:color w:val="auto"/>
          <w:sz w:val="24"/>
        </w:rPr>
        <w:t>项目实施后全厂废水由厂区内处理达标后，经总排口纳管排放；清洁雨水经雨水管网排放。故正常情况下企业废水不会直接排放至环境水体。</w:t>
      </w:r>
      <w:r>
        <w:rPr>
          <w:rFonts w:hint="eastAsia"/>
          <w:color w:val="auto"/>
          <w:sz w:val="24"/>
        </w:rPr>
        <w:t>储罐区和装置区发生火灾、爆炸等极端事故情况下，消防事故水直接进入</w:t>
      </w:r>
      <w:r>
        <w:rPr>
          <w:rFonts w:hint="eastAsia"/>
          <w:color w:val="auto"/>
          <w:sz w:val="24"/>
          <w:lang w:val="en-US" w:eastAsia="zh-CN"/>
        </w:rPr>
        <w:t>地表水</w:t>
      </w:r>
      <w:r>
        <w:rPr>
          <w:rFonts w:hint="eastAsia"/>
          <w:color w:val="auto"/>
          <w:sz w:val="24"/>
        </w:rPr>
        <w:t>环境的风险</w:t>
      </w:r>
      <w:r>
        <w:rPr>
          <w:rFonts w:hint="eastAsia"/>
          <w:color w:val="auto"/>
          <w:sz w:val="24"/>
          <w:lang w:val="en-US" w:eastAsia="zh-CN"/>
        </w:rPr>
        <w:t>较大</w:t>
      </w:r>
      <w:r>
        <w:rPr>
          <w:rFonts w:hint="eastAsia"/>
          <w:color w:val="auto"/>
          <w:sz w:val="24"/>
        </w:rPr>
        <w:t>。本项目新增</w:t>
      </w:r>
      <w:r>
        <w:rPr>
          <w:rFonts w:hint="eastAsia"/>
          <w:color w:val="auto"/>
          <w:sz w:val="24"/>
          <w:lang w:val="en-US" w:eastAsia="zh-CN"/>
        </w:rPr>
        <w:t>反应釜</w:t>
      </w:r>
      <w:r>
        <w:rPr>
          <w:rFonts w:hint="eastAsia"/>
          <w:color w:val="auto"/>
          <w:sz w:val="24"/>
        </w:rPr>
        <w:t>、储罐等设备的防腐性能均满足相应标准要求，连接管线、泵、阀门、法兰等部件气密性良好，正常情况下液体物料不会发生泄漏。此外，罐区及</w:t>
      </w:r>
      <w:r>
        <w:rPr>
          <w:rFonts w:hint="eastAsia"/>
          <w:color w:val="auto"/>
          <w:sz w:val="24"/>
          <w:lang w:val="en-US" w:eastAsia="zh-CN"/>
        </w:rPr>
        <w:t>车间</w:t>
      </w:r>
      <w:r>
        <w:rPr>
          <w:rFonts w:hint="eastAsia"/>
          <w:color w:val="auto"/>
          <w:sz w:val="24"/>
        </w:rPr>
        <w:t>内</w:t>
      </w:r>
      <w:r>
        <w:rPr>
          <w:rFonts w:hint="eastAsia"/>
          <w:color w:val="auto"/>
          <w:sz w:val="24"/>
          <w:lang w:val="en-US" w:eastAsia="zh-CN"/>
        </w:rPr>
        <w:t>设有监控系统</w:t>
      </w:r>
      <w:r>
        <w:rPr>
          <w:rFonts w:hint="eastAsia"/>
          <w:color w:val="auto"/>
          <w:sz w:val="24"/>
        </w:rPr>
        <w:t>，方便工作及巡检人员快速发现异常情况，及时切断泄漏源并清理泄漏物料。</w:t>
      </w:r>
    </w:p>
    <w:p w14:paraId="2706FA39">
      <w:pPr>
        <w:spacing w:line="360" w:lineRule="auto"/>
        <w:ind w:firstLine="480" w:firstLineChars="200"/>
        <w:rPr>
          <w:rFonts w:hint="eastAsia"/>
          <w:color w:val="auto"/>
          <w:sz w:val="24"/>
        </w:rPr>
      </w:pPr>
      <w:r>
        <w:rPr>
          <w:rFonts w:hint="eastAsia"/>
          <w:color w:val="auto"/>
          <w:sz w:val="24"/>
        </w:rPr>
        <w:t>项目所在厂区已建立事故废水三级防控体系，事故废水三级防控体系可以容纳最大潜在风险单元事故情形下产生的事故废水，故事故情形下本项目可依托现有事故废水三级防控体系，对事故废水进行收容。</w:t>
      </w:r>
    </w:p>
    <w:p w14:paraId="1D5FF6C9">
      <w:pPr>
        <w:spacing w:line="360" w:lineRule="auto"/>
        <w:ind w:firstLine="480" w:firstLineChars="200"/>
        <w:rPr>
          <w:rFonts w:hint="eastAsia"/>
          <w:color w:val="auto"/>
          <w:sz w:val="24"/>
        </w:rPr>
      </w:pPr>
      <w:r>
        <w:rPr>
          <w:rFonts w:hint="eastAsia"/>
          <w:color w:val="auto"/>
          <w:sz w:val="24"/>
        </w:rPr>
        <w:t>综上，在切实落实各项地表水风险管控措施的基础上，本项目对地表水风险总体可控。</w:t>
      </w:r>
    </w:p>
    <w:p w14:paraId="5F2BA196">
      <w:pPr>
        <w:spacing w:line="360" w:lineRule="auto"/>
        <w:ind w:firstLine="480" w:firstLineChars="200"/>
        <w:rPr>
          <w:bCs/>
          <w:color w:val="auto"/>
          <w:sz w:val="24"/>
        </w:rPr>
      </w:pPr>
      <w:r>
        <w:rPr>
          <w:rFonts w:hint="eastAsia"/>
          <w:bCs/>
          <w:color w:val="auto"/>
          <w:sz w:val="24"/>
        </w:rPr>
        <w:t>2、</w:t>
      </w:r>
      <w:r>
        <w:rPr>
          <w:bCs/>
          <w:color w:val="auto"/>
          <w:sz w:val="24"/>
        </w:rPr>
        <w:t>地下水</w:t>
      </w:r>
    </w:p>
    <w:p w14:paraId="32A48B5B">
      <w:pPr>
        <w:snapToGrid/>
        <w:spacing w:line="360" w:lineRule="auto"/>
        <w:ind w:firstLine="480"/>
        <w:rPr>
          <w:rFonts w:hint="default" w:ascii="Times New Roman" w:hAnsi="Times New Roman" w:eastAsia="宋体" w:cs="Times New Roman"/>
          <w:color w:val="auto"/>
          <w:sz w:val="24"/>
          <w:szCs w:val="24"/>
          <w:highlight w:val="none"/>
          <w:lang w:val="en-GB" w:eastAsia="zh-CN"/>
        </w:rPr>
      </w:pPr>
      <w:bookmarkStart w:id="226" w:name="_Toc452715779"/>
      <w:bookmarkStart w:id="227" w:name="_Toc31088"/>
      <w:r>
        <w:rPr>
          <w:rFonts w:hint="eastAsia"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lang w:val="en-GB" w:eastAsia="zh-CN"/>
        </w:rPr>
        <w:t>地形地貌</w:t>
      </w:r>
      <w:bookmarkEnd w:id="226"/>
      <w:bookmarkEnd w:id="227"/>
    </w:p>
    <w:p w14:paraId="6A6D7A83">
      <w:pPr>
        <w:snapToGrid/>
        <w:spacing w:line="360" w:lineRule="auto"/>
        <w:ind w:firstLine="480"/>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lang w:val="zh-CN"/>
        </w:rPr>
        <w:t>规划区位于淮河以南，地貌单元为剥蚀堆积平原、泛滥冲积平原，微地貌形态可进一步划分为河间平地（Ⅰ）、沿河泛滥带（Ⅱ）、河漫滩（Ⅲ）三个类型。</w:t>
      </w:r>
    </w:p>
    <w:p w14:paraId="3519B27D">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（1）河间平地（Ⅰ）</w:t>
      </w:r>
    </w:p>
    <w:p w14:paraId="757FFE25">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分布于本区大部分地区，地势平坦开阔，地面标高22~23m左右，地表岩性为第四系上更新统颍上组（Q3）粉质黏土及黏土。</w:t>
      </w:r>
    </w:p>
    <w:p w14:paraId="31AE3D25">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（2）沿河泛滥带（Ⅱ）</w:t>
      </w:r>
    </w:p>
    <w:p w14:paraId="055304FF">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分布于中南部泥河两侧地区，地势较低洼，地面标高17~18m，地表岩性为全新统蚌埠组（Q4）粉土、粉质黏土。</w:t>
      </w:r>
    </w:p>
    <w:p w14:paraId="72B94AE9">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（3）河漫滩（Ⅲ）</w:t>
      </w:r>
    </w:p>
    <w:p w14:paraId="14CA5DA3">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分布于淮河河谷两侧，地面标高18~19m，地表岩性为全新统蚌埠组（Q4）粉砂、粉土。</w:t>
      </w:r>
    </w:p>
    <w:p w14:paraId="22F6F321">
      <w:pPr>
        <w:pStyle w:val="10"/>
        <w:kinsoku w:val="0"/>
        <w:overflowPunct w:val="0"/>
        <w:spacing w:before="154" w:line="324" w:lineRule="auto"/>
        <w:ind w:firstLine="0" w:firstLineChars="0"/>
        <w:jc w:val="center"/>
        <w:rPr>
          <w:rFonts w:hint="default" w:ascii="Times New Roman" w:hAnsi="Times New Roman" w:eastAsia="宋体" w:cs="Times New Roman"/>
          <w:color w:val="auto"/>
          <w:sz w:val="5"/>
          <w:highlight w:val="none"/>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2609215</wp:posOffset>
                </wp:positionH>
                <wp:positionV relativeFrom="paragraph">
                  <wp:posOffset>2631440</wp:posOffset>
                </wp:positionV>
                <wp:extent cx="1014730" cy="368300"/>
                <wp:effectExtent l="6350" t="6350" r="7620" b="406400"/>
                <wp:wrapNone/>
                <wp:docPr id="932" name="矩形标注 932"/>
                <wp:cNvGraphicFramePr/>
                <a:graphic xmlns:a="http://schemas.openxmlformats.org/drawingml/2006/main">
                  <a:graphicData uri="http://schemas.microsoft.com/office/word/2010/wordprocessingShape">
                    <wps:wsp>
                      <wps:cNvSpPr/>
                      <wps:spPr>
                        <a:xfrm>
                          <a:off x="0" y="0"/>
                          <a:ext cx="1014761" cy="367990"/>
                        </a:xfrm>
                        <a:prstGeom prst="wedgeRectCallout">
                          <a:avLst>
                            <a:gd name="adj1" fmla="val -42726"/>
                            <a:gd name="adj2" fmla="val 153279"/>
                          </a:avLst>
                        </a:prstGeom>
                        <a:noFill/>
                        <a:ln w="12700" cap="flat" cmpd="sng" algn="ctr">
                          <a:solidFill>
                            <a:srgbClr val="FF0000"/>
                          </a:solidFill>
                          <a:prstDash val="solid"/>
                          <a:miter lim="800000"/>
                        </a:ln>
                        <a:effectLst/>
                      </wps:spPr>
                      <wps:txbx>
                        <w:txbxContent>
                          <w:p w14:paraId="0B59C6D0">
                            <w:pPr>
                              <w:spacing w:line="240" w:lineRule="auto"/>
                              <w:ind w:firstLine="0" w:firstLineChars="0"/>
                              <w:rPr>
                                <w:b/>
                                <w:bCs/>
                                <w:color w:val="FF0000"/>
                                <w:sz w:val="21"/>
                                <w:szCs w:val="21"/>
                              </w:rPr>
                            </w:pPr>
                            <w:r>
                              <w:rPr>
                                <w:rFonts w:hint="eastAsia"/>
                                <w:b/>
                                <w:bCs/>
                                <w:color w:val="FF0000"/>
                                <w:sz w:val="21"/>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5.45pt;margin-top:207.2pt;height:29pt;width:79.9pt;z-index:251662336;v-text-anchor:middle;mso-width-relative:page;mso-height-relative:page;" filled="f" stroked="t" coordsize="21600,21600" o:gfxdata="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sp9f42gAAAAsBAAAPAAAAAAAAAAEAIAAAACIA&#10;AABkcnMvZG93bnJldi54bWxQSwECFAAUAAAACACHTuJArYe/h7ICAABNBQAADgAAAAAAAAABACAA&#10;AAApAQAAZHJzL2Uyb0RvYy54bWxQSwUGAAAAAAYABgBZAQAATQYAAAAA&#10;" adj="1571,43908">
                <v:fill on="f" focussize="0,0"/>
                <v:stroke weight="1pt" color="#FF0000" miterlimit="8" joinstyle="miter"/>
                <v:imagedata o:title=""/>
                <o:lock v:ext="edit" aspectratio="f"/>
                <v:textbox>
                  <w:txbxContent>
                    <w:p w14:paraId="0B59C6D0">
                      <w:pPr>
                        <w:spacing w:line="240" w:lineRule="auto"/>
                        <w:ind w:firstLine="0" w:firstLineChars="0"/>
                        <w:rPr>
                          <w:b/>
                          <w:bCs/>
                          <w:color w:val="FF0000"/>
                          <w:sz w:val="21"/>
                          <w:szCs w:val="21"/>
                        </w:rPr>
                      </w:pPr>
                      <w:r>
                        <w:rPr>
                          <w:rFonts w:hint="eastAsia"/>
                          <w:b/>
                          <w:bCs/>
                          <w:color w:val="FF0000"/>
                          <w:sz w:val="21"/>
                          <w:szCs w:val="21"/>
                        </w:rPr>
                        <w:t>项目所在地</w:t>
                      </w:r>
                    </w:p>
                  </w:txbxContent>
                </v:textbox>
              </v:shape>
            </w:pict>
          </mc:Fallback>
        </mc:AlternateContent>
      </w:r>
      <w:r>
        <w:rPr>
          <w:rFonts w:hint="default" w:ascii="Times New Roman" w:hAnsi="Times New Roman" w:eastAsia="宋体" w:cs="Times New Roman"/>
          <w:color w:val="auto"/>
          <w:highlight w:val="none"/>
        </w:rPr>
        <w:drawing>
          <wp:inline distT="0" distB="0" distL="114300" distR="114300">
            <wp:extent cx="5291455" cy="8162290"/>
            <wp:effectExtent l="0" t="0" r="4445" b="10160"/>
            <wp:docPr id="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0"/>
                    <pic:cNvPicPr>
                      <a:picLocks noChangeAspect="1"/>
                    </pic:cNvPicPr>
                  </pic:nvPicPr>
                  <pic:blipFill>
                    <a:blip r:embed="rId71"/>
                    <a:stretch>
                      <a:fillRect/>
                    </a:stretch>
                  </pic:blipFill>
                  <pic:spPr>
                    <a:xfrm>
                      <a:off x="0" y="0"/>
                      <a:ext cx="5291455" cy="8162290"/>
                    </a:xfrm>
                    <a:prstGeom prst="rect">
                      <a:avLst/>
                    </a:prstGeom>
                    <a:noFill/>
                    <a:ln>
                      <a:noFill/>
                    </a:ln>
                  </pic:spPr>
                </pic:pic>
              </a:graphicData>
            </a:graphic>
          </wp:inline>
        </w:drawing>
      </w:r>
    </w:p>
    <w:p w14:paraId="7E6173E7">
      <w:pPr>
        <w:tabs>
          <w:tab w:val="left" w:pos="6105"/>
        </w:tabs>
        <w:jc w:val="center"/>
        <w:outlineLvl w:val="3"/>
        <w:rPr>
          <w:rFonts w:hint="default" w:ascii="Times New Roman" w:hAnsi="Times New Roman" w:eastAsia="黑体" w:cs="Times New Roman"/>
          <w:b/>
          <w:color w:val="auto"/>
          <w:highlight w:val="none"/>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19</w:t>
      </w:r>
      <w:r>
        <w:rPr>
          <w:rFonts w:hint="default" w:ascii="Times New Roman" w:hAnsi="Times New Roman" w:eastAsia="黑体" w:cs="Times New Roman"/>
          <w:b/>
          <w:color w:val="auto"/>
          <w:highlight w:val="none"/>
        </w:rPr>
        <w:t xml:space="preserve"> 安徽省地层区划图</w:t>
      </w:r>
    </w:p>
    <w:p w14:paraId="4C782191">
      <w:pPr>
        <w:pStyle w:val="10"/>
        <w:kinsoku w:val="0"/>
        <w:overflowPunct w:val="0"/>
        <w:spacing w:line="36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2689225</wp:posOffset>
                </wp:positionH>
                <wp:positionV relativeFrom="paragraph">
                  <wp:posOffset>2203450</wp:posOffset>
                </wp:positionV>
                <wp:extent cx="1014730" cy="368300"/>
                <wp:effectExtent l="6350" t="6350" r="7620" b="406400"/>
                <wp:wrapNone/>
                <wp:docPr id="933" name="矩形标注 933"/>
                <wp:cNvGraphicFramePr/>
                <a:graphic xmlns:a="http://schemas.openxmlformats.org/drawingml/2006/main">
                  <a:graphicData uri="http://schemas.microsoft.com/office/word/2010/wordprocessingShape">
                    <wps:wsp>
                      <wps:cNvSpPr/>
                      <wps:spPr>
                        <a:xfrm>
                          <a:off x="0" y="0"/>
                          <a:ext cx="1014761" cy="367990"/>
                        </a:xfrm>
                        <a:prstGeom prst="wedgeRectCallout">
                          <a:avLst>
                            <a:gd name="adj1" fmla="val -42726"/>
                            <a:gd name="adj2" fmla="val 153279"/>
                          </a:avLst>
                        </a:prstGeom>
                        <a:noFill/>
                        <a:ln w="12700" cap="flat" cmpd="sng" algn="ctr">
                          <a:solidFill>
                            <a:srgbClr val="FF0000"/>
                          </a:solidFill>
                          <a:prstDash val="solid"/>
                          <a:miter lim="800000"/>
                        </a:ln>
                        <a:effectLst/>
                      </wps:spPr>
                      <wps:txbx>
                        <w:txbxContent>
                          <w:p w14:paraId="0166A996">
                            <w:pPr>
                              <w:spacing w:line="240" w:lineRule="auto"/>
                              <w:ind w:firstLine="0" w:firstLineChars="0"/>
                              <w:rPr>
                                <w:b/>
                                <w:bCs/>
                                <w:color w:val="FF0000"/>
                                <w:sz w:val="21"/>
                                <w:szCs w:val="21"/>
                              </w:rPr>
                            </w:pPr>
                            <w:r>
                              <w:rPr>
                                <w:rFonts w:hint="eastAsia"/>
                                <w:b/>
                                <w:bCs/>
                                <w:color w:val="FF0000"/>
                                <w:sz w:val="21"/>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1.75pt;margin-top:173.5pt;height:29pt;width:79.9pt;z-index:251663360;v-text-anchor:middle;mso-width-relative:page;mso-height-relative:page;" filled="f" stroked="t" coordsize="21600,21600" o:gfxdata="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O7RtUNsAAAALAQAADwAAAAAAAAABACAAAAAi&#10;AAAAZHJzL2Rvd25yZXYueG1sUEsBAhQAFAAAAAgAh07iQCoSwFqyAgAATQUAAA4AAAAAAAAAAQAg&#10;AAAAKgEAAGRycy9lMm9Eb2MueG1sUEsFBgAAAAAGAAYAWQEAAE4GAAAAAA==&#10;" adj="1571,43908">
                <v:fill on="f" focussize="0,0"/>
                <v:stroke weight="1pt" color="#FF0000" miterlimit="8" joinstyle="miter"/>
                <v:imagedata o:title=""/>
                <o:lock v:ext="edit" aspectratio="f"/>
                <v:textbox>
                  <w:txbxContent>
                    <w:p w14:paraId="0166A996">
                      <w:pPr>
                        <w:spacing w:line="240" w:lineRule="auto"/>
                        <w:ind w:firstLine="0" w:firstLineChars="0"/>
                        <w:rPr>
                          <w:b/>
                          <w:bCs/>
                          <w:color w:val="FF0000"/>
                          <w:sz w:val="21"/>
                          <w:szCs w:val="21"/>
                        </w:rPr>
                      </w:pPr>
                      <w:r>
                        <w:rPr>
                          <w:rFonts w:hint="eastAsia"/>
                          <w:b/>
                          <w:bCs/>
                          <w:color w:val="FF0000"/>
                          <w:sz w:val="21"/>
                          <w:szCs w:val="21"/>
                        </w:rPr>
                        <w:t>项目所在地</w:t>
                      </w:r>
                    </w:p>
                  </w:txbxContent>
                </v:textbox>
              </v:shape>
            </w:pict>
          </mc:Fallback>
        </mc:AlternateContent>
      </w:r>
      <w:r>
        <w:rPr>
          <w:rFonts w:hint="default" w:ascii="Times New Roman" w:hAnsi="Times New Roman" w:eastAsia="宋体" w:cs="Times New Roman"/>
          <w:color w:val="auto"/>
          <w:highlight w:val="none"/>
        </w:rPr>
        <w:drawing>
          <wp:inline distT="0" distB="0" distL="114300" distR="114300">
            <wp:extent cx="5419090" cy="7940040"/>
            <wp:effectExtent l="0" t="0" r="10160" b="3810"/>
            <wp:docPr id="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1"/>
                    <pic:cNvPicPr>
                      <a:picLocks noChangeAspect="1"/>
                    </pic:cNvPicPr>
                  </pic:nvPicPr>
                  <pic:blipFill>
                    <a:blip r:embed="rId72"/>
                    <a:stretch>
                      <a:fillRect/>
                    </a:stretch>
                  </pic:blipFill>
                  <pic:spPr>
                    <a:xfrm>
                      <a:off x="0" y="0"/>
                      <a:ext cx="5419090" cy="7940040"/>
                    </a:xfrm>
                    <a:prstGeom prst="rect">
                      <a:avLst/>
                    </a:prstGeom>
                    <a:noFill/>
                    <a:ln>
                      <a:noFill/>
                    </a:ln>
                  </pic:spPr>
                </pic:pic>
              </a:graphicData>
            </a:graphic>
          </wp:inline>
        </w:drawing>
      </w:r>
    </w:p>
    <w:p w14:paraId="2F4F6B91">
      <w:pPr>
        <w:pStyle w:val="10"/>
        <w:tabs>
          <w:tab w:val="left" w:pos="5604"/>
        </w:tabs>
        <w:kinsoku w:val="0"/>
        <w:overflowPunct w:val="0"/>
        <w:spacing w:line="232" w:lineRule="exact"/>
        <w:ind w:left="2395" w:firstLine="383"/>
        <w:rPr>
          <w:rFonts w:hint="default" w:ascii="Times New Roman" w:hAnsi="Times New Roman" w:eastAsia="宋体" w:cs="Times New Roman"/>
          <w:b/>
          <w:bCs/>
          <w:color w:val="auto"/>
          <w:sz w:val="20"/>
          <w:highlight w:val="none"/>
        </w:rPr>
      </w:pPr>
      <w:r>
        <w:rPr>
          <w:rFonts w:hint="default" w:ascii="Times New Roman" w:hAnsi="Times New Roman" w:eastAsia="宋体" w:cs="Times New Roman"/>
          <w:b/>
          <w:bCs/>
          <w:color w:val="auto"/>
          <w:w w:val="95"/>
          <w:sz w:val="20"/>
          <w:highlight w:val="none"/>
        </w:rPr>
        <w:t>1.松散岩类厚度等值线（m）</w:t>
      </w:r>
      <w:r>
        <w:rPr>
          <w:rFonts w:hint="default" w:ascii="Times New Roman" w:hAnsi="Times New Roman" w:eastAsia="宋体" w:cs="Times New Roman"/>
          <w:b/>
          <w:bCs/>
          <w:color w:val="auto"/>
          <w:w w:val="95"/>
          <w:sz w:val="20"/>
          <w:highlight w:val="none"/>
        </w:rPr>
        <w:tab/>
      </w:r>
      <w:r>
        <w:rPr>
          <w:rFonts w:hint="default" w:ascii="Times New Roman" w:hAnsi="Times New Roman" w:eastAsia="宋体" w:cs="Times New Roman"/>
          <w:b/>
          <w:bCs/>
          <w:color w:val="auto"/>
          <w:sz w:val="20"/>
          <w:highlight w:val="none"/>
        </w:rPr>
        <w:t>2.基岩裸露区</w:t>
      </w:r>
    </w:p>
    <w:p w14:paraId="6F48DECB">
      <w:pPr>
        <w:tabs>
          <w:tab w:val="left" w:pos="6105"/>
        </w:tabs>
        <w:jc w:val="center"/>
        <w:outlineLvl w:val="3"/>
        <w:rPr>
          <w:rFonts w:hint="default" w:ascii="Times New Roman" w:hAnsi="Times New Roman" w:eastAsia="黑体" w:cs="Times New Roman"/>
          <w:b/>
          <w:color w:val="auto"/>
          <w:highlight w:val="none"/>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-20</w:t>
      </w:r>
      <w:r>
        <w:rPr>
          <w:rFonts w:hint="default" w:ascii="Times New Roman" w:hAnsi="Times New Roman" w:eastAsia="黑体" w:cs="Times New Roman"/>
          <w:b/>
          <w:color w:val="auto"/>
          <w:highlight w:val="none"/>
        </w:rPr>
        <w:t xml:space="preserve">  安徽省松散岩类厚度等值线图</w:t>
      </w:r>
    </w:p>
    <w:p w14:paraId="30D5B36A">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B、</w:t>
      </w:r>
      <w:r>
        <w:rPr>
          <w:rFonts w:hint="default" w:ascii="Times New Roman" w:hAnsi="Times New Roman" w:eastAsia="宋体" w:cs="Times New Roman"/>
          <w:color w:val="auto"/>
          <w:sz w:val="24"/>
          <w:szCs w:val="24"/>
          <w:highlight w:val="none"/>
          <w:lang w:val="en-GB" w:eastAsia="zh-CN"/>
        </w:rPr>
        <w:t>地质构造</w:t>
      </w:r>
    </w:p>
    <w:p w14:paraId="5E2DB58D">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域构造单元属于中朝准地台南缘，分属淮河台坳淮南陷褶断带。印支运动在南北向挤压应力的作用下塑造了本区构造的基本格局。形成了近东西向的淮南复向斜及北东、北西、近东西向的主要断裂构造。喜山早期，在北北东向的东西向构造联合控制下，形成以东西向为主的断陷盆地。喜山晚期北北东向构造控制占主导地位，出现与现今相一致的剥蚀区和上第三系与第四系的沉降中心。</w:t>
      </w:r>
    </w:p>
    <w:p w14:paraId="7499D44D">
      <w:pPr>
        <w:snapToGrid/>
        <w:spacing w:line="360" w:lineRule="auto"/>
        <w:ind w:firstLine="480"/>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rPr>
        <w:t>主要发育有F1、F2、F3、F4、F5断层及谢桥古沟向斜。F1、F2、F3、F4、F5断层走向近东西，倾角15~20°，多为逆断层；F3断层走向近南北，倾角15°，为正断层。</w:t>
      </w:r>
    </w:p>
    <w:p w14:paraId="7523A6E5">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区域处于谢桥古沟向斜东部北翼，主体为一单斜形态，轴向近东西，地层倾角平缓，倾角5~15°。区内断层不发育，仅发育一条近东西向正断层(F4)，根据现有资料，全新区以来没有明显的活动迹象。</w:t>
      </w:r>
    </w:p>
    <w:p w14:paraId="25A9C257">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C、</w:t>
      </w:r>
      <w:r>
        <w:rPr>
          <w:rFonts w:hint="default" w:ascii="Times New Roman" w:hAnsi="Times New Roman" w:eastAsia="宋体" w:cs="Times New Roman"/>
          <w:color w:val="auto"/>
          <w:sz w:val="24"/>
          <w:szCs w:val="24"/>
          <w:highlight w:val="none"/>
          <w:lang w:val="en-GB" w:eastAsia="zh-CN"/>
        </w:rPr>
        <w:t>地层岩性</w:t>
      </w:r>
    </w:p>
    <w:p w14:paraId="4C28B029">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一、区域地层</w:t>
      </w:r>
    </w:p>
    <w:p w14:paraId="3481875F">
      <w:pPr>
        <w:snapToGrid/>
        <w:spacing w:line="360" w:lineRule="auto"/>
        <w:ind w:firstLine="480"/>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区域地层隶属华北地层大区晋冀鲁豫地层区徐淮地层分区淮南地层小区，地层除中生界侏罗纪和古生界志留系、泥盆系缺失外，其余地层均有不同程度发育。前第四系地层除上太古界霍邱群、青白口系、震旦系。寒武系、奥陶系、白垩系局部出露地表外，其余均被第四系覆盖，区域地层划分情况见</w:t>
      </w:r>
      <w:r>
        <w:rPr>
          <w:rFonts w:hint="eastAsia" w:ascii="Times New Roman" w:hAnsi="Times New Roman" w:eastAsia="宋体" w:cs="Times New Roman"/>
          <w:color w:val="auto"/>
          <w:sz w:val="24"/>
          <w:szCs w:val="24"/>
          <w:highlight w:val="none"/>
          <w:lang w:val="en-US" w:eastAsia="zh-CN"/>
        </w:rPr>
        <w:t>下表</w:t>
      </w:r>
    </w:p>
    <w:p w14:paraId="3036EB07">
      <w:pPr>
        <w:tabs>
          <w:tab w:val="left" w:pos="6105"/>
        </w:tabs>
        <w:jc w:val="center"/>
        <w:outlineLvl w:val="3"/>
        <w:rPr>
          <w:rFonts w:hint="default" w:ascii="Times New Roman" w:hAnsi="Times New Roman" w:eastAsia="黑体" w:cs="Times New Roman"/>
          <w:b/>
          <w:color w:val="auto"/>
          <w:highlight w:val="none"/>
          <w:lang w:val="zh-CN" w:eastAsia="zh-CN"/>
        </w:rPr>
      </w:pPr>
      <w:r>
        <w:rPr>
          <w:rFonts w:hint="eastAsia"/>
          <w:b/>
          <w:bCs/>
          <w:color w:val="auto"/>
          <w:szCs w:val="21"/>
        </w:rPr>
        <w:t>表7.9-</w:t>
      </w:r>
      <w:r>
        <w:rPr>
          <w:rFonts w:hint="eastAsia"/>
          <w:b/>
          <w:bCs/>
          <w:color w:val="auto"/>
          <w:szCs w:val="21"/>
          <w:lang w:val="en-US" w:eastAsia="zh-CN"/>
        </w:rPr>
        <w:t>21</w:t>
      </w:r>
      <w:r>
        <w:rPr>
          <w:rFonts w:hint="default" w:ascii="Times New Roman" w:hAnsi="Times New Roman" w:eastAsia="黑体" w:cs="Times New Roman"/>
          <w:b/>
          <w:color w:val="auto"/>
          <w:highlight w:val="none"/>
          <w:lang w:val="zh-CN" w:eastAsia="zh-CN"/>
        </w:rPr>
        <w:t xml:space="preserve">  区域地层划分简表</w:t>
      </w:r>
    </w:p>
    <w:tbl>
      <w:tblPr>
        <w:tblStyle w:val="32"/>
        <w:tblW w:w="9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8"/>
        <w:gridCol w:w="604"/>
        <w:gridCol w:w="945"/>
        <w:gridCol w:w="836"/>
        <w:gridCol w:w="1022"/>
        <w:gridCol w:w="634"/>
        <w:gridCol w:w="559"/>
        <w:gridCol w:w="542"/>
        <w:gridCol w:w="630"/>
        <w:gridCol w:w="2907"/>
      </w:tblGrid>
      <w:tr w14:paraId="39F6D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noWrap w:val="0"/>
            <w:vAlign w:val="center"/>
          </w:tcPr>
          <w:p w14:paraId="37637D1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界</w:t>
            </w:r>
          </w:p>
        </w:tc>
        <w:tc>
          <w:tcPr>
            <w:tcW w:w="604" w:type="dxa"/>
            <w:noWrap w:val="0"/>
            <w:vAlign w:val="center"/>
          </w:tcPr>
          <w:p w14:paraId="358D1C4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系</w:t>
            </w:r>
          </w:p>
        </w:tc>
        <w:tc>
          <w:tcPr>
            <w:tcW w:w="945" w:type="dxa"/>
            <w:noWrap w:val="0"/>
            <w:vAlign w:val="center"/>
          </w:tcPr>
          <w:p w14:paraId="250255C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统</w:t>
            </w:r>
          </w:p>
        </w:tc>
        <w:tc>
          <w:tcPr>
            <w:tcW w:w="1858" w:type="dxa"/>
            <w:gridSpan w:val="2"/>
            <w:noWrap w:val="0"/>
            <w:vAlign w:val="center"/>
          </w:tcPr>
          <w:p w14:paraId="78DB662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地层名称</w:t>
            </w:r>
          </w:p>
        </w:tc>
        <w:tc>
          <w:tcPr>
            <w:tcW w:w="1193" w:type="dxa"/>
            <w:gridSpan w:val="2"/>
            <w:noWrap w:val="0"/>
            <w:vAlign w:val="center"/>
          </w:tcPr>
          <w:p w14:paraId="21B79D3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代号</w:t>
            </w:r>
          </w:p>
        </w:tc>
        <w:tc>
          <w:tcPr>
            <w:tcW w:w="1172" w:type="dxa"/>
            <w:gridSpan w:val="2"/>
            <w:noWrap w:val="0"/>
            <w:vAlign w:val="center"/>
          </w:tcPr>
          <w:p w14:paraId="66DDE6D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厚度（m）</w:t>
            </w:r>
          </w:p>
        </w:tc>
        <w:tc>
          <w:tcPr>
            <w:tcW w:w="2907" w:type="dxa"/>
            <w:noWrap w:val="0"/>
            <w:vAlign w:val="center"/>
          </w:tcPr>
          <w:p w14:paraId="18AD18B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主要岩性</w:t>
            </w:r>
          </w:p>
        </w:tc>
      </w:tr>
      <w:tr w14:paraId="2C575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1A270EB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新生界</w:t>
            </w:r>
          </w:p>
        </w:tc>
        <w:tc>
          <w:tcPr>
            <w:tcW w:w="604" w:type="dxa"/>
            <w:vMerge w:val="restart"/>
            <w:noWrap w:val="0"/>
            <w:vAlign w:val="center"/>
          </w:tcPr>
          <w:p w14:paraId="629FDD7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第四系</w:t>
            </w:r>
          </w:p>
        </w:tc>
        <w:tc>
          <w:tcPr>
            <w:tcW w:w="945" w:type="dxa"/>
            <w:noWrap w:val="0"/>
            <w:vAlign w:val="center"/>
          </w:tcPr>
          <w:p w14:paraId="3D83654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全新统</w:t>
            </w:r>
          </w:p>
        </w:tc>
        <w:tc>
          <w:tcPr>
            <w:tcW w:w="1858" w:type="dxa"/>
            <w:gridSpan w:val="2"/>
            <w:noWrap w:val="0"/>
            <w:vAlign w:val="center"/>
          </w:tcPr>
          <w:p w14:paraId="01D0241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蚌埠组</w:t>
            </w:r>
          </w:p>
        </w:tc>
        <w:tc>
          <w:tcPr>
            <w:tcW w:w="1193" w:type="dxa"/>
            <w:gridSpan w:val="2"/>
            <w:noWrap w:val="0"/>
            <w:vAlign w:val="center"/>
          </w:tcPr>
          <w:p w14:paraId="69D74E4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Q4</w:t>
            </w:r>
          </w:p>
        </w:tc>
        <w:tc>
          <w:tcPr>
            <w:tcW w:w="1172" w:type="dxa"/>
            <w:gridSpan w:val="2"/>
            <w:noWrap w:val="0"/>
            <w:vAlign w:val="center"/>
          </w:tcPr>
          <w:p w14:paraId="15B3E6A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&lt;15</w:t>
            </w:r>
          </w:p>
        </w:tc>
        <w:tc>
          <w:tcPr>
            <w:tcW w:w="2907" w:type="dxa"/>
            <w:noWrap w:val="0"/>
            <w:vAlign w:val="center"/>
          </w:tcPr>
          <w:p w14:paraId="20D7715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浅黄色粉砂、亚砂土</w:t>
            </w:r>
          </w:p>
        </w:tc>
      </w:tr>
      <w:tr w14:paraId="7A4A9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6227A90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239728F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noWrap w:val="0"/>
            <w:vAlign w:val="center"/>
          </w:tcPr>
          <w:p w14:paraId="6E3E99B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上更新统</w:t>
            </w:r>
          </w:p>
        </w:tc>
        <w:tc>
          <w:tcPr>
            <w:tcW w:w="1858" w:type="dxa"/>
            <w:gridSpan w:val="2"/>
            <w:noWrap w:val="0"/>
            <w:vAlign w:val="center"/>
          </w:tcPr>
          <w:p w14:paraId="7169A55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颍上组</w:t>
            </w:r>
          </w:p>
        </w:tc>
        <w:tc>
          <w:tcPr>
            <w:tcW w:w="1193" w:type="dxa"/>
            <w:gridSpan w:val="2"/>
            <w:noWrap w:val="0"/>
            <w:vAlign w:val="center"/>
          </w:tcPr>
          <w:p w14:paraId="7C6FF77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Q3</w:t>
            </w:r>
          </w:p>
        </w:tc>
        <w:tc>
          <w:tcPr>
            <w:tcW w:w="1172" w:type="dxa"/>
            <w:gridSpan w:val="2"/>
            <w:noWrap w:val="0"/>
            <w:vAlign w:val="center"/>
          </w:tcPr>
          <w:p w14:paraId="02576BF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7~39</w:t>
            </w:r>
          </w:p>
        </w:tc>
        <w:tc>
          <w:tcPr>
            <w:tcW w:w="2907" w:type="dxa"/>
            <w:noWrap w:val="0"/>
            <w:vAlign w:val="center"/>
          </w:tcPr>
          <w:p w14:paraId="0878ED7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灰黄色亚黏土、淤泥质亚黏土、粉细砂、含少量钙质和铁锰质结核</w:t>
            </w:r>
          </w:p>
        </w:tc>
      </w:tr>
      <w:tr w14:paraId="44D19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4D46B1B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7DAEB56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noWrap w:val="0"/>
            <w:vAlign w:val="center"/>
          </w:tcPr>
          <w:p w14:paraId="320514A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中更新统</w:t>
            </w:r>
          </w:p>
        </w:tc>
        <w:tc>
          <w:tcPr>
            <w:tcW w:w="1858" w:type="dxa"/>
            <w:gridSpan w:val="2"/>
            <w:noWrap w:val="0"/>
            <w:vAlign w:val="center"/>
          </w:tcPr>
          <w:p w14:paraId="1C6F89D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临泉组</w:t>
            </w:r>
          </w:p>
        </w:tc>
        <w:tc>
          <w:tcPr>
            <w:tcW w:w="1193" w:type="dxa"/>
            <w:gridSpan w:val="2"/>
            <w:noWrap w:val="0"/>
            <w:vAlign w:val="center"/>
          </w:tcPr>
          <w:p w14:paraId="71A147B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w:t>
            </w:r>
          </w:p>
        </w:tc>
        <w:tc>
          <w:tcPr>
            <w:tcW w:w="1172" w:type="dxa"/>
            <w:gridSpan w:val="2"/>
            <w:noWrap w:val="0"/>
            <w:vAlign w:val="center"/>
          </w:tcPr>
          <w:p w14:paraId="616EC6E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29~60</w:t>
            </w:r>
          </w:p>
        </w:tc>
        <w:tc>
          <w:tcPr>
            <w:tcW w:w="2907" w:type="dxa"/>
            <w:noWrap w:val="0"/>
            <w:vAlign w:val="center"/>
          </w:tcPr>
          <w:p w14:paraId="4030629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浅棕、灰黄色亚黏土、含砾中细砂、含钙质结核及铁锰质结核</w:t>
            </w:r>
          </w:p>
        </w:tc>
      </w:tr>
      <w:tr w14:paraId="69208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468824D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487B2A1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noWrap w:val="0"/>
            <w:vAlign w:val="center"/>
          </w:tcPr>
          <w:p w14:paraId="4C9B85F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下更新统</w:t>
            </w:r>
          </w:p>
        </w:tc>
        <w:tc>
          <w:tcPr>
            <w:tcW w:w="1858" w:type="dxa"/>
            <w:gridSpan w:val="2"/>
            <w:noWrap w:val="0"/>
            <w:vAlign w:val="center"/>
          </w:tcPr>
          <w:p w14:paraId="3D24C46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太和组</w:t>
            </w:r>
          </w:p>
        </w:tc>
        <w:tc>
          <w:tcPr>
            <w:tcW w:w="1193" w:type="dxa"/>
            <w:gridSpan w:val="2"/>
            <w:noWrap w:val="0"/>
            <w:vAlign w:val="center"/>
          </w:tcPr>
          <w:p w14:paraId="4FB32A4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Q1</w:t>
            </w:r>
          </w:p>
        </w:tc>
        <w:tc>
          <w:tcPr>
            <w:tcW w:w="1172" w:type="dxa"/>
            <w:gridSpan w:val="2"/>
            <w:noWrap w:val="0"/>
            <w:vAlign w:val="center"/>
          </w:tcPr>
          <w:p w14:paraId="365380D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40~80</w:t>
            </w:r>
          </w:p>
        </w:tc>
        <w:tc>
          <w:tcPr>
            <w:tcW w:w="2907" w:type="dxa"/>
            <w:noWrap w:val="0"/>
            <w:vAlign w:val="center"/>
          </w:tcPr>
          <w:p w14:paraId="625E2B9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黄色、浅灰色中、细砂，粉砂组成，间夹薄层黏土</w:t>
            </w:r>
          </w:p>
        </w:tc>
      </w:tr>
      <w:tr w14:paraId="450BB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7677A2F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restart"/>
            <w:noWrap w:val="0"/>
            <w:vAlign w:val="center"/>
          </w:tcPr>
          <w:p w14:paraId="169E8C8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第三系</w:t>
            </w:r>
          </w:p>
        </w:tc>
        <w:tc>
          <w:tcPr>
            <w:tcW w:w="945" w:type="dxa"/>
            <w:noWrap w:val="0"/>
            <w:vAlign w:val="center"/>
          </w:tcPr>
          <w:p w14:paraId="58D8FB8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上新统</w:t>
            </w:r>
          </w:p>
        </w:tc>
        <w:tc>
          <w:tcPr>
            <w:tcW w:w="1858" w:type="dxa"/>
            <w:gridSpan w:val="2"/>
            <w:noWrap w:val="0"/>
            <w:vAlign w:val="center"/>
          </w:tcPr>
          <w:p w14:paraId="619B840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明化镇组</w:t>
            </w:r>
          </w:p>
        </w:tc>
        <w:tc>
          <w:tcPr>
            <w:tcW w:w="1193" w:type="dxa"/>
            <w:gridSpan w:val="2"/>
            <w:noWrap w:val="0"/>
            <w:vAlign w:val="center"/>
          </w:tcPr>
          <w:p w14:paraId="010C318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N2m</w:t>
            </w:r>
          </w:p>
        </w:tc>
        <w:tc>
          <w:tcPr>
            <w:tcW w:w="1172" w:type="dxa"/>
            <w:gridSpan w:val="2"/>
            <w:noWrap w:val="0"/>
            <w:vAlign w:val="center"/>
          </w:tcPr>
          <w:p w14:paraId="35BA088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&lt;290</w:t>
            </w:r>
          </w:p>
        </w:tc>
        <w:tc>
          <w:tcPr>
            <w:tcW w:w="2907" w:type="dxa"/>
            <w:noWrap w:val="0"/>
            <w:vAlign w:val="center"/>
          </w:tcPr>
          <w:p w14:paraId="56D06A7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紫红色、灰绿色黏土及灰白色巨厚层中粗砂、含少量铁锰质钙质结核、下部灰白色泥岩</w:t>
            </w:r>
          </w:p>
        </w:tc>
      </w:tr>
      <w:tr w14:paraId="0E5F5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1F3CB4D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07D7855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noWrap w:val="0"/>
            <w:vAlign w:val="center"/>
          </w:tcPr>
          <w:p w14:paraId="74D8CE8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古新统</w:t>
            </w:r>
          </w:p>
        </w:tc>
        <w:tc>
          <w:tcPr>
            <w:tcW w:w="836" w:type="dxa"/>
            <w:noWrap w:val="0"/>
            <w:vAlign w:val="center"/>
          </w:tcPr>
          <w:p w14:paraId="0AC9690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双浮组</w:t>
            </w:r>
          </w:p>
        </w:tc>
        <w:tc>
          <w:tcPr>
            <w:tcW w:w="1022" w:type="dxa"/>
            <w:noWrap w:val="0"/>
            <w:vAlign w:val="center"/>
          </w:tcPr>
          <w:p w14:paraId="0B8C708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定远组</w:t>
            </w:r>
          </w:p>
        </w:tc>
        <w:tc>
          <w:tcPr>
            <w:tcW w:w="634" w:type="dxa"/>
            <w:noWrap w:val="0"/>
            <w:vAlign w:val="center"/>
          </w:tcPr>
          <w:p w14:paraId="05B049D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E1sh</w:t>
            </w:r>
          </w:p>
        </w:tc>
        <w:tc>
          <w:tcPr>
            <w:tcW w:w="559" w:type="dxa"/>
            <w:noWrap w:val="0"/>
            <w:vAlign w:val="center"/>
          </w:tcPr>
          <w:p w14:paraId="5F6278D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E1dh</w:t>
            </w:r>
          </w:p>
        </w:tc>
        <w:tc>
          <w:tcPr>
            <w:tcW w:w="542" w:type="dxa"/>
            <w:noWrap w:val="0"/>
            <w:vAlign w:val="center"/>
          </w:tcPr>
          <w:p w14:paraId="7FBEE55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&gt;743</w:t>
            </w:r>
          </w:p>
        </w:tc>
        <w:tc>
          <w:tcPr>
            <w:tcW w:w="630" w:type="dxa"/>
            <w:noWrap w:val="0"/>
            <w:vAlign w:val="center"/>
          </w:tcPr>
          <w:p w14:paraId="226926C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468</w:t>
            </w:r>
          </w:p>
        </w:tc>
        <w:tc>
          <w:tcPr>
            <w:tcW w:w="2907" w:type="dxa"/>
            <w:noWrap w:val="0"/>
            <w:vAlign w:val="center"/>
          </w:tcPr>
          <w:p w14:paraId="68AC198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粉砂质泥岩，细砂岩，含砾中粗砂岩，底部为角砾岩</w:t>
            </w:r>
          </w:p>
        </w:tc>
      </w:tr>
      <w:tr w14:paraId="4B04B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5524E62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中生界</w:t>
            </w:r>
          </w:p>
        </w:tc>
        <w:tc>
          <w:tcPr>
            <w:tcW w:w="604" w:type="dxa"/>
            <w:noWrap w:val="0"/>
            <w:vAlign w:val="center"/>
          </w:tcPr>
          <w:p w14:paraId="078CCBA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白垩纪</w:t>
            </w:r>
          </w:p>
        </w:tc>
        <w:tc>
          <w:tcPr>
            <w:tcW w:w="945" w:type="dxa"/>
            <w:noWrap w:val="0"/>
            <w:vAlign w:val="center"/>
          </w:tcPr>
          <w:p w14:paraId="185728D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上统</w:t>
            </w:r>
          </w:p>
        </w:tc>
        <w:tc>
          <w:tcPr>
            <w:tcW w:w="1858" w:type="dxa"/>
            <w:gridSpan w:val="2"/>
            <w:noWrap w:val="0"/>
            <w:vAlign w:val="center"/>
          </w:tcPr>
          <w:p w14:paraId="3A832B6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张桥组</w:t>
            </w:r>
          </w:p>
        </w:tc>
        <w:tc>
          <w:tcPr>
            <w:tcW w:w="1193" w:type="dxa"/>
            <w:gridSpan w:val="2"/>
            <w:noWrap w:val="0"/>
            <w:vAlign w:val="center"/>
          </w:tcPr>
          <w:p w14:paraId="1FB30F8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K2Z</w:t>
            </w:r>
          </w:p>
        </w:tc>
        <w:tc>
          <w:tcPr>
            <w:tcW w:w="1172" w:type="dxa"/>
            <w:gridSpan w:val="2"/>
            <w:noWrap w:val="0"/>
            <w:vAlign w:val="center"/>
          </w:tcPr>
          <w:p w14:paraId="2E998C4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&gt;210</w:t>
            </w:r>
          </w:p>
        </w:tc>
        <w:tc>
          <w:tcPr>
            <w:tcW w:w="2907" w:type="dxa"/>
            <w:noWrap w:val="0"/>
            <w:vAlign w:val="center"/>
          </w:tcPr>
          <w:p w14:paraId="5051568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砂岩，砂砾岩</w:t>
            </w:r>
          </w:p>
        </w:tc>
      </w:tr>
      <w:tr w14:paraId="5D99D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1F172AB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restart"/>
            <w:noWrap w:val="0"/>
            <w:vAlign w:val="center"/>
          </w:tcPr>
          <w:p w14:paraId="20D8CDC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三迭系</w:t>
            </w:r>
          </w:p>
        </w:tc>
        <w:tc>
          <w:tcPr>
            <w:tcW w:w="945" w:type="dxa"/>
            <w:vMerge w:val="restart"/>
            <w:noWrap w:val="0"/>
            <w:vAlign w:val="center"/>
          </w:tcPr>
          <w:p w14:paraId="05ECABB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下统</w:t>
            </w:r>
          </w:p>
        </w:tc>
        <w:tc>
          <w:tcPr>
            <w:tcW w:w="1858" w:type="dxa"/>
            <w:gridSpan w:val="2"/>
            <w:noWrap w:val="0"/>
            <w:vAlign w:val="center"/>
          </w:tcPr>
          <w:p w14:paraId="63ADA9D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和尚沟组</w:t>
            </w:r>
          </w:p>
        </w:tc>
        <w:tc>
          <w:tcPr>
            <w:tcW w:w="1193" w:type="dxa"/>
            <w:gridSpan w:val="2"/>
            <w:noWrap w:val="0"/>
            <w:vAlign w:val="center"/>
          </w:tcPr>
          <w:p w14:paraId="760FDAD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T1hs</w:t>
            </w:r>
          </w:p>
        </w:tc>
        <w:tc>
          <w:tcPr>
            <w:tcW w:w="1172" w:type="dxa"/>
            <w:gridSpan w:val="2"/>
            <w:noWrap w:val="0"/>
            <w:vAlign w:val="center"/>
          </w:tcPr>
          <w:p w14:paraId="5DFBD95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&gt;110</w:t>
            </w:r>
          </w:p>
        </w:tc>
        <w:tc>
          <w:tcPr>
            <w:tcW w:w="2907" w:type="dxa"/>
            <w:noWrap w:val="0"/>
            <w:vAlign w:val="center"/>
          </w:tcPr>
          <w:p w14:paraId="0148B68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泥岩、砂质泥岩夹中细砂岩</w:t>
            </w:r>
          </w:p>
        </w:tc>
      </w:tr>
      <w:tr w14:paraId="3F959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52C54FC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4AE02CD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vMerge w:val="continue"/>
            <w:noWrap w:val="0"/>
            <w:vAlign w:val="center"/>
          </w:tcPr>
          <w:p w14:paraId="24E1FF7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677E29B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刘家沟组</w:t>
            </w:r>
          </w:p>
        </w:tc>
        <w:tc>
          <w:tcPr>
            <w:tcW w:w="1193" w:type="dxa"/>
            <w:gridSpan w:val="2"/>
            <w:noWrap w:val="0"/>
            <w:vAlign w:val="center"/>
          </w:tcPr>
          <w:p w14:paraId="57FAFEF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T11</w:t>
            </w:r>
          </w:p>
        </w:tc>
        <w:tc>
          <w:tcPr>
            <w:tcW w:w="1172" w:type="dxa"/>
            <w:gridSpan w:val="2"/>
            <w:noWrap w:val="0"/>
            <w:vAlign w:val="center"/>
          </w:tcPr>
          <w:p w14:paraId="7F24547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&gt;323</w:t>
            </w:r>
          </w:p>
        </w:tc>
        <w:tc>
          <w:tcPr>
            <w:tcW w:w="2907" w:type="dxa"/>
            <w:noWrap w:val="0"/>
            <w:vAlign w:val="center"/>
          </w:tcPr>
          <w:p w14:paraId="7EE839A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含泥砾中粒长石石英砂岩</w:t>
            </w:r>
          </w:p>
        </w:tc>
      </w:tr>
      <w:tr w14:paraId="44DBA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1D18213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古生界</w:t>
            </w:r>
          </w:p>
        </w:tc>
        <w:tc>
          <w:tcPr>
            <w:tcW w:w="604" w:type="dxa"/>
            <w:vMerge w:val="restart"/>
            <w:noWrap w:val="0"/>
            <w:vAlign w:val="center"/>
          </w:tcPr>
          <w:p w14:paraId="0F1CD70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二迭系</w:t>
            </w:r>
          </w:p>
        </w:tc>
        <w:tc>
          <w:tcPr>
            <w:tcW w:w="945" w:type="dxa"/>
            <w:vMerge w:val="restart"/>
            <w:noWrap w:val="0"/>
            <w:vAlign w:val="center"/>
          </w:tcPr>
          <w:p w14:paraId="61002F6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上统</w:t>
            </w:r>
          </w:p>
        </w:tc>
        <w:tc>
          <w:tcPr>
            <w:tcW w:w="1858" w:type="dxa"/>
            <w:gridSpan w:val="2"/>
            <w:noWrap w:val="0"/>
            <w:vAlign w:val="center"/>
          </w:tcPr>
          <w:p w14:paraId="36DECAD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石千峰组</w:t>
            </w:r>
          </w:p>
        </w:tc>
        <w:tc>
          <w:tcPr>
            <w:tcW w:w="1193" w:type="dxa"/>
            <w:gridSpan w:val="2"/>
            <w:noWrap w:val="0"/>
            <w:vAlign w:val="center"/>
          </w:tcPr>
          <w:p w14:paraId="37711CB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P2sh</w:t>
            </w:r>
          </w:p>
        </w:tc>
        <w:tc>
          <w:tcPr>
            <w:tcW w:w="1172" w:type="dxa"/>
            <w:gridSpan w:val="2"/>
            <w:noWrap w:val="0"/>
            <w:vAlign w:val="center"/>
          </w:tcPr>
          <w:p w14:paraId="2C2CC15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&gt;112</w:t>
            </w:r>
          </w:p>
        </w:tc>
        <w:tc>
          <w:tcPr>
            <w:tcW w:w="2907" w:type="dxa"/>
            <w:noWrap w:val="0"/>
            <w:vAlign w:val="center"/>
          </w:tcPr>
          <w:p w14:paraId="705AD1A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中粗粒长石石英砂岩，局部含砾</w:t>
            </w:r>
          </w:p>
        </w:tc>
      </w:tr>
      <w:tr w14:paraId="4C824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0183726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0538FE0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vMerge w:val="continue"/>
            <w:noWrap w:val="0"/>
            <w:vAlign w:val="center"/>
          </w:tcPr>
          <w:p w14:paraId="5B05CD8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70F269E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上石河子组</w:t>
            </w:r>
          </w:p>
        </w:tc>
        <w:tc>
          <w:tcPr>
            <w:tcW w:w="1193" w:type="dxa"/>
            <w:gridSpan w:val="2"/>
            <w:noWrap w:val="0"/>
            <w:vAlign w:val="center"/>
          </w:tcPr>
          <w:p w14:paraId="6ED5A8E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P2s</w:t>
            </w:r>
          </w:p>
        </w:tc>
        <w:tc>
          <w:tcPr>
            <w:tcW w:w="1172" w:type="dxa"/>
            <w:gridSpan w:val="2"/>
            <w:noWrap w:val="0"/>
            <w:vAlign w:val="center"/>
          </w:tcPr>
          <w:p w14:paraId="0BDFE20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506</w:t>
            </w:r>
          </w:p>
        </w:tc>
        <w:tc>
          <w:tcPr>
            <w:tcW w:w="2907" w:type="dxa"/>
            <w:noWrap w:val="0"/>
            <w:vAlign w:val="center"/>
          </w:tcPr>
          <w:p w14:paraId="7C9B962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泥岩、粉砂岩、碳质页岩煤</w:t>
            </w:r>
          </w:p>
        </w:tc>
      </w:tr>
      <w:tr w14:paraId="36C56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333F7F1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7804643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vMerge w:val="restart"/>
            <w:noWrap w:val="0"/>
            <w:vAlign w:val="center"/>
          </w:tcPr>
          <w:p w14:paraId="64D3447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下统</w:t>
            </w:r>
          </w:p>
        </w:tc>
        <w:tc>
          <w:tcPr>
            <w:tcW w:w="1858" w:type="dxa"/>
            <w:gridSpan w:val="2"/>
            <w:noWrap w:val="0"/>
            <w:vAlign w:val="center"/>
          </w:tcPr>
          <w:p w14:paraId="4468233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下石盒子组</w:t>
            </w:r>
          </w:p>
        </w:tc>
        <w:tc>
          <w:tcPr>
            <w:tcW w:w="1193" w:type="dxa"/>
            <w:gridSpan w:val="2"/>
            <w:noWrap w:val="0"/>
            <w:vAlign w:val="center"/>
          </w:tcPr>
          <w:p w14:paraId="10FAA8D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P1x</w:t>
            </w:r>
          </w:p>
        </w:tc>
        <w:tc>
          <w:tcPr>
            <w:tcW w:w="1172" w:type="dxa"/>
            <w:gridSpan w:val="2"/>
            <w:noWrap w:val="0"/>
            <w:vAlign w:val="center"/>
          </w:tcPr>
          <w:p w14:paraId="1AD3C7A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237</w:t>
            </w:r>
          </w:p>
        </w:tc>
        <w:tc>
          <w:tcPr>
            <w:tcW w:w="2907" w:type="dxa"/>
            <w:noWrap w:val="0"/>
            <w:vAlign w:val="center"/>
          </w:tcPr>
          <w:p w14:paraId="29B835A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粉砂岩、黏土岩、碳质页岩煤</w:t>
            </w:r>
          </w:p>
        </w:tc>
      </w:tr>
      <w:tr w14:paraId="04F31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2D6CA85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78AC2DD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vMerge w:val="continue"/>
            <w:noWrap w:val="0"/>
            <w:vAlign w:val="center"/>
          </w:tcPr>
          <w:p w14:paraId="5A7C56E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3A9DAFF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山西组</w:t>
            </w:r>
          </w:p>
        </w:tc>
        <w:tc>
          <w:tcPr>
            <w:tcW w:w="1193" w:type="dxa"/>
            <w:gridSpan w:val="2"/>
            <w:noWrap w:val="0"/>
            <w:vAlign w:val="center"/>
          </w:tcPr>
          <w:p w14:paraId="25FD9C6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P1s</w:t>
            </w:r>
          </w:p>
        </w:tc>
        <w:tc>
          <w:tcPr>
            <w:tcW w:w="1172" w:type="dxa"/>
            <w:gridSpan w:val="2"/>
            <w:noWrap w:val="0"/>
            <w:vAlign w:val="center"/>
          </w:tcPr>
          <w:p w14:paraId="477919B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w:t>
            </w:r>
          </w:p>
        </w:tc>
        <w:tc>
          <w:tcPr>
            <w:tcW w:w="2907" w:type="dxa"/>
            <w:noWrap w:val="0"/>
            <w:vAlign w:val="center"/>
          </w:tcPr>
          <w:p w14:paraId="0016DA3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砂质泥岩，细中粒砂岩</w:t>
            </w:r>
          </w:p>
        </w:tc>
      </w:tr>
      <w:tr w14:paraId="6E053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1B44A2C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noWrap w:val="0"/>
            <w:vAlign w:val="center"/>
          </w:tcPr>
          <w:p w14:paraId="2837019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石炭系</w:t>
            </w:r>
          </w:p>
        </w:tc>
        <w:tc>
          <w:tcPr>
            <w:tcW w:w="945" w:type="dxa"/>
            <w:noWrap w:val="0"/>
            <w:vAlign w:val="center"/>
          </w:tcPr>
          <w:p w14:paraId="267A95A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上统</w:t>
            </w:r>
          </w:p>
        </w:tc>
        <w:tc>
          <w:tcPr>
            <w:tcW w:w="1858" w:type="dxa"/>
            <w:gridSpan w:val="2"/>
            <w:noWrap w:val="0"/>
            <w:vAlign w:val="center"/>
          </w:tcPr>
          <w:p w14:paraId="0F6424E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太原组</w:t>
            </w:r>
          </w:p>
        </w:tc>
        <w:tc>
          <w:tcPr>
            <w:tcW w:w="1193" w:type="dxa"/>
            <w:gridSpan w:val="2"/>
            <w:noWrap w:val="0"/>
            <w:vAlign w:val="center"/>
          </w:tcPr>
          <w:p w14:paraId="149C563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C2t</w:t>
            </w:r>
          </w:p>
        </w:tc>
        <w:tc>
          <w:tcPr>
            <w:tcW w:w="1172" w:type="dxa"/>
            <w:gridSpan w:val="2"/>
            <w:noWrap w:val="0"/>
            <w:vAlign w:val="center"/>
          </w:tcPr>
          <w:p w14:paraId="17CE676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2907" w:type="dxa"/>
            <w:noWrap w:val="0"/>
            <w:vAlign w:val="center"/>
          </w:tcPr>
          <w:p w14:paraId="0D5F6E4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含燧石结核灰岩夹粉砂岩</w:t>
            </w:r>
          </w:p>
        </w:tc>
      </w:tr>
      <w:tr w14:paraId="55B0A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642DA22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restart"/>
            <w:noWrap w:val="0"/>
            <w:vAlign w:val="center"/>
          </w:tcPr>
          <w:p w14:paraId="200B641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奥陶系</w:t>
            </w:r>
          </w:p>
        </w:tc>
        <w:tc>
          <w:tcPr>
            <w:tcW w:w="945" w:type="dxa"/>
            <w:vMerge w:val="restart"/>
            <w:noWrap w:val="0"/>
            <w:vAlign w:val="center"/>
          </w:tcPr>
          <w:p w14:paraId="0011E59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下统</w:t>
            </w:r>
          </w:p>
        </w:tc>
        <w:tc>
          <w:tcPr>
            <w:tcW w:w="1858" w:type="dxa"/>
            <w:gridSpan w:val="2"/>
            <w:noWrap w:val="0"/>
            <w:vAlign w:val="center"/>
          </w:tcPr>
          <w:p w14:paraId="7A6C426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马家沟组</w:t>
            </w:r>
          </w:p>
        </w:tc>
        <w:tc>
          <w:tcPr>
            <w:tcW w:w="1193" w:type="dxa"/>
            <w:gridSpan w:val="2"/>
            <w:noWrap w:val="0"/>
            <w:vAlign w:val="center"/>
          </w:tcPr>
          <w:p w14:paraId="3882C7B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O1m</w:t>
            </w:r>
          </w:p>
        </w:tc>
        <w:tc>
          <w:tcPr>
            <w:tcW w:w="1172" w:type="dxa"/>
            <w:gridSpan w:val="2"/>
            <w:noWrap w:val="0"/>
            <w:vAlign w:val="center"/>
          </w:tcPr>
          <w:p w14:paraId="1A7B5BC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146</w:t>
            </w:r>
          </w:p>
        </w:tc>
        <w:tc>
          <w:tcPr>
            <w:tcW w:w="2907" w:type="dxa"/>
            <w:noWrap w:val="0"/>
            <w:vAlign w:val="center"/>
          </w:tcPr>
          <w:p w14:paraId="688867C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白云岩，白云质灰岩，灰岩</w:t>
            </w:r>
          </w:p>
        </w:tc>
      </w:tr>
      <w:tr w14:paraId="0A11B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348" w:type="dxa"/>
            <w:vMerge w:val="continue"/>
            <w:noWrap w:val="0"/>
            <w:vAlign w:val="center"/>
          </w:tcPr>
          <w:p w14:paraId="3969E2D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021633D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vMerge w:val="continue"/>
            <w:noWrap w:val="0"/>
            <w:vAlign w:val="center"/>
          </w:tcPr>
          <w:p w14:paraId="088B484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19010D0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萧县组</w:t>
            </w:r>
          </w:p>
        </w:tc>
        <w:tc>
          <w:tcPr>
            <w:tcW w:w="1193" w:type="dxa"/>
            <w:gridSpan w:val="2"/>
            <w:noWrap w:val="0"/>
            <w:vAlign w:val="center"/>
          </w:tcPr>
          <w:p w14:paraId="70D4AD0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O1x</w:t>
            </w:r>
          </w:p>
        </w:tc>
        <w:tc>
          <w:tcPr>
            <w:tcW w:w="1172" w:type="dxa"/>
            <w:gridSpan w:val="2"/>
            <w:noWrap w:val="0"/>
            <w:vAlign w:val="center"/>
          </w:tcPr>
          <w:p w14:paraId="5857461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213</w:t>
            </w:r>
          </w:p>
        </w:tc>
        <w:tc>
          <w:tcPr>
            <w:tcW w:w="2907" w:type="dxa"/>
            <w:noWrap w:val="0"/>
            <w:vAlign w:val="center"/>
          </w:tcPr>
          <w:p w14:paraId="73F661C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灰质白云岩、白云岩灰岩夹泥岩</w:t>
            </w:r>
          </w:p>
        </w:tc>
      </w:tr>
      <w:tr w14:paraId="73CA9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4CD470C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restart"/>
            <w:noWrap w:val="0"/>
            <w:vAlign w:val="center"/>
          </w:tcPr>
          <w:p w14:paraId="45A7C08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寒武系</w:t>
            </w:r>
          </w:p>
        </w:tc>
        <w:tc>
          <w:tcPr>
            <w:tcW w:w="945" w:type="dxa"/>
            <w:vMerge w:val="restart"/>
            <w:noWrap w:val="0"/>
            <w:vAlign w:val="center"/>
          </w:tcPr>
          <w:p w14:paraId="0F5FF53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上统</w:t>
            </w:r>
          </w:p>
        </w:tc>
        <w:tc>
          <w:tcPr>
            <w:tcW w:w="1858" w:type="dxa"/>
            <w:gridSpan w:val="2"/>
            <w:noWrap w:val="0"/>
            <w:vAlign w:val="center"/>
          </w:tcPr>
          <w:p w14:paraId="6CC5D80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土坝组</w:t>
            </w:r>
          </w:p>
        </w:tc>
        <w:tc>
          <w:tcPr>
            <w:tcW w:w="1193" w:type="dxa"/>
            <w:gridSpan w:val="2"/>
            <w:noWrap w:val="0"/>
            <w:vAlign w:val="center"/>
          </w:tcPr>
          <w:p w14:paraId="657F54C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∈3t</w:t>
            </w:r>
          </w:p>
        </w:tc>
        <w:tc>
          <w:tcPr>
            <w:tcW w:w="1172" w:type="dxa"/>
            <w:gridSpan w:val="2"/>
            <w:noWrap w:val="0"/>
            <w:vAlign w:val="center"/>
          </w:tcPr>
          <w:p w14:paraId="1A77C6B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171</w:t>
            </w:r>
          </w:p>
        </w:tc>
        <w:tc>
          <w:tcPr>
            <w:tcW w:w="2907" w:type="dxa"/>
            <w:noWrap w:val="0"/>
            <w:vAlign w:val="center"/>
          </w:tcPr>
          <w:p w14:paraId="6315ED1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含硅质泥岩白云岩</w:t>
            </w:r>
          </w:p>
        </w:tc>
      </w:tr>
      <w:tr w14:paraId="5D3EF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1B97E04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6739390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vMerge w:val="continue"/>
            <w:noWrap w:val="0"/>
            <w:vAlign w:val="center"/>
          </w:tcPr>
          <w:p w14:paraId="0778F06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5A70E95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崮山组</w:t>
            </w:r>
          </w:p>
        </w:tc>
        <w:tc>
          <w:tcPr>
            <w:tcW w:w="1193" w:type="dxa"/>
            <w:gridSpan w:val="2"/>
            <w:noWrap w:val="0"/>
            <w:vAlign w:val="center"/>
          </w:tcPr>
          <w:p w14:paraId="617F7C2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∈3g</w:t>
            </w:r>
          </w:p>
        </w:tc>
        <w:tc>
          <w:tcPr>
            <w:tcW w:w="1172" w:type="dxa"/>
            <w:gridSpan w:val="2"/>
            <w:noWrap w:val="0"/>
            <w:vAlign w:val="center"/>
          </w:tcPr>
          <w:p w14:paraId="2FF4CCB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w:t>
            </w:r>
          </w:p>
        </w:tc>
        <w:tc>
          <w:tcPr>
            <w:tcW w:w="2907" w:type="dxa"/>
            <w:noWrap w:val="0"/>
            <w:vAlign w:val="center"/>
          </w:tcPr>
          <w:p w14:paraId="67B49EA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含硅质泥岩白云岩，鲕状白云质灰岩</w:t>
            </w:r>
          </w:p>
        </w:tc>
      </w:tr>
      <w:tr w14:paraId="16C5B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7ED0604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60B5F58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noWrap w:val="0"/>
            <w:vAlign w:val="center"/>
          </w:tcPr>
          <w:p w14:paraId="0183C5B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中统</w:t>
            </w:r>
          </w:p>
        </w:tc>
        <w:tc>
          <w:tcPr>
            <w:tcW w:w="1858" w:type="dxa"/>
            <w:gridSpan w:val="2"/>
            <w:noWrap w:val="0"/>
            <w:vAlign w:val="center"/>
          </w:tcPr>
          <w:p w14:paraId="0D9C6B8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张夏组</w:t>
            </w:r>
          </w:p>
        </w:tc>
        <w:tc>
          <w:tcPr>
            <w:tcW w:w="1193" w:type="dxa"/>
            <w:gridSpan w:val="2"/>
            <w:noWrap w:val="0"/>
            <w:vAlign w:val="center"/>
          </w:tcPr>
          <w:p w14:paraId="2F5D681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∈2z</w:t>
            </w:r>
          </w:p>
        </w:tc>
        <w:tc>
          <w:tcPr>
            <w:tcW w:w="1172" w:type="dxa"/>
            <w:gridSpan w:val="2"/>
            <w:noWrap w:val="0"/>
            <w:vAlign w:val="center"/>
          </w:tcPr>
          <w:p w14:paraId="0026CB2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145</w:t>
            </w:r>
          </w:p>
        </w:tc>
        <w:tc>
          <w:tcPr>
            <w:tcW w:w="2907" w:type="dxa"/>
            <w:noWrap w:val="0"/>
            <w:vAlign w:val="center"/>
          </w:tcPr>
          <w:p w14:paraId="2A1ACE4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灰质白云岩，白云岩灰岩</w:t>
            </w:r>
          </w:p>
        </w:tc>
      </w:tr>
      <w:tr w14:paraId="32EE9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1B19606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上元古界</w:t>
            </w:r>
          </w:p>
        </w:tc>
        <w:tc>
          <w:tcPr>
            <w:tcW w:w="604" w:type="dxa"/>
            <w:vMerge w:val="restart"/>
            <w:noWrap w:val="0"/>
            <w:vAlign w:val="center"/>
          </w:tcPr>
          <w:p w14:paraId="704B54B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震旦系</w:t>
            </w:r>
          </w:p>
        </w:tc>
        <w:tc>
          <w:tcPr>
            <w:tcW w:w="945" w:type="dxa"/>
            <w:vMerge w:val="restart"/>
            <w:noWrap w:val="0"/>
            <w:vAlign w:val="center"/>
          </w:tcPr>
          <w:p w14:paraId="5514BE8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下统</w:t>
            </w:r>
          </w:p>
        </w:tc>
        <w:tc>
          <w:tcPr>
            <w:tcW w:w="1858" w:type="dxa"/>
            <w:gridSpan w:val="2"/>
            <w:noWrap w:val="0"/>
            <w:vAlign w:val="center"/>
          </w:tcPr>
          <w:p w14:paraId="21DF42C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倪园组</w:t>
            </w:r>
          </w:p>
        </w:tc>
        <w:tc>
          <w:tcPr>
            <w:tcW w:w="1193" w:type="dxa"/>
            <w:gridSpan w:val="2"/>
            <w:noWrap w:val="0"/>
            <w:vAlign w:val="center"/>
          </w:tcPr>
          <w:p w14:paraId="1542EE9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Z1n</w:t>
            </w:r>
          </w:p>
        </w:tc>
        <w:tc>
          <w:tcPr>
            <w:tcW w:w="1172" w:type="dxa"/>
            <w:gridSpan w:val="2"/>
            <w:noWrap w:val="0"/>
            <w:vAlign w:val="center"/>
          </w:tcPr>
          <w:p w14:paraId="652192F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w:t>
            </w:r>
          </w:p>
        </w:tc>
        <w:tc>
          <w:tcPr>
            <w:tcW w:w="2907" w:type="dxa"/>
            <w:noWrap w:val="0"/>
            <w:vAlign w:val="center"/>
          </w:tcPr>
          <w:p w14:paraId="087BA5F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条带状含燧石结核白云岩</w:t>
            </w:r>
          </w:p>
        </w:tc>
      </w:tr>
      <w:tr w14:paraId="33363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5F36174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2A3CCBB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vMerge w:val="continue"/>
            <w:noWrap w:val="0"/>
            <w:vAlign w:val="center"/>
          </w:tcPr>
          <w:p w14:paraId="58B0D73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6903507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四顶山组</w:t>
            </w:r>
          </w:p>
        </w:tc>
        <w:tc>
          <w:tcPr>
            <w:tcW w:w="1193" w:type="dxa"/>
            <w:gridSpan w:val="2"/>
            <w:noWrap w:val="0"/>
            <w:vAlign w:val="center"/>
          </w:tcPr>
          <w:p w14:paraId="38FE69B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Z1sd</w:t>
            </w:r>
          </w:p>
        </w:tc>
        <w:tc>
          <w:tcPr>
            <w:tcW w:w="1172" w:type="dxa"/>
            <w:gridSpan w:val="2"/>
            <w:noWrap w:val="0"/>
            <w:vAlign w:val="center"/>
          </w:tcPr>
          <w:p w14:paraId="7375231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99</w:t>
            </w:r>
          </w:p>
        </w:tc>
        <w:tc>
          <w:tcPr>
            <w:tcW w:w="2907" w:type="dxa"/>
            <w:noWrap w:val="0"/>
            <w:vAlign w:val="center"/>
          </w:tcPr>
          <w:p w14:paraId="62547A2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含叠层石白云岩</w:t>
            </w:r>
          </w:p>
        </w:tc>
      </w:tr>
      <w:tr w14:paraId="779FB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03382E7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vMerge w:val="continue"/>
            <w:noWrap w:val="0"/>
            <w:vAlign w:val="center"/>
          </w:tcPr>
          <w:p w14:paraId="2D43BD5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noWrap w:val="0"/>
            <w:vAlign w:val="center"/>
          </w:tcPr>
          <w:p w14:paraId="1A37BCD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575DB5E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九里桥组</w:t>
            </w:r>
          </w:p>
        </w:tc>
        <w:tc>
          <w:tcPr>
            <w:tcW w:w="1193" w:type="dxa"/>
            <w:gridSpan w:val="2"/>
            <w:noWrap w:val="0"/>
            <w:vAlign w:val="center"/>
          </w:tcPr>
          <w:p w14:paraId="1534CD9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Z1j</w:t>
            </w:r>
          </w:p>
        </w:tc>
        <w:tc>
          <w:tcPr>
            <w:tcW w:w="1172" w:type="dxa"/>
            <w:gridSpan w:val="2"/>
            <w:noWrap w:val="0"/>
            <w:vAlign w:val="center"/>
          </w:tcPr>
          <w:p w14:paraId="217D3A0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71</w:t>
            </w:r>
          </w:p>
        </w:tc>
        <w:tc>
          <w:tcPr>
            <w:tcW w:w="2907" w:type="dxa"/>
            <w:noWrap w:val="0"/>
            <w:vAlign w:val="center"/>
          </w:tcPr>
          <w:p w14:paraId="2C5FCD4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条带状灰岩夹叠层石灰岩</w:t>
            </w:r>
          </w:p>
        </w:tc>
      </w:tr>
      <w:tr w14:paraId="60DC5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5F1BD24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604" w:type="dxa"/>
            <w:noWrap w:val="0"/>
            <w:vAlign w:val="center"/>
          </w:tcPr>
          <w:p w14:paraId="0258E6C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945" w:type="dxa"/>
            <w:noWrap w:val="0"/>
            <w:vAlign w:val="center"/>
          </w:tcPr>
          <w:p w14:paraId="75D0B91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25701FA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四十里长山组</w:t>
            </w:r>
          </w:p>
        </w:tc>
        <w:tc>
          <w:tcPr>
            <w:tcW w:w="1193" w:type="dxa"/>
            <w:gridSpan w:val="2"/>
            <w:noWrap w:val="0"/>
            <w:vAlign w:val="center"/>
          </w:tcPr>
          <w:p w14:paraId="0FF6A20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Z1s</w:t>
            </w:r>
          </w:p>
        </w:tc>
        <w:tc>
          <w:tcPr>
            <w:tcW w:w="1172" w:type="dxa"/>
            <w:gridSpan w:val="2"/>
            <w:noWrap w:val="0"/>
            <w:vAlign w:val="center"/>
          </w:tcPr>
          <w:p w14:paraId="1AF6A3C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w:t>
            </w:r>
          </w:p>
        </w:tc>
        <w:tc>
          <w:tcPr>
            <w:tcW w:w="2907" w:type="dxa"/>
            <w:noWrap w:val="0"/>
            <w:vAlign w:val="center"/>
          </w:tcPr>
          <w:p w14:paraId="7A7FC76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石英砂岩，长石石英岩砂岩</w:t>
            </w:r>
          </w:p>
        </w:tc>
      </w:tr>
      <w:tr w14:paraId="62938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3BC5463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549" w:type="dxa"/>
            <w:gridSpan w:val="2"/>
            <w:vMerge w:val="restart"/>
            <w:noWrap w:val="0"/>
            <w:vAlign w:val="center"/>
          </w:tcPr>
          <w:p w14:paraId="5C6E61E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青白口系</w:t>
            </w:r>
          </w:p>
        </w:tc>
        <w:tc>
          <w:tcPr>
            <w:tcW w:w="1858" w:type="dxa"/>
            <w:gridSpan w:val="2"/>
            <w:noWrap w:val="0"/>
            <w:vAlign w:val="center"/>
          </w:tcPr>
          <w:p w14:paraId="1CB85BD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刘老碑组</w:t>
            </w:r>
          </w:p>
        </w:tc>
        <w:tc>
          <w:tcPr>
            <w:tcW w:w="1193" w:type="dxa"/>
            <w:gridSpan w:val="2"/>
            <w:noWrap w:val="0"/>
            <w:vAlign w:val="center"/>
          </w:tcPr>
          <w:p w14:paraId="1FB2EF4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Qn1</w:t>
            </w:r>
          </w:p>
        </w:tc>
        <w:tc>
          <w:tcPr>
            <w:tcW w:w="1172" w:type="dxa"/>
            <w:gridSpan w:val="2"/>
            <w:noWrap w:val="0"/>
            <w:vAlign w:val="center"/>
          </w:tcPr>
          <w:p w14:paraId="4451868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685</w:t>
            </w:r>
          </w:p>
        </w:tc>
        <w:tc>
          <w:tcPr>
            <w:tcW w:w="2907" w:type="dxa"/>
            <w:noWrap w:val="0"/>
            <w:vAlign w:val="center"/>
          </w:tcPr>
          <w:p w14:paraId="2794109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页岩，泥灰岩夹白云质灰岩</w:t>
            </w:r>
          </w:p>
        </w:tc>
      </w:tr>
      <w:tr w14:paraId="3B099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348" w:type="dxa"/>
            <w:vMerge w:val="continue"/>
            <w:noWrap w:val="0"/>
            <w:vAlign w:val="center"/>
          </w:tcPr>
          <w:p w14:paraId="171EA22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549" w:type="dxa"/>
            <w:gridSpan w:val="2"/>
            <w:vMerge w:val="continue"/>
            <w:noWrap w:val="0"/>
            <w:vAlign w:val="center"/>
          </w:tcPr>
          <w:p w14:paraId="734DD00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858" w:type="dxa"/>
            <w:gridSpan w:val="2"/>
            <w:noWrap w:val="0"/>
            <w:vAlign w:val="center"/>
          </w:tcPr>
          <w:p w14:paraId="7667F0C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伍山组</w:t>
            </w:r>
          </w:p>
        </w:tc>
        <w:tc>
          <w:tcPr>
            <w:tcW w:w="1193" w:type="dxa"/>
            <w:gridSpan w:val="2"/>
            <w:noWrap w:val="0"/>
            <w:vAlign w:val="center"/>
          </w:tcPr>
          <w:p w14:paraId="1C48A72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Qnw</w:t>
            </w:r>
          </w:p>
        </w:tc>
        <w:tc>
          <w:tcPr>
            <w:tcW w:w="1172" w:type="dxa"/>
            <w:gridSpan w:val="2"/>
            <w:noWrap w:val="0"/>
            <w:vAlign w:val="center"/>
          </w:tcPr>
          <w:p w14:paraId="2B27C25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2907" w:type="dxa"/>
            <w:noWrap w:val="0"/>
            <w:vAlign w:val="center"/>
          </w:tcPr>
          <w:p w14:paraId="7DF1F86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海绿石石英砂岩</w:t>
            </w:r>
          </w:p>
        </w:tc>
      </w:tr>
      <w:tr w14:paraId="64E43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97" w:type="dxa"/>
            <w:gridSpan w:val="3"/>
            <w:noWrap w:val="0"/>
            <w:vAlign w:val="center"/>
          </w:tcPr>
          <w:p w14:paraId="63512E1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上太古界</w:t>
            </w:r>
          </w:p>
        </w:tc>
        <w:tc>
          <w:tcPr>
            <w:tcW w:w="1858" w:type="dxa"/>
            <w:gridSpan w:val="2"/>
            <w:noWrap w:val="0"/>
            <w:vAlign w:val="center"/>
          </w:tcPr>
          <w:p w14:paraId="6AB75F3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霍邱群</w:t>
            </w:r>
          </w:p>
        </w:tc>
        <w:tc>
          <w:tcPr>
            <w:tcW w:w="1193" w:type="dxa"/>
            <w:gridSpan w:val="2"/>
            <w:noWrap w:val="0"/>
            <w:vAlign w:val="center"/>
          </w:tcPr>
          <w:p w14:paraId="5AAEE97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Ar2hq</w:t>
            </w:r>
          </w:p>
        </w:tc>
        <w:tc>
          <w:tcPr>
            <w:tcW w:w="1172" w:type="dxa"/>
            <w:gridSpan w:val="2"/>
            <w:noWrap w:val="0"/>
            <w:vAlign w:val="center"/>
          </w:tcPr>
          <w:p w14:paraId="60C34F1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&gt;592</w:t>
            </w:r>
          </w:p>
        </w:tc>
        <w:tc>
          <w:tcPr>
            <w:tcW w:w="2907" w:type="dxa"/>
            <w:noWrap w:val="0"/>
            <w:vAlign w:val="center"/>
          </w:tcPr>
          <w:p w14:paraId="54B69DF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黑云斜长片麻岩，斜长角闪岩</w:t>
            </w:r>
          </w:p>
        </w:tc>
      </w:tr>
    </w:tbl>
    <w:p w14:paraId="58B1E6C1">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二、规划区地层</w:t>
      </w:r>
    </w:p>
    <w:p w14:paraId="364772FA">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其余地层主要发育有奥陶系、石炭系、二叠系、三叠系、第三系及第四系。新生界以来本区一直处于构造沉降带，形成了较厚的松散沉积物覆盖全区，沉积物厚度受古地形、沉降差异和新构造运动的控制，变化较大，厚度50~450m，平均厚度300m，总体由东南向西北逐渐增厚。现将地层由老到新分述如下：</w:t>
      </w:r>
    </w:p>
    <w:p w14:paraId="42B21CCC">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（1）奥陶系</w:t>
      </w:r>
    </w:p>
    <w:p w14:paraId="7523E840">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主要发育下统马家沟组（O1m），岩性顶部为灰色、厚层状硅质灰岩，局部夹泥质条带；底部为褐色、灰色中厚层白云岩，岩溶发育，厚度374m。</w:t>
      </w:r>
    </w:p>
    <w:p w14:paraId="447B9F06">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（2）石炭系</w:t>
      </w:r>
    </w:p>
    <w:p w14:paraId="35B26048">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主要发育上统太原组（C2t），岩性为深灰色灰岩与中细粒砂岩、泥岩互层，其中灰岩约为11~13层，单层厚度一般小于10m，岩溶不发育（仅于断层破碎带局部岩溶较发育），间夹薄煤3层。厚度122m，与下伏奥陶系为假整合接触。</w:t>
      </w:r>
    </w:p>
    <w:p w14:paraId="7147AFE2">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（3）二叠系</w:t>
      </w:r>
    </w:p>
    <w:p w14:paraId="3125BDDC">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自下而上主要发育山西组、石盒子组和石千峰组。厚度1019m。</w:t>
      </w:r>
    </w:p>
    <w:p w14:paraId="3FC8E4FE">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1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山西组（P1s）：由灰色砂岩、泥岩和煤层组成，为二叠系第一含煤段，含1、3两层可采煤层，是区内主要含煤地层之一。平均厚度85m，与下伏石炭纪地层为整合接触。</w:t>
      </w:r>
    </w:p>
    <w:p w14:paraId="6A2B34CD">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2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石盒子组（P1-2^s）：分上、下石盒子组，是区内主要含煤地层。平均厚度670m，与下伏山西组地层为整合接触。</w:t>
      </w:r>
    </w:p>
    <w:p w14:paraId="2221EC0B">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下石盒子组岩性主要为中粗砂岩和煤层，为二叠系第二含煤段，含煤9层，其中4、5、6、7、8煤层为可采或局部可采煤层。平均厚度130m。</w:t>
      </w:r>
    </w:p>
    <w:p w14:paraId="27C30AA1">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上石盒子组岩性主要为中细砂岩、泥岩、砂质页岩和煤层组成，为二叠系第三~第七含煤段，含煤19~20层，其中11-2、13-1煤层为淮南煤田主采煤层。平均厚度540m。</w:t>
      </w:r>
    </w:p>
    <w:p w14:paraId="7029FA04">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3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石千峰组（P2sh）：为一套杂色非含煤地层，岩性为灰白色中粒石英砂岩、紫红色石英粉砂岩、中细砂岩、含砾砂岩，底部以灰白或浅红色含砾中粗砂岩与石盒子组整合接触。平均厚度264m，与下伏石盒子组地层为整合接触。</w:t>
      </w:r>
    </w:p>
    <w:p w14:paraId="5F79ECC1">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4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④</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三叠系</w:t>
      </w:r>
    </w:p>
    <w:p w14:paraId="40A860E7">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主要发育下统和尚沟组（T1hs），为陆相红色岩层，岩性主要为棕红色、紫褐色砂岩、粉砂岩，局部含砾。厚度大于150m，与下伏二迭系地层为整合接触。</w:t>
      </w:r>
    </w:p>
    <w:p w14:paraId="75096C81">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5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⑤</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第三系</w:t>
      </w:r>
    </w:p>
    <w:p w14:paraId="5DAC2979">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主要发育上新统明化镇（N2m），隐伏于第四系之下。岩性上部为紫红色、灰绿色黏土，含铁锰结核和钙质结核，下部为泥质粉砂岩夹灰白色泥灰岩。厚度大于290m。</w:t>
      </w:r>
    </w:p>
    <w:p w14:paraId="1036027C">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6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⑥</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第四系</w:t>
      </w:r>
    </w:p>
    <w:p w14:paraId="2A7148B4">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第四系地层有下更新统太和组（Q1）、中更新统临泉组（Q2）、上更新统颍上组（Q3）以及全新统蚌埠组（Q4），厚约150m。主要岩性为黏土、粉质黏土、粉砂和中细砂。自下而上分述如下：</w:t>
      </w:r>
    </w:p>
    <w:p w14:paraId="39236A6F">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第四系下更新统太和组（Q1）：埋深45.0~150m。下部主要由土黄色、棕红色、灰绿色黏土组成，中间夹粉砂和粉细砂薄层。中上部主要由黄色、浅灰色中、细砂、粉砂组成，间夹薄层黏土。为河床-河漫滩沉积相。厚度60~70m。</w:t>
      </w:r>
    </w:p>
    <w:p w14:paraId="48584E27">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b第四系中更新统临泉组（Q2）：下部主要由灰黄色，棕红色厚层状黏土及粉质黏土组成，中间夹粉砂和粉细砂薄层。中部主要由灰黄色、浅灰色、中、细砂、中细砂和粉砂组成。为冲积—冲洪积。厚度10~30m。</w:t>
      </w:r>
    </w:p>
    <w:p w14:paraId="310F0FAB">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c第四系上更新统颍上组（Q3）：大部分地表出露。下部主要由棕黄色粉细砂、粉砂组成。上部主要由黑灰色、灰黄色、棕黄色黏土及粉质黏土组成。为冲积—冲洪积，厚度15~60m。</w:t>
      </w:r>
    </w:p>
    <w:p w14:paraId="2E39671A">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d第四系全新统蚌埠组（Q4）：主要分布在现代河流河床及漫滩地区，由棕黄色、灰黄色粉质黏土和粉砂组成，局部夹粉砂薄层。厚度2~15m。</w:t>
      </w:r>
    </w:p>
    <w:p w14:paraId="20623A4A">
      <w:pPr>
        <w:pStyle w:val="10"/>
        <w:kinsoku w:val="0"/>
        <w:overflowPunct w:val="0"/>
        <w:spacing w:before="12"/>
        <w:ind w:firstLine="480"/>
        <w:jc w:val="center"/>
        <w:rPr>
          <w:rFonts w:hint="default" w:ascii="Times New Roman" w:hAnsi="Times New Roman" w:eastAsia="宋体" w:cs="Times New Roman"/>
          <w:color w:val="auto"/>
          <w:sz w:val="3"/>
          <w:highlight w:val="none"/>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2753995</wp:posOffset>
                </wp:positionH>
                <wp:positionV relativeFrom="paragraph">
                  <wp:posOffset>2124075</wp:posOffset>
                </wp:positionV>
                <wp:extent cx="1014730" cy="368300"/>
                <wp:effectExtent l="6350" t="6350" r="7620" b="406400"/>
                <wp:wrapNone/>
                <wp:docPr id="937" name="矩形标注 937"/>
                <wp:cNvGraphicFramePr/>
                <a:graphic xmlns:a="http://schemas.openxmlformats.org/drawingml/2006/main">
                  <a:graphicData uri="http://schemas.microsoft.com/office/word/2010/wordprocessingShape">
                    <wps:wsp>
                      <wps:cNvSpPr/>
                      <wps:spPr>
                        <a:xfrm>
                          <a:off x="0" y="0"/>
                          <a:ext cx="1014761" cy="367990"/>
                        </a:xfrm>
                        <a:prstGeom prst="wedgeRectCallout">
                          <a:avLst>
                            <a:gd name="adj1" fmla="val -42726"/>
                            <a:gd name="adj2" fmla="val 153279"/>
                          </a:avLst>
                        </a:prstGeom>
                        <a:noFill/>
                        <a:ln w="12700" cap="flat" cmpd="sng" algn="ctr">
                          <a:solidFill>
                            <a:srgbClr val="FF0000"/>
                          </a:solidFill>
                          <a:prstDash val="solid"/>
                          <a:miter lim="800000"/>
                        </a:ln>
                        <a:effectLst/>
                      </wps:spPr>
                      <wps:txbx>
                        <w:txbxContent>
                          <w:p w14:paraId="187D0330">
                            <w:pPr>
                              <w:spacing w:line="240" w:lineRule="auto"/>
                              <w:ind w:firstLine="0" w:firstLineChars="0"/>
                              <w:rPr>
                                <w:b/>
                                <w:bCs/>
                                <w:color w:val="FF0000"/>
                                <w:sz w:val="21"/>
                                <w:szCs w:val="21"/>
                              </w:rPr>
                            </w:pPr>
                            <w:r>
                              <w:rPr>
                                <w:rFonts w:hint="eastAsia"/>
                                <w:b/>
                                <w:bCs/>
                                <w:color w:val="FF0000"/>
                                <w:sz w:val="21"/>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6.85pt;margin-top:167.25pt;height:29pt;width:79.9pt;z-index:251664384;v-text-anchor:middle;mso-width-relative:page;mso-height-relative:page;" filled="f" stroked="t" coordsize="21600,21600" o:gfxdata="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32gpOtsAAAALAQAADwAAAAAAAAABACAAAAAi&#10;AAAAZHJzL2Rvd25yZXYueG1sUEsBAhQAFAAAAAgAh07iQLRI3JmyAgAATQUAAA4AAAAAAAAAAQAg&#10;AAAAKgEAAGRycy9lMm9Eb2MueG1sUEsFBgAAAAAGAAYAWQEAAE4GAAAAAA==&#10;" adj="1571,43908">
                <v:fill on="f" focussize="0,0"/>
                <v:stroke weight="1pt" color="#FF0000" miterlimit="8" joinstyle="miter"/>
                <v:imagedata o:title=""/>
                <o:lock v:ext="edit" aspectratio="f"/>
                <v:textbox>
                  <w:txbxContent>
                    <w:p w14:paraId="187D0330">
                      <w:pPr>
                        <w:spacing w:line="240" w:lineRule="auto"/>
                        <w:ind w:firstLine="0" w:firstLineChars="0"/>
                        <w:rPr>
                          <w:b/>
                          <w:bCs/>
                          <w:color w:val="FF0000"/>
                          <w:sz w:val="21"/>
                          <w:szCs w:val="21"/>
                        </w:rPr>
                      </w:pPr>
                      <w:r>
                        <w:rPr>
                          <w:rFonts w:hint="eastAsia"/>
                          <w:b/>
                          <w:bCs/>
                          <w:color w:val="FF0000"/>
                          <w:sz w:val="21"/>
                          <w:szCs w:val="21"/>
                        </w:rPr>
                        <w:t>项目所在地</w:t>
                      </w:r>
                    </w:p>
                  </w:txbxContent>
                </v:textbox>
              </v:shape>
            </w:pict>
          </mc:Fallback>
        </mc:AlternateContent>
      </w:r>
      <w:r>
        <w:rPr>
          <w:rFonts w:hint="default" w:ascii="Times New Roman" w:hAnsi="Times New Roman" w:eastAsia="宋体" w:cs="Times New Roman"/>
          <w:color w:val="auto"/>
          <w:highlight w:val="none"/>
        </w:rPr>
        <w:drawing>
          <wp:inline distT="0" distB="0" distL="114300" distR="114300">
            <wp:extent cx="5116830" cy="7484745"/>
            <wp:effectExtent l="0" t="0" r="7620" b="1905"/>
            <wp:docPr id="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pic:cNvPicPr>
                      <a:picLocks noChangeAspect="1"/>
                    </pic:cNvPicPr>
                  </pic:nvPicPr>
                  <pic:blipFill>
                    <a:blip r:embed="rId73"/>
                    <a:stretch>
                      <a:fillRect/>
                    </a:stretch>
                  </pic:blipFill>
                  <pic:spPr>
                    <a:xfrm>
                      <a:off x="0" y="0"/>
                      <a:ext cx="5116830" cy="7484745"/>
                    </a:xfrm>
                    <a:prstGeom prst="rect">
                      <a:avLst/>
                    </a:prstGeom>
                    <a:noFill/>
                    <a:ln>
                      <a:noFill/>
                    </a:ln>
                  </pic:spPr>
                </pic:pic>
              </a:graphicData>
            </a:graphic>
          </wp:inline>
        </w:drawing>
      </w:r>
    </w:p>
    <w:p w14:paraId="3FBF79B9">
      <w:pPr>
        <w:pStyle w:val="10"/>
        <w:kinsoku w:val="0"/>
        <w:overflowPunct w:val="0"/>
        <w:spacing w:line="360" w:lineRule="auto"/>
        <w:ind w:firstLine="300"/>
        <w:rPr>
          <w:rFonts w:hint="default" w:ascii="Times New Roman" w:hAnsi="Times New Roman" w:eastAsia="宋体" w:cs="Times New Roman"/>
          <w:color w:val="auto"/>
          <w:sz w:val="15"/>
          <w:szCs w:val="15"/>
          <w:highlight w:val="none"/>
        </w:rPr>
      </w:pPr>
      <w:r>
        <w:rPr>
          <w:rFonts w:hint="default" w:ascii="Times New Roman" w:hAnsi="Times New Roman" w:eastAsia="宋体" w:cs="Times New Roman"/>
          <w:color w:val="auto"/>
          <w:sz w:val="15"/>
          <w:szCs w:val="15"/>
          <w:highlight w:val="none"/>
        </w:rPr>
        <w:t>Ⅰ－淮北平原水文地质区 Ⅱ－江淮波状平原水文地质区 Ⅲ－皖西山地水文地质区 Ⅳ－沿江丘陵平原水文地质区 Ⅴ－皖南山地水文地质区</w:t>
      </w:r>
    </w:p>
    <w:p w14:paraId="47F89932">
      <w:pPr>
        <w:tabs>
          <w:tab w:val="left" w:pos="6105"/>
        </w:tabs>
        <w:jc w:val="center"/>
        <w:outlineLvl w:val="3"/>
        <w:rPr>
          <w:rFonts w:hint="default" w:ascii="Times New Roman" w:hAnsi="Times New Roman" w:eastAsia="黑体" w:cs="Times New Roman"/>
          <w:b/>
          <w:color w:val="auto"/>
          <w:highlight w:val="none"/>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22</w:t>
      </w:r>
      <w:r>
        <w:rPr>
          <w:rFonts w:hint="default" w:ascii="Times New Roman" w:hAnsi="Times New Roman" w:eastAsia="黑体" w:cs="Times New Roman"/>
          <w:b/>
          <w:color w:val="auto"/>
          <w:highlight w:val="none"/>
        </w:rPr>
        <w:t xml:space="preserve">  安徽省水文地质分区图</w:t>
      </w:r>
    </w:p>
    <w:p w14:paraId="70DCB87B">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D、</w:t>
      </w:r>
      <w:r>
        <w:rPr>
          <w:rFonts w:hint="default" w:ascii="Times New Roman" w:hAnsi="Times New Roman" w:eastAsia="宋体" w:cs="Times New Roman"/>
          <w:color w:val="auto"/>
          <w:sz w:val="24"/>
          <w:szCs w:val="24"/>
          <w:highlight w:val="none"/>
          <w:lang w:val="en-GB" w:eastAsia="zh-CN"/>
        </w:rPr>
        <w:t>地下水类型</w:t>
      </w:r>
    </w:p>
    <w:p w14:paraId="2EED0627">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内的地形地貌、地层分布和岩性特征，决定了地下水的类型和水文地质特征。依据地下水的赋存条件和含水介质的特征，区域地下水可划分为松散岩类孔隙水、碎屑岩类孔隙裂隙水、碳酸盐岩裂隙岩溶水三种类型。</w:t>
      </w:r>
    </w:p>
    <w:p w14:paraId="78F026C2">
      <w:pPr>
        <w:tabs>
          <w:tab w:val="left" w:pos="6105"/>
        </w:tabs>
        <w:jc w:val="center"/>
        <w:outlineLvl w:val="3"/>
        <w:rPr>
          <w:rFonts w:hint="default" w:ascii="Times New Roman" w:hAnsi="Times New Roman" w:eastAsia="黑体" w:cs="Times New Roman"/>
          <w:b/>
          <w:color w:val="auto"/>
          <w:highlight w:val="none"/>
          <w:lang w:val="zh-CN" w:eastAsia="zh-CN"/>
        </w:rPr>
      </w:pPr>
      <w:r>
        <w:rPr>
          <w:rFonts w:hint="eastAsia"/>
          <w:b/>
          <w:bCs/>
          <w:color w:val="auto"/>
          <w:szCs w:val="21"/>
        </w:rPr>
        <w:t>表7.9-</w:t>
      </w:r>
      <w:r>
        <w:rPr>
          <w:rFonts w:hint="eastAsia"/>
          <w:b/>
          <w:bCs/>
          <w:color w:val="auto"/>
          <w:szCs w:val="21"/>
          <w:lang w:val="en-US" w:eastAsia="zh-CN"/>
        </w:rPr>
        <w:t>19</w:t>
      </w:r>
      <w:r>
        <w:rPr>
          <w:rFonts w:hint="default" w:ascii="Times New Roman" w:hAnsi="Times New Roman" w:eastAsia="黑体" w:cs="Times New Roman"/>
          <w:b/>
          <w:color w:val="auto"/>
          <w:highlight w:val="none"/>
          <w:lang w:val="zh-CN" w:eastAsia="zh-CN"/>
        </w:rPr>
        <w:t xml:space="preserve">  区域地下水类型划分表</w:t>
      </w:r>
    </w:p>
    <w:tbl>
      <w:tblPr>
        <w:tblStyle w:val="32"/>
        <w:tblW w:w="9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78"/>
        <w:gridCol w:w="792"/>
        <w:gridCol w:w="1730"/>
        <w:gridCol w:w="1347"/>
        <w:gridCol w:w="1482"/>
        <w:gridCol w:w="2898"/>
      </w:tblGrid>
      <w:tr w14:paraId="7E579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6" w:hRule="atLeast"/>
          <w:jc w:val="center"/>
        </w:trPr>
        <w:tc>
          <w:tcPr>
            <w:tcW w:w="3300" w:type="dxa"/>
            <w:gridSpan w:val="3"/>
            <w:noWrap w:val="0"/>
            <w:vAlign w:val="center"/>
          </w:tcPr>
          <w:p w14:paraId="788A918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地下水类型</w:t>
            </w:r>
          </w:p>
        </w:tc>
        <w:tc>
          <w:tcPr>
            <w:tcW w:w="1347" w:type="dxa"/>
            <w:noWrap w:val="0"/>
            <w:vAlign w:val="center"/>
          </w:tcPr>
          <w:p w14:paraId="5A7D8EA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水力性质</w:t>
            </w:r>
          </w:p>
        </w:tc>
        <w:tc>
          <w:tcPr>
            <w:tcW w:w="1482" w:type="dxa"/>
            <w:noWrap w:val="0"/>
            <w:vAlign w:val="center"/>
          </w:tcPr>
          <w:p w14:paraId="14D46EA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含水层位</w:t>
            </w:r>
          </w:p>
        </w:tc>
        <w:tc>
          <w:tcPr>
            <w:tcW w:w="2898" w:type="dxa"/>
            <w:noWrap w:val="0"/>
            <w:vAlign w:val="center"/>
          </w:tcPr>
          <w:p w14:paraId="6592CD4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含水层主要岩性</w:t>
            </w:r>
          </w:p>
        </w:tc>
      </w:tr>
      <w:tr w14:paraId="52572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78" w:type="dxa"/>
            <w:vMerge w:val="restart"/>
            <w:noWrap w:val="0"/>
            <w:vAlign w:val="center"/>
          </w:tcPr>
          <w:p w14:paraId="3521F48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Ⅰ</w:t>
            </w:r>
          </w:p>
        </w:tc>
        <w:tc>
          <w:tcPr>
            <w:tcW w:w="792" w:type="dxa"/>
            <w:vMerge w:val="restart"/>
            <w:noWrap w:val="0"/>
            <w:vAlign w:val="center"/>
          </w:tcPr>
          <w:p w14:paraId="13C00A1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松散岩类孔隙水</w:t>
            </w:r>
          </w:p>
        </w:tc>
        <w:tc>
          <w:tcPr>
            <w:tcW w:w="1730" w:type="dxa"/>
            <w:noWrap w:val="0"/>
            <w:vAlign w:val="center"/>
          </w:tcPr>
          <w:p w14:paraId="11DDC7C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浅层孔隙水</w:t>
            </w:r>
          </w:p>
        </w:tc>
        <w:tc>
          <w:tcPr>
            <w:tcW w:w="1347" w:type="dxa"/>
            <w:noWrap w:val="0"/>
            <w:vAlign w:val="center"/>
          </w:tcPr>
          <w:p w14:paraId="05C20169">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潜水</w:t>
            </w:r>
          </w:p>
        </w:tc>
        <w:tc>
          <w:tcPr>
            <w:tcW w:w="1482" w:type="dxa"/>
            <w:noWrap w:val="0"/>
            <w:vAlign w:val="center"/>
          </w:tcPr>
          <w:p w14:paraId="1880D17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Q4、Q3</w:t>
            </w:r>
          </w:p>
        </w:tc>
        <w:tc>
          <w:tcPr>
            <w:tcW w:w="2898" w:type="dxa"/>
            <w:noWrap w:val="0"/>
            <w:vAlign w:val="center"/>
          </w:tcPr>
          <w:p w14:paraId="5ED7741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粉细砂、粉砂</w:t>
            </w:r>
          </w:p>
        </w:tc>
      </w:tr>
      <w:tr w14:paraId="281D4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 w:hRule="atLeast"/>
          <w:jc w:val="center"/>
        </w:trPr>
        <w:tc>
          <w:tcPr>
            <w:tcW w:w="778" w:type="dxa"/>
            <w:vMerge w:val="continue"/>
            <w:noWrap w:val="0"/>
            <w:vAlign w:val="center"/>
          </w:tcPr>
          <w:p w14:paraId="53331C7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792" w:type="dxa"/>
            <w:vMerge w:val="continue"/>
            <w:noWrap w:val="0"/>
            <w:vAlign w:val="center"/>
          </w:tcPr>
          <w:p w14:paraId="291FB6C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730" w:type="dxa"/>
            <w:noWrap w:val="0"/>
            <w:vAlign w:val="center"/>
          </w:tcPr>
          <w:p w14:paraId="65FF75DB">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中深层孔隙水</w:t>
            </w:r>
          </w:p>
        </w:tc>
        <w:tc>
          <w:tcPr>
            <w:tcW w:w="1347" w:type="dxa"/>
            <w:noWrap w:val="0"/>
            <w:vAlign w:val="center"/>
          </w:tcPr>
          <w:p w14:paraId="2F44C34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承压水</w:t>
            </w:r>
          </w:p>
        </w:tc>
        <w:tc>
          <w:tcPr>
            <w:tcW w:w="1482" w:type="dxa"/>
            <w:noWrap w:val="0"/>
            <w:vAlign w:val="center"/>
          </w:tcPr>
          <w:p w14:paraId="5ADA6E1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Q2、Q1</w:t>
            </w:r>
          </w:p>
        </w:tc>
        <w:tc>
          <w:tcPr>
            <w:tcW w:w="2898" w:type="dxa"/>
            <w:noWrap w:val="0"/>
            <w:vAlign w:val="center"/>
          </w:tcPr>
          <w:p w14:paraId="38F3B59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细、中、粗砂</w:t>
            </w:r>
          </w:p>
        </w:tc>
      </w:tr>
      <w:tr w14:paraId="797F3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78" w:type="dxa"/>
            <w:vMerge w:val="continue"/>
            <w:noWrap w:val="0"/>
            <w:vAlign w:val="center"/>
          </w:tcPr>
          <w:p w14:paraId="2804621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792" w:type="dxa"/>
            <w:vMerge w:val="continue"/>
            <w:noWrap w:val="0"/>
            <w:vAlign w:val="center"/>
          </w:tcPr>
          <w:p w14:paraId="23B3B7C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p>
        </w:tc>
        <w:tc>
          <w:tcPr>
            <w:tcW w:w="1730" w:type="dxa"/>
            <w:noWrap w:val="0"/>
            <w:vAlign w:val="center"/>
          </w:tcPr>
          <w:p w14:paraId="5E15716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深层孔隙水</w:t>
            </w:r>
          </w:p>
        </w:tc>
        <w:tc>
          <w:tcPr>
            <w:tcW w:w="1347" w:type="dxa"/>
            <w:noWrap w:val="0"/>
            <w:vAlign w:val="center"/>
          </w:tcPr>
          <w:p w14:paraId="30CD7B3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承压水</w:t>
            </w:r>
          </w:p>
        </w:tc>
        <w:tc>
          <w:tcPr>
            <w:tcW w:w="1482" w:type="dxa"/>
            <w:noWrap w:val="0"/>
            <w:vAlign w:val="center"/>
          </w:tcPr>
          <w:p w14:paraId="2A5F7E5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w:t>
            </w:r>
          </w:p>
        </w:tc>
        <w:tc>
          <w:tcPr>
            <w:tcW w:w="2898" w:type="dxa"/>
            <w:noWrap w:val="0"/>
            <w:vAlign w:val="center"/>
          </w:tcPr>
          <w:p w14:paraId="35D983DC">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粗砂、砂砾</w:t>
            </w:r>
          </w:p>
        </w:tc>
      </w:tr>
      <w:tr w14:paraId="0C6E8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78" w:type="dxa"/>
            <w:noWrap w:val="0"/>
            <w:vAlign w:val="center"/>
          </w:tcPr>
          <w:p w14:paraId="14BDB7D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Ⅱ</w:t>
            </w:r>
          </w:p>
        </w:tc>
        <w:tc>
          <w:tcPr>
            <w:tcW w:w="2522" w:type="dxa"/>
            <w:gridSpan w:val="2"/>
            <w:noWrap w:val="0"/>
            <w:vAlign w:val="center"/>
          </w:tcPr>
          <w:p w14:paraId="5FC48FD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碎屑岩类孔隙裂隙水</w:t>
            </w:r>
          </w:p>
        </w:tc>
        <w:tc>
          <w:tcPr>
            <w:tcW w:w="1347" w:type="dxa"/>
            <w:noWrap w:val="0"/>
            <w:vAlign w:val="center"/>
          </w:tcPr>
          <w:p w14:paraId="7600281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承压水</w:t>
            </w:r>
          </w:p>
        </w:tc>
        <w:tc>
          <w:tcPr>
            <w:tcW w:w="1482" w:type="dxa"/>
            <w:noWrap w:val="0"/>
            <w:vAlign w:val="center"/>
          </w:tcPr>
          <w:p w14:paraId="3BACADFA">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T、P</w:t>
            </w:r>
          </w:p>
        </w:tc>
        <w:tc>
          <w:tcPr>
            <w:tcW w:w="2898" w:type="dxa"/>
            <w:noWrap w:val="0"/>
            <w:vAlign w:val="center"/>
          </w:tcPr>
          <w:p w14:paraId="536D17A0">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砂岩</w:t>
            </w:r>
          </w:p>
        </w:tc>
      </w:tr>
      <w:tr w14:paraId="3DC6E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78" w:type="dxa"/>
            <w:noWrap w:val="0"/>
            <w:vAlign w:val="center"/>
          </w:tcPr>
          <w:p w14:paraId="6EBE434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Ⅲ</w:t>
            </w:r>
          </w:p>
        </w:tc>
        <w:tc>
          <w:tcPr>
            <w:tcW w:w="2522" w:type="dxa"/>
            <w:gridSpan w:val="2"/>
            <w:noWrap w:val="0"/>
            <w:vAlign w:val="center"/>
          </w:tcPr>
          <w:p w14:paraId="116C7C33">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碳酸盐岩裂隙岩溶水</w:t>
            </w:r>
          </w:p>
        </w:tc>
        <w:tc>
          <w:tcPr>
            <w:tcW w:w="1347" w:type="dxa"/>
            <w:noWrap w:val="0"/>
            <w:vAlign w:val="center"/>
          </w:tcPr>
          <w:p w14:paraId="76D7833F">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承压水</w:t>
            </w:r>
          </w:p>
        </w:tc>
        <w:tc>
          <w:tcPr>
            <w:tcW w:w="1482" w:type="dxa"/>
            <w:noWrap w:val="0"/>
            <w:vAlign w:val="center"/>
          </w:tcPr>
          <w:p w14:paraId="67725532">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2898" w:type="dxa"/>
            <w:noWrap w:val="0"/>
            <w:vAlign w:val="center"/>
          </w:tcPr>
          <w:p w14:paraId="448DC9C4">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灰岩、白云质灰岩</w:t>
            </w:r>
          </w:p>
        </w:tc>
      </w:tr>
    </w:tbl>
    <w:p w14:paraId="3C0A73BF">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E、</w:t>
      </w:r>
      <w:r>
        <w:rPr>
          <w:rFonts w:hint="default" w:ascii="Times New Roman" w:hAnsi="Times New Roman" w:eastAsia="宋体" w:cs="Times New Roman"/>
          <w:color w:val="auto"/>
          <w:sz w:val="24"/>
          <w:szCs w:val="24"/>
          <w:highlight w:val="none"/>
          <w:lang w:val="en-GB" w:eastAsia="zh-CN"/>
        </w:rPr>
        <w:t>含水层富水性</w:t>
      </w:r>
    </w:p>
    <w:p w14:paraId="0BC5AF13">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（1）松散岩类孔隙水</w:t>
      </w:r>
    </w:p>
    <w:p w14:paraId="12DB9906">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松散岩类孔隙水赋存于新生界松散岩类地层中，广布全区，是规划区评价的主要对象，是区内主要开采的地下水类型。松散岩类由于洪积、湖积和冲积交互作用的结果，使之结构复杂，砂层和黏土相间沉积，构成较复杂的含水层组。松散岩类孔隙水按埋藏条件进一步分为浅层孔隙水、中深层孔隙水、深层孔隙水。</w:t>
      </w:r>
    </w:p>
    <w:p w14:paraId="0E596FA3">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2970530" cy="8028305"/>
            <wp:effectExtent l="0" t="0" r="1270" b="10795"/>
            <wp:docPr id="23" name="图片 23" descr="D:\黄转E\黄凌涛09年8月13日\环评报告书\淮南\淮南煤化工基地\图6.4-2 地质柱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黄转E\黄凌涛09年8月13日\环评报告书\淮南\淮南煤化工基地\图6.4-2 地质柱状图.JPG"/>
                    <pic:cNvPicPr>
                      <a:picLocks noChangeAspect="1"/>
                    </pic:cNvPicPr>
                  </pic:nvPicPr>
                  <pic:blipFill>
                    <a:blip r:embed="rId74"/>
                    <a:stretch>
                      <a:fillRect/>
                    </a:stretch>
                  </pic:blipFill>
                  <pic:spPr>
                    <a:xfrm>
                      <a:off x="0" y="0"/>
                      <a:ext cx="2970530" cy="8028305"/>
                    </a:xfrm>
                    <a:prstGeom prst="rect">
                      <a:avLst/>
                    </a:prstGeom>
                    <a:noFill/>
                    <a:ln>
                      <a:noFill/>
                    </a:ln>
                  </pic:spPr>
                </pic:pic>
              </a:graphicData>
            </a:graphic>
          </wp:inline>
        </w:drawing>
      </w:r>
    </w:p>
    <w:p w14:paraId="1B822889">
      <w:pPr>
        <w:tabs>
          <w:tab w:val="left" w:pos="6105"/>
        </w:tabs>
        <w:jc w:val="center"/>
        <w:outlineLvl w:val="3"/>
        <w:rPr>
          <w:rFonts w:hint="default" w:ascii="Times New Roman" w:hAnsi="Times New Roman" w:eastAsia="黑体" w:cs="Times New Roman"/>
          <w:b/>
          <w:color w:val="auto"/>
          <w:highlight w:val="none"/>
        </w:rPr>
        <w:sectPr>
          <w:pgSz w:w="11907" w:h="16840"/>
          <w:pgMar w:top="1440" w:right="1440" w:bottom="1440" w:left="1440" w:header="851" w:footer="992" w:gutter="0"/>
          <w:pgNumType w:fmt="decimal"/>
          <w:cols w:space="720" w:num="1"/>
          <w:docGrid w:type="lines" w:linePitch="326" w:charSpace="0"/>
        </w:sect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23</w:t>
      </w:r>
      <w:r>
        <w:rPr>
          <w:rFonts w:hint="default" w:ascii="Times New Roman" w:hAnsi="Times New Roman" w:eastAsia="黑体" w:cs="Times New Roman"/>
          <w:b/>
          <w:color w:val="auto"/>
          <w:highlight w:val="none"/>
        </w:rPr>
        <w:t xml:space="preserve">  地质柱状图</w:t>
      </w:r>
    </w:p>
    <w:p w14:paraId="6AE875A1">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bCs/>
          <w:color w:val="auto"/>
          <w:sz w:val="24"/>
          <w:szCs w:val="24"/>
          <w:highlight w:val="none"/>
        </w:rPr>
        <w:t>浅层孔隙水</w:t>
      </w:r>
    </w:p>
    <w:p w14:paraId="0A704F0E">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含水层组由第四系上新统、全新统地层组成，岩性以粉细砂为主，含水层顶板埋深7.0－12.0m，底板埋深15—30m，砂层累计厚度8—12m。含水层顶板之上为厚6-7m的粉质粘土，致使浅层含水层地下水水力性质为潜水－微承压水，渗透系数0.2－5.0m/d，单井涌水量一般为500－1000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/d。水化学类型以HCO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－Ca、HCO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－Ca·Na型和HCO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Ca·Mg型为主，水温一般在16.5－19℃，矿化度一般小于1g/L。天然状态下粉质粘土中地下水水位与下伏微承压含水层水位一致，埋深一般在2.0－4.0m。浅层孔隙水与下部中深层孔隙水之间有一层厚度在1.3－31.18m的粘土层，平均厚度13.98m，隔水性能较好，称为上部隔水层组。但其厚度变化较大，由东向西逐渐变薄。</w:t>
      </w:r>
    </w:p>
    <w:p w14:paraId="7F8984A5">
      <w:pPr>
        <w:adjustRightInd/>
        <w:snapToGrid/>
        <w:spacing w:line="360" w:lineRule="auto"/>
        <w:ind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b．中深层孔隙水</w:t>
      </w:r>
    </w:p>
    <w:p w14:paraId="75C89D68">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中深层孔隙水含水层组由第四系下、中更新统地层组成，含水层顶板埋深约为45－50m，底板埋深约为50－100m，岩性为细砂、含砾中粗砂等，地下水水力性质为承压水，渗透系数1.38—4.65m/d。天然状态下地下水水位埋深一般在2.0—4.0m，单井涌水量一般为500－3000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/d。水化学类型以HCO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－Ca·Na型为主，水温一般在18－21℃，矿化度一般在1.07－2.3g/L。</w:t>
      </w:r>
    </w:p>
    <w:p w14:paraId="10FCDF11">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中深层孔隙水含水层组与下部深层孔隙水之间有一层厚度在3.5－55.53m的粘土层，平均厚度35.80m，隔水性能较好，岩性主要为浅灰绿色黏土及砂质黏土，较致密，分布比较稳定，称为下部隔水层组。是中深层和深层孔隙水之间的良好隔水层。</w:t>
      </w:r>
    </w:p>
    <w:p w14:paraId="5773C458">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中深层孔隙水水量丰富，水质相对较好，是城镇生产、生活主要供水水源。受开采影响，在潘集城区、潘一矿、潘二矿、潘三矿周围形成了一定范围的开采降落漏斗，漏斗中心水位埋深在10—14m左右，地下水流向变为有四周向漏斗中心流动，水力坡度为1/1000左右。</w:t>
      </w:r>
    </w:p>
    <w:p w14:paraId="74B50A72">
      <w:pPr>
        <w:adjustRightInd/>
        <w:snapToGrid/>
        <w:spacing w:line="360" w:lineRule="auto"/>
        <w:ind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c．深层孔隙水</w:t>
      </w:r>
    </w:p>
    <w:p w14:paraId="0CCC6AA8">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深层孔隙水含水层组为第三系上新统地层组成，含水层顶板埋深约为150m以下，底板埋深最大为400m，含水层岩性以灰绿色中粗砂、细砂和棕黄色砂砾层为主。地下水水力性质为承压水，渗透系数0.2－2.5m/d。天然状态下地下水水位埋深一般在2.0－4.0m，单井涌水量一般为500－1200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/d。水化学类型以Cl－Na型为主，水温一般在23－26℃，矿化度一般在2.2－2.5g/L。</w:t>
      </w:r>
    </w:p>
    <w:p w14:paraId="1E9C824B">
      <w:pPr>
        <w:adjustRightInd/>
        <w:snapToGrid/>
        <w:spacing w:line="360" w:lineRule="auto"/>
        <w:ind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区域内深层孔隙水基本未被开发利用，水动力场和水化学场基本处于初始状态。</w:t>
      </w:r>
    </w:p>
    <w:p w14:paraId="19815492">
      <w:pPr>
        <w:adjustRightInd/>
        <w:snapToGrid/>
        <w:spacing w:line="360" w:lineRule="auto"/>
        <w:ind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（2）碎屑岩孔隙裂隙水</w:t>
      </w:r>
    </w:p>
    <w:p w14:paraId="66C52E0A">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含水岩组主要由二叠、三叠系的泥岩粉砂岩、砂砾岩等碎屑岩煤系地层组成，埋藏于巨厚的新生界松散层之下，深度120－450m。地下水赋存于风化的空袭、裂隙和构造裂隙中，富水性受岩性和孔隙、裂隙发育程度控制，单井涌水量一般小于100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/d，水温一般在，24℃左右，矿化度一般在3.0－4.5g/L，水化学类型以Cl－Na型、Cl·HCO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－Na型为主。</w:t>
      </w:r>
    </w:p>
    <w:p w14:paraId="3AF20F73">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碎屑岩孔隙裂隙水与其下伏的岩溶水之间存在较厚的隔水层，在五断层等影响因素情况下，不发生直接的水力联系；与其上覆的深层孔隙水能发生一定的水力联系。</w:t>
      </w:r>
    </w:p>
    <w:p w14:paraId="09CC58EF">
      <w:pPr>
        <w:adjustRightInd/>
        <w:snapToGrid/>
        <w:spacing w:line="360" w:lineRule="auto"/>
        <w:ind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（3）碳酸盐岩裂隙岩溶水</w:t>
      </w:r>
    </w:p>
    <w:p w14:paraId="1FE84028">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含水岩组主要由奥陶系马家沟组石灰岩和石炭系太原组石灰岩等组成，地下水主要赋存碳酸盐岩裂隙、溶隙中，埋藏于巨厚的碎屑岩类煤系地层中。</w:t>
      </w:r>
    </w:p>
    <w:p w14:paraId="7417D044">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根据煤田勘探资料，石炭系太原组石灰岩含水层累计厚度41－54m，中上部多为薄层灰岩，仅底部灰岩较厚，约15m，地下水具承压性质，水位标高一般在+26－+28m，单位涌水量一般为0.12－0.191 l/s·m，渗透系数0.009－0.30m/d。水化学类型以Cl·HCO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－Na型和Cl—Na型为主，水温一般在32－36℃，矿化度一般小于2.3－2.65g/L。</w:t>
      </w:r>
    </w:p>
    <w:p w14:paraId="05584052">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奥陶系马家沟组石灰岩含水层累计厚度85—150m，上部为浅灰、褐灰色白云岩，中部为浅灰、灰色含白云质灰岩与褐灰色豹皮状白云质灰岩互层，下部灰色厚层含白云质灰岩，地下水具承压性质，水位标高一般在+25m左右，单位涌水量一般为0.2001 l/s·m，渗透系数0.035m/d。水化学类型以Cl·SO</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—Na型为主，水温一般在44℃左右，矿化度一般小于2.866g/L。</w:t>
      </w:r>
    </w:p>
    <w:p w14:paraId="6D71D167">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F、</w:t>
      </w:r>
      <w:r>
        <w:rPr>
          <w:rFonts w:hint="default" w:ascii="Times New Roman" w:hAnsi="Times New Roman" w:eastAsia="宋体" w:cs="Times New Roman"/>
          <w:color w:val="auto"/>
          <w:sz w:val="24"/>
          <w:szCs w:val="24"/>
          <w:highlight w:val="none"/>
          <w:lang w:val="en-GB" w:eastAsia="zh-CN"/>
        </w:rPr>
        <w:t>地下水补径排条件</w:t>
      </w:r>
    </w:p>
    <w:p w14:paraId="39B53A27">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内地下水的补给、径流、排泄条件和地下水动态特征，明显受到地形、地貌、地层岩性、地质构造和气候特征的影响。根据规划区新建项目的特征，污染仅可能涉及到松散层孔隙水，现就松散层孔隙水的补径排特征分述如下：</w:t>
      </w:r>
    </w:p>
    <w:p w14:paraId="369E40BC">
      <w:pPr>
        <w:adjustRightInd/>
        <w:snapToGrid/>
        <w:spacing w:line="360" w:lineRule="auto"/>
        <w:ind w:firstLine="482"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1）、浅层孔隙水</w:t>
      </w:r>
    </w:p>
    <w:p w14:paraId="4528DEDA">
      <w:pPr>
        <w:adjustRightInd/>
        <w:snapToGrid/>
        <w:spacing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浅层孔隙水主要通过包气带接受大气降水入渗补给、其次为农田灌溉回渗补给、地表水的入渗补给。地表包气带岩性以亚黏土，局部为亚砂土。</w:t>
      </w:r>
    </w:p>
    <w:p w14:paraId="2BC19EE8">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浅层孔隙水径流主要受地形影响，径流方向与地表倾向一致，总趋势由西北向东南径流，水力坡度一般在1/10000~2/10000之间。</w:t>
      </w:r>
    </w:p>
    <w:p w14:paraId="00F9A51B">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潜水蒸发是浅层孔隙水的主要排泄途径，其次为垂直向下部中深层孔隙水越流排泄、枯水期向河流排泄和人工开采排泄。</w:t>
      </w:r>
    </w:p>
    <w:p w14:paraId="2A474899">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浅层孔隙水的动态呈现降水入渗—蒸发型动态特征，地下水位的变化明显具有季节性变化特征，一般1－3月水位稳定，4－6月水位下降幅度较大，水位达到年内最低值，7－9月份随降水量的增大，地下水位明显上升，基本达到年内最高，10月份水位开始回落。一般年变幅在2.0~4.0m。</w:t>
      </w:r>
    </w:p>
    <w:p w14:paraId="740222D1">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淮南市地质环境监测站的长期动态监测资料，规划区浅层孔隙水，2009年－2010年监测数据表明：2009年、2010年地下水位年变幅分别为3.33m、2.35m，最高水位分别为13.37m、14.03m，最低水位分别为10.04m、11.68m。地下水动态受降水、开采等因素形象明显。</w:t>
      </w:r>
    </w:p>
    <w:p w14:paraId="7A6DD837">
      <w:pPr>
        <w:tabs>
          <w:tab w:val="left" w:pos="6105"/>
        </w:tabs>
        <w:jc w:val="center"/>
        <w:outlineLvl w:val="3"/>
        <w:rPr>
          <w:rFonts w:hint="default" w:ascii="Times New Roman" w:hAnsi="Times New Roman" w:eastAsia="黑体" w:cs="Times New Roman"/>
          <w:b/>
          <w:color w:val="auto"/>
          <w:highlight w:val="none"/>
          <w:lang w:val="zh-CN" w:eastAsia="zh-CN"/>
        </w:rPr>
      </w:pPr>
      <w:r>
        <w:rPr>
          <w:rFonts w:hint="eastAsia"/>
          <w:b/>
          <w:bCs/>
          <w:color w:val="auto"/>
          <w:szCs w:val="21"/>
        </w:rPr>
        <w:t>表7.9-</w:t>
      </w:r>
      <w:r>
        <w:rPr>
          <w:rFonts w:hint="eastAsia"/>
          <w:b/>
          <w:bCs/>
          <w:color w:val="auto"/>
          <w:szCs w:val="21"/>
          <w:lang w:val="en-US" w:eastAsia="zh-CN"/>
        </w:rPr>
        <w:t>20</w:t>
      </w:r>
      <w:r>
        <w:rPr>
          <w:rFonts w:hint="default" w:ascii="Times New Roman" w:hAnsi="Times New Roman" w:eastAsia="黑体" w:cs="Times New Roman"/>
          <w:b/>
          <w:color w:val="auto"/>
          <w:highlight w:val="none"/>
          <w:lang w:val="zh-CN" w:eastAsia="zh-CN"/>
        </w:rPr>
        <w:t xml:space="preserve">  规划区浅层地下水动态数据表</w:t>
      </w:r>
    </w:p>
    <w:tbl>
      <w:tblPr>
        <w:tblStyle w:val="32"/>
        <w:tblW w:w="9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99"/>
        <w:gridCol w:w="524"/>
        <w:gridCol w:w="525"/>
        <w:gridCol w:w="524"/>
        <w:gridCol w:w="524"/>
        <w:gridCol w:w="524"/>
        <w:gridCol w:w="525"/>
        <w:gridCol w:w="524"/>
        <w:gridCol w:w="524"/>
        <w:gridCol w:w="524"/>
        <w:gridCol w:w="525"/>
        <w:gridCol w:w="524"/>
        <w:gridCol w:w="524"/>
        <w:gridCol w:w="549"/>
        <w:gridCol w:w="548"/>
        <w:gridCol w:w="540"/>
      </w:tblGrid>
      <w:tr w14:paraId="63EBD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74C123E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  份</w:t>
            </w:r>
          </w:p>
        </w:tc>
        <w:tc>
          <w:tcPr>
            <w:tcW w:w="7928" w:type="dxa"/>
            <w:gridSpan w:val="15"/>
            <w:noWrap w:val="0"/>
            <w:tcMar>
              <w:top w:w="0" w:type="dxa"/>
              <w:left w:w="0" w:type="dxa"/>
              <w:bottom w:w="0" w:type="dxa"/>
              <w:right w:w="0" w:type="dxa"/>
            </w:tcMar>
            <w:vAlign w:val="center"/>
          </w:tcPr>
          <w:p w14:paraId="4CF389A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2009年</w:t>
            </w:r>
          </w:p>
        </w:tc>
      </w:tr>
      <w:tr w14:paraId="3FBFE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3484AF2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月  份</w:t>
            </w:r>
          </w:p>
        </w:tc>
        <w:tc>
          <w:tcPr>
            <w:tcW w:w="524" w:type="dxa"/>
            <w:noWrap w:val="0"/>
            <w:tcMar>
              <w:top w:w="0" w:type="dxa"/>
              <w:left w:w="0" w:type="dxa"/>
              <w:bottom w:w="0" w:type="dxa"/>
              <w:right w:w="0" w:type="dxa"/>
            </w:tcMar>
            <w:vAlign w:val="center"/>
          </w:tcPr>
          <w:p w14:paraId="71CEE80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25" w:type="dxa"/>
            <w:noWrap w:val="0"/>
            <w:tcMar>
              <w:top w:w="0" w:type="dxa"/>
              <w:left w:w="0" w:type="dxa"/>
              <w:bottom w:w="0" w:type="dxa"/>
              <w:right w:w="0" w:type="dxa"/>
            </w:tcMar>
            <w:vAlign w:val="center"/>
          </w:tcPr>
          <w:p w14:paraId="1209611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24" w:type="dxa"/>
            <w:noWrap w:val="0"/>
            <w:tcMar>
              <w:top w:w="0" w:type="dxa"/>
              <w:left w:w="0" w:type="dxa"/>
              <w:bottom w:w="0" w:type="dxa"/>
              <w:right w:w="0" w:type="dxa"/>
            </w:tcMar>
            <w:vAlign w:val="center"/>
          </w:tcPr>
          <w:p w14:paraId="6DC8B48C">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524" w:type="dxa"/>
            <w:noWrap w:val="0"/>
            <w:tcMar>
              <w:top w:w="0" w:type="dxa"/>
              <w:left w:w="0" w:type="dxa"/>
              <w:bottom w:w="0" w:type="dxa"/>
              <w:right w:w="0" w:type="dxa"/>
            </w:tcMar>
            <w:vAlign w:val="center"/>
          </w:tcPr>
          <w:p w14:paraId="769BCE6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524" w:type="dxa"/>
            <w:noWrap w:val="0"/>
            <w:tcMar>
              <w:top w:w="0" w:type="dxa"/>
              <w:left w:w="0" w:type="dxa"/>
              <w:bottom w:w="0" w:type="dxa"/>
              <w:right w:w="0" w:type="dxa"/>
            </w:tcMar>
            <w:vAlign w:val="center"/>
          </w:tcPr>
          <w:p w14:paraId="72D857A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525" w:type="dxa"/>
            <w:noWrap w:val="0"/>
            <w:tcMar>
              <w:top w:w="0" w:type="dxa"/>
              <w:left w:w="0" w:type="dxa"/>
              <w:bottom w:w="0" w:type="dxa"/>
              <w:right w:w="0" w:type="dxa"/>
            </w:tcMar>
            <w:vAlign w:val="center"/>
          </w:tcPr>
          <w:p w14:paraId="15382E4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524" w:type="dxa"/>
            <w:noWrap w:val="0"/>
            <w:tcMar>
              <w:top w:w="0" w:type="dxa"/>
              <w:left w:w="0" w:type="dxa"/>
              <w:bottom w:w="0" w:type="dxa"/>
              <w:right w:w="0" w:type="dxa"/>
            </w:tcMar>
            <w:vAlign w:val="center"/>
          </w:tcPr>
          <w:p w14:paraId="34DF567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524" w:type="dxa"/>
            <w:noWrap w:val="0"/>
            <w:tcMar>
              <w:top w:w="0" w:type="dxa"/>
              <w:left w:w="0" w:type="dxa"/>
              <w:bottom w:w="0" w:type="dxa"/>
              <w:right w:w="0" w:type="dxa"/>
            </w:tcMar>
            <w:vAlign w:val="center"/>
          </w:tcPr>
          <w:p w14:paraId="603D5FC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524" w:type="dxa"/>
            <w:noWrap w:val="0"/>
            <w:tcMar>
              <w:top w:w="0" w:type="dxa"/>
              <w:left w:w="0" w:type="dxa"/>
              <w:bottom w:w="0" w:type="dxa"/>
              <w:right w:w="0" w:type="dxa"/>
            </w:tcMar>
            <w:vAlign w:val="center"/>
          </w:tcPr>
          <w:p w14:paraId="068393D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525" w:type="dxa"/>
            <w:noWrap w:val="0"/>
            <w:tcMar>
              <w:top w:w="0" w:type="dxa"/>
              <w:left w:w="0" w:type="dxa"/>
              <w:bottom w:w="0" w:type="dxa"/>
              <w:right w:w="0" w:type="dxa"/>
            </w:tcMar>
            <w:vAlign w:val="center"/>
          </w:tcPr>
          <w:p w14:paraId="531B6F36">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24" w:type="dxa"/>
            <w:noWrap w:val="0"/>
            <w:tcMar>
              <w:top w:w="0" w:type="dxa"/>
              <w:left w:w="0" w:type="dxa"/>
              <w:bottom w:w="0" w:type="dxa"/>
              <w:right w:w="0" w:type="dxa"/>
            </w:tcMar>
            <w:vAlign w:val="center"/>
          </w:tcPr>
          <w:p w14:paraId="1FC3AA3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524" w:type="dxa"/>
            <w:noWrap w:val="0"/>
            <w:tcMar>
              <w:top w:w="0" w:type="dxa"/>
              <w:left w:w="0" w:type="dxa"/>
              <w:bottom w:w="0" w:type="dxa"/>
              <w:right w:w="0" w:type="dxa"/>
            </w:tcMar>
            <w:vAlign w:val="center"/>
          </w:tcPr>
          <w:p w14:paraId="201060C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549" w:type="dxa"/>
            <w:noWrap w:val="0"/>
            <w:tcMar>
              <w:top w:w="0" w:type="dxa"/>
              <w:left w:w="0" w:type="dxa"/>
              <w:bottom w:w="0" w:type="dxa"/>
              <w:right w:w="0" w:type="dxa"/>
            </w:tcMar>
            <w:vAlign w:val="center"/>
          </w:tcPr>
          <w:p w14:paraId="58E852B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年最高</w:t>
            </w:r>
          </w:p>
        </w:tc>
        <w:tc>
          <w:tcPr>
            <w:tcW w:w="548" w:type="dxa"/>
            <w:noWrap w:val="0"/>
            <w:tcMar>
              <w:top w:w="0" w:type="dxa"/>
              <w:left w:w="0" w:type="dxa"/>
              <w:bottom w:w="0" w:type="dxa"/>
              <w:right w:w="0" w:type="dxa"/>
            </w:tcMar>
            <w:vAlign w:val="center"/>
          </w:tcPr>
          <w:p w14:paraId="47710AD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年最低</w:t>
            </w:r>
          </w:p>
        </w:tc>
        <w:tc>
          <w:tcPr>
            <w:tcW w:w="540" w:type="dxa"/>
            <w:noWrap w:val="0"/>
            <w:tcMar>
              <w:top w:w="0" w:type="dxa"/>
              <w:left w:w="0" w:type="dxa"/>
              <w:bottom w:w="0" w:type="dxa"/>
              <w:right w:w="0" w:type="dxa"/>
            </w:tcMar>
            <w:vAlign w:val="center"/>
          </w:tcPr>
          <w:p w14:paraId="52A689A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年变幅</w:t>
            </w:r>
          </w:p>
        </w:tc>
      </w:tr>
      <w:tr w14:paraId="7ABEE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5590946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月平均水位（m）</w:t>
            </w:r>
          </w:p>
        </w:tc>
        <w:tc>
          <w:tcPr>
            <w:tcW w:w="524" w:type="dxa"/>
            <w:noWrap w:val="0"/>
            <w:tcMar>
              <w:top w:w="0" w:type="dxa"/>
              <w:left w:w="0" w:type="dxa"/>
              <w:bottom w:w="0" w:type="dxa"/>
              <w:right w:w="0" w:type="dxa"/>
            </w:tcMar>
            <w:vAlign w:val="center"/>
          </w:tcPr>
          <w:p w14:paraId="443DD9E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10.76</w:t>
            </w:r>
          </w:p>
        </w:tc>
        <w:tc>
          <w:tcPr>
            <w:tcW w:w="525" w:type="dxa"/>
            <w:noWrap w:val="0"/>
            <w:tcMar>
              <w:top w:w="0" w:type="dxa"/>
              <w:left w:w="0" w:type="dxa"/>
              <w:bottom w:w="0" w:type="dxa"/>
              <w:right w:w="0" w:type="dxa"/>
            </w:tcMar>
            <w:vAlign w:val="center"/>
          </w:tcPr>
          <w:p w14:paraId="4644DCC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10.92</w:t>
            </w:r>
          </w:p>
        </w:tc>
        <w:tc>
          <w:tcPr>
            <w:tcW w:w="524" w:type="dxa"/>
            <w:noWrap w:val="0"/>
            <w:tcMar>
              <w:top w:w="0" w:type="dxa"/>
              <w:left w:w="0" w:type="dxa"/>
              <w:bottom w:w="0" w:type="dxa"/>
              <w:right w:w="0" w:type="dxa"/>
            </w:tcMar>
            <w:vAlign w:val="center"/>
          </w:tcPr>
          <w:p w14:paraId="10237E6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11.32</w:t>
            </w:r>
          </w:p>
        </w:tc>
        <w:tc>
          <w:tcPr>
            <w:tcW w:w="524" w:type="dxa"/>
            <w:noWrap w:val="0"/>
            <w:tcMar>
              <w:top w:w="0" w:type="dxa"/>
              <w:left w:w="0" w:type="dxa"/>
              <w:bottom w:w="0" w:type="dxa"/>
              <w:right w:w="0" w:type="dxa"/>
            </w:tcMar>
            <w:vAlign w:val="center"/>
          </w:tcPr>
          <w:p w14:paraId="392CD0A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11.00</w:t>
            </w:r>
          </w:p>
        </w:tc>
        <w:tc>
          <w:tcPr>
            <w:tcW w:w="524" w:type="dxa"/>
            <w:noWrap w:val="0"/>
            <w:tcMar>
              <w:top w:w="0" w:type="dxa"/>
              <w:left w:w="0" w:type="dxa"/>
              <w:bottom w:w="0" w:type="dxa"/>
              <w:right w:w="0" w:type="dxa"/>
            </w:tcMar>
            <w:vAlign w:val="center"/>
          </w:tcPr>
          <w:p w14:paraId="699F24E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10.65</w:t>
            </w:r>
          </w:p>
        </w:tc>
        <w:tc>
          <w:tcPr>
            <w:tcW w:w="525" w:type="dxa"/>
            <w:noWrap w:val="0"/>
            <w:tcMar>
              <w:top w:w="0" w:type="dxa"/>
              <w:left w:w="0" w:type="dxa"/>
              <w:bottom w:w="0" w:type="dxa"/>
              <w:right w:w="0" w:type="dxa"/>
            </w:tcMar>
            <w:vAlign w:val="center"/>
          </w:tcPr>
          <w:p w14:paraId="578A5E9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10.88</w:t>
            </w:r>
          </w:p>
        </w:tc>
        <w:tc>
          <w:tcPr>
            <w:tcW w:w="524" w:type="dxa"/>
            <w:noWrap w:val="0"/>
            <w:tcMar>
              <w:top w:w="0" w:type="dxa"/>
              <w:left w:w="0" w:type="dxa"/>
              <w:bottom w:w="0" w:type="dxa"/>
              <w:right w:w="0" w:type="dxa"/>
            </w:tcMar>
            <w:vAlign w:val="center"/>
          </w:tcPr>
          <w:p w14:paraId="420FAB8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11.77</w:t>
            </w:r>
          </w:p>
        </w:tc>
        <w:tc>
          <w:tcPr>
            <w:tcW w:w="524" w:type="dxa"/>
            <w:noWrap w:val="0"/>
            <w:tcMar>
              <w:top w:w="0" w:type="dxa"/>
              <w:left w:w="0" w:type="dxa"/>
              <w:bottom w:w="0" w:type="dxa"/>
              <w:right w:w="0" w:type="dxa"/>
            </w:tcMar>
            <w:vAlign w:val="center"/>
          </w:tcPr>
          <w:p w14:paraId="4EB945F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12.47</w:t>
            </w:r>
          </w:p>
        </w:tc>
        <w:tc>
          <w:tcPr>
            <w:tcW w:w="524" w:type="dxa"/>
            <w:noWrap w:val="0"/>
            <w:tcMar>
              <w:top w:w="0" w:type="dxa"/>
              <w:left w:w="0" w:type="dxa"/>
              <w:bottom w:w="0" w:type="dxa"/>
              <w:right w:w="0" w:type="dxa"/>
            </w:tcMar>
            <w:vAlign w:val="center"/>
          </w:tcPr>
          <w:p w14:paraId="4CC6843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13.03</w:t>
            </w:r>
          </w:p>
        </w:tc>
        <w:tc>
          <w:tcPr>
            <w:tcW w:w="525" w:type="dxa"/>
            <w:noWrap w:val="0"/>
            <w:tcMar>
              <w:top w:w="0" w:type="dxa"/>
              <w:left w:w="0" w:type="dxa"/>
              <w:bottom w:w="0" w:type="dxa"/>
              <w:right w:w="0" w:type="dxa"/>
            </w:tcMar>
            <w:vAlign w:val="center"/>
          </w:tcPr>
          <w:p w14:paraId="492A16D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12.01</w:t>
            </w:r>
          </w:p>
        </w:tc>
        <w:tc>
          <w:tcPr>
            <w:tcW w:w="524" w:type="dxa"/>
            <w:noWrap w:val="0"/>
            <w:tcMar>
              <w:top w:w="0" w:type="dxa"/>
              <w:left w:w="0" w:type="dxa"/>
              <w:bottom w:w="0" w:type="dxa"/>
              <w:right w:w="0" w:type="dxa"/>
            </w:tcMar>
            <w:vAlign w:val="center"/>
          </w:tcPr>
          <w:p w14:paraId="2718441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12.20</w:t>
            </w:r>
          </w:p>
        </w:tc>
        <w:tc>
          <w:tcPr>
            <w:tcW w:w="524" w:type="dxa"/>
            <w:noWrap w:val="0"/>
            <w:tcMar>
              <w:top w:w="0" w:type="dxa"/>
              <w:left w:w="0" w:type="dxa"/>
              <w:bottom w:w="0" w:type="dxa"/>
              <w:right w:w="0" w:type="dxa"/>
            </w:tcMar>
            <w:vAlign w:val="center"/>
          </w:tcPr>
          <w:p w14:paraId="79228DC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12.99</w:t>
            </w:r>
          </w:p>
        </w:tc>
        <w:tc>
          <w:tcPr>
            <w:tcW w:w="549" w:type="dxa"/>
            <w:vMerge w:val="restart"/>
            <w:noWrap w:val="0"/>
            <w:tcMar>
              <w:top w:w="0" w:type="dxa"/>
              <w:left w:w="0" w:type="dxa"/>
              <w:bottom w:w="0" w:type="dxa"/>
              <w:right w:w="0" w:type="dxa"/>
            </w:tcMar>
            <w:vAlign w:val="center"/>
          </w:tcPr>
          <w:p w14:paraId="49F3DB5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13.37</w:t>
            </w:r>
          </w:p>
        </w:tc>
        <w:tc>
          <w:tcPr>
            <w:tcW w:w="548" w:type="dxa"/>
            <w:vMerge w:val="restart"/>
            <w:noWrap w:val="0"/>
            <w:tcMar>
              <w:top w:w="0" w:type="dxa"/>
              <w:left w:w="0" w:type="dxa"/>
              <w:bottom w:w="0" w:type="dxa"/>
              <w:right w:w="0" w:type="dxa"/>
            </w:tcMar>
            <w:vAlign w:val="center"/>
          </w:tcPr>
          <w:p w14:paraId="2858A4A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10.04</w:t>
            </w:r>
          </w:p>
        </w:tc>
        <w:tc>
          <w:tcPr>
            <w:tcW w:w="540" w:type="dxa"/>
            <w:vMerge w:val="restart"/>
            <w:noWrap w:val="0"/>
            <w:tcMar>
              <w:top w:w="0" w:type="dxa"/>
              <w:left w:w="0" w:type="dxa"/>
              <w:bottom w:w="0" w:type="dxa"/>
              <w:right w:w="0" w:type="dxa"/>
            </w:tcMar>
            <w:vAlign w:val="center"/>
          </w:tcPr>
          <w:p w14:paraId="58C49CA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3.33</w:t>
            </w:r>
          </w:p>
        </w:tc>
      </w:tr>
      <w:tr w14:paraId="1E25E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1A37322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月变幅（m）</w:t>
            </w:r>
          </w:p>
        </w:tc>
        <w:tc>
          <w:tcPr>
            <w:tcW w:w="524" w:type="dxa"/>
            <w:noWrap w:val="0"/>
            <w:tcMar>
              <w:top w:w="0" w:type="dxa"/>
              <w:left w:w="0" w:type="dxa"/>
              <w:bottom w:w="0" w:type="dxa"/>
              <w:right w:w="0" w:type="dxa"/>
            </w:tcMar>
            <w:vAlign w:val="center"/>
          </w:tcPr>
          <w:p w14:paraId="7590553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w:t>
            </w:r>
          </w:p>
        </w:tc>
        <w:tc>
          <w:tcPr>
            <w:tcW w:w="525" w:type="dxa"/>
            <w:noWrap w:val="0"/>
            <w:tcMar>
              <w:top w:w="0" w:type="dxa"/>
              <w:left w:w="0" w:type="dxa"/>
              <w:bottom w:w="0" w:type="dxa"/>
              <w:right w:w="0" w:type="dxa"/>
            </w:tcMar>
            <w:vAlign w:val="center"/>
          </w:tcPr>
          <w:p w14:paraId="73A1009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1.02</w:t>
            </w:r>
          </w:p>
        </w:tc>
        <w:tc>
          <w:tcPr>
            <w:tcW w:w="524" w:type="dxa"/>
            <w:noWrap w:val="0"/>
            <w:tcMar>
              <w:top w:w="0" w:type="dxa"/>
              <w:left w:w="0" w:type="dxa"/>
              <w:bottom w:w="0" w:type="dxa"/>
              <w:right w:w="0" w:type="dxa"/>
            </w:tcMar>
            <w:vAlign w:val="center"/>
          </w:tcPr>
          <w:p w14:paraId="4349C98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1.14</w:t>
            </w:r>
          </w:p>
        </w:tc>
        <w:tc>
          <w:tcPr>
            <w:tcW w:w="524" w:type="dxa"/>
            <w:noWrap w:val="0"/>
            <w:tcMar>
              <w:top w:w="0" w:type="dxa"/>
              <w:left w:w="0" w:type="dxa"/>
              <w:bottom w:w="0" w:type="dxa"/>
              <w:right w:w="0" w:type="dxa"/>
            </w:tcMar>
            <w:vAlign w:val="center"/>
          </w:tcPr>
          <w:p w14:paraId="72C488F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w:t>
            </w:r>
          </w:p>
        </w:tc>
        <w:tc>
          <w:tcPr>
            <w:tcW w:w="524" w:type="dxa"/>
            <w:noWrap w:val="0"/>
            <w:tcMar>
              <w:top w:w="0" w:type="dxa"/>
              <w:left w:w="0" w:type="dxa"/>
              <w:bottom w:w="0" w:type="dxa"/>
              <w:right w:w="0" w:type="dxa"/>
            </w:tcMar>
            <w:vAlign w:val="center"/>
          </w:tcPr>
          <w:p w14:paraId="1AFF589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0.91</w:t>
            </w:r>
          </w:p>
        </w:tc>
        <w:tc>
          <w:tcPr>
            <w:tcW w:w="525" w:type="dxa"/>
            <w:noWrap w:val="0"/>
            <w:tcMar>
              <w:top w:w="0" w:type="dxa"/>
              <w:left w:w="0" w:type="dxa"/>
              <w:bottom w:w="0" w:type="dxa"/>
              <w:right w:w="0" w:type="dxa"/>
            </w:tcMar>
            <w:vAlign w:val="center"/>
          </w:tcPr>
          <w:p w14:paraId="7A8A3A0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1.28</w:t>
            </w:r>
          </w:p>
        </w:tc>
        <w:tc>
          <w:tcPr>
            <w:tcW w:w="524" w:type="dxa"/>
            <w:noWrap w:val="0"/>
            <w:tcMar>
              <w:top w:w="0" w:type="dxa"/>
              <w:left w:w="0" w:type="dxa"/>
              <w:bottom w:w="0" w:type="dxa"/>
              <w:right w:w="0" w:type="dxa"/>
            </w:tcMar>
            <w:vAlign w:val="center"/>
          </w:tcPr>
          <w:p w14:paraId="1F2E325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0.80</w:t>
            </w:r>
          </w:p>
        </w:tc>
        <w:tc>
          <w:tcPr>
            <w:tcW w:w="524" w:type="dxa"/>
            <w:noWrap w:val="0"/>
            <w:tcMar>
              <w:top w:w="0" w:type="dxa"/>
              <w:left w:w="0" w:type="dxa"/>
              <w:bottom w:w="0" w:type="dxa"/>
              <w:right w:w="0" w:type="dxa"/>
            </w:tcMar>
            <w:vAlign w:val="center"/>
          </w:tcPr>
          <w:p w14:paraId="70DBF77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0.39</w:t>
            </w:r>
          </w:p>
        </w:tc>
        <w:tc>
          <w:tcPr>
            <w:tcW w:w="524" w:type="dxa"/>
            <w:noWrap w:val="0"/>
            <w:tcMar>
              <w:top w:w="0" w:type="dxa"/>
              <w:left w:w="0" w:type="dxa"/>
              <w:bottom w:w="0" w:type="dxa"/>
              <w:right w:w="0" w:type="dxa"/>
            </w:tcMar>
            <w:vAlign w:val="center"/>
          </w:tcPr>
          <w:p w14:paraId="53EAB32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0.84</w:t>
            </w:r>
          </w:p>
        </w:tc>
        <w:tc>
          <w:tcPr>
            <w:tcW w:w="525" w:type="dxa"/>
            <w:noWrap w:val="0"/>
            <w:tcMar>
              <w:top w:w="0" w:type="dxa"/>
              <w:left w:w="0" w:type="dxa"/>
              <w:bottom w:w="0" w:type="dxa"/>
              <w:right w:w="0" w:type="dxa"/>
            </w:tcMar>
            <w:vAlign w:val="center"/>
          </w:tcPr>
          <w:p w14:paraId="1E06D24C">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0.58</w:t>
            </w:r>
          </w:p>
        </w:tc>
        <w:tc>
          <w:tcPr>
            <w:tcW w:w="524" w:type="dxa"/>
            <w:noWrap w:val="0"/>
            <w:tcMar>
              <w:top w:w="0" w:type="dxa"/>
              <w:left w:w="0" w:type="dxa"/>
              <w:bottom w:w="0" w:type="dxa"/>
              <w:right w:w="0" w:type="dxa"/>
            </w:tcMar>
            <w:vAlign w:val="center"/>
          </w:tcPr>
          <w:p w14:paraId="384028E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1.04</w:t>
            </w:r>
          </w:p>
        </w:tc>
        <w:tc>
          <w:tcPr>
            <w:tcW w:w="524" w:type="dxa"/>
            <w:noWrap w:val="0"/>
            <w:tcMar>
              <w:top w:w="0" w:type="dxa"/>
              <w:left w:w="0" w:type="dxa"/>
              <w:bottom w:w="0" w:type="dxa"/>
              <w:right w:w="0" w:type="dxa"/>
            </w:tcMar>
            <w:vAlign w:val="center"/>
          </w:tcPr>
          <w:p w14:paraId="54F7F7A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0.35</w:t>
            </w:r>
          </w:p>
        </w:tc>
        <w:tc>
          <w:tcPr>
            <w:tcW w:w="549" w:type="dxa"/>
            <w:vMerge w:val="continue"/>
            <w:noWrap w:val="0"/>
            <w:tcMar>
              <w:top w:w="0" w:type="dxa"/>
              <w:left w:w="0" w:type="dxa"/>
              <w:bottom w:w="0" w:type="dxa"/>
              <w:right w:w="0" w:type="dxa"/>
            </w:tcMar>
            <w:vAlign w:val="center"/>
          </w:tcPr>
          <w:p w14:paraId="6481FAB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p>
        </w:tc>
        <w:tc>
          <w:tcPr>
            <w:tcW w:w="548" w:type="dxa"/>
            <w:vMerge w:val="continue"/>
            <w:noWrap w:val="0"/>
            <w:tcMar>
              <w:top w:w="0" w:type="dxa"/>
              <w:left w:w="0" w:type="dxa"/>
              <w:bottom w:w="0" w:type="dxa"/>
              <w:right w:w="0" w:type="dxa"/>
            </w:tcMar>
            <w:vAlign w:val="center"/>
          </w:tcPr>
          <w:p w14:paraId="2C18907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p>
        </w:tc>
        <w:tc>
          <w:tcPr>
            <w:tcW w:w="540" w:type="dxa"/>
            <w:vMerge w:val="continue"/>
            <w:noWrap w:val="0"/>
            <w:tcMar>
              <w:top w:w="0" w:type="dxa"/>
              <w:left w:w="0" w:type="dxa"/>
              <w:bottom w:w="0" w:type="dxa"/>
              <w:right w:w="0" w:type="dxa"/>
            </w:tcMar>
            <w:vAlign w:val="center"/>
          </w:tcPr>
          <w:p w14:paraId="2A476C9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p>
        </w:tc>
      </w:tr>
      <w:tr w14:paraId="28340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77E9AD3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  份</w:t>
            </w:r>
          </w:p>
        </w:tc>
        <w:tc>
          <w:tcPr>
            <w:tcW w:w="7928" w:type="dxa"/>
            <w:gridSpan w:val="15"/>
            <w:noWrap w:val="0"/>
            <w:tcMar>
              <w:top w:w="0" w:type="dxa"/>
              <w:left w:w="0" w:type="dxa"/>
              <w:bottom w:w="0" w:type="dxa"/>
              <w:right w:w="0" w:type="dxa"/>
            </w:tcMar>
            <w:vAlign w:val="center"/>
          </w:tcPr>
          <w:p w14:paraId="75FD1CA6">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2010年</w:t>
            </w:r>
          </w:p>
        </w:tc>
      </w:tr>
      <w:tr w14:paraId="5D4C8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0F2798B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月  份</w:t>
            </w:r>
          </w:p>
        </w:tc>
        <w:tc>
          <w:tcPr>
            <w:tcW w:w="524" w:type="dxa"/>
            <w:noWrap w:val="0"/>
            <w:tcMar>
              <w:top w:w="0" w:type="dxa"/>
              <w:left w:w="0" w:type="dxa"/>
              <w:bottom w:w="0" w:type="dxa"/>
              <w:right w:w="0" w:type="dxa"/>
            </w:tcMar>
            <w:vAlign w:val="center"/>
          </w:tcPr>
          <w:p w14:paraId="6A65A28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25" w:type="dxa"/>
            <w:noWrap w:val="0"/>
            <w:tcMar>
              <w:top w:w="0" w:type="dxa"/>
              <w:left w:w="0" w:type="dxa"/>
              <w:bottom w:w="0" w:type="dxa"/>
              <w:right w:w="0" w:type="dxa"/>
            </w:tcMar>
            <w:vAlign w:val="center"/>
          </w:tcPr>
          <w:p w14:paraId="0268F0E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24" w:type="dxa"/>
            <w:noWrap w:val="0"/>
            <w:tcMar>
              <w:top w:w="0" w:type="dxa"/>
              <w:left w:w="0" w:type="dxa"/>
              <w:bottom w:w="0" w:type="dxa"/>
              <w:right w:w="0" w:type="dxa"/>
            </w:tcMar>
            <w:vAlign w:val="center"/>
          </w:tcPr>
          <w:p w14:paraId="2CBBC57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524" w:type="dxa"/>
            <w:noWrap w:val="0"/>
            <w:tcMar>
              <w:top w:w="0" w:type="dxa"/>
              <w:left w:w="0" w:type="dxa"/>
              <w:bottom w:w="0" w:type="dxa"/>
              <w:right w:w="0" w:type="dxa"/>
            </w:tcMar>
            <w:vAlign w:val="center"/>
          </w:tcPr>
          <w:p w14:paraId="16D0718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524" w:type="dxa"/>
            <w:noWrap w:val="0"/>
            <w:tcMar>
              <w:top w:w="0" w:type="dxa"/>
              <w:left w:w="0" w:type="dxa"/>
              <w:bottom w:w="0" w:type="dxa"/>
              <w:right w:w="0" w:type="dxa"/>
            </w:tcMar>
            <w:vAlign w:val="center"/>
          </w:tcPr>
          <w:p w14:paraId="2A9D22B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525" w:type="dxa"/>
            <w:noWrap w:val="0"/>
            <w:tcMar>
              <w:top w:w="0" w:type="dxa"/>
              <w:left w:w="0" w:type="dxa"/>
              <w:bottom w:w="0" w:type="dxa"/>
              <w:right w:w="0" w:type="dxa"/>
            </w:tcMar>
            <w:vAlign w:val="center"/>
          </w:tcPr>
          <w:p w14:paraId="61BDCA9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524" w:type="dxa"/>
            <w:noWrap w:val="0"/>
            <w:tcMar>
              <w:top w:w="0" w:type="dxa"/>
              <w:left w:w="0" w:type="dxa"/>
              <w:bottom w:w="0" w:type="dxa"/>
              <w:right w:w="0" w:type="dxa"/>
            </w:tcMar>
            <w:vAlign w:val="center"/>
          </w:tcPr>
          <w:p w14:paraId="028FF8F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524" w:type="dxa"/>
            <w:noWrap w:val="0"/>
            <w:tcMar>
              <w:top w:w="0" w:type="dxa"/>
              <w:left w:w="0" w:type="dxa"/>
              <w:bottom w:w="0" w:type="dxa"/>
              <w:right w:w="0" w:type="dxa"/>
            </w:tcMar>
            <w:vAlign w:val="center"/>
          </w:tcPr>
          <w:p w14:paraId="1FF7E97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524" w:type="dxa"/>
            <w:noWrap w:val="0"/>
            <w:tcMar>
              <w:top w:w="0" w:type="dxa"/>
              <w:left w:w="0" w:type="dxa"/>
              <w:bottom w:w="0" w:type="dxa"/>
              <w:right w:w="0" w:type="dxa"/>
            </w:tcMar>
            <w:vAlign w:val="center"/>
          </w:tcPr>
          <w:p w14:paraId="756E6E2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525" w:type="dxa"/>
            <w:noWrap w:val="0"/>
            <w:tcMar>
              <w:top w:w="0" w:type="dxa"/>
              <w:left w:w="0" w:type="dxa"/>
              <w:bottom w:w="0" w:type="dxa"/>
              <w:right w:w="0" w:type="dxa"/>
            </w:tcMar>
            <w:vAlign w:val="center"/>
          </w:tcPr>
          <w:p w14:paraId="58337FA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24" w:type="dxa"/>
            <w:noWrap w:val="0"/>
            <w:tcMar>
              <w:top w:w="0" w:type="dxa"/>
              <w:left w:w="0" w:type="dxa"/>
              <w:bottom w:w="0" w:type="dxa"/>
              <w:right w:w="0" w:type="dxa"/>
            </w:tcMar>
            <w:vAlign w:val="center"/>
          </w:tcPr>
          <w:p w14:paraId="556E690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524" w:type="dxa"/>
            <w:noWrap w:val="0"/>
            <w:tcMar>
              <w:top w:w="0" w:type="dxa"/>
              <w:left w:w="0" w:type="dxa"/>
              <w:bottom w:w="0" w:type="dxa"/>
              <w:right w:w="0" w:type="dxa"/>
            </w:tcMar>
            <w:vAlign w:val="center"/>
          </w:tcPr>
          <w:p w14:paraId="50901B5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549" w:type="dxa"/>
            <w:noWrap w:val="0"/>
            <w:tcMar>
              <w:top w:w="0" w:type="dxa"/>
              <w:left w:w="0" w:type="dxa"/>
              <w:bottom w:w="0" w:type="dxa"/>
              <w:right w:w="0" w:type="dxa"/>
            </w:tcMar>
            <w:vAlign w:val="center"/>
          </w:tcPr>
          <w:p w14:paraId="41D73CC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年最高</w:t>
            </w:r>
          </w:p>
        </w:tc>
        <w:tc>
          <w:tcPr>
            <w:tcW w:w="548" w:type="dxa"/>
            <w:noWrap w:val="0"/>
            <w:tcMar>
              <w:top w:w="0" w:type="dxa"/>
              <w:left w:w="0" w:type="dxa"/>
              <w:bottom w:w="0" w:type="dxa"/>
              <w:right w:w="0" w:type="dxa"/>
            </w:tcMar>
            <w:vAlign w:val="center"/>
          </w:tcPr>
          <w:p w14:paraId="019AF16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年最低</w:t>
            </w:r>
          </w:p>
        </w:tc>
        <w:tc>
          <w:tcPr>
            <w:tcW w:w="540" w:type="dxa"/>
            <w:noWrap w:val="0"/>
            <w:tcMar>
              <w:top w:w="0" w:type="dxa"/>
              <w:left w:w="0" w:type="dxa"/>
              <w:bottom w:w="0" w:type="dxa"/>
              <w:right w:w="0" w:type="dxa"/>
            </w:tcMar>
            <w:vAlign w:val="center"/>
          </w:tcPr>
          <w:p w14:paraId="125E14E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年变幅</w:t>
            </w:r>
          </w:p>
        </w:tc>
      </w:tr>
      <w:tr w14:paraId="797AE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5383714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月平均水位（m）</w:t>
            </w:r>
          </w:p>
        </w:tc>
        <w:tc>
          <w:tcPr>
            <w:tcW w:w="524" w:type="dxa"/>
            <w:noWrap w:val="0"/>
            <w:tcMar>
              <w:top w:w="0" w:type="dxa"/>
              <w:left w:w="0" w:type="dxa"/>
              <w:bottom w:w="0" w:type="dxa"/>
              <w:right w:w="0" w:type="dxa"/>
            </w:tcMar>
            <w:vAlign w:val="center"/>
          </w:tcPr>
          <w:p w14:paraId="3F721C6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12.96</w:t>
            </w:r>
          </w:p>
        </w:tc>
        <w:tc>
          <w:tcPr>
            <w:tcW w:w="525" w:type="dxa"/>
            <w:noWrap w:val="0"/>
            <w:tcMar>
              <w:top w:w="0" w:type="dxa"/>
              <w:left w:w="0" w:type="dxa"/>
              <w:bottom w:w="0" w:type="dxa"/>
              <w:right w:w="0" w:type="dxa"/>
            </w:tcMar>
            <w:vAlign w:val="center"/>
          </w:tcPr>
          <w:p w14:paraId="79901DF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12.84</w:t>
            </w:r>
          </w:p>
        </w:tc>
        <w:tc>
          <w:tcPr>
            <w:tcW w:w="524" w:type="dxa"/>
            <w:noWrap w:val="0"/>
            <w:tcMar>
              <w:top w:w="0" w:type="dxa"/>
              <w:left w:w="0" w:type="dxa"/>
              <w:bottom w:w="0" w:type="dxa"/>
              <w:right w:w="0" w:type="dxa"/>
            </w:tcMar>
            <w:vAlign w:val="center"/>
          </w:tcPr>
          <w:p w14:paraId="289F244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13.28</w:t>
            </w:r>
          </w:p>
        </w:tc>
        <w:tc>
          <w:tcPr>
            <w:tcW w:w="524" w:type="dxa"/>
            <w:noWrap w:val="0"/>
            <w:tcMar>
              <w:top w:w="0" w:type="dxa"/>
              <w:left w:w="0" w:type="dxa"/>
              <w:bottom w:w="0" w:type="dxa"/>
              <w:right w:w="0" w:type="dxa"/>
            </w:tcMar>
            <w:vAlign w:val="center"/>
          </w:tcPr>
          <w:p w14:paraId="398E6DE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12.76</w:t>
            </w:r>
          </w:p>
        </w:tc>
        <w:tc>
          <w:tcPr>
            <w:tcW w:w="524" w:type="dxa"/>
            <w:noWrap w:val="0"/>
            <w:tcMar>
              <w:top w:w="0" w:type="dxa"/>
              <w:left w:w="0" w:type="dxa"/>
              <w:bottom w:w="0" w:type="dxa"/>
              <w:right w:w="0" w:type="dxa"/>
            </w:tcMar>
            <w:vAlign w:val="center"/>
          </w:tcPr>
          <w:p w14:paraId="4DD6371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12.58</w:t>
            </w:r>
          </w:p>
        </w:tc>
        <w:tc>
          <w:tcPr>
            <w:tcW w:w="525" w:type="dxa"/>
            <w:noWrap w:val="0"/>
            <w:tcMar>
              <w:top w:w="0" w:type="dxa"/>
              <w:left w:w="0" w:type="dxa"/>
              <w:bottom w:w="0" w:type="dxa"/>
              <w:right w:w="0" w:type="dxa"/>
            </w:tcMar>
            <w:vAlign w:val="center"/>
          </w:tcPr>
          <w:p w14:paraId="02013D9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12.20</w:t>
            </w:r>
          </w:p>
        </w:tc>
        <w:tc>
          <w:tcPr>
            <w:tcW w:w="524" w:type="dxa"/>
            <w:noWrap w:val="0"/>
            <w:tcMar>
              <w:top w:w="0" w:type="dxa"/>
              <w:left w:w="0" w:type="dxa"/>
              <w:bottom w:w="0" w:type="dxa"/>
              <w:right w:w="0" w:type="dxa"/>
            </w:tcMar>
            <w:vAlign w:val="center"/>
          </w:tcPr>
          <w:p w14:paraId="696935B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12.43</w:t>
            </w:r>
          </w:p>
        </w:tc>
        <w:tc>
          <w:tcPr>
            <w:tcW w:w="524" w:type="dxa"/>
            <w:noWrap w:val="0"/>
            <w:tcMar>
              <w:top w:w="0" w:type="dxa"/>
              <w:left w:w="0" w:type="dxa"/>
              <w:bottom w:w="0" w:type="dxa"/>
              <w:right w:w="0" w:type="dxa"/>
            </w:tcMar>
            <w:vAlign w:val="center"/>
          </w:tcPr>
          <w:p w14:paraId="1E5F7CF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12.50</w:t>
            </w:r>
          </w:p>
        </w:tc>
        <w:tc>
          <w:tcPr>
            <w:tcW w:w="524" w:type="dxa"/>
            <w:noWrap w:val="0"/>
            <w:tcMar>
              <w:top w:w="0" w:type="dxa"/>
              <w:left w:w="0" w:type="dxa"/>
              <w:bottom w:w="0" w:type="dxa"/>
              <w:right w:w="0" w:type="dxa"/>
            </w:tcMar>
            <w:vAlign w:val="center"/>
          </w:tcPr>
          <w:p w14:paraId="05EAFB5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13.69</w:t>
            </w:r>
          </w:p>
        </w:tc>
        <w:tc>
          <w:tcPr>
            <w:tcW w:w="525" w:type="dxa"/>
            <w:noWrap w:val="0"/>
            <w:tcMar>
              <w:top w:w="0" w:type="dxa"/>
              <w:left w:w="0" w:type="dxa"/>
              <w:bottom w:w="0" w:type="dxa"/>
              <w:right w:w="0" w:type="dxa"/>
            </w:tcMar>
            <w:vAlign w:val="center"/>
          </w:tcPr>
          <w:p w14:paraId="2BC8BB6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13.48</w:t>
            </w:r>
          </w:p>
        </w:tc>
        <w:tc>
          <w:tcPr>
            <w:tcW w:w="524" w:type="dxa"/>
            <w:noWrap w:val="0"/>
            <w:tcMar>
              <w:top w:w="0" w:type="dxa"/>
              <w:left w:w="0" w:type="dxa"/>
              <w:bottom w:w="0" w:type="dxa"/>
              <w:right w:w="0" w:type="dxa"/>
            </w:tcMar>
            <w:vAlign w:val="center"/>
          </w:tcPr>
          <w:p w14:paraId="5DFA017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13.02</w:t>
            </w:r>
          </w:p>
        </w:tc>
        <w:tc>
          <w:tcPr>
            <w:tcW w:w="524" w:type="dxa"/>
            <w:noWrap w:val="0"/>
            <w:tcMar>
              <w:top w:w="0" w:type="dxa"/>
              <w:left w:w="0" w:type="dxa"/>
              <w:bottom w:w="0" w:type="dxa"/>
              <w:right w:w="0" w:type="dxa"/>
            </w:tcMar>
            <w:vAlign w:val="center"/>
          </w:tcPr>
          <w:p w14:paraId="239E7C1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12.18</w:t>
            </w:r>
          </w:p>
        </w:tc>
        <w:tc>
          <w:tcPr>
            <w:tcW w:w="549" w:type="dxa"/>
            <w:vMerge w:val="restart"/>
            <w:noWrap w:val="0"/>
            <w:tcMar>
              <w:top w:w="0" w:type="dxa"/>
              <w:left w:w="0" w:type="dxa"/>
              <w:bottom w:w="0" w:type="dxa"/>
              <w:right w:w="0" w:type="dxa"/>
            </w:tcMar>
            <w:vAlign w:val="center"/>
          </w:tcPr>
          <w:p w14:paraId="5132200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14.03</w:t>
            </w:r>
          </w:p>
        </w:tc>
        <w:tc>
          <w:tcPr>
            <w:tcW w:w="548" w:type="dxa"/>
            <w:vMerge w:val="restart"/>
            <w:noWrap w:val="0"/>
            <w:tcMar>
              <w:top w:w="0" w:type="dxa"/>
              <w:left w:w="0" w:type="dxa"/>
              <w:bottom w:w="0" w:type="dxa"/>
              <w:right w:w="0" w:type="dxa"/>
            </w:tcMar>
            <w:vAlign w:val="center"/>
          </w:tcPr>
          <w:p w14:paraId="15125366">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11.68</w:t>
            </w:r>
          </w:p>
        </w:tc>
        <w:tc>
          <w:tcPr>
            <w:tcW w:w="540" w:type="dxa"/>
            <w:vMerge w:val="restart"/>
            <w:noWrap w:val="0"/>
            <w:tcMar>
              <w:top w:w="0" w:type="dxa"/>
              <w:left w:w="0" w:type="dxa"/>
              <w:bottom w:w="0" w:type="dxa"/>
              <w:right w:w="0" w:type="dxa"/>
            </w:tcMar>
            <w:vAlign w:val="center"/>
          </w:tcPr>
          <w:p w14:paraId="5740F0B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2.35</w:t>
            </w:r>
          </w:p>
        </w:tc>
      </w:tr>
      <w:tr w14:paraId="3B7F8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99" w:type="dxa"/>
            <w:noWrap w:val="0"/>
            <w:tcMar>
              <w:top w:w="0" w:type="dxa"/>
              <w:left w:w="0" w:type="dxa"/>
              <w:bottom w:w="0" w:type="dxa"/>
              <w:right w:w="0" w:type="dxa"/>
            </w:tcMar>
            <w:vAlign w:val="center"/>
          </w:tcPr>
          <w:p w14:paraId="32365026">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月变幅（m）</w:t>
            </w:r>
          </w:p>
        </w:tc>
        <w:tc>
          <w:tcPr>
            <w:tcW w:w="524" w:type="dxa"/>
            <w:noWrap w:val="0"/>
            <w:tcMar>
              <w:top w:w="0" w:type="dxa"/>
              <w:left w:w="0" w:type="dxa"/>
              <w:bottom w:w="0" w:type="dxa"/>
              <w:right w:w="0" w:type="dxa"/>
            </w:tcMar>
            <w:vAlign w:val="center"/>
          </w:tcPr>
          <w:p w14:paraId="5A17E6C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0.27</w:t>
            </w:r>
          </w:p>
        </w:tc>
        <w:tc>
          <w:tcPr>
            <w:tcW w:w="525" w:type="dxa"/>
            <w:noWrap w:val="0"/>
            <w:tcMar>
              <w:top w:w="0" w:type="dxa"/>
              <w:left w:w="0" w:type="dxa"/>
              <w:bottom w:w="0" w:type="dxa"/>
              <w:right w:w="0" w:type="dxa"/>
            </w:tcMar>
            <w:vAlign w:val="center"/>
          </w:tcPr>
          <w:p w14:paraId="4A47540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0.55</w:t>
            </w:r>
          </w:p>
        </w:tc>
        <w:tc>
          <w:tcPr>
            <w:tcW w:w="524" w:type="dxa"/>
            <w:noWrap w:val="0"/>
            <w:tcMar>
              <w:top w:w="0" w:type="dxa"/>
              <w:left w:w="0" w:type="dxa"/>
              <w:bottom w:w="0" w:type="dxa"/>
              <w:right w:w="0" w:type="dxa"/>
            </w:tcMar>
            <w:vAlign w:val="center"/>
          </w:tcPr>
          <w:p w14:paraId="2E4FBE3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0.33</w:t>
            </w:r>
          </w:p>
        </w:tc>
        <w:tc>
          <w:tcPr>
            <w:tcW w:w="524" w:type="dxa"/>
            <w:noWrap w:val="0"/>
            <w:tcMar>
              <w:top w:w="0" w:type="dxa"/>
              <w:left w:w="0" w:type="dxa"/>
              <w:bottom w:w="0" w:type="dxa"/>
              <w:right w:w="0" w:type="dxa"/>
            </w:tcMar>
            <w:vAlign w:val="center"/>
          </w:tcPr>
          <w:p w14:paraId="6FD9503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0.59</w:t>
            </w:r>
          </w:p>
        </w:tc>
        <w:tc>
          <w:tcPr>
            <w:tcW w:w="524" w:type="dxa"/>
            <w:noWrap w:val="0"/>
            <w:tcMar>
              <w:top w:w="0" w:type="dxa"/>
              <w:left w:w="0" w:type="dxa"/>
              <w:bottom w:w="0" w:type="dxa"/>
              <w:right w:w="0" w:type="dxa"/>
            </w:tcMar>
            <w:vAlign w:val="center"/>
          </w:tcPr>
          <w:p w14:paraId="5E2BD1A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0.78</w:t>
            </w:r>
          </w:p>
        </w:tc>
        <w:tc>
          <w:tcPr>
            <w:tcW w:w="525" w:type="dxa"/>
            <w:noWrap w:val="0"/>
            <w:tcMar>
              <w:top w:w="0" w:type="dxa"/>
              <w:left w:w="0" w:type="dxa"/>
              <w:bottom w:w="0" w:type="dxa"/>
              <w:right w:w="0" w:type="dxa"/>
            </w:tcMar>
            <w:vAlign w:val="center"/>
          </w:tcPr>
          <w:p w14:paraId="660CF9E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0.53</w:t>
            </w:r>
          </w:p>
        </w:tc>
        <w:tc>
          <w:tcPr>
            <w:tcW w:w="524" w:type="dxa"/>
            <w:noWrap w:val="0"/>
            <w:tcMar>
              <w:top w:w="0" w:type="dxa"/>
              <w:left w:w="0" w:type="dxa"/>
              <w:bottom w:w="0" w:type="dxa"/>
              <w:right w:w="0" w:type="dxa"/>
            </w:tcMar>
            <w:vAlign w:val="center"/>
          </w:tcPr>
          <w:p w14:paraId="685DEF8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0.49</w:t>
            </w:r>
          </w:p>
        </w:tc>
        <w:tc>
          <w:tcPr>
            <w:tcW w:w="524" w:type="dxa"/>
            <w:noWrap w:val="0"/>
            <w:tcMar>
              <w:top w:w="0" w:type="dxa"/>
              <w:left w:w="0" w:type="dxa"/>
              <w:bottom w:w="0" w:type="dxa"/>
              <w:right w:w="0" w:type="dxa"/>
            </w:tcMar>
            <w:vAlign w:val="center"/>
          </w:tcPr>
          <w:p w14:paraId="495AF63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0.42</w:t>
            </w:r>
          </w:p>
        </w:tc>
        <w:tc>
          <w:tcPr>
            <w:tcW w:w="524" w:type="dxa"/>
            <w:noWrap w:val="0"/>
            <w:tcMar>
              <w:top w:w="0" w:type="dxa"/>
              <w:left w:w="0" w:type="dxa"/>
              <w:bottom w:w="0" w:type="dxa"/>
              <w:right w:w="0" w:type="dxa"/>
            </w:tcMar>
            <w:vAlign w:val="center"/>
          </w:tcPr>
          <w:p w14:paraId="7C1B67B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1.58</w:t>
            </w:r>
          </w:p>
        </w:tc>
        <w:tc>
          <w:tcPr>
            <w:tcW w:w="525" w:type="dxa"/>
            <w:noWrap w:val="0"/>
            <w:tcMar>
              <w:top w:w="0" w:type="dxa"/>
              <w:left w:w="0" w:type="dxa"/>
              <w:bottom w:w="0" w:type="dxa"/>
              <w:right w:w="0" w:type="dxa"/>
            </w:tcMar>
            <w:vAlign w:val="center"/>
          </w:tcPr>
          <w:p w14:paraId="2E21B266">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0.94</w:t>
            </w:r>
          </w:p>
        </w:tc>
        <w:tc>
          <w:tcPr>
            <w:tcW w:w="524" w:type="dxa"/>
            <w:noWrap w:val="0"/>
            <w:tcMar>
              <w:top w:w="0" w:type="dxa"/>
              <w:left w:w="0" w:type="dxa"/>
              <w:bottom w:w="0" w:type="dxa"/>
              <w:right w:w="0" w:type="dxa"/>
            </w:tcMar>
            <w:vAlign w:val="center"/>
          </w:tcPr>
          <w:p w14:paraId="11C80A7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0.21</w:t>
            </w:r>
          </w:p>
        </w:tc>
        <w:tc>
          <w:tcPr>
            <w:tcW w:w="524" w:type="dxa"/>
            <w:noWrap w:val="0"/>
            <w:tcMar>
              <w:top w:w="0" w:type="dxa"/>
              <w:left w:w="0" w:type="dxa"/>
              <w:bottom w:w="0" w:type="dxa"/>
              <w:right w:w="0" w:type="dxa"/>
            </w:tcMar>
            <w:vAlign w:val="center"/>
          </w:tcPr>
          <w:p w14:paraId="12699A2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1.07</w:t>
            </w:r>
          </w:p>
        </w:tc>
        <w:tc>
          <w:tcPr>
            <w:tcW w:w="549" w:type="dxa"/>
            <w:vMerge w:val="continue"/>
            <w:noWrap w:val="0"/>
            <w:tcMar>
              <w:top w:w="0" w:type="dxa"/>
              <w:left w:w="0" w:type="dxa"/>
              <w:bottom w:w="0" w:type="dxa"/>
              <w:right w:w="0" w:type="dxa"/>
            </w:tcMar>
            <w:vAlign w:val="center"/>
          </w:tcPr>
          <w:p w14:paraId="29F2FF0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p>
        </w:tc>
        <w:tc>
          <w:tcPr>
            <w:tcW w:w="548" w:type="dxa"/>
            <w:vMerge w:val="continue"/>
            <w:noWrap w:val="0"/>
            <w:tcMar>
              <w:top w:w="0" w:type="dxa"/>
              <w:left w:w="0" w:type="dxa"/>
              <w:bottom w:w="0" w:type="dxa"/>
              <w:right w:w="0" w:type="dxa"/>
            </w:tcMar>
            <w:vAlign w:val="center"/>
          </w:tcPr>
          <w:p w14:paraId="5999323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p>
        </w:tc>
        <w:tc>
          <w:tcPr>
            <w:tcW w:w="540" w:type="dxa"/>
            <w:vMerge w:val="continue"/>
            <w:noWrap w:val="0"/>
            <w:tcMar>
              <w:top w:w="0" w:type="dxa"/>
              <w:left w:w="0" w:type="dxa"/>
              <w:bottom w:w="0" w:type="dxa"/>
              <w:right w:w="0" w:type="dxa"/>
            </w:tcMar>
            <w:vAlign w:val="center"/>
          </w:tcPr>
          <w:p w14:paraId="61114FD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p>
        </w:tc>
      </w:tr>
    </w:tbl>
    <w:p w14:paraId="27E97DDA">
      <w:pPr>
        <w:adjustRightInd/>
        <w:snapToGrid/>
        <w:ind w:firstLine="0" w:firstLineChars="0"/>
        <w:jc w:val="center"/>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drawing>
          <wp:inline distT="0" distB="0" distL="114300" distR="114300">
            <wp:extent cx="4774565" cy="2160270"/>
            <wp:effectExtent l="0" t="0" r="6985" b="11430"/>
            <wp:docPr id="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
                    <pic:cNvPicPr>
                      <a:picLocks noChangeAspect="1"/>
                    </pic:cNvPicPr>
                  </pic:nvPicPr>
                  <pic:blipFill>
                    <a:blip r:embed="rId75">
                      <a:lum bright="-19998" contrast="40000"/>
                    </a:blip>
                    <a:srcRect t="8942"/>
                    <a:stretch>
                      <a:fillRect/>
                    </a:stretch>
                  </pic:blipFill>
                  <pic:spPr>
                    <a:xfrm>
                      <a:off x="0" y="0"/>
                      <a:ext cx="4774565" cy="2160270"/>
                    </a:xfrm>
                    <a:prstGeom prst="rect">
                      <a:avLst/>
                    </a:prstGeom>
                    <a:noFill/>
                    <a:ln>
                      <a:noFill/>
                    </a:ln>
                  </pic:spPr>
                </pic:pic>
              </a:graphicData>
            </a:graphic>
          </wp:inline>
        </w:drawing>
      </w:r>
    </w:p>
    <w:p w14:paraId="5F1BC220">
      <w:pPr>
        <w:tabs>
          <w:tab w:val="left" w:pos="6105"/>
        </w:tabs>
        <w:jc w:val="center"/>
        <w:outlineLvl w:val="3"/>
        <w:rPr>
          <w:rFonts w:hint="default" w:ascii="Times New Roman" w:hAnsi="Times New Roman" w:eastAsia="黑体" w:cs="Times New Roman"/>
          <w:b/>
          <w:color w:val="auto"/>
          <w:highlight w:val="none"/>
          <w:lang w:val="zh-CN" w:eastAsia="zh-CN"/>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24</w:t>
      </w:r>
      <w:r>
        <w:rPr>
          <w:rFonts w:hint="default" w:ascii="Times New Roman" w:hAnsi="Times New Roman" w:eastAsia="黑体" w:cs="Times New Roman"/>
          <w:b/>
          <w:color w:val="auto"/>
          <w:highlight w:val="none"/>
          <w:lang w:val="zh-CN" w:eastAsia="zh-CN"/>
        </w:rPr>
        <w:t xml:space="preserve">  规划区浅层地下水动态曲线图</w:t>
      </w:r>
    </w:p>
    <w:p w14:paraId="6418D0BC">
      <w:pPr>
        <w:adjustRightInd/>
        <w:snapToGrid/>
        <w:spacing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2）、中深层孔隙水</w:t>
      </w:r>
    </w:p>
    <w:p w14:paraId="689A4722">
      <w:pPr>
        <w:adjustRightInd/>
        <w:snapToGrid/>
        <w:spacing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中深层孔隙水主要接受侧向径流补给及浅层孔隙水的越流补给；受开采影响，径流方向发生改变，四周水流向水源地开采中心汇集，水力坡度在4/10000~5/10000之间；侧向径流排泄和开采排泄是其主要的排泄方式。</w:t>
      </w:r>
    </w:p>
    <w:p w14:paraId="37CBBC74">
      <w:pPr>
        <w:adjustRightInd/>
        <w:snapToGrid/>
        <w:spacing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中深层孔隙水的动态特征与浅层孔隙水相似，水位年变幅较小，一般在1.5m左右。受区域地下水和城区、矿区开采的影响，中深层孔隙水地下水水位呈逐年下降趋势。</w:t>
      </w:r>
    </w:p>
    <w:p w14:paraId="331A688A">
      <w:pPr>
        <w:adjustRightInd/>
        <w:snapToGrid/>
        <w:spacing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3）、深层孔隙水</w:t>
      </w:r>
    </w:p>
    <w:p w14:paraId="7825520F">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深层孔隙水的主要补给来源是侧向径流补给和中深层孔隙水的越流补给；其径流方向总体由西北向东南径流，水力坡度约为1/20000，地下水径流缓慢；深层孔隙水排泄主要为侧向径流排泄及受煤矿开采疏干排水向下部碎屑岩类孔隙裂隙水越流排泄。</w:t>
      </w:r>
    </w:p>
    <w:p w14:paraId="5FB6E48C">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G、</w:t>
      </w:r>
      <w:r>
        <w:rPr>
          <w:rFonts w:hint="default" w:ascii="Times New Roman" w:hAnsi="Times New Roman" w:eastAsia="宋体" w:cs="Times New Roman"/>
          <w:color w:val="auto"/>
          <w:sz w:val="24"/>
          <w:szCs w:val="24"/>
          <w:highlight w:val="none"/>
          <w:lang w:val="en-GB" w:eastAsia="zh-CN"/>
        </w:rPr>
        <w:t>地下水开发利用现状</w:t>
      </w:r>
    </w:p>
    <w:p w14:paraId="0CE68FA9">
      <w:pPr>
        <w:adjustRightInd/>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调查区不是集中式饮用水源地保护区或准保护区，也不是矿泉水、温泉等是特殊地下水资源保护区及准保护区。</w:t>
      </w:r>
    </w:p>
    <w:p w14:paraId="79CAD93C">
      <w:pPr>
        <w:adjustRightInd/>
        <w:snapToGrid/>
        <w:spacing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区域内农业灌溉主要利用地表水，不开采地下水；城区、矿区生产、生活和农村人畜用水主要集中或相对集中开采中深层孔隙水。一般井深100－120m，井径一般305—325mm，钢管结构，年开采量约为1533万m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。本区地下水年可开采资源量6316.4万m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，年地下水实际开采量为2624.8万m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，约占开采资源量的42%，地下水开采潜力较大。</w:t>
      </w:r>
    </w:p>
    <w:p w14:paraId="3F1C5DA7">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lang w:val="en-GB" w:eastAsia="zh-CN"/>
        </w:rPr>
        <w:t>包气带的防污性能</w:t>
      </w:r>
    </w:p>
    <w:p w14:paraId="15A0C43A">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包气带主要为第四系全新统颍上组（Q3）黏土及粉质黏土，分布于规划区大部分地区，厚度7~39m，约占规划区面积的94%，粉质黏土层的基本特征和物理力学指标进行分析。</w:t>
      </w:r>
    </w:p>
    <w:p w14:paraId="595C49E7">
      <w:pPr>
        <w:tabs>
          <w:tab w:val="left" w:pos="6105"/>
        </w:tabs>
        <w:jc w:val="center"/>
        <w:outlineLvl w:val="3"/>
        <w:rPr>
          <w:rFonts w:hint="default" w:ascii="Times New Roman" w:hAnsi="Times New Roman" w:eastAsia="黑体" w:cs="Times New Roman"/>
          <w:b/>
          <w:color w:val="auto"/>
          <w:highlight w:val="none"/>
          <w:lang w:val="zh-CN" w:eastAsia="zh-CN"/>
        </w:rPr>
      </w:pPr>
      <w:r>
        <w:rPr>
          <w:rFonts w:hint="eastAsia"/>
          <w:b/>
          <w:bCs/>
          <w:color w:val="auto"/>
          <w:szCs w:val="21"/>
        </w:rPr>
        <w:t>表7.9-</w:t>
      </w:r>
      <w:r>
        <w:rPr>
          <w:rFonts w:hint="eastAsia"/>
          <w:b/>
          <w:bCs/>
          <w:color w:val="auto"/>
          <w:szCs w:val="21"/>
          <w:lang w:val="en-US" w:eastAsia="zh-CN"/>
        </w:rPr>
        <w:t>21</w:t>
      </w:r>
      <w:r>
        <w:rPr>
          <w:rFonts w:hint="default" w:ascii="Times New Roman" w:hAnsi="Times New Roman" w:eastAsia="黑体" w:cs="Times New Roman"/>
          <w:b/>
          <w:color w:val="auto"/>
          <w:highlight w:val="none"/>
          <w:lang w:val="zh-CN" w:eastAsia="zh-CN"/>
        </w:rPr>
        <w:t xml:space="preserve">  粉质黏土的基本特征表</w:t>
      </w:r>
    </w:p>
    <w:tbl>
      <w:tblPr>
        <w:tblStyle w:val="32"/>
        <w:tblW w:w="90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6"/>
        <w:gridCol w:w="508"/>
        <w:gridCol w:w="507"/>
        <w:gridCol w:w="508"/>
        <w:gridCol w:w="508"/>
        <w:gridCol w:w="508"/>
        <w:gridCol w:w="507"/>
        <w:gridCol w:w="508"/>
        <w:gridCol w:w="508"/>
        <w:gridCol w:w="508"/>
        <w:gridCol w:w="508"/>
        <w:gridCol w:w="507"/>
        <w:gridCol w:w="507"/>
        <w:gridCol w:w="509"/>
        <w:gridCol w:w="508"/>
        <w:gridCol w:w="502"/>
        <w:gridCol w:w="500"/>
      </w:tblGrid>
      <w:tr w14:paraId="7CACA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6" w:type="dxa"/>
            <w:vMerge w:val="restart"/>
            <w:noWrap w:val="0"/>
            <w:vAlign w:val="center"/>
          </w:tcPr>
          <w:p w14:paraId="10ED3D8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资料</w:t>
            </w:r>
          </w:p>
          <w:p w14:paraId="1946DE2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来源</w:t>
            </w:r>
          </w:p>
        </w:tc>
        <w:tc>
          <w:tcPr>
            <w:tcW w:w="2031" w:type="dxa"/>
            <w:gridSpan w:val="4"/>
            <w:noWrap w:val="0"/>
            <w:vAlign w:val="center"/>
          </w:tcPr>
          <w:p w14:paraId="326175B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厚 度（m）</w:t>
            </w:r>
          </w:p>
        </w:tc>
        <w:tc>
          <w:tcPr>
            <w:tcW w:w="2031" w:type="dxa"/>
            <w:gridSpan w:val="4"/>
            <w:noWrap w:val="0"/>
            <w:vAlign w:val="center"/>
          </w:tcPr>
          <w:p w14:paraId="1D214B7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层底埋深（m）</w:t>
            </w:r>
          </w:p>
        </w:tc>
        <w:tc>
          <w:tcPr>
            <w:tcW w:w="2030" w:type="dxa"/>
            <w:gridSpan w:val="4"/>
            <w:noWrap w:val="0"/>
            <w:vAlign w:val="center"/>
          </w:tcPr>
          <w:p w14:paraId="78797CC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水平渗透系数K</w:t>
            </w:r>
            <w:r>
              <w:rPr>
                <w:rFonts w:hint="default" w:ascii="Times New Roman" w:hAnsi="Times New Roman" w:eastAsia="宋体" w:cs="Times New Roman"/>
                <w:b/>
                <w:bCs/>
                <w:color w:val="auto"/>
                <w:sz w:val="21"/>
                <w:szCs w:val="21"/>
                <w:highlight w:val="none"/>
                <w:vertAlign w:val="subscript"/>
              </w:rPr>
              <w:t>h</w:t>
            </w:r>
          </w:p>
          <w:p w14:paraId="0BDDF5C1">
            <w:pPr>
              <w:keepNext w:val="0"/>
              <w:keepLines w:val="0"/>
              <w:suppressLineNumbers w:val="0"/>
              <w:adjustRightInd/>
              <w:snapToGrid/>
              <w:spacing w:before="0" w:beforeAutospacing="0" w:after="0" w:afterAutospacing="0" w:line="240" w:lineRule="auto"/>
              <w:ind w:left="0" w:right="0" w:firstLine="42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（×10</w:t>
            </w:r>
            <w:r>
              <w:rPr>
                <w:rFonts w:hint="default" w:ascii="Times New Roman" w:hAnsi="Times New Roman" w:eastAsia="宋体" w:cs="Times New Roman"/>
                <w:b/>
                <w:bCs/>
                <w:color w:val="auto"/>
                <w:sz w:val="21"/>
                <w:szCs w:val="21"/>
                <w:highlight w:val="none"/>
                <w:vertAlign w:val="superscript"/>
              </w:rPr>
              <w:t>-6</w:t>
            </w:r>
            <w:r>
              <w:rPr>
                <w:rFonts w:hint="default" w:ascii="Times New Roman" w:hAnsi="Times New Roman" w:eastAsia="宋体" w:cs="Times New Roman"/>
                <w:b/>
                <w:bCs/>
                <w:color w:val="auto"/>
                <w:sz w:val="21"/>
                <w:szCs w:val="21"/>
                <w:highlight w:val="none"/>
              </w:rPr>
              <w:t>cm/s）</w:t>
            </w:r>
          </w:p>
        </w:tc>
        <w:tc>
          <w:tcPr>
            <w:tcW w:w="2019" w:type="dxa"/>
            <w:gridSpan w:val="4"/>
            <w:noWrap w:val="0"/>
            <w:vAlign w:val="center"/>
          </w:tcPr>
          <w:p w14:paraId="2F4F75E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垂直渗透系数K</w:t>
            </w:r>
            <w:r>
              <w:rPr>
                <w:rFonts w:hint="default" w:ascii="Times New Roman" w:hAnsi="Times New Roman" w:eastAsia="宋体" w:cs="Times New Roman"/>
                <w:b/>
                <w:bCs/>
                <w:color w:val="auto"/>
                <w:sz w:val="21"/>
                <w:szCs w:val="21"/>
                <w:highlight w:val="none"/>
                <w:vertAlign w:val="subscript"/>
              </w:rPr>
              <w:t>v</w:t>
            </w:r>
          </w:p>
          <w:p w14:paraId="1A64BB9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（×10</w:t>
            </w:r>
            <w:r>
              <w:rPr>
                <w:rFonts w:hint="default" w:ascii="Times New Roman" w:hAnsi="Times New Roman" w:eastAsia="宋体" w:cs="Times New Roman"/>
                <w:b/>
                <w:bCs/>
                <w:color w:val="auto"/>
                <w:sz w:val="21"/>
                <w:szCs w:val="21"/>
                <w:highlight w:val="none"/>
                <w:vertAlign w:val="superscript"/>
              </w:rPr>
              <w:t>-6</w:t>
            </w:r>
            <w:r>
              <w:rPr>
                <w:rFonts w:hint="default" w:ascii="Times New Roman" w:hAnsi="Times New Roman" w:eastAsia="宋体" w:cs="Times New Roman"/>
                <w:b/>
                <w:bCs/>
                <w:color w:val="auto"/>
                <w:sz w:val="21"/>
                <w:szCs w:val="21"/>
                <w:highlight w:val="none"/>
              </w:rPr>
              <w:t>cm/s）</w:t>
            </w:r>
          </w:p>
        </w:tc>
      </w:tr>
      <w:tr w14:paraId="30DD4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4" w:hRule="atLeast"/>
          <w:jc w:val="center"/>
        </w:trPr>
        <w:tc>
          <w:tcPr>
            <w:tcW w:w="916" w:type="dxa"/>
            <w:vMerge w:val="continue"/>
            <w:noWrap w:val="0"/>
            <w:vAlign w:val="center"/>
          </w:tcPr>
          <w:p w14:paraId="2655C24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p>
        </w:tc>
        <w:tc>
          <w:tcPr>
            <w:tcW w:w="508" w:type="dxa"/>
            <w:noWrap w:val="0"/>
            <w:vAlign w:val="center"/>
          </w:tcPr>
          <w:p w14:paraId="0C0C100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统计个数</w:t>
            </w:r>
          </w:p>
        </w:tc>
        <w:tc>
          <w:tcPr>
            <w:tcW w:w="507" w:type="dxa"/>
            <w:noWrap w:val="0"/>
            <w:vAlign w:val="center"/>
          </w:tcPr>
          <w:p w14:paraId="7A39560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w:t>
            </w:r>
          </w:p>
        </w:tc>
        <w:tc>
          <w:tcPr>
            <w:tcW w:w="508" w:type="dxa"/>
            <w:noWrap w:val="0"/>
            <w:vAlign w:val="center"/>
          </w:tcPr>
          <w:p w14:paraId="1D00602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最小</w:t>
            </w:r>
          </w:p>
        </w:tc>
        <w:tc>
          <w:tcPr>
            <w:tcW w:w="508" w:type="dxa"/>
            <w:noWrap w:val="0"/>
            <w:vAlign w:val="center"/>
          </w:tcPr>
          <w:p w14:paraId="765DC55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平均</w:t>
            </w:r>
          </w:p>
        </w:tc>
        <w:tc>
          <w:tcPr>
            <w:tcW w:w="508" w:type="dxa"/>
            <w:noWrap w:val="0"/>
            <w:vAlign w:val="center"/>
          </w:tcPr>
          <w:p w14:paraId="63D1C85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统计个数</w:t>
            </w:r>
          </w:p>
        </w:tc>
        <w:tc>
          <w:tcPr>
            <w:tcW w:w="507" w:type="dxa"/>
            <w:noWrap w:val="0"/>
            <w:vAlign w:val="center"/>
          </w:tcPr>
          <w:p w14:paraId="53F6CC5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w:t>
            </w:r>
          </w:p>
        </w:tc>
        <w:tc>
          <w:tcPr>
            <w:tcW w:w="508" w:type="dxa"/>
            <w:noWrap w:val="0"/>
            <w:vAlign w:val="center"/>
          </w:tcPr>
          <w:p w14:paraId="4A5BCD8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最小</w:t>
            </w:r>
          </w:p>
        </w:tc>
        <w:tc>
          <w:tcPr>
            <w:tcW w:w="508" w:type="dxa"/>
            <w:noWrap w:val="0"/>
            <w:vAlign w:val="center"/>
          </w:tcPr>
          <w:p w14:paraId="2C30EC7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平均</w:t>
            </w:r>
          </w:p>
        </w:tc>
        <w:tc>
          <w:tcPr>
            <w:tcW w:w="508" w:type="dxa"/>
            <w:noWrap w:val="0"/>
            <w:vAlign w:val="center"/>
          </w:tcPr>
          <w:p w14:paraId="351C2991">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统计个数</w:t>
            </w:r>
          </w:p>
        </w:tc>
        <w:tc>
          <w:tcPr>
            <w:tcW w:w="508" w:type="dxa"/>
            <w:noWrap w:val="0"/>
            <w:vAlign w:val="center"/>
          </w:tcPr>
          <w:p w14:paraId="4B74AC8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w:t>
            </w:r>
          </w:p>
        </w:tc>
        <w:tc>
          <w:tcPr>
            <w:tcW w:w="507" w:type="dxa"/>
            <w:noWrap w:val="0"/>
            <w:vAlign w:val="center"/>
          </w:tcPr>
          <w:p w14:paraId="656F103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最小</w:t>
            </w:r>
          </w:p>
        </w:tc>
        <w:tc>
          <w:tcPr>
            <w:tcW w:w="507" w:type="dxa"/>
            <w:noWrap w:val="0"/>
            <w:vAlign w:val="center"/>
          </w:tcPr>
          <w:p w14:paraId="0B38C6C6">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平均</w:t>
            </w:r>
          </w:p>
        </w:tc>
        <w:tc>
          <w:tcPr>
            <w:tcW w:w="509" w:type="dxa"/>
            <w:noWrap w:val="0"/>
            <w:vAlign w:val="center"/>
          </w:tcPr>
          <w:p w14:paraId="09A962C5">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统计个数</w:t>
            </w:r>
          </w:p>
        </w:tc>
        <w:tc>
          <w:tcPr>
            <w:tcW w:w="508" w:type="dxa"/>
            <w:noWrap w:val="0"/>
            <w:vAlign w:val="center"/>
          </w:tcPr>
          <w:p w14:paraId="7812F14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w:t>
            </w:r>
          </w:p>
        </w:tc>
        <w:tc>
          <w:tcPr>
            <w:tcW w:w="502" w:type="dxa"/>
            <w:noWrap w:val="0"/>
            <w:vAlign w:val="center"/>
          </w:tcPr>
          <w:p w14:paraId="5DD4B68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最小</w:t>
            </w:r>
          </w:p>
        </w:tc>
        <w:tc>
          <w:tcPr>
            <w:tcW w:w="500" w:type="dxa"/>
            <w:noWrap w:val="0"/>
            <w:vAlign w:val="center"/>
          </w:tcPr>
          <w:p w14:paraId="4C57B65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平均</w:t>
            </w:r>
          </w:p>
        </w:tc>
      </w:tr>
      <w:tr w14:paraId="56B36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6" w:type="dxa"/>
            <w:noWrap w:val="0"/>
            <w:vAlign w:val="center"/>
          </w:tcPr>
          <w:p w14:paraId="1BFD77E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主厂房勘察</w:t>
            </w:r>
          </w:p>
        </w:tc>
        <w:tc>
          <w:tcPr>
            <w:tcW w:w="508" w:type="dxa"/>
            <w:noWrap w:val="0"/>
            <w:vAlign w:val="center"/>
          </w:tcPr>
          <w:p w14:paraId="4E45E26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w:t>
            </w:r>
          </w:p>
        </w:tc>
        <w:tc>
          <w:tcPr>
            <w:tcW w:w="507" w:type="dxa"/>
            <w:noWrap w:val="0"/>
            <w:vAlign w:val="center"/>
          </w:tcPr>
          <w:p w14:paraId="1E1A8AA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c>
          <w:tcPr>
            <w:tcW w:w="508" w:type="dxa"/>
            <w:noWrap w:val="0"/>
            <w:vAlign w:val="center"/>
          </w:tcPr>
          <w:p w14:paraId="7660DFA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w:t>
            </w:r>
          </w:p>
        </w:tc>
        <w:tc>
          <w:tcPr>
            <w:tcW w:w="508" w:type="dxa"/>
            <w:noWrap w:val="0"/>
            <w:vAlign w:val="center"/>
          </w:tcPr>
          <w:p w14:paraId="38F97CB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5.99</w:t>
            </w:r>
          </w:p>
        </w:tc>
        <w:tc>
          <w:tcPr>
            <w:tcW w:w="508" w:type="dxa"/>
            <w:noWrap w:val="0"/>
            <w:vAlign w:val="center"/>
          </w:tcPr>
          <w:p w14:paraId="0788CB4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w:t>
            </w:r>
          </w:p>
        </w:tc>
        <w:tc>
          <w:tcPr>
            <w:tcW w:w="507" w:type="dxa"/>
            <w:noWrap w:val="0"/>
            <w:vAlign w:val="center"/>
          </w:tcPr>
          <w:p w14:paraId="7313311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3.80</w:t>
            </w:r>
          </w:p>
        </w:tc>
        <w:tc>
          <w:tcPr>
            <w:tcW w:w="508" w:type="dxa"/>
            <w:noWrap w:val="0"/>
            <w:vAlign w:val="center"/>
          </w:tcPr>
          <w:p w14:paraId="7104C13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508" w:type="dxa"/>
            <w:noWrap w:val="0"/>
            <w:vAlign w:val="center"/>
          </w:tcPr>
          <w:p w14:paraId="7B88B5D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2.25</w:t>
            </w:r>
          </w:p>
        </w:tc>
        <w:tc>
          <w:tcPr>
            <w:tcW w:w="508" w:type="dxa"/>
            <w:noWrap w:val="0"/>
            <w:vAlign w:val="center"/>
          </w:tcPr>
          <w:p w14:paraId="4EE36EAD">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508" w:type="dxa"/>
            <w:noWrap w:val="0"/>
            <w:vAlign w:val="center"/>
          </w:tcPr>
          <w:p w14:paraId="532C826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507" w:type="dxa"/>
            <w:noWrap w:val="0"/>
            <w:vAlign w:val="center"/>
          </w:tcPr>
          <w:p w14:paraId="62F436C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07" w:type="dxa"/>
            <w:noWrap w:val="0"/>
            <w:vAlign w:val="center"/>
          </w:tcPr>
          <w:p w14:paraId="7057E31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509" w:type="dxa"/>
            <w:noWrap w:val="0"/>
            <w:vAlign w:val="center"/>
          </w:tcPr>
          <w:p w14:paraId="5A9B836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508" w:type="dxa"/>
            <w:noWrap w:val="0"/>
            <w:vAlign w:val="center"/>
          </w:tcPr>
          <w:p w14:paraId="79872D5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9.5</w:t>
            </w:r>
          </w:p>
        </w:tc>
        <w:tc>
          <w:tcPr>
            <w:tcW w:w="502" w:type="dxa"/>
            <w:noWrap w:val="0"/>
            <w:vAlign w:val="center"/>
          </w:tcPr>
          <w:p w14:paraId="313ECDD7">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00" w:type="dxa"/>
            <w:noWrap w:val="0"/>
            <w:vAlign w:val="center"/>
          </w:tcPr>
          <w:p w14:paraId="4D4F8A0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w:t>
            </w:r>
          </w:p>
        </w:tc>
      </w:tr>
      <w:tr w14:paraId="11066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6" w:type="dxa"/>
            <w:noWrap w:val="0"/>
            <w:vAlign w:val="center"/>
          </w:tcPr>
          <w:p w14:paraId="10DBEBD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辅助物勘察</w:t>
            </w:r>
          </w:p>
        </w:tc>
        <w:tc>
          <w:tcPr>
            <w:tcW w:w="508" w:type="dxa"/>
            <w:noWrap w:val="0"/>
            <w:vAlign w:val="center"/>
          </w:tcPr>
          <w:p w14:paraId="3E92611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507" w:type="dxa"/>
            <w:noWrap w:val="0"/>
            <w:vAlign w:val="center"/>
          </w:tcPr>
          <w:p w14:paraId="124D951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6.7</w:t>
            </w:r>
          </w:p>
        </w:tc>
        <w:tc>
          <w:tcPr>
            <w:tcW w:w="508" w:type="dxa"/>
            <w:noWrap w:val="0"/>
            <w:vAlign w:val="center"/>
          </w:tcPr>
          <w:p w14:paraId="6CBA11A8">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w:t>
            </w:r>
          </w:p>
        </w:tc>
        <w:tc>
          <w:tcPr>
            <w:tcW w:w="508" w:type="dxa"/>
            <w:noWrap w:val="0"/>
            <w:vAlign w:val="center"/>
          </w:tcPr>
          <w:p w14:paraId="76C71566">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6.12</w:t>
            </w:r>
          </w:p>
        </w:tc>
        <w:tc>
          <w:tcPr>
            <w:tcW w:w="508" w:type="dxa"/>
            <w:noWrap w:val="0"/>
            <w:vAlign w:val="center"/>
          </w:tcPr>
          <w:p w14:paraId="39947E03">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507" w:type="dxa"/>
            <w:noWrap w:val="0"/>
            <w:vAlign w:val="center"/>
          </w:tcPr>
          <w:p w14:paraId="5FFD144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2.60</w:t>
            </w:r>
          </w:p>
        </w:tc>
        <w:tc>
          <w:tcPr>
            <w:tcW w:w="508" w:type="dxa"/>
            <w:noWrap w:val="0"/>
            <w:vAlign w:val="center"/>
          </w:tcPr>
          <w:p w14:paraId="4BA857E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1.30</w:t>
            </w:r>
          </w:p>
        </w:tc>
        <w:tc>
          <w:tcPr>
            <w:tcW w:w="508" w:type="dxa"/>
            <w:noWrap w:val="0"/>
            <w:vAlign w:val="center"/>
          </w:tcPr>
          <w:p w14:paraId="67A77CF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1.95</w:t>
            </w:r>
          </w:p>
        </w:tc>
        <w:tc>
          <w:tcPr>
            <w:tcW w:w="508" w:type="dxa"/>
            <w:noWrap w:val="0"/>
            <w:vAlign w:val="center"/>
          </w:tcPr>
          <w:p w14:paraId="76A74FDA">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508" w:type="dxa"/>
            <w:noWrap w:val="0"/>
            <w:vAlign w:val="center"/>
          </w:tcPr>
          <w:p w14:paraId="0FE2E13F">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07" w:type="dxa"/>
            <w:noWrap w:val="0"/>
            <w:vAlign w:val="center"/>
          </w:tcPr>
          <w:p w14:paraId="59AD05E4">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07" w:type="dxa"/>
            <w:noWrap w:val="0"/>
            <w:vAlign w:val="center"/>
          </w:tcPr>
          <w:p w14:paraId="29A777D0">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09" w:type="dxa"/>
            <w:noWrap w:val="0"/>
            <w:vAlign w:val="center"/>
          </w:tcPr>
          <w:p w14:paraId="781B0E92">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508" w:type="dxa"/>
            <w:noWrap w:val="0"/>
            <w:vAlign w:val="center"/>
          </w:tcPr>
          <w:p w14:paraId="67939669">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9.5</w:t>
            </w:r>
          </w:p>
        </w:tc>
        <w:tc>
          <w:tcPr>
            <w:tcW w:w="502" w:type="dxa"/>
            <w:noWrap w:val="0"/>
            <w:vAlign w:val="center"/>
          </w:tcPr>
          <w:p w14:paraId="7763A3BB">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00" w:type="dxa"/>
            <w:noWrap w:val="0"/>
            <w:vAlign w:val="center"/>
          </w:tcPr>
          <w:p w14:paraId="4137D74E">
            <w:pPr>
              <w:keepNext w:val="0"/>
              <w:keepLines w:val="0"/>
              <w:suppressLineNumbers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3.77</w:t>
            </w:r>
          </w:p>
        </w:tc>
      </w:tr>
    </w:tbl>
    <w:p w14:paraId="0E75C539">
      <w:pPr>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w:t>
      </w:r>
      <w:r>
        <w:rPr>
          <w:rFonts w:hint="eastAsia" w:ascii="Times New Roman" w:hAnsi="Times New Roman" w:eastAsia="宋体" w:cs="Times New Roman"/>
          <w:color w:val="auto"/>
          <w:sz w:val="24"/>
          <w:szCs w:val="24"/>
          <w:highlight w:val="none"/>
          <w:lang w:val="en-US" w:eastAsia="zh-CN"/>
        </w:rPr>
        <w:t>上表</w:t>
      </w:r>
      <w:r>
        <w:rPr>
          <w:rFonts w:hint="default" w:ascii="Times New Roman" w:hAnsi="Times New Roman" w:eastAsia="宋体" w:cs="Times New Roman"/>
          <w:color w:val="auto"/>
          <w:sz w:val="24"/>
          <w:szCs w:val="24"/>
          <w:highlight w:val="none"/>
        </w:rPr>
        <w:t>可以看出，粉质黏土层</w:t>
      </w:r>
      <w:r>
        <w:rPr>
          <w:rFonts w:hint="default" w:ascii="Times New Roman" w:hAnsi="Times New Roman" w:eastAsia="宋体" w:cs="Times New Roman"/>
          <w:bCs/>
          <w:color w:val="auto"/>
          <w:sz w:val="24"/>
          <w:szCs w:val="24"/>
          <w:highlight w:val="none"/>
        </w:rPr>
        <w:t>的水平、垂直渗透系数都在</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-6</w:t>
      </w:r>
      <w:r>
        <w:rPr>
          <w:rFonts w:hint="default" w:ascii="Times New Roman" w:hAnsi="Times New Roman" w:eastAsia="宋体" w:cs="Times New Roman"/>
          <w:color w:val="auto"/>
          <w:sz w:val="24"/>
          <w:szCs w:val="24"/>
          <w:highlight w:val="none"/>
        </w:rPr>
        <w:t>cm/s范围内，说明其渗透性能较好，该层平均厚度近6米，且分布连续、稳定，其隔水、防污性能很好，</w:t>
      </w:r>
      <w:r>
        <w:rPr>
          <w:rFonts w:hint="default" w:ascii="Times New Roman" w:hAnsi="Times New Roman" w:eastAsia="宋体" w:cs="Times New Roman"/>
          <w:color w:val="auto"/>
          <w:kern w:val="24"/>
          <w:sz w:val="24"/>
          <w:szCs w:val="24"/>
          <w:highlight w:val="none"/>
        </w:rPr>
        <w:t>其包气带的防污性能分级属于</w:t>
      </w:r>
      <w:r>
        <w:rPr>
          <w:rFonts w:hint="default" w:ascii="Times New Roman" w:hAnsi="Times New Roman" w:eastAsia="宋体" w:cs="Times New Roman"/>
          <w:bCs/>
          <w:color w:val="auto"/>
          <w:kern w:val="24"/>
          <w:sz w:val="24"/>
          <w:szCs w:val="24"/>
          <w:highlight w:val="none"/>
        </w:rPr>
        <w:t>中</w:t>
      </w:r>
      <w:r>
        <w:rPr>
          <w:rFonts w:hint="default" w:ascii="Times New Roman" w:hAnsi="Times New Roman" w:eastAsia="宋体" w:cs="Times New Roman"/>
          <w:color w:val="auto"/>
          <w:kern w:val="24"/>
          <w:sz w:val="24"/>
          <w:szCs w:val="24"/>
          <w:highlight w:val="none"/>
        </w:rPr>
        <w:t>。</w:t>
      </w:r>
    </w:p>
    <w:p w14:paraId="50EA0900">
      <w:pPr>
        <w:spacing w:line="240" w:lineRule="auto"/>
        <w:ind w:firstLine="0" w:firstLineChars="0"/>
        <w:jc w:val="righ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304155" cy="6386195"/>
            <wp:effectExtent l="0" t="0" r="10795" b="14605"/>
            <wp:docPr id="5" name="图片 25" descr="深层水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5" descr="深层水水文地质图"/>
                    <pic:cNvPicPr>
                      <a:picLocks noChangeAspect="1"/>
                    </pic:cNvPicPr>
                  </pic:nvPicPr>
                  <pic:blipFill>
                    <a:blip r:embed="rId76"/>
                    <a:srcRect b="1907"/>
                    <a:stretch>
                      <a:fillRect/>
                    </a:stretch>
                  </pic:blipFill>
                  <pic:spPr>
                    <a:xfrm>
                      <a:off x="0" y="0"/>
                      <a:ext cx="5304155" cy="6386195"/>
                    </a:xfrm>
                    <a:prstGeom prst="rect">
                      <a:avLst/>
                    </a:prstGeom>
                    <a:noFill/>
                    <a:ln>
                      <a:noFill/>
                    </a:ln>
                  </pic:spPr>
                </pic:pic>
              </a:graphicData>
            </a:graphic>
          </wp:inline>
        </w:drawing>
      </w:r>
    </w:p>
    <w:p w14:paraId="7191D6BC">
      <w:pPr>
        <w:tabs>
          <w:tab w:val="left" w:pos="6105"/>
        </w:tabs>
        <w:jc w:val="center"/>
        <w:outlineLvl w:val="3"/>
        <w:rPr>
          <w:rFonts w:hint="default" w:ascii="Times New Roman" w:hAnsi="Times New Roman" w:eastAsia="黑体" w:cs="Times New Roman"/>
          <w:b/>
          <w:color w:val="auto"/>
          <w:highlight w:val="none"/>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-25</w:t>
      </w:r>
      <w:r>
        <w:rPr>
          <w:rFonts w:hint="default" w:ascii="Times New Roman" w:hAnsi="Times New Roman" w:eastAsia="黑体" w:cs="Times New Roman"/>
          <w:b/>
          <w:color w:val="auto"/>
          <w:highlight w:val="none"/>
        </w:rPr>
        <w:t xml:space="preserve">  深层孔隙水水文地质概略图</w:t>
      </w:r>
    </w:p>
    <w:p w14:paraId="379F407A">
      <w:pPr>
        <w:snapToGrid/>
        <w:spacing w:line="360" w:lineRule="auto"/>
        <w:ind w:firstLine="480"/>
        <w:rPr>
          <w:rFonts w:hint="default" w:ascii="Times New Roman" w:hAnsi="Times New Roman" w:eastAsia="宋体" w:cs="Times New Roman"/>
          <w:color w:val="auto"/>
          <w:sz w:val="24"/>
          <w:szCs w:val="24"/>
          <w:highlight w:val="none"/>
          <w:lang w:val="en-GB" w:eastAsia="zh-CN"/>
        </w:rPr>
      </w:pPr>
      <w:r>
        <w:rPr>
          <w:rFonts w:hint="eastAsia" w:ascii="Times New Roman" w:hAnsi="Times New Roman" w:eastAsia="宋体" w:cs="Times New Roman"/>
          <w:color w:val="auto"/>
          <w:sz w:val="24"/>
          <w:szCs w:val="24"/>
          <w:highlight w:val="none"/>
          <w:lang w:val="en-US" w:eastAsia="zh-CN"/>
        </w:rPr>
        <w:t>I、</w:t>
      </w:r>
      <w:r>
        <w:rPr>
          <w:rFonts w:hint="default" w:ascii="Times New Roman" w:hAnsi="Times New Roman" w:eastAsia="宋体" w:cs="Times New Roman"/>
          <w:color w:val="auto"/>
          <w:sz w:val="24"/>
          <w:szCs w:val="24"/>
          <w:highlight w:val="none"/>
          <w:lang w:val="en-GB" w:eastAsia="zh-CN"/>
        </w:rPr>
        <w:t>地下水环境影响分析</w:t>
      </w:r>
    </w:p>
    <w:p w14:paraId="527A2F20">
      <w:pPr>
        <w:adjustRightInd/>
        <w:snapToGrid/>
        <w:spacing w:line="360" w:lineRule="auto"/>
        <w:ind w:firstLine="480" w:firstLineChars="200"/>
        <w:rPr>
          <w:rFonts w:hint="default" w:ascii="Times New Roman" w:hAnsi="Times New Roman" w:eastAsia="宋体" w:cs="Times New Roman"/>
          <w:color w:val="auto"/>
          <w:sz w:val="24"/>
          <w:szCs w:val="20"/>
          <w:highlight w:val="none"/>
        </w:rPr>
      </w:pPr>
      <w:r>
        <w:rPr>
          <w:rFonts w:hint="eastAsia" w:ascii="Times New Roman" w:hAnsi="Times New Roman" w:eastAsia="宋体" w:cs="Times New Roman"/>
          <w:color w:val="auto"/>
          <w:sz w:val="24"/>
          <w:szCs w:val="20"/>
          <w:highlight w:val="none"/>
          <w:lang w:val="en-US" w:eastAsia="zh-CN"/>
        </w:rPr>
        <w:t>1、</w:t>
      </w:r>
      <w:r>
        <w:rPr>
          <w:rFonts w:hint="default" w:ascii="Times New Roman" w:hAnsi="Times New Roman" w:eastAsia="宋体" w:cs="Times New Roman"/>
          <w:color w:val="auto"/>
          <w:sz w:val="24"/>
          <w:szCs w:val="20"/>
          <w:highlight w:val="none"/>
        </w:rPr>
        <w:t>预测范围</w:t>
      </w:r>
    </w:p>
    <w:p w14:paraId="59BF5D00">
      <w:pPr>
        <w:adjustRightInd/>
        <w:snapToGrid/>
        <w:spacing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本次预测范围</w:t>
      </w:r>
      <w:r>
        <w:rPr>
          <w:rFonts w:hint="eastAsia" w:cs="Times New Roman"/>
          <w:color w:val="auto"/>
          <w:sz w:val="24"/>
          <w:szCs w:val="20"/>
          <w:highlight w:val="none"/>
          <w:lang w:val="en-US" w:eastAsia="zh-CN"/>
        </w:rPr>
        <w:t>为</w:t>
      </w:r>
      <w:r>
        <w:rPr>
          <w:b w:val="0"/>
          <w:bCs w:val="0"/>
          <w:color w:val="auto"/>
          <w:sz w:val="24"/>
          <w:highlight w:val="none"/>
        </w:rPr>
        <w:t>以附近水体支流为边界，面积约6km</w:t>
      </w:r>
      <w:r>
        <w:rPr>
          <w:b w:val="0"/>
          <w:bCs w:val="0"/>
          <w:color w:val="auto"/>
          <w:sz w:val="24"/>
          <w:highlight w:val="none"/>
          <w:vertAlign w:val="superscript"/>
        </w:rPr>
        <w:t>2</w:t>
      </w:r>
      <w:r>
        <w:rPr>
          <w:b w:val="0"/>
          <w:bCs w:val="0"/>
          <w:color w:val="auto"/>
          <w:sz w:val="24"/>
          <w:highlight w:val="none"/>
        </w:rPr>
        <w:t>的区域</w:t>
      </w:r>
      <w:r>
        <w:rPr>
          <w:rFonts w:hint="default" w:ascii="Times New Roman" w:hAnsi="Times New Roman" w:eastAsia="宋体" w:cs="Times New Roman"/>
          <w:b w:val="0"/>
          <w:bCs w:val="0"/>
          <w:color w:val="auto"/>
          <w:sz w:val="24"/>
          <w:szCs w:val="20"/>
          <w:highlight w:val="none"/>
        </w:rPr>
        <w:t>，</w:t>
      </w:r>
      <w:r>
        <w:rPr>
          <w:rFonts w:hint="default" w:ascii="Times New Roman" w:hAnsi="Times New Roman" w:eastAsia="宋体" w:cs="Times New Roman"/>
          <w:color w:val="auto"/>
          <w:sz w:val="24"/>
          <w:szCs w:val="20"/>
          <w:highlight w:val="none"/>
        </w:rPr>
        <w:t>预测层位为第一含水层。</w:t>
      </w:r>
    </w:p>
    <w:p w14:paraId="7495E5BB">
      <w:pPr>
        <w:adjustRightInd/>
        <w:snapToGrid/>
        <w:spacing w:line="360" w:lineRule="auto"/>
        <w:ind w:firstLine="480" w:firstLineChars="200"/>
        <w:rPr>
          <w:rFonts w:hint="default" w:ascii="Times New Roman" w:hAnsi="Times New Roman" w:eastAsia="宋体" w:cs="Times New Roman"/>
          <w:color w:val="auto"/>
          <w:sz w:val="24"/>
          <w:szCs w:val="20"/>
          <w:highlight w:val="none"/>
        </w:rPr>
      </w:pPr>
      <w:r>
        <w:rPr>
          <w:rFonts w:hint="eastAsia" w:ascii="Times New Roman" w:hAnsi="Times New Roman" w:eastAsia="宋体" w:cs="Times New Roman"/>
          <w:color w:val="auto"/>
          <w:sz w:val="24"/>
          <w:szCs w:val="20"/>
          <w:highlight w:val="none"/>
          <w:lang w:val="en-US" w:eastAsia="zh-CN"/>
        </w:rPr>
        <w:t>2、</w:t>
      </w:r>
      <w:r>
        <w:rPr>
          <w:rFonts w:hint="default" w:ascii="Times New Roman" w:hAnsi="Times New Roman" w:eastAsia="宋体" w:cs="Times New Roman"/>
          <w:color w:val="auto"/>
          <w:sz w:val="24"/>
          <w:szCs w:val="20"/>
          <w:highlight w:val="none"/>
        </w:rPr>
        <w:t>预测时段</w:t>
      </w:r>
    </w:p>
    <w:p w14:paraId="4674ACB2">
      <w:pPr>
        <w:snapToGrid/>
        <w:spacing w:line="360" w:lineRule="auto"/>
        <w:ind w:firstLine="480"/>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sz w:val="24"/>
          <w:szCs w:val="24"/>
          <w:highlight w:val="none"/>
        </w:rPr>
        <w:t>根据项目的特点和水文地质特征，预测时段应选取可能引起地下水污染的关键时刻，本项目预测时段为地下水污染发生后</w:t>
      </w:r>
      <w:r>
        <w:rPr>
          <w:color w:val="auto"/>
          <w:sz w:val="24"/>
          <w:szCs w:val="20"/>
          <w:highlight w:val="none"/>
        </w:rPr>
        <w:t>30d、100d、1a、1000d、10a、20a、30a</w:t>
      </w:r>
      <w:r>
        <w:rPr>
          <w:rFonts w:hint="default" w:ascii="Times New Roman" w:hAnsi="Times New Roman" w:eastAsia="宋体" w:cs="Times New Roman"/>
          <w:color w:val="auto"/>
          <w:sz w:val="24"/>
          <w:szCs w:val="24"/>
          <w:highlight w:val="none"/>
        </w:rPr>
        <w:t>。</w:t>
      </w:r>
    </w:p>
    <w:p w14:paraId="78EABE8C">
      <w:pPr>
        <w:adjustRightInd/>
        <w:snapToGrid/>
        <w:spacing w:line="360" w:lineRule="auto"/>
        <w:ind w:firstLine="480" w:firstLineChars="200"/>
        <w:rPr>
          <w:rFonts w:hint="default" w:ascii="Times New Roman" w:hAnsi="Times New Roman" w:eastAsia="宋体" w:cs="Times New Roman"/>
          <w:color w:val="auto"/>
          <w:sz w:val="24"/>
          <w:szCs w:val="20"/>
          <w:highlight w:val="none"/>
        </w:rPr>
      </w:pPr>
      <w:r>
        <w:rPr>
          <w:rFonts w:hint="eastAsia" w:ascii="Times New Roman" w:hAnsi="Times New Roman" w:eastAsia="宋体" w:cs="Times New Roman"/>
          <w:color w:val="auto"/>
          <w:sz w:val="24"/>
          <w:szCs w:val="20"/>
          <w:highlight w:val="none"/>
          <w:lang w:val="en-US" w:eastAsia="zh-CN"/>
        </w:rPr>
        <w:t>3、</w:t>
      </w:r>
      <w:r>
        <w:rPr>
          <w:rFonts w:hint="default" w:ascii="Times New Roman" w:hAnsi="Times New Roman" w:eastAsia="宋体" w:cs="Times New Roman"/>
          <w:color w:val="auto"/>
          <w:sz w:val="24"/>
          <w:szCs w:val="20"/>
          <w:highlight w:val="none"/>
        </w:rPr>
        <w:t>污染途径</w:t>
      </w:r>
    </w:p>
    <w:p w14:paraId="2D17C3D3">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lang w:val="en-US" w:eastAsia="zh-CN"/>
        </w:rPr>
      </w:pPr>
      <w:r>
        <w:rPr>
          <w:rFonts w:hint="eastAsia" w:ascii="Times New Roman" w:hAnsi="Times New Roman" w:eastAsia="宋体" w:cs="Times New Roman"/>
          <w:snapToGrid w:val="0"/>
          <w:color w:val="auto"/>
          <w:spacing w:val="-2"/>
          <w:kern w:val="0"/>
          <w:sz w:val="24"/>
          <w:szCs w:val="24"/>
          <w:highlight w:val="none"/>
          <w:lang w:val="en-US" w:eastAsia="zh-CN"/>
        </w:rPr>
        <w:t>本工程排放的废水对地下水的影响途径主要是在</w:t>
      </w:r>
      <w:r>
        <w:rPr>
          <w:rFonts w:hint="eastAsia" w:cs="Times New Roman"/>
          <w:snapToGrid w:val="0"/>
          <w:color w:val="auto"/>
          <w:spacing w:val="-2"/>
          <w:kern w:val="0"/>
          <w:sz w:val="24"/>
          <w:szCs w:val="24"/>
          <w:highlight w:val="none"/>
          <w:lang w:val="en-US" w:eastAsia="zh-CN"/>
        </w:rPr>
        <w:t>事故废水</w:t>
      </w:r>
      <w:r>
        <w:rPr>
          <w:rFonts w:hint="eastAsia" w:ascii="Times New Roman" w:hAnsi="Times New Roman" w:eastAsia="宋体" w:cs="Times New Roman"/>
          <w:snapToGrid w:val="0"/>
          <w:color w:val="auto"/>
          <w:spacing w:val="-2"/>
          <w:kern w:val="0"/>
          <w:sz w:val="24"/>
          <w:szCs w:val="24"/>
          <w:highlight w:val="none"/>
          <w:lang w:val="en-US" w:eastAsia="zh-CN"/>
        </w:rPr>
        <w:t>的收集、处理、输送、贮存过程因防渗层的腐蚀损坏透过地面渗透影响厂址区域地下水。</w:t>
      </w:r>
    </w:p>
    <w:p w14:paraId="3592A316">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lang w:val="en-US" w:eastAsia="zh-CN"/>
        </w:rPr>
      </w:pPr>
      <w:r>
        <w:rPr>
          <w:rFonts w:hint="eastAsia" w:ascii="Times New Roman" w:hAnsi="Times New Roman" w:eastAsia="宋体" w:cs="Times New Roman"/>
          <w:snapToGrid w:val="0"/>
          <w:color w:val="auto"/>
          <w:spacing w:val="-2"/>
          <w:kern w:val="0"/>
          <w:sz w:val="24"/>
          <w:szCs w:val="24"/>
          <w:highlight w:val="none"/>
          <w:lang w:val="en-US" w:eastAsia="zh-CN"/>
        </w:rPr>
        <w:t>项目构筑物及其设施均采用钢筋混凝土结构，设置防渗设施，正常生产过程中严防污水下渗，以避免对地下水潜水层的污染。</w:t>
      </w:r>
    </w:p>
    <w:p w14:paraId="3530EAA2">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lang w:val="en-US" w:eastAsia="zh-CN"/>
        </w:rPr>
      </w:pPr>
      <w:r>
        <w:rPr>
          <w:rFonts w:hint="eastAsia" w:ascii="Times New Roman" w:hAnsi="Times New Roman" w:eastAsia="宋体" w:cs="Times New Roman"/>
          <w:snapToGrid w:val="0"/>
          <w:color w:val="auto"/>
          <w:spacing w:val="-2"/>
          <w:kern w:val="0"/>
          <w:sz w:val="24"/>
          <w:szCs w:val="24"/>
          <w:highlight w:val="none"/>
          <w:lang w:val="en-US" w:eastAsia="zh-CN"/>
        </w:rPr>
        <w:t>根据本项目的生产特征，可能泄露并污染地下水的污染源包括：</w:t>
      </w:r>
    </w:p>
    <w:p w14:paraId="28AC80AC">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lang w:val="en-US" w:eastAsia="zh-CN"/>
        </w:rPr>
      </w:pPr>
      <w:r>
        <w:rPr>
          <w:rFonts w:hint="eastAsia" w:ascii="Times New Roman" w:hAnsi="Times New Roman" w:eastAsia="宋体" w:cs="Times New Roman"/>
          <w:snapToGrid w:val="0"/>
          <w:color w:val="auto"/>
          <w:spacing w:val="-2"/>
          <w:kern w:val="0"/>
          <w:sz w:val="24"/>
          <w:szCs w:val="24"/>
          <w:highlight w:val="none"/>
          <w:lang w:val="en-US" w:eastAsia="zh-CN"/>
        </w:rPr>
        <w:t>（1）废水收集及储存设施</w:t>
      </w:r>
    </w:p>
    <w:p w14:paraId="6935BE1C">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rPr>
      </w:pPr>
      <w:r>
        <w:rPr>
          <w:rFonts w:hint="eastAsia" w:ascii="Times New Roman" w:hAnsi="Times New Roman" w:eastAsia="宋体" w:cs="Times New Roman"/>
          <w:snapToGrid w:val="0"/>
          <w:color w:val="auto"/>
          <w:spacing w:val="-2"/>
          <w:kern w:val="0"/>
          <w:sz w:val="24"/>
          <w:szCs w:val="24"/>
          <w:highlight w:val="none"/>
          <w:lang w:val="en-US" w:eastAsia="zh-CN"/>
        </w:rPr>
        <w:t>事故</w:t>
      </w:r>
      <w:r>
        <w:rPr>
          <w:rFonts w:hint="default" w:ascii="Times New Roman" w:hAnsi="Times New Roman" w:eastAsia="宋体" w:cs="Times New Roman"/>
          <w:snapToGrid w:val="0"/>
          <w:color w:val="auto"/>
          <w:spacing w:val="-2"/>
          <w:kern w:val="0"/>
          <w:sz w:val="24"/>
          <w:szCs w:val="24"/>
          <w:highlight w:val="none"/>
        </w:rPr>
        <w:t>度水污染地下水的可能性。</w:t>
      </w:r>
    </w:p>
    <w:p w14:paraId="06B2C757">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rPr>
      </w:pPr>
      <w:r>
        <w:rPr>
          <w:rFonts w:hint="default" w:ascii="Times New Roman" w:hAnsi="Times New Roman" w:eastAsia="宋体" w:cs="Times New Roman"/>
          <w:snapToGrid w:val="0"/>
          <w:color w:val="auto"/>
          <w:spacing w:val="-2"/>
          <w:kern w:val="0"/>
          <w:sz w:val="24"/>
          <w:szCs w:val="24"/>
          <w:highlight w:val="none"/>
        </w:rPr>
        <w:t>（</w:t>
      </w:r>
      <w:r>
        <w:rPr>
          <w:rFonts w:hint="eastAsia" w:ascii="Times New Roman" w:hAnsi="Times New Roman" w:eastAsia="宋体" w:cs="Times New Roman"/>
          <w:snapToGrid w:val="0"/>
          <w:color w:val="auto"/>
          <w:spacing w:val="-2"/>
          <w:kern w:val="0"/>
          <w:sz w:val="24"/>
          <w:szCs w:val="24"/>
          <w:highlight w:val="none"/>
        </w:rPr>
        <w:t>2</w:t>
      </w:r>
      <w:r>
        <w:rPr>
          <w:rFonts w:hint="default" w:ascii="Times New Roman" w:hAnsi="Times New Roman" w:eastAsia="宋体" w:cs="Times New Roman"/>
          <w:snapToGrid w:val="0"/>
          <w:color w:val="auto"/>
          <w:spacing w:val="-2"/>
          <w:kern w:val="0"/>
          <w:sz w:val="24"/>
          <w:szCs w:val="24"/>
          <w:highlight w:val="none"/>
        </w:rPr>
        <w:t>）固体废物</w:t>
      </w:r>
    </w:p>
    <w:p w14:paraId="4536C6FB">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rPr>
      </w:pPr>
      <w:r>
        <w:rPr>
          <w:rFonts w:hint="default" w:ascii="Times New Roman" w:hAnsi="Times New Roman" w:eastAsia="宋体" w:cs="Times New Roman"/>
          <w:snapToGrid w:val="0"/>
          <w:color w:val="auto"/>
          <w:spacing w:val="-2"/>
          <w:kern w:val="0"/>
          <w:sz w:val="24"/>
          <w:szCs w:val="24"/>
          <w:highlight w:val="none"/>
        </w:rPr>
        <w:t>固体废物在贮存过程中如果措施不当，会由于</w:t>
      </w:r>
      <w:r>
        <w:rPr>
          <w:rFonts w:hint="eastAsia" w:cs="Times New Roman"/>
          <w:snapToGrid w:val="0"/>
          <w:color w:val="auto"/>
          <w:spacing w:val="-2"/>
          <w:kern w:val="0"/>
          <w:sz w:val="24"/>
          <w:szCs w:val="24"/>
          <w:highlight w:val="none"/>
          <w:lang w:val="en-US" w:eastAsia="zh-CN"/>
        </w:rPr>
        <w:t>液态固体</w:t>
      </w:r>
      <w:r>
        <w:rPr>
          <w:rFonts w:hint="default" w:ascii="Times New Roman" w:hAnsi="Times New Roman" w:eastAsia="宋体" w:cs="Times New Roman"/>
          <w:snapToGrid w:val="0"/>
          <w:color w:val="auto"/>
          <w:spacing w:val="-2"/>
          <w:kern w:val="0"/>
          <w:sz w:val="24"/>
          <w:szCs w:val="24"/>
          <w:highlight w:val="none"/>
        </w:rPr>
        <w:t>泄露、降水淋滤浸出废水，当非正常状况下防渗层发生泄露，存在</w:t>
      </w:r>
      <w:r>
        <w:rPr>
          <w:rFonts w:hint="eastAsia" w:ascii="Times New Roman" w:hAnsi="Times New Roman" w:eastAsia="宋体" w:cs="Times New Roman"/>
          <w:snapToGrid w:val="0"/>
          <w:color w:val="auto"/>
          <w:spacing w:val="-2"/>
          <w:kern w:val="0"/>
          <w:sz w:val="24"/>
          <w:szCs w:val="24"/>
          <w:highlight w:val="none"/>
          <w:lang w:val="en-US" w:eastAsia="zh-CN"/>
        </w:rPr>
        <w:t>废液</w:t>
      </w:r>
      <w:r>
        <w:rPr>
          <w:rFonts w:hint="default" w:ascii="Times New Roman" w:hAnsi="Times New Roman" w:eastAsia="宋体" w:cs="Times New Roman"/>
          <w:snapToGrid w:val="0"/>
          <w:color w:val="auto"/>
          <w:spacing w:val="-2"/>
          <w:kern w:val="0"/>
          <w:sz w:val="24"/>
          <w:szCs w:val="24"/>
          <w:highlight w:val="none"/>
        </w:rPr>
        <w:t>泄露污染地下水的可能性。</w:t>
      </w:r>
    </w:p>
    <w:p w14:paraId="5A0182B3">
      <w:pPr>
        <w:adjustRightInd/>
        <w:snapToGrid/>
        <w:spacing w:line="360" w:lineRule="auto"/>
        <w:ind w:firstLine="472"/>
        <w:rPr>
          <w:rFonts w:hint="default" w:ascii="Times New Roman" w:hAnsi="Times New Roman" w:eastAsia="宋体" w:cs="Times New Roman"/>
          <w:snapToGrid w:val="0"/>
          <w:color w:val="auto"/>
          <w:spacing w:val="-2"/>
          <w:kern w:val="0"/>
          <w:sz w:val="24"/>
          <w:szCs w:val="24"/>
          <w:highlight w:val="none"/>
          <w:lang w:val="en-US" w:eastAsia="zh-CN"/>
        </w:rPr>
      </w:pPr>
      <w:r>
        <w:rPr>
          <w:rFonts w:hint="default" w:ascii="Times New Roman" w:hAnsi="Times New Roman" w:eastAsia="宋体" w:cs="Times New Roman"/>
          <w:snapToGrid w:val="0"/>
          <w:color w:val="auto"/>
          <w:spacing w:val="-2"/>
          <w:kern w:val="0"/>
          <w:sz w:val="24"/>
          <w:szCs w:val="24"/>
          <w:highlight w:val="none"/>
          <w:lang w:val="en-US" w:eastAsia="zh-CN"/>
        </w:rPr>
        <w:t>各种风险事故情况下，污染物泄漏于地表，因降水等多种因素综合影响使污染物通过淋滤方式经过包气带向饱水带运动（</w:t>
      </w:r>
      <w:r>
        <w:rPr>
          <w:rFonts w:hint="eastAsia" w:ascii="Times New Roman" w:hAnsi="Times New Roman" w:eastAsia="宋体" w:cs="Times New Roman"/>
          <w:snapToGrid w:val="0"/>
          <w:color w:val="auto"/>
          <w:spacing w:val="-2"/>
          <w:kern w:val="0"/>
          <w:sz w:val="24"/>
          <w:szCs w:val="24"/>
          <w:highlight w:val="none"/>
          <w:lang w:val="en-US" w:eastAsia="zh-CN"/>
        </w:rPr>
        <w:t>如下图</w:t>
      </w:r>
      <w:r>
        <w:rPr>
          <w:rFonts w:hint="default" w:ascii="Times New Roman" w:hAnsi="Times New Roman" w:eastAsia="宋体" w:cs="Times New Roman"/>
          <w:snapToGrid w:val="0"/>
          <w:color w:val="auto"/>
          <w:spacing w:val="-2"/>
          <w:kern w:val="0"/>
          <w:sz w:val="24"/>
          <w:szCs w:val="24"/>
          <w:highlight w:val="none"/>
          <w:lang w:val="en-US" w:eastAsia="zh-CN"/>
        </w:rPr>
        <w:t>），这个过程中，无论污染物为油水混合物还是饱和溶解污水，能够进入地下水并随之运动的最终都是溶解进入水中的部分。因此各种风险工况下，污染物若要对饱水带地下水产生不良影响，必须通过包气带。</w:t>
      </w:r>
    </w:p>
    <w:p w14:paraId="5C197B73">
      <w:pPr>
        <w:widowControl w:val="0"/>
        <w:adjustRightInd w:val="0"/>
        <w:snapToGrid w:val="0"/>
        <w:spacing w:line="360" w:lineRule="auto"/>
        <w:ind w:firstLine="0"/>
        <w:jc w:val="center"/>
        <w:rPr>
          <w:rFonts w:ascii="Times New Roman" w:hAnsi="Times New Roman" w:eastAsia="宋体" w:cs="Times New Roman"/>
          <w:color w:val="auto"/>
          <w:kern w:val="2"/>
          <w:sz w:val="24"/>
          <w:szCs w:val="20"/>
          <w:highlight w:val="none"/>
          <w:lang w:val="en-US" w:eastAsia="zh-CN" w:bidi="ar-SA"/>
        </w:rPr>
      </w:pPr>
      <w:r>
        <w:rPr>
          <w:rFonts w:ascii="Times New Roman" w:hAnsi="Times New Roman" w:eastAsia="宋体" w:cs="Times New Roman"/>
          <w:color w:val="auto"/>
          <w:kern w:val="2"/>
          <w:sz w:val="24"/>
          <w:szCs w:val="20"/>
          <w:highlight w:val="none"/>
          <w:lang w:val="en-US" w:eastAsia="zh-CN" w:bidi="ar-SA"/>
        </w:rPr>
        <w:drawing>
          <wp:inline distT="0" distB="0" distL="114300" distR="114300">
            <wp:extent cx="3526790" cy="2506980"/>
            <wp:effectExtent l="0" t="0" r="16510" b="7620"/>
            <wp:docPr id="1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6"/>
                    <pic:cNvPicPr>
                      <a:picLocks noChangeAspect="1"/>
                    </pic:cNvPicPr>
                  </pic:nvPicPr>
                  <pic:blipFill>
                    <a:blip r:embed="rId77"/>
                    <a:stretch>
                      <a:fillRect/>
                    </a:stretch>
                  </pic:blipFill>
                  <pic:spPr>
                    <a:xfrm>
                      <a:off x="0" y="0"/>
                      <a:ext cx="3526790" cy="2506980"/>
                    </a:xfrm>
                    <a:prstGeom prst="rect">
                      <a:avLst/>
                    </a:prstGeom>
                    <a:noFill/>
                    <a:ln>
                      <a:noFill/>
                    </a:ln>
                  </pic:spPr>
                </pic:pic>
              </a:graphicData>
            </a:graphic>
          </wp:inline>
        </w:drawing>
      </w:r>
    </w:p>
    <w:p w14:paraId="00581591">
      <w:pPr>
        <w:tabs>
          <w:tab w:val="left" w:pos="6105"/>
        </w:tabs>
        <w:jc w:val="center"/>
        <w:outlineLvl w:val="3"/>
        <w:rPr>
          <w:rFonts w:hint="default" w:ascii="Times New Roman" w:hAnsi="Times New Roman" w:eastAsia="黑体" w:cs="Times New Roman"/>
          <w:b/>
          <w:color w:val="auto"/>
          <w:highlight w:val="none"/>
        </w:rPr>
      </w:pPr>
      <w:r>
        <w:rPr>
          <w:b/>
          <w:bCs/>
          <w:color w:val="auto"/>
          <w:szCs w:val="21"/>
        </w:rPr>
        <w:t>图</w:t>
      </w:r>
      <w:r>
        <w:rPr>
          <w:rFonts w:hint="eastAsia"/>
          <w:b/>
          <w:bCs/>
          <w:color w:val="auto"/>
          <w:szCs w:val="21"/>
          <w:lang w:val="en-US" w:eastAsia="zh-CN"/>
        </w:rPr>
        <w:t>7.</w:t>
      </w:r>
      <w:r>
        <w:rPr>
          <w:rFonts w:hint="eastAsia"/>
          <w:b/>
          <w:bCs/>
          <w:color w:val="auto"/>
          <w:szCs w:val="21"/>
        </w:rPr>
        <w:t>9-</w:t>
      </w:r>
      <w:r>
        <w:rPr>
          <w:rFonts w:hint="eastAsia"/>
          <w:b/>
          <w:bCs/>
          <w:color w:val="auto"/>
          <w:szCs w:val="21"/>
          <w:lang w:val="en-US" w:eastAsia="zh-CN"/>
        </w:rPr>
        <w:t>26</w:t>
      </w:r>
      <w:r>
        <w:rPr>
          <w:rFonts w:hint="default" w:ascii="Times New Roman" w:hAnsi="Times New Roman" w:eastAsia="黑体" w:cs="Times New Roman"/>
          <w:b/>
          <w:color w:val="auto"/>
          <w:highlight w:val="none"/>
        </w:rPr>
        <w:t xml:space="preserve">  污染物在包气带、饱水带运动概化图</w:t>
      </w:r>
    </w:p>
    <w:p w14:paraId="3411D052">
      <w:pPr>
        <w:adjustRightInd/>
        <w:snapToGrid/>
        <w:spacing w:line="360" w:lineRule="auto"/>
        <w:ind w:firstLine="480" w:firstLineChars="200"/>
        <w:rPr>
          <w:rFonts w:ascii="Times New Roman" w:hAnsi="Times New Roman" w:eastAsia="宋体" w:cs="Times New Roman"/>
          <w:color w:val="auto"/>
          <w:sz w:val="24"/>
          <w:szCs w:val="20"/>
          <w:highlight w:val="none"/>
        </w:rPr>
      </w:pPr>
      <w:r>
        <w:rPr>
          <w:rFonts w:ascii="Times New Roman" w:hAnsi="Times New Roman" w:eastAsia="宋体" w:cs="Times New Roman"/>
          <w:color w:val="auto"/>
          <w:sz w:val="24"/>
          <w:szCs w:val="20"/>
          <w:highlight w:val="none"/>
        </w:rPr>
        <w:t>包气带是连接大气和地下水的重要纽带，在大气降水补给地下水以及地下水通过包气带蒸发过程中扮演着重要的角色。包气带污染可进一步引起和促进水体、大气和生物等要素的污染，从而影响人体健康。所以有必要对包气带污染情况进行预测，为进一步采取预防措施提出科学依据。包气带的防污性能与包气带的岩性、结构、厚度以及地形坡度等有着密切的联系。其中岩性和厚度对防污性能影响较大，包气带土壤沉积物中的粘土矿物和有机碳在吸附无机离子组分和有机污染物过程中发挥着非常重要的作用。一般来说包气带土层对污染物的吸附可以阻滞有机污染物向地下水中迁移，包气带的厚度越大，污染物越难以迁移进入地下水。</w:t>
      </w:r>
    </w:p>
    <w:p w14:paraId="7C6F3F92">
      <w:pPr>
        <w:adjustRightInd/>
        <w:snapToGrid/>
        <w:spacing w:line="360" w:lineRule="auto"/>
        <w:ind w:firstLine="480" w:firstLineChars="200"/>
        <w:rPr>
          <w:rFonts w:hint="default" w:ascii="Times New Roman" w:hAnsi="Times New Roman" w:eastAsia="宋体" w:cs="Times New Roman"/>
          <w:color w:val="auto"/>
          <w:sz w:val="24"/>
          <w:szCs w:val="20"/>
          <w:highlight w:val="none"/>
        </w:rPr>
      </w:pPr>
      <w:r>
        <w:rPr>
          <w:rFonts w:hint="eastAsia" w:ascii="Times New Roman" w:hAnsi="Times New Roman" w:eastAsia="宋体" w:cs="Times New Roman"/>
          <w:color w:val="auto"/>
          <w:sz w:val="24"/>
          <w:szCs w:val="20"/>
          <w:highlight w:val="none"/>
          <w:lang w:val="en-US" w:eastAsia="zh-CN"/>
        </w:rPr>
        <w:t>4、</w:t>
      </w:r>
      <w:r>
        <w:rPr>
          <w:rFonts w:hint="default" w:ascii="Times New Roman" w:hAnsi="Times New Roman" w:eastAsia="宋体" w:cs="Times New Roman"/>
          <w:color w:val="auto"/>
          <w:sz w:val="24"/>
          <w:szCs w:val="20"/>
          <w:highlight w:val="none"/>
        </w:rPr>
        <w:t>污染可能性分析</w:t>
      </w:r>
    </w:p>
    <w:p w14:paraId="6F9064D5">
      <w:pPr>
        <w:adjustRightInd/>
        <w:snapToGrid/>
        <w:spacing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正常状况下，污染物通过包气带对地下水产生污染的可能性小，不进行地下水环境影响预测。</w:t>
      </w:r>
    </w:p>
    <w:p w14:paraId="7C9359C0">
      <w:pPr>
        <w:adjustRightInd/>
        <w:snapToGrid/>
        <w:spacing w:line="360" w:lineRule="auto"/>
        <w:ind w:firstLine="480" w:firstLineChars="200"/>
        <w:rPr>
          <w:rFonts w:hint="default" w:ascii="Times New Roman" w:hAnsi="Times New Roman" w:eastAsia="宋体" w:cs="Times New Roman"/>
          <w:color w:val="auto"/>
          <w:sz w:val="24"/>
          <w:szCs w:val="20"/>
          <w:highlight w:val="none"/>
        </w:rPr>
      </w:pPr>
      <w:r>
        <w:rPr>
          <w:rFonts w:hint="default" w:ascii="Times New Roman" w:hAnsi="Times New Roman" w:eastAsia="宋体" w:cs="Times New Roman"/>
          <w:color w:val="auto"/>
          <w:sz w:val="24"/>
          <w:szCs w:val="20"/>
          <w:highlight w:val="none"/>
        </w:rPr>
        <w:t>非正常状况下，由于防渗措施失效，</w:t>
      </w:r>
      <w:r>
        <w:rPr>
          <w:rFonts w:hint="eastAsia" w:ascii="Times New Roman" w:hAnsi="Times New Roman" w:eastAsia="宋体" w:cs="Times New Roman"/>
          <w:color w:val="auto"/>
          <w:sz w:val="24"/>
          <w:szCs w:val="20"/>
          <w:highlight w:val="none"/>
          <w:lang w:val="en-US" w:eastAsia="zh-CN"/>
        </w:rPr>
        <w:t>事故废水</w:t>
      </w:r>
      <w:r>
        <w:rPr>
          <w:rFonts w:hint="default" w:ascii="Times New Roman" w:hAnsi="Times New Roman" w:eastAsia="宋体" w:cs="Times New Roman"/>
          <w:color w:val="auto"/>
          <w:sz w:val="24"/>
          <w:szCs w:val="20"/>
          <w:highlight w:val="none"/>
        </w:rPr>
        <w:t>渗入地下水中。本项目选取</w:t>
      </w:r>
      <w:r>
        <w:rPr>
          <w:rFonts w:hint="eastAsia" w:cs="Times New Roman"/>
          <w:color w:val="auto"/>
          <w:sz w:val="24"/>
          <w:szCs w:val="20"/>
          <w:highlight w:val="none"/>
          <w:lang w:val="en-US" w:eastAsia="zh-CN"/>
        </w:rPr>
        <w:t>氟化物</w:t>
      </w:r>
      <w:r>
        <w:rPr>
          <w:rFonts w:hint="default" w:ascii="Times New Roman" w:hAnsi="Times New Roman" w:eastAsia="宋体" w:cs="Times New Roman"/>
          <w:color w:val="auto"/>
          <w:sz w:val="24"/>
          <w:szCs w:val="20"/>
          <w:highlight w:val="none"/>
        </w:rPr>
        <w:t>泄漏作为污染情景。污染物排放类型为短时排放。在非正常状况下，污染物持续进入地下水含水层中造成污染，污染物排放类型为连续稳定排放。</w:t>
      </w:r>
    </w:p>
    <w:p w14:paraId="2286CEE0">
      <w:pPr>
        <w:spacing w:line="360" w:lineRule="auto"/>
        <w:ind w:firstLine="480" w:firstLineChars="200"/>
        <w:rPr>
          <w:color w:val="auto"/>
          <w:sz w:val="24"/>
          <w:szCs w:val="20"/>
          <w:highlight w:val="none"/>
        </w:rPr>
      </w:pPr>
      <w:r>
        <w:rPr>
          <w:rFonts w:hint="eastAsia" w:ascii="Times New Roman" w:hAnsi="Times New Roman" w:eastAsia="宋体" w:cs="Times New Roman"/>
          <w:color w:val="auto"/>
          <w:sz w:val="24"/>
          <w:szCs w:val="20"/>
          <w:highlight w:val="none"/>
          <w:lang w:val="en-US" w:eastAsia="zh-CN"/>
        </w:rPr>
        <w:t>5、</w:t>
      </w:r>
      <w:bookmarkStart w:id="228" w:name="_Toc448778498"/>
      <w:r>
        <w:rPr>
          <w:color w:val="auto"/>
          <w:sz w:val="24"/>
          <w:szCs w:val="20"/>
          <w:highlight w:val="none"/>
        </w:rPr>
        <w:t>地下水影响预测</w:t>
      </w:r>
      <w:bookmarkEnd w:id="228"/>
    </w:p>
    <w:p w14:paraId="467E5B93">
      <w:pPr>
        <w:widowControl w:val="0"/>
        <w:autoSpaceDE w:val="0"/>
        <w:autoSpaceDN w:val="0"/>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本次环评已要求企业依据《危险废物贮存污染控制标准》(GB18597-2023)中地下水污染防渗措施要求对危废暂存场所进行建设，依据《一般工业固体废物贮存和填埋污染控制标准》(GB18599- 2020) 中地下水污染防渗措施要求对一般固废暂存场所进行建设，依据《石油化工工程防渗技术规范》(GB/T50934-2013)中地下水污染防渗措施要求对各污染区进行建设。</w:t>
      </w:r>
    </w:p>
    <w:p w14:paraId="7A920747">
      <w:pPr>
        <w:widowControl w:val="0"/>
        <w:autoSpaceDE w:val="0"/>
        <w:autoSpaceDN w:val="0"/>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故在正常工况下项目对地下水的影响是极微的，本次预测针对非正常情况进行。</w:t>
      </w:r>
    </w:p>
    <w:p w14:paraId="1A725463">
      <w:pPr>
        <w:widowControl w:val="0"/>
        <w:autoSpaceDE w:val="0"/>
        <w:autoSpaceDN w:val="0"/>
        <w:adjustRightInd w:val="0"/>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经查《关于持久性有机污染物的斯德哥尔摩公约》等文献，本项目原料、产品以及生产过程含有的物料均不属于持久性污染物，也不含有重金属污染物。</w:t>
      </w:r>
    </w:p>
    <w:p w14:paraId="220F0CC4">
      <w:pPr>
        <w:widowControl w:val="0"/>
        <w:autoSpaceDE w:val="0"/>
        <w:autoSpaceDN w:val="0"/>
        <w:adjustRightInd w:val="0"/>
        <w:snapToGrid w:val="0"/>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根据工程分析结果，可能造成地下水污染的特征因子见下表。</w:t>
      </w:r>
    </w:p>
    <w:p w14:paraId="6914A40A">
      <w:pPr>
        <w:tabs>
          <w:tab w:val="left" w:pos="6105"/>
        </w:tabs>
        <w:jc w:val="center"/>
        <w:outlineLvl w:val="3"/>
        <w:rPr>
          <w:rFonts w:hint="default" w:ascii="Times New Roman" w:hAnsi="Times New Roman" w:eastAsia="黑体" w:cs="Times New Roman"/>
          <w:b/>
          <w:color w:val="auto"/>
          <w:highlight w:val="none"/>
        </w:rPr>
      </w:pPr>
      <w:r>
        <w:rPr>
          <w:rFonts w:hint="eastAsia"/>
          <w:b/>
          <w:bCs/>
          <w:color w:val="auto"/>
          <w:szCs w:val="21"/>
        </w:rPr>
        <w:t>表7.9-</w:t>
      </w:r>
      <w:r>
        <w:rPr>
          <w:rFonts w:hint="eastAsia"/>
          <w:b/>
          <w:bCs/>
          <w:color w:val="auto"/>
          <w:szCs w:val="21"/>
          <w:lang w:val="en-US" w:eastAsia="zh-CN"/>
        </w:rPr>
        <w:t>22</w:t>
      </w:r>
      <w:r>
        <w:rPr>
          <w:rFonts w:hint="default" w:ascii="Times New Roman" w:hAnsi="Times New Roman" w:eastAsia="黑体" w:cs="Times New Roman"/>
          <w:b/>
          <w:color w:val="auto"/>
          <w:highlight w:val="none"/>
        </w:rPr>
        <w:t xml:space="preserve">  地下水污染因子识别</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2"/>
        <w:gridCol w:w="2450"/>
        <w:gridCol w:w="2680"/>
        <w:gridCol w:w="2377"/>
      </w:tblGrid>
      <w:tr w14:paraId="7D864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tcBorders>
              <w:top w:val="single" w:color="auto" w:sz="4" w:space="0"/>
              <w:left w:val="single" w:color="auto" w:sz="4" w:space="0"/>
              <w:bottom w:val="single" w:color="auto" w:sz="4" w:space="0"/>
              <w:right w:val="single" w:color="auto" w:sz="4" w:space="0"/>
              <w:tl2br w:val="single" w:color="auto" w:sz="4" w:space="0"/>
            </w:tcBorders>
            <w:noWrap w:val="0"/>
            <w:vAlign w:val="center"/>
          </w:tcPr>
          <w:p w14:paraId="240EDD90">
            <w:pPr>
              <w:adjustRightInd w:val="0"/>
              <w:snapToGrid w:val="0"/>
              <w:ind w:right="211"/>
              <w:jc w:val="right"/>
              <w:outlineLvl w:val="5"/>
              <w:rPr>
                <w:rFonts w:ascii="Times New Roman" w:hAnsi="Times New Roman"/>
                <w:b/>
                <w:bCs/>
                <w:color w:val="auto"/>
                <w:kern w:val="2"/>
                <w:sz w:val="21"/>
                <w:szCs w:val="21"/>
                <w:highlight w:val="none"/>
              </w:rPr>
            </w:pPr>
            <w:r>
              <w:rPr>
                <w:rFonts w:ascii="Times New Roman" w:hAnsi="Times New Roman"/>
                <w:b/>
                <w:bCs/>
                <w:color w:val="auto"/>
                <w:kern w:val="2"/>
                <w:sz w:val="21"/>
                <w:szCs w:val="21"/>
                <w:highlight w:val="none"/>
              </w:rPr>
              <w:t>项目</w:t>
            </w:r>
          </w:p>
          <w:p w14:paraId="049119BF">
            <w:pPr>
              <w:adjustRightInd w:val="0"/>
              <w:snapToGrid w:val="0"/>
              <w:ind w:right="420"/>
              <w:outlineLvl w:val="5"/>
              <w:rPr>
                <w:rFonts w:ascii="Times New Roman" w:hAnsi="Times New Roman"/>
                <w:b/>
                <w:bCs/>
                <w:color w:val="auto"/>
                <w:kern w:val="2"/>
                <w:sz w:val="21"/>
                <w:szCs w:val="21"/>
                <w:highlight w:val="none"/>
              </w:rPr>
            </w:pPr>
            <w:r>
              <w:rPr>
                <w:rFonts w:ascii="Times New Roman" w:hAnsi="Times New Roman"/>
                <w:b/>
                <w:bCs/>
                <w:color w:val="auto"/>
                <w:kern w:val="2"/>
                <w:sz w:val="21"/>
                <w:szCs w:val="21"/>
                <w:highlight w:val="none"/>
              </w:rPr>
              <w:t>类型</w:t>
            </w:r>
          </w:p>
        </w:tc>
        <w:tc>
          <w:tcPr>
            <w:tcW w:w="1352" w:type="pct"/>
            <w:tcBorders>
              <w:top w:val="single" w:color="auto" w:sz="4" w:space="0"/>
              <w:left w:val="single" w:color="auto" w:sz="4" w:space="0"/>
              <w:bottom w:val="single" w:color="auto" w:sz="4" w:space="0"/>
              <w:right w:val="single" w:color="auto" w:sz="4" w:space="0"/>
            </w:tcBorders>
            <w:noWrap w:val="0"/>
            <w:vAlign w:val="center"/>
          </w:tcPr>
          <w:p w14:paraId="2ED0E806">
            <w:pPr>
              <w:adjustRightInd w:val="0"/>
              <w:snapToGrid w:val="0"/>
              <w:jc w:val="center"/>
              <w:outlineLvl w:val="5"/>
              <w:rPr>
                <w:rFonts w:ascii="Times New Roman" w:hAnsi="Times New Roman"/>
                <w:b/>
                <w:bCs/>
                <w:color w:val="auto"/>
                <w:kern w:val="2"/>
                <w:sz w:val="21"/>
                <w:szCs w:val="21"/>
                <w:highlight w:val="none"/>
              </w:rPr>
            </w:pPr>
            <w:r>
              <w:rPr>
                <w:rFonts w:ascii="Times New Roman" w:hAnsi="Times New Roman"/>
                <w:b/>
                <w:bCs/>
                <w:color w:val="auto"/>
                <w:kern w:val="2"/>
                <w:sz w:val="21"/>
                <w:szCs w:val="21"/>
                <w:highlight w:val="none"/>
              </w:rPr>
              <w:t>废水</w:t>
            </w:r>
          </w:p>
        </w:tc>
        <w:tc>
          <w:tcPr>
            <w:tcW w:w="1479" w:type="pct"/>
            <w:tcBorders>
              <w:top w:val="single" w:color="auto" w:sz="4" w:space="0"/>
              <w:left w:val="single" w:color="auto" w:sz="4" w:space="0"/>
              <w:bottom w:val="single" w:color="auto" w:sz="4" w:space="0"/>
              <w:right w:val="single" w:color="auto" w:sz="4" w:space="0"/>
            </w:tcBorders>
            <w:noWrap w:val="0"/>
            <w:vAlign w:val="center"/>
          </w:tcPr>
          <w:p w14:paraId="4F868451">
            <w:pPr>
              <w:adjustRightInd w:val="0"/>
              <w:snapToGrid w:val="0"/>
              <w:jc w:val="center"/>
              <w:outlineLvl w:val="5"/>
              <w:rPr>
                <w:rFonts w:ascii="Times New Roman" w:hAnsi="Times New Roman"/>
                <w:b/>
                <w:bCs/>
                <w:color w:val="auto"/>
                <w:kern w:val="2"/>
                <w:sz w:val="21"/>
                <w:szCs w:val="21"/>
                <w:highlight w:val="none"/>
              </w:rPr>
            </w:pPr>
            <w:r>
              <w:rPr>
                <w:rFonts w:ascii="Times New Roman" w:hAnsi="Times New Roman"/>
                <w:b/>
                <w:bCs/>
                <w:color w:val="auto"/>
                <w:kern w:val="2"/>
                <w:sz w:val="21"/>
                <w:szCs w:val="21"/>
                <w:highlight w:val="none"/>
              </w:rPr>
              <w:t>液体物料</w:t>
            </w:r>
          </w:p>
        </w:tc>
        <w:tc>
          <w:tcPr>
            <w:tcW w:w="1312" w:type="pct"/>
            <w:tcBorders>
              <w:top w:val="single" w:color="auto" w:sz="4" w:space="0"/>
              <w:left w:val="single" w:color="auto" w:sz="4" w:space="0"/>
              <w:bottom w:val="single" w:color="auto" w:sz="4" w:space="0"/>
              <w:right w:val="single" w:color="auto" w:sz="4" w:space="0"/>
            </w:tcBorders>
            <w:noWrap w:val="0"/>
            <w:vAlign w:val="center"/>
          </w:tcPr>
          <w:p w14:paraId="03740FAD">
            <w:pPr>
              <w:adjustRightInd w:val="0"/>
              <w:snapToGrid w:val="0"/>
              <w:jc w:val="center"/>
              <w:outlineLvl w:val="5"/>
              <w:rPr>
                <w:rFonts w:ascii="Times New Roman" w:hAnsi="Times New Roman"/>
                <w:b/>
                <w:bCs/>
                <w:color w:val="auto"/>
                <w:kern w:val="2"/>
                <w:sz w:val="21"/>
                <w:szCs w:val="21"/>
                <w:highlight w:val="none"/>
              </w:rPr>
            </w:pPr>
            <w:r>
              <w:rPr>
                <w:rFonts w:ascii="Times New Roman" w:hAnsi="Times New Roman"/>
                <w:b/>
                <w:bCs/>
                <w:color w:val="auto"/>
                <w:kern w:val="2"/>
                <w:sz w:val="21"/>
                <w:szCs w:val="21"/>
                <w:highlight w:val="none"/>
              </w:rPr>
              <w:t>固废浸出液</w:t>
            </w:r>
          </w:p>
        </w:tc>
      </w:tr>
      <w:tr w14:paraId="349D1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tcBorders>
              <w:top w:val="single" w:color="auto" w:sz="4" w:space="0"/>
              <w:left w:val="single" w:color="auto" w:sz="4" w:space="0"/>
              <w:bottom w:val="single" w:color="auto" w:sz="4" w:space="0"/>
              <w:right w:val="single" w:color="auto" w:sz="4" w:space="0"/>
            </w:tcBorders>
            <w:noWrap w:val="0"/>
            <w:vAlign w:val="center"/>
          </w:tcPr>
          <w:p w14:paraId="7913354A">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持久性污染物</w:t>
            </w:r>
          </w:p>
        </w:tc>
        <w:tc>
          <w:tcPr>
            <w:tcW w:w="1352" w:type="pct"/>
            <w:tcBorders>
              <w:top w:val="single" w:color="auto" w:sz="4" w:space="0"/>
              <w:left w:val="single" w:color="auto" w:sz="4" w:space="0"/>
              <w:bottom w:val="single" w:color="auto" w:sz="4" w:space="0"/>
              <w:right w:val="single" w:color="auto" w:sz="4" w:space="0"/>
            </w:tcBorders>
            <w:noWrap w:val="0"/>
            <w:vAlign w:val="center"/>
          </w:tcPr>
          <w:p w14:paraId="28F290E0">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无</w:t>
            </w:r>
          </w:p>
        </w:tc>
        <w:tc>
          <w:tcPr>
            <w:tcW w:w="1479" w:type="pct"/>
            <w:tcBorders>
              <w:top w:val="single" w:color="auto" w:sz="4" w:space="0"/>
              <w:left w:val="single" w:color="auto" w:sz="4" w:space="0"/>
              <w:bottom w:val="single" w:color="auto" w:sz="4" w:space="0"/>
              <w:right w:val="single" w:color="auto" w:sz="4" w:space="0"/>
            </w:tcBorders>
            <w:noWrap w:val="0"/>
            <w:vAlign w:val="center"/>
          </w:tcPr>
          <w:p w14:paraId="7EC9FD1E">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无</w:t>
            </w:r>
          </w:p>
        </w:tc>
        <w:tc>
          <w:tcPr>
            <w:tcW w:w="1312" w:type="pct"/>
            <w:tcBorders>
              <w:top w:val="single" w:color="auto" w:sz="4" w:space="0"/>
              <w:left w:val="single" w:color="auto" w:sz="4" w:space="0"/>
              <w:bottom w:val="single" w:color="auto" w:sz="4" w:space="0"/>
              <w:right w:val="single" w:color="auto" w:sz="4" w:space="0"/>
            </w:tcBorders>
            <w:noWrap w:val="0"/>
            <w:vAlign w:val="center"/>
          </w:tcPr>
          <w:p w14:paraId="3E90C957">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无</w:t>
            </w:r>
          </w:p>
        </w:tc>
      </w:tr>
      <w:tr w14:paraId="0B597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tcBorders>
              <w:top w:val="single" w:color="auto" w:sz="4" w:space="0"/>
              <w:left w:val="single" w:color="auto" w:sz="4" w:space="0"/>
              <w:bottom w:val="single" w:color="auto" w:sz="4" w:space="0"/>
              <w:right w:val="single" w:color="auto" w:sz="4" w:space="0"/>
            </w:tcBorders>
            <w:noWrap w:val="0"/>
            <w:vAlign w:val="center"/>
          </w:tcPr>
          <w:p w14:paraId="07950098">
            <w:pPr>
              <w:adjustRightInd w:val="0"/>
              <w:snapToGrid w:val="0"/>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重金属污染物</w:t>
            </w:r>
          </w:p>
        </w:tc>
        <w:tc>
          <w:tcPr>
            <w:tcW w:w="1352" w:type="pct"/>
            <w:tcBorders>
              <w:top w:val="single" w:color="auto" w:sz="4" w:space="0"/>
              <w:left w:val="single" w:color="auto" w:sz="4" w:space="0"/>
              <w:bottom w:val="single" w:color="auto" w:sz="4" w:space="0"/>
              <w:right w:val="single" w:color="auto" w:sz="4" w:space="0"/>
            </w:tcBorders>
            <w:noWrap w:val="0"/>
            <w:vAlign w:val="center"/>
          </w:tcPr>
          <w:p w14:paraId="1741A40A">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无</w:t>
            </w:r>
          </w:p>
        </w:tc>
        <w:tc>
          <w:tcPr>
            <w:tcW w:w="1479" w:type="pct"/>
            <w:tcBorders>
              <w:top w:val="single" w:color="auto" w:sz="4" w:space="0"/>
              <w:left w:val="single" w:color="auto" w:sz="4" w:space="0"/>
              <w:bottom w:val="single" w:color="auto" w:sz="4" w:space="0"/>
              <w:right w:val="single" w:color="auto" w:sz="4" w:space="0"/>
            </w:tcBorders>
            <w:noWrap w:val="0"/>
            <w:vAlign w:val="center"/>
          </w:tcPr>
          <w:p w14:paraId="5D29F9B6">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无</w:t>
            </w:r>
          </w:p>
        </w:tc>
        <w:tc>
          <w:tcPr>
            <w:tcW w:w="1312" w:type="pct"/>
            <w:tcBorders>
              <w:top w:val="single" w:color="auto" w:sz="4" w:space="0"/>
              <w:left w:val="single" w:color="auto" w:sz="4" w:space="0"/>
              <w:bottom w:val="single" w:color="auto" w:sz="4" w:space="0"/>
              <w:right w:val="single" w:color="auto" w:sz="4" w:space="0"/>
            </w:tcBorders>
            <w:noWrap w:val="0"/>
            <w:vAlign w:val="center"/>
          </w:tcPr>
          <w:p w14:paraId="4C75201D">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无</w:t>
            </w:r>
          </w:p>
        </w:tc>
      </w:tr>
      <w:tr w14:paraId="28E6F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7" w:type="pct"/>
            <w:tcBorders>
              <w:top w:val="single" w:color="auto" w:sz="4" w:space="0"/>
              <w:left w:val="single" w:color="auto" w:sz="4" w:space="0"/>
              <w:bottom w:val="single" w:color="auto" w:sz="4" w:space="0"/>
              <w:right w:val="single" w:color="auto" w:sz="4" w:space="0"/>
            </w:tcBorders>
            <w:noWrap w:val="0"/>
            <w:vAlign w:val="center"/>
          </w:tcPr>
          <w:p w14:paraId="1FE1AE84">
            <w:pPr>
              <w:adjustRightInd w:val="0"/>
              <w:snapToGrid w:val="0"/>
              <w:jc w:val="center"/>
              <w:outlineLvl w:val="5"/>
              <w:rPr>
                <w:rFonts w:ascii="Times New Roman" w:hAnsi="Times New Roman"/>
                <w:bCs/>
                <w:color w:val="auto"/>
                <w:kern w:val="2"/>
                <w:sz w:val="21"/>
                <w:szCs w:val="21"/>
                <w:highlight w:val="none"/>
              </w:rPr>
            </w:pPr>
            <w:r>
              <w:rPr>
                <w:rFonts w:ascii="Times New Roman" w:hAnsi="Times New Roman"/>
                <w:bCs/>
                <w:color w:val="auto"/>
                <w:kern w:val="2"/>
                <w:sz w:val="21"/>
                <w:szCs w:val="21"/>
                <w:highlight w:val="none"/>
              </w:rPr>
              <w:t>其他</w:t>
            </w:r>
          </w:p>
        </w:tc>
        <w:tc>
          <w:tcPr>
            <w:tcW w:w="1352" w:type="pct"/>
            <w:tcBorders>
              <w:top w:val="single" w:color="auto" w:sz="4" w:space="0"/>
              <w:left w:val="single" w:color="auto" w:sz="4" w:space="0"/>
              <w:bottom w:val="single" w:color="auto" w:sz="4" w:space="0"/>
              <w:right w:val="single" w:color="auto" w:sz="4" w:space="0"/>
            </w:tcBorders>
            <w:noWrap w:val="0"/>
            <w:vAlign w:val="center"/>
          </w:tcPr>
          <w:p w14:paraId="6E570699">
            <w:pPr>
              <w:adjustRightInd w:val="0"/>
              <w:snapToGrid w:val="0"/>
              <w:jc w:val="center"/>
              <w:outlineLvl w:val="5"/>
              <w:rPr>
                <w:rFonts w:ascii="Times New Roman" w:hAnsi="Times New Roman"/>
                <w:bCs/>
                <w:color w:val="auto"/>
                <w:kern w:val="2"/>
                <w:sz w:val="21"/>
                <w:szCs w:val="21"/>
                <w:highlight w:val="none"/>
              </w:rPr>
            </w:pPr>
            <w:r>
              <w:rPr>
                <w:rFonts w:hint="eastAsia"/>
                <w:bCs/>
                <w:color w:val="auto"/>
                <w:kern w:val="2"/>
                <w:sz w:val="21"/>
                <w:szCs w:val="21"/>
                <w:highlight w:val="none"/>
                <w:lang w:val="en-US" w:eastAsia="zh-CN"/>
              </w:rPr>
              <w:t>氟化物</w:t>
            </w:r>
            <w:r>
              <w:rPr>
                <w:rFonts w:ascii="Times New Roman" w:hAnsi="Times New Roman"/>
                <w:bCs/>
                <w:color w:val="auto"/>
                <w:kern w:val="2"/>
                <w:sz w:val="21"/>
                <w:szCs w:val="21"/>
                <w:highlight w:val="none"/>
              </w:rPr>
              <w:t>等</w:t>
            </w:r>
          </w:p>
        </w:tc>
        <w:tc>
          <w:tcPr>
            <w:tcW w:w="1479" w:type="pct"/>
            <w:tcBorders>
              <w:top w:val="single" w:color="auto" w:sz="4" w:space="0"/>
              <w:left w:val="single" w:color="auto" w:sz="4" w:space="0"/>
              <w:bottom w:val="single" w:color="auto" w:sz="4" w:space="0"/>
              <w:right w:val="single" w:color="auto" w:sz="4" w:space="0"/>
            </w:tcBorders>
            <w:noWrap w:val="0"/>
            <w:vAlign w:val="center"/>
          </w:tcPr>
          <w:p w14:paraId="36A98B5F">
            <w:pPr>
              <w:adjustRightInd w:val="0"/>
              <w:snapToGrid w:val="0"/>
              <w:jc w:val="center"/>
              <w:outlineLvl w:val="5"/>
              <w:rPr>
                <w:rFonts w:ascii="Times New Roman" w:hAnsi="Times New Roman"/>
                <w:bCs/>
                <w:color w:val="auto"/>
                <w:kern w:val="2"/>
                <w:sz w:val="21"/>
                <w:szCs w:val="21"/>
                <w:highlight w:val="none"/>
              </w:rPr>
            </w:pPr>
            <w:r>
              <w:rPr>
                <w:rFonts w:hint="eastAsia"/>
                <w:bCs/>
                <w:color w:val="auto"/>
                <w:kern w:val="2"/>
                <w:sz w:val="21"/>
                <w:szCs w:val="21"/>
                <w:highlight w:val="none"/>
                <w:lang w:val="en-US" w:eastAsia="zh-CN"/>
              </w:rPr>
              <w:t>氟化物</w:t>
            </w:r>
            <w:r>
              <w:rPr>
                <w:rFonts w:ascii="Times New Roman" w:hAnsi="Times New Roman"/>
                <w:bCs/>
                <w:color w:val="auto"/>
                <w:kern w:val="2"/>
                <w:sz w:val="21"/>
                <w:szCs w:val="21"/>
                <w:highlight w:val="none"/>
              </w:rPr>
              <w:t>等</w:t>
            </w:r>
          </w:p>
        </w:tc>
        <w:tc>
          <w:tcPr>
            <w:tcW w:w="1312" w:type="pct"/>
            <w:tcBorders>
              <w:top w:val="single" w:color="auto" w:sz="4" w:space="0"/>
              <w:left w:val="single" w:color="auto" w:sz="4" w:space="0"/>
              <w:bottom w:val="single" w:color="auto" w:sz="4" w:space="0"/>
              <w:right w:val="single" w:color="auto" w:sz="4" w:space="0"/>
            </w:tcBorders>
            <w:noWrap w:val="0"/>
            <w:vAlign w:val="center"/>
          </w:tcPr>
          <w:p w14:paraId="1AE4755A">
            <w:pPr>
              <w:adjustRightInd w:val="0"/>
              <w:snapToGrid w:val="0"/>
              <w:jc w:val="center"/>
              <w:outlineLvl w:val="5"/>
              <w:rPr>
                <w:rFonts w:ascii="Times New Roman" w:hAnsi="Times New Roman"/>
                <w:bCs/>
                <w:color w:val="auto"/>
                <w:kern w:val="2"/>
                <w:sz w:val="21"/>
                <w:szCs w:val="21"/>
                <w:highlight w:val="none"/>
              </w:rPr>
            </w:pPr>
            <w:r>
              <w:rPr>
                <w:rFonts w:hint="eastAsia"/>
                <w:bCs/>
                <w:color w:val="auto"/>
                <w:kern w:val="2"/>
                <w:sz w:val="21"/>
                <w:szCs w:val="21"/>
                <w:highlight w:val="none"/>
                <w:lang w:val="en-US" w:eastAsia="zh-CN"/>
              </w:rPr>
              <w:t>氟化物</w:t>
            </w:r>
            <w:r>
              <w:rPr>
                <w:rFonts w:ascii="Times New Roman" w:hAnsi="Times New Roman"/>
                <w:bCs/>
                <w:color w:val="auto"/>
                <w:kern w:val="2"/>
                <w:sz w:val="21"/>
                <w:szCs w:val="21"/>
                <w:highlight w:val="none"/>
              </w:rPr>
              <w:t>等</w:t>
            </w:r>
          </w:p>
        </w:tc>
      </w:tr>
    </w:tbl>
    <w:p w14:paraId="232688BD">
      <w:pPr>
        <w:spacing w:line="360" w:lineRule="auto"/>
        <w:ind w:firstLine="480" w:firstLineChars="200"/>
        <w:jc w:val="both"/>
        <w:rPr>
          <w:rFonts w:ascii="Times New Roman" w:hAnsi="Times New Roman"/>
          <w:snapToGrid w:val="0"/>
          <w:color w:val="auto"/>
          <w:sz w:val="24"/>
          <w:szCs w:val="24"/>
          <w:highlight w:val="none"/>
        </w:rPr>
      </w:pPr>
      <w:r>
        <w:rPr>
          <w:rFonts w:ascii="Times New Roman" w:hAnsi="Times New Roman"/>
          <w:snapToGrid w:val="0"/>
          <w:color w:val="auto"/>
          <w:sz w:val="24"/>
          <w:szCs w:val="24"/>
          <w:highlight w:val="none"/>
        </w:rPr>
        <w:t>选取</w:t>
      </w:r>
      <w:r>
        <w:rPr>
          <w:rFonts w:hint="eastAsia" w:ascii="Times New Roman" w:hAnsi="Times New Roman"/>
          <w:snapToGrid w:val="0"/>
          <w:color w:val="auto"/>
          <w:sz w:val="24"/>
          <w:szCs w:val="24"/>
          <w:highlight w:val="none"/>
          <w:lang w:val="en-US" w:eastAsia="zh-CN"/>
        </w:rPr>
        <w:t>事故废水</w:t>
      </w:r>
      <w:r>
        <w:rPr>
          <w:rFonts w:ascii="Times New Roman" w:hAnsi="Times New Roman"/>
          <w:snapToGrid w:val="0"/>
          <w:color w:val="auto"/>
          <w:sz w:val="24"/>
          <w:szCs w:val="24"/>
          <w:highlight w:val="none"/>
        </w:rPr>
        <w:t>泄漏，泄漏污染物在地面形成液池，污染物经防渗层裂隙渗漏，污染物进入地下水的运移状况。正常运营条件下，对水源地水质无影响，如发生泄漏，</w:t>
      </w:r>
      <w:r>
        <w:rPr>
          <w:rFonts w:hint="eastAsia" w:ascii="Times New Roman" w:hAnsi="Times New Roman"/>
          <w:snapToGrid w:val="0"/>
          <w:color w:val="auto"/>
          <w:sz w:val="24"/>
          <w:szCs w:val="24"/>
          <w:highlight w:val="none"/>
          <w:lang w:val="en-US" w:eastAsia="zh-CN"/>
        </w:rPr>
        <w:t>污染物</w:t>
      </w:r>
      <w:r>
        <w:rPr>
          <w:rFonts w:ascii="Times New Roman" w:hAnsi="Times New Roman"/>
          <w:snapToGrid w:val="0"/>
          <w:color w:val="auto"/>
          <w:sz w:val="24"/>
          <w:szCs w:val="24"/>
          <w:highlight w:val="none"/>
        </w:rPr>
        <w:t>将会进入地下水系统，对地下水造成污染，伴随着污染物的不断运移，污染范围和程度进一步增大。有防渗措施的渗漏量可按照以下公式进行计算：</w:t>
      </w:r>
    </w:p>
    <w:p w14:paraId="616A4C59">
      <w:pPr>
        <w:spacing w:line="360" w:lineRule="auto"/>
        <w:ind w:firstLine="560" w:firstLineChars="200"/>
        <w:jc w:val="center"/>
        <w:rPr>
          <w:rFonts w:hint="eastAsia" w:ascii="Times New Roman" w:hAnsi="Times New Roman" w:eastAsia="宋体"/>
          <w:color w:val="auto"/>
          <w:sz w:val="28"/>
          <w:szCs w:val="28"/>
          <w:highlight w:val="none"/>
          <w:lang w:val="en-US" w:eastAsia="zh-CN"/>
        </w:rPr>
      </w:pPr>
      <w:r>
        <w:rPr>
          <w:rFonts w:ascii="Times New Roman" w:hAnsi="Times New Roman"/>
          <w:color w:val="auto"/>
          <w:sz w:val="28"/>
          <w:szCs w:val="28"/>
          <w:highlight w:val="none"/>
        </w:rPr>
        <w:fldChar w:fldCharType="begin"/>
      </w:r>
      <w:r>
        <w:rPr>
          <w:rFonts w:ascii="Times New Roman" w:hAnsi="Times New Roman"/>
          <w:color w:val="auto"/>
          <w:sz w:val="28"/>
          <w:szCs w:val="28"/>
          <w:highlight w:val="none"/>
        </w:rPr>
        <w:instrText xml:space="preserve"> QUOTE </w:instrText>
      </w:r>
      <w:r>
        <w:rPr>
          <w:color w:val="auto"/>
          <w:position w:val="-6"/>
          <w:highlight w:val="none"/>
        </w:rPr>
        <w:pict>
          <v:shape id="_x0000_i1037" o:spt="75" type="#_x0000_t75" style="height:16.5pt;width:92.2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bordersDontSurroundHeader/&gt;&lt;w:bordersDontSurroundFooter/&gt;&lt;w:defaultTabStop w:val=&quot;420&quot;/&gt;&lt;w:drawingGridHorizontalSpacing w:val=&quot;120&quot;/&gt;&lt;w:drawingGridVerticalSpacing w:val=&quot;163&quot;/&gt;&lt;w:displayHorizontalDrawingGridEvery w:val=&quot;2&quot;/&gt;&lt;w:displayVerticalDrawingGridEvery w:val=&quot;2&quot;/&gt;&lt;w:punctuationKerning/&gt;&lt;w:characterSpacingControl w:val=&quot;DontCompress&quot;/&gt;&lt;w:webPageEncoding w:val=&quot;x-cp20936&quot;/&gt;&lt;w:optimizeForBrowser/&gt;&lt;w:allowPNG/&gt;&lt;w:pixelsPerInch w:val=&quot;12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docVars&gt;&lt;w:docVar w:name=&quot;commondata&quot; w:val=&quot;eyJoZGlkIjoiMDEyY2M0NTcwYzBiYThkNWRiNmEzMzNlNWFhNWE2ZmUifQ==&quot;/&gt;&lt;/w:docVars&gt;&lt;wsp:rsids&gt;&lt;wsp:rsidRoot wsp:val=&quot;004849F8&quot;/&gt;&lt;wsp:rsid wsp:val=&quot;000007A3&quot;/&gt;&lt;wsp:rsid wsp:val=&quot;0000088D&quot;/&gt;&lt;wsp:rsid wsp:val=&quot;00000E9B&quot;/&gt;&lt;wsp:rsid wsp:val=&quot;00000EF5&quot;/&gt;&lt;wsp:rsid wsp:val=&quot;000013F4&quot;/&gt;&lt;wsp:rsid wsp:val=&quot;000016A1&quot;/&gt;&lt;wsp:rsid wsp:val=&quot;000018D0&quot;/&gt;&lt;wsp:rsid wsp:val=&quot;00001FF0&quot;/&gt;&lt;wsp:rsid wsp:val=&quot;000023E6&quot;/&gt;&lt;wsp:rsid wsp:val=&quot;000024A5&quot;/&gt;&lt;wsp:rsid wsp:val=&quot;00002583&quot;/&gt;&lt;wsp:rsid wsp:val=&quot;00002679&quot;/&gt;&lt;wsp:rsid wsp:val=&quot;0000297C&quot;/&gt;&lt;wsp:rsid wsp:val=&quot;00002A53&quot;/&gt;&lt;wsp:rsid wsp:val=&quot;0000352A&quot;/&gt;&lt;wsp:rsid wsp:val=&quot;0000357A&quot;/&gt;&lt;wsp:rsid wsp:val=&quot;0000358B&quot;/&gt;&lt;wsp:rsid wsp:val=&quot;00003620&quot;/&gt;&lt;wsp:rsid wsp:val=&quot;0000388A&quot;/&gt;&lt;wsp:rsid wsp:val=&quot;00003C9F&quot;/&gt;&lt;wsp:rsid wsp:val=&quot;00004195&quot;/&gt;&lt;wsp:rsid wsp:val=&quot;00004760&quot;/&gt;&lt;wsp:rsid wsp:val=&quot;00004A98&quot;/&gt;&lt;wsp:rsid wsp:val=&quot;00004ACC&quot;/&gt;&lt;wsp:rsid wsp:val=&quot;00004C05&quot;/&gt;&lt;wsp:rsid wsp:val=&quot;00004D4D&quot;/&gt;&lt;wsp:rsid wsp:val=&quot;000053C7&quot;/&gt;&lt;wsp:rsid wsp:val=&quot;000054C6&quot;/&gt;&lt;wsp:rsid wsp:val=&quot;00005DF0&quot;/&gt;&lt;wsp:rsid wsp:val=&quot;00005E1D&quot;/&gt;&lt;wsp:rsid wsp:val=&quot;00005ED1&quot;/&gt;&lt;wsp:rsid wsp:val=&quot;00006309&quot;/&gt;&lt;wsp:rsid wsp:val=&quot;0000646F&quot;/&gt;&lt;wsp:rsid wsp:val=&quot;00006567&quot;/&gt;&lt;wsp:rsid wsp:val=&quot;00006A27&quot;/&gt;&lt;wsp:rsid wsp:val=&quot;00006EF3&quot;/&gt;&lt;wsp:rsid wsp:val=&quot;0000701C&quot;/&gt;&lt;wsp:rsid wsp:val=&quot;000073EB&quot;/&gt;&lt;wsp:rsid wsp:val=&quot;00007ED9&quot;/&gt;&lt;wsp:rsid wsp:val=&quot;00007F35&quot;/&gt;&lt;wsp:rsid wsp:val=&quot;000102F4&quot;/&gt;&lt;wsp:rsid wsp:val=&quot;00010919&quot;/&gt;&lt;wsp:rsid wsp:val=&quot;00010DB2&quot;/&gt;&lt;wsp:rsid wsp:val=&quot;00010DC9&quot;/&gt;&lt;wsp:rsid wsp:val=&quot;000114EA&quot;/&gt;&lt;wsp:rsid wsp:val=&quot;000115D9&quot;/&gt;&lt;wsp:rsid wsp:val=&quot;00011B2A&quot;/&gt;&lt;wsp:rsid wsp:val=&quot;0001208A&quot;/&gt;&lt;wsp:rsid wsp:val=&quot;0001209F&quot;/&gt;&lt;wsp:rsid wsp:val=&quot;000123B2&quot;/&gt;&lt;wsp:rsid wsp:val=&quot;000128CE&quot;/&gt;&lt;wsp:rsid wsp:val=&quot;00012EF9&quot;/&gt;&lt;wsp:rsid wsp:val=&quot;000134A4&quot;/&gt;&lt;wsp:rsid wsp:val=&quot;00013600&quot;/&gt;&lt;wsp:rsid wsp:val=&quot;00014032&quot;/&gt;&lt;wsp:rsid wsp:val=&quot;000140CB&quot;/&gt;&lt;wsp:rsid wsp:val=&quot;0001491E&quot;/&gt;&lt;wsp:rsid wsp:val=&quot;00014A38&quot;/&gt;&lt;wsp:rsid wsp:val=&quot;00014BBE&quot;/&gt;&lt;wsp:rsid wsp:val=&quot;0001591C&quot;/&gt;&lt;wsp:rsid wsp:val=&quot;00015A10&quot;/&gt;&lt;wsp:rsid wsp:val=&quot;00015B5A&quot;/&gt;&lt;wsp:rsid wsp:val=&quot;00015F57&quot;/&gt;&lt;wsp:rsid wsp:val=&quot;00016964&quot;/&gt;&lt;wsp:rsid wsp:val=&quot;00016E3B&quot;/&gt;&lt;wsp:rsid wsp:val=&quot;00016EAF&quot;/&gt;&lt;wsp:rsid wsp:val=&quot;0001717C&quot;/&gt;&lt;wsp:rsid wsp:val=&quot;000176F1&quot;/&gt;&lt;wsp:rsid wsp:val=&quot;00017751&quot;/&gt;&lt;wsp:rsid wsp:val=&quot;00017D6A&quot;/&gt;&lt;wsp:rsid wsp:val=&quot;00017DF4&quot;/&gt;&lt;wsp:rsid wsp:val=&quot;000200F9&quot;/&gt;&lt;wsp:rsid wsp:val=&quot;000209BA&quot;/&gt;&lt;wsp:rsid wsp:val=&quot;00020CC3&quot;/&gt;&lt;wsp:rsid wsp:val=&quot;000210F0&quot;/&gt;&lt;wsp:rsid wsp:val=&quot;0002133B&quot;/&gt;&lt;wsp:rsid wsp:val=&quot;000216CF&quot;/&gt;&lt;wsp:rsid wsp:val=&quot;000216D1&quot;/&gt;&lt;wsp:rsid wsp:val=&quot;000216D6&quot;/&gt;&lt;wsp:rsid wsp:val=&quot;0002184F&quot;/&gt;&lt;wsp:rsid wsp:val=&quot;0002195D&quot;/&gt;&lt;wsp:rsid wsp:val=&quot;000219F7&quot;/&gt;&lt;wsp:rsid wsp:val=&quot;00021B29&quot;/&gt;&lt;wsp:rsid wsp:val=&quot;00022446&quot;/&gt;&lt;wsp:rsid wsp:val=&quot;00022571&quot;/&gt;&lt;wsp:rsid wsp:val=&quot;00022629&quot;/&gt;&lt;wsp:rsid wsp:val=&quot;00022A41&quot;/&gt;&lt;wsp:rsid wsp:val=&quot;00022E47&quot;/&gt;&lt;wsp:rsid wsp:val=&quot;00022F6B&quot;/&gt;&lt;wsp:rsid wsp:val=&quot;0002335A&quot;/&gt;&lt;wsp:rsid wsp:val=&quot;00023A17&quot;/&gt;&lt;wsp:rsid wsp:val=&quot;00023AB9&quot;/&gt;&lt;wsp:rsid wsp:val=&quot;00023ACC&quot;/&gt;&lt;wsp:rsid wsp:val=&quot;00023BA8&quot;/&gt;&lt;wsp:rsid wsp:val=&quot;00023BC9&quot;/&gt;&lt;wsp:rsid wsp:val=&quot;00023CB2&quot;/&gt;&lt;wsp:rsid wsp:val=&quot;00023E88&quot;/&gt;&lt;wsp:rsid wsp:val=&quot;000241E8&quot;/&gt;&lt;wsp:rsid wsp:val=&quot;00024C11&quot;/&gt;&lt;wsp:rsid wsp:val=&quot;0002594D&quot;/&gt;&lt;wsp:rsid wsp:val=&quot;000259AF&quot;/&gt;&lt;wsp:rsid wsp:val=&quot;00025A2B&quot;/&gt;&lt;wsp:rsid wsp:val=&quot;00025C2B&quot;/&gt;&lt;wsp:rsid wsp:val=&quot;00025CAC&quot;/&gt;&lt;wsp:rsid wsp:val=&quot;00025CBC&quot;/&gt;&lt;wsp:rsid wsp:val=&quot;0002633F&quot;/&gt;&lt;wsp:rsid wsp:val=&quot;000266DC&quot;/&gt;&lt;wsp:rsid wsp:val=&quot;00027937&quot;/&gt;&lt;wsp:rsid wsp:val=&quot;00027956&quot;/&gt;&lt;wsp:rsid wsp:val=&quot;000279C2&quot;/&gt;&lt;wsp:rsid wsp:val=&quot;00027DF9&quot;/&gt;&lt;wsp:rsid wsp:val=&quot;000302F8&quot;/&gt;&lt;wsp:rsid wsp:val=&quot;00030660&quot;/&gt;&lt;wsp:rsid wsp:val=&quot;000307EC&quot;/&gt;&lt;wsp:rsid wsp:val=&quot;00030C35&quot;/&gt;&lt;wsp:rsid wsp:val=&quot;000311F6&quot;/&gt;&lt;wsp:rsid wsp:val=&quot;000313DF&quot;/&gt;&lt;wsp:rsid wsp:val=&quot;000313F9&quot;/&gt;&lt;wsp:rsid wsp:val=&quot;00031968&quot;/&gt;&lt;wsp:rsid wsp:val=&quot;00031E6A&quot;/&gt;&lt;wsp:rsid wsp:val=&quot;00031FA8&quot;/&gt;&lt;wsp:rsid wsp:val=&quot;000320E9&quot;/&gt;&lt;wsp:rsid wsp:val=&quot;00032A6C&quot;/&gt;&lt;wsp:rsid wsp:val=&quot;00032CB8&quot;/&gt;&lt;wsp:rsid wsp:val=&quot;00032E3B&quot;/&gt;&lt;wsp:rsid wsp:val=&quot;00032E9D&quot;/&gt;&lt;wsp:rsid wsp:val=&quot;00033116&quot;/&gt;&lt;wsp:rsid wsp:val=&quot;000334D4&quot;/&gt;&lt;wsp:rsid wsp:val=&quot;000336A6&quot;/&gt;&lt;wsp:rsid wsp:val=&quot;000339A6&quot;/&gt;&lt;wsp:rsid wsp:val=&quot;00033ABF&quot;/&gt;&lt;wsp:rsid wsp:val=&quot;00033F17&quot;/&gt;&lt;wsp:rsid wsp:val=&quot;0003484F&quot;/&gt;&lt;wsp:rsid wsp:val=&quot;00034A32&quot;/&gt;&lt;wsp:rsid wsp:val=&quot;00034E2C&quot;/&gt;&lt;wsp:rsid wsp:val=&quot;000353BF&quot;/&gt;&lt;wsp:rsid wsp:val=&quot;000354EA&quot;/&gt;&lt;wsp:rsid wsp:val=&quot;00035638&quot;/&gt;&lt;wsp:rsid wsp:val=&quot;00035A5B&quot;/&gt;&lt;wsp:rsid wsp:val=&quot;00035A8A&quot;/&gt;&lt;wsp:rsid wsp:val=&quot;00035DA7&quot;/&gt;&lt;wsp:rsid wsp:val=&quot;000367EF&quot;/&gt;&lt;wsp:rsid wsp:val=&quot;00036D1E&quot;/&gt;&lt;wsp:rsid wsp:val=&quot;00036E13&quot;/&gt;&lt;wsp:rsid wsp:val=&quot;0003795E&quot;/&gt;&lt;wsp:rsid wsp:val=&quot;000404C5&quot;/&gt;&lt;wsp:rsid wsp:val=&quot;00040554&quot;/&gt;&lt;wsp:rsid wsp:val=&quot;0004074B&quot;/&gt;&lt;wsp:rsid wsp:val=&quot;00040831&quot;/&gt;&lt;wsp:rsid wsp:val=&quot;00040E2A&quot;/&gt;&lt;wsp:rsid wsp:val=&quot;000412C2&quot;/&gt;&lt;wsp:rsid wsp:val=&quot;000414D5&quot;/&gt;&lt;wsp:rsid wsp:val=&quot;00041847&quot;/&gt;&lt;wsp:rsid wsp:val=&quot;000418AE&quot;/&gt;&lt;wsp:rsid wsp:val=&quot;00041A42&quot;/&gt;&lt;wsp:rsid wsp:val=&quot;0004281E&quot;/&gt;&lt;wsp:rsid wsp:val=&quot;000429C5&quot;/&gt;&lt;wsp:rsid wsp:val=&quot;00042B09&quot;/&gt;&lt;wsp:rsid wsp:val=&quot;00043773&quot;/&gt;&lt;wsp:rsid wsp:val=&quot;0004379B&quot;/&gt;&lt;wsp:rsid wsp:val=&quot;00043C70&quot;/&gt;&lt;wsp:rsid wsp:val=&quot;00043FB9&quot;/&gt;&lt;wsp:rsid wsp:val=&quot;00044444&quot;/&gt;&lt;wsp:rsid wsp:val=&quot;000449F8&quot;/&gt;&lt;wsp:rsid wsp:val=&quot;00044C77&quot;/&gt;&lt;wsp:rsid wsp:val=&quot;0004502B&quot;/&gt;&lt;wsp:rsid wsp:val=&quot;00045149&quot;/&gt;&lt;wsp:rsid wsp:val=&quot;000452D8&quot;/&gt;&lt;wsp:rsid wsp:val=&quot;000455C7&quot;/&gt;&lt;wsp:rsid wsp:val=&quot;0004560A&quot;/&gt;&lt;wsp:rsid wsp:val=&quot;000456BC&quot;/&gt;&lt;wsp:rsid wsp:val=&quot;00045777&quot;/&gt;&lt;wsp:rsid wsp:val=&quot;0004643F&quot;/&gt;&lt;wsp:rsid wsp:val=&quot;00046498&quot;/&gt;&lt;wsp:rsid wsp:val=&quot;00046572&quot;/&gt;&lt;wsp:rsid wsp:val=&quot;00046805&quot;/&gt;&lt;wsp:rsid wsp:val=&quot;00046B36&quot;/&gt;&lt;wsp:rsid wsp:val=&quot;000476EA&quot;/&gt;&lt;wsp:rsid wsp:val=&quot;0004772A&quot;/&gt;&lt;wsp:rsid wsp:val=&quot;00047824&quot;/&gt;&lt;wsp:rsid wsp:val=&quot;00047945&quot;/&gt;&lt;wsp:rsid wsp:val=&quot;00047CBA&quot;/&gt;&lt;wsp:rsid wsp:val=&quot;0005043A&quot;/&gt;&lt;wsp:rsid wsp:val=&quot;00050717&quot;/&gt;&lt;wsp:rsid wsp:val=&quot;00050870&quot;/&gt;&lt;wsp:rsid wsp:val=&quot;00050941&quot;/&gt;&lt;wsp:rsid wsp:val=&quot;0005095F&quot;/&gt;&lt;wsp:rsid wsp:val=&quot;00050C2F&quot;/&gt;&lt;wsp:rsid wsp:val=&quot;00051116&quot;/&gt;&lt;wsp:rsid wsp:val=&quot;00051358&quot;/&gt;&lt;wsp:rsid wsp:val=&quot;0005163F&quot;/&gt;&lt;wsp:rsid wsp:val=&quot;0005209A&quot;/&gt;&lt;wsp:rsid wsp:val=&quot;000524BE&quot;/&gt;&lt;wsp:rsid wsp:val=&quot;0005260F&quot;/&gt;&lt;wsp:rsid wsp:val=&quot;00052662&quot;/&gt;&lt;wsp:rsid wsp:val=&quot;000526E0&quot;/&gt;&lt;wsp:rsid wsp:val=&quot;00052856&quot;/&gt;&lt;wsp:rsid wsp:val=&quot;00052987&quot;/&gt;&lt;wsp:rsid wsp:val=&quot;00052D05&quot;/&gt;&lt;wsp:rsid wsp:val=&quot;00053349&quot;/&gt;&lt;wsp:rsid wsp:val=&quot;0005371E&quot;/&gt;&lt;wsp:rsid wsp:val=&quot;00053A48&quot;/&gt;&lt;wsp:rsid wsp:val=&quot;00053A9C&quot;/&gt;&lt;wsp:rsid wsp:val=&quot;0005409C&quot;/&gt;&lt;wsp:rsid wsp:val=&quot;00054294&quot;/&gt;&lt;wsp:rsid wsp:val=&quot;00054304&quot;/&gt;&lt;wsp:rsid wsp:val=&quot;0005430F&quot;/&gt;&lt;wsp:rsid wsp:val=&quot;0005431A&quot;/&gt;&lt;wsp:rsid wsp:val=&quot;0005435B&quot;/&gt;&lt;wsp:rsid wsp:val=&quot;000543F0&quot;/&gt;&lt;wsp:rsid wsp:val=&quot;0005477C&quot;/&gt;&lt;wsp:rsid wsp:val=&quot;00054F49&quot;/&gt;&lt;wsp:rsid wsp:val=&quot;00055718&quot;/&gt;&lt;wsp:rsid wsp:val=&quot;00055A8C&quot;/&gt;&lt;wsp:rsid wsp:val=&quot;00055E3E&quot;/&gt;&lt;wsp:rsid wsp:val=&quot;00056045&quot;/&gt;&lt;wsp:rsid wsp:val=&quot;000562C1&quot;/&gt;&lt;wsp:rsid wsp:val=&quot;000566E5&quot;/&gt;&lt;wsp:rsid wsp:val=&quot;00056F6B&quot;/&gt;&lt;wsp:rsid wsp:val=&quot;0005729E&quot;/&gt;&lt;wsp:rsid wsp:val=&quot;00057392&quot;/&gt;&lt;wsp:rsid wsp:val=&quot;00057624&quot;/&gt;&lt;wsp:rsid wsp:val=&quot;00057653&quot;/&gt;&lt;wsp:rsid wsp:val=&quot;00057732&quot;/&gt;&lt;wsp:rsid wsp:val=&quot;00060750&quot;/&gt;&lt;wsp:rsid wsp:val=&quot;00060B70&quot;/&gt;&lt;wsp:rsid wsp:val=&quot;00060D50&quot;/&gt;&lt;wsp:rsid wsp:val=&quot;00060F8A&quot;/&gt;&lt;wsp:rsid wsp:val=&quot;00061419&quot;/&gt;&lt;wsp:rsid wsp:val=&quot;000618A2&quot;/&gt;&lt;wsp:rsid wsp:val=&quot;00061DA1&quot;/&gt;&lt;wsp:rsid wsp:val=&quot;0006244B&quot;/&gt;&lt;wsp:rsid wsp:val=&quot;000629C3&quot;/&gt;&lt;wsp:rsid wsp:val=&quot;00062CF4&quot;/&gt;&lt;wsp:rsid wsp:val=&quot;00062E80&quot;/&gt;&lt;wsp:rsid wsp:val=&quot;00062FE6&quot;/&gt;&lt;wsp:rsid wsp:val=&quot;00063B61&quot;/&gt;&lt;wsp:rsid wsp:val=&quot;00063B78&quot;/&gt;&lt;wsp:rsid wsp:val=&quot;00064265&quot;/&gt;&lt;wsp:rsid wsp:val=&quot;00064983&quot;/&gt;&lt;wsp:rsid wsp:val=&quot;00064996&quot;/&gt;&lt;wsp:rsid wsp:val=&quot;0006499F&quot;/&gt;&lt;wsp:rsid wsp:val=&quot;00064A8E&quot;/&gt;&lt;wsp:rsid wsp:val=&quot;00064B17&quot;/&gt;&lt;wsp:rsid wsp:val=&quot;00064DF8&quot;/&gt;&lt;wsp:rsid wsp:val=&quot;00065152&quot;/&gt;&lt;wsp:rsid wsp:val=&quot;00065D7B&quot;/&gt;&lt;wsp:rsid wsp:val=&quot;0006621C&quot;/&gt;&lt;wsp:rsid wsp:val=&quot;00066384&quot;/&gt;&lt;wsp:rsid wsp:val=&quot;00066858&quot;/&gt;&lt;wsp:rsid wsp:val=&quot;000668C9&quot;/&gt;&lt;wsp:rsid wsp:val=&quot;000673FA&quot;/&gt;&lt;wsp:rsid wsp:val=&quot;000675B6&quot;/&gt;&lt;wsp:rsid wsp:val=&quot;000678E9&quot;/&gt;&lt;wsp:rsid wsp:val=&quot;00067AAC&quot;/&gt;&lt;wsp:rsid wsp:val=&quot;00067CF5&quot;/&gt;&lt;wsp:rsid wsp:val=&quot;00067D57&quot;/&gt;&lt;wsp:rsid wsp:val=&quot;00067DD0&quot;/&gt;&lt;wsp:rsid wsp:val=&quot;00070133&quot;/&gt;&lt;wsp:rsid wsp:val=&quot;00070601&quot;/&gt;&lt;wsp:rsid wsp:val=&quot;000706FF&quot;/&gt;&lt;wsp:rsid wsp:val=&quot;00070CA9&quot;/&gt;&lt;wsp:rsid wsp:val=&quot;00070D6C&quot;/&gt;&lt;wsp:rsid wsp:val=&quot;00070D93&quot;/&gt;&lt;wsp:rsid wsp:val=&quot;00070DDE&quot;/&gt;&lt;wsp:rsid wsp:val=&quot;00071000&quot;/&gt;&lt;wsp:rsid wsp:val=&quot;00071251&quot;/&gt;&lt;wsp:rsid wsp:val=&quot;000713E3&quot;/&gt;&lt;wsp:rsid wsp:val=&quot;0007152B&quot;/&gt;&lt;wsp:rsid wsp:val=&quot;00071DB9&quot;/&gt;&lt;wsp:rsid wsp:val=&quot;00071E97&quot;/&gt;&lt;wsp:rsid wsp:val=&quot;00071F16&quot;/&gt;&lt;wsp:rsid wsp:val=&quot;00072030&quot;/&gt;&lt;wsp:rsid wsp:val=&quot;00072571&quot;/&gt;&lt;wsp:rsid wsp:val=&quot;0007324F&quot;/&gt;&lt;wsp:rsid wsp:val=&quot;0007354C&quot;/&gt;&lt;wsp:rsid wsp:val=&quot;000746ED&quot;/&gt;&lt;wsp:rsid wsp:val=&quot;000747F3&quot;/&gt;&lt;wsp:rsid wsp:val=&quot;00074869&quot;/&gt;&lt;wsp:rsid wsp:val=&quot;000749E0&quot;/&gt;&lt;wsp:rsid wsp:val=&quot;00074C83&quot;/&gt;&lt;wsp:rsid wsp:val=&quot;00075150&quot;/&gt;&lt;wsp:rsid wsp:val=&quot;000752C9&quot;/&gt;&lt;wsp:rsid wsp:val=&quot;00075816&quot;/&gt;&lt;wsp:rsid wsp:val=&quot;0007598A&quot;/&gt;&lt;wsp:rsid wsp:val=&quot;00075AEC&quot;/&gt;&lt;wsp:rsid wsp:val=&quot;00075F73&quot;/&gt;&lt;wsp:rsid wsp:val=&quot;00075F81&quot;/&gt;&lt;wsp:rsid wsp:val=&quot;00076271&quot;/&gt;&lt;wsp:rsid wsp:val=&quot;000763A9&quot;/&gt;&lt;wsp:rsid wsp:val=&quot;00076C34&quot;/&gt;&lt;wsp:rsid wsp:val=&quot;00077039&quot;/&gt;&lt;wsp:rsid wsp:val=&quot;00077410&quot;/&gt;&lt;wsp:rsid wsp:val=&quot;00077D3F&quot;/&gt;&lt;wsp:rsid wsp:val=&quot;00077F73&quot;/&gt;&lt;wsp:rsid wsp:val=&quot;00080A45&quot;/&gt;&lt;wsp:rsid wsp:val=&quot;00080D73&quot;/&gt;&lt;wsp:rsid wsp:val=&quot;000811FF&quot;/&gt;&lt;wsp:rsid wsp:val=&quot;0008138A&quot;/&gt;&lt;wsp:rsid wsp:val=&quot;0008168E&quot;/&gt;&lt;wsp:rsid wsp:val=&quot;000816B4&quot;/&gt;&lt;wsp:rsid wsp:val=&quot;000824A8&quot;/&gt;&lt;wsp:rsid wsp:val=&quot;0008250F&quot;/&gt;&lt;wsp:rsid wsp:val=&quot;000827BA&quot;/&gt;&lt;wsp:rsid wsp:val=&quot;000828B4&quot;/&gt;&lt;wsp:rsid wsp:val=&quot;00082D99&quot;/&gt;&lt;wsp:rsid wsp:val=&quot;00082F55&quot;/&gt;&lt;wsp:rsid wsp:val=&quot;000830C8&quot;/&gt;&lt;wsp:rsid wsp:val=&quot;000835D5&quot;/&gt;&lt;wsp:rsid wsp:val=&quot;00083B57&quot;/&gt;&lt;wsp:rsid wsp:val=&quot;00083C97&quot;/&gt;&lt;wsp:rsid wsp:val=&quot;000843B6&quot;/&gt;&lt;wsp:rsid wsp:val=&quot;00084736&quot;/&gt;&lt;wsp:rsid wsp:val=&quot;0008479F&quot;/&gt;&lt;wsp:rsid wsp:val=&quot;00084939&quot;/&gt;&lt;wsp:rsid wsp:val=&quot;00084A03&quot;/&gt;&lt;wsp:rsid wsp:val=&quot;00084A0B&quot;/&gt;&lt;wsp:rsid wsp:val=&quot;00084F7B&quot;/&gt;&lt;wsp:rsid wsp:val=&quot;0008505E&quot;/&gt;&lt;wsp:rsid wsp:val=&quot;00085167&quot;/&gt;&lt;wsp:rsid wsp:val=&quot;00085307&quot;/&gt;&lt;wsp:rsid wsp:val=&quot;00085438&quot;/&gt;&lt;wsp:rsid wsp:val=&quot;00085762&quot;/&gt;&lt;wsp:rsid wsp:val=&quot;00085963&quot;/&gt;&lt;wsp:rsid wsp:val=&quot;0008599F&quot;/&gt;&lt;wsp:rsid wsp:val=&quot;00085A1F&quot;/&gt;&lt;wsp:rsid wsp:val=&quot;00085CE6&quot;/&gt;&lt;wsp:rsid wsp:val=&quot;00085DC7&quot;/&gt;&lt;wsp:rsid wsp:val=&quot;00085E85&quot;/&gt;&lt;wsp:rsid wsp:val=&quot;00086140&quot;/&gt;&lt;wsp:rsid wsp:val=&quot;0008686B&quot;/&gt;&lt;wsp:rsid wsp:val=&quot;00086C12&quot;/&gt;&lt;wsp:rsid wsp:val=&quot;000870CA&quot;/&gt;&lt;wsp:rsid wsp:val=&quot;000871F8&quot;/&gt;&lt;wsp:rsid wsp:val=&quot;00087640&quot;/&gt;&lt;wsp:rsid wsp:val=&quot;00087726&quot;/&gt;&lt;wsp:rsid wsp:val=&quot;000877A9&quot;/&gt;&lt;wsp:rsid wsp:val=&quot;00087CFD&quot;/&gt;&lt;wsp:rsid wsp:val=&quot;00087FE4&quot;/&gt;&lt;wsp:rsid wsp:val=&quot;00090C13&quot;/&gt;&lt;wsp:rsid wsp:val=&quot;00090CD5&quot;/&gt;&lt;wsp:rsid wsp:val=&quot;00091713&quot;/&gt;&lt;wsp:rsid wsp:val=&quot;00091DF2&quot;/&gt;&lt;wsp:rsid wsp:val=&quot;00092145&quot;/&gt;&lt;wsp:rsid wsp:val=&quot;0009251B&quot;/&gt;&lt;wsp:rsid wsp:val=&quot;00092655&quot;/&gt;&lt;wsp:rsid wsp:val=&quot;00092772&quot;/&gt;&lt;wsp:rsid wsp:val=&quot;00092C28&quot;/&gt;&lt;wsp:rsid wsp:val=&quot;000930C0&quot;/&gt;&lt;wsp:rsid wsp:val=&quot;00093234&quot;/&gt;&lt;wsp:rsid wsp:val=&quot;0009323B&quot;/&gt;&lt;wsp:rsid wsp:val=&quot;000942BE&quot;/&gt;&lt;wsp:rsid wsp:val=&quot;000944A9&quot;/&gt;&lt;wsp:rsid wsp:val=&quot;000957C8&quot;/&gt;&lt;wsp:rsid wsp:val=&quot;0009585E&quot;/&gt;&lt;wsp:rsid wsp:val=&quot;00095A7D&quot;/&gt;&lt;wsp:rsid wsp:val=&quot;00095B80&quot;/&gt;&lt;wsp:rsid wsp:val=&quot;000961B5&quot;/&gt;&lt;wsp:rsid wsp:val=&quot;0009635C&quot;/&gt;&lt;wsp:rsid wsp:val=&quot;000964F5&quot;/&gt;&lt;wsp:rsid wsp:val=&quot;0009657E&quot;/&gt;&lt;wsp:rsid wsp:val=&quot;00096690&quot;/&gt;&lt;wsp:rsid wsp:val=&quot;000967A6&quot;/&gt;&lt;wsp:rsid wsp:val=&quot;00096881&quot;/&gt;&lt;wsp:rsid wsp:val=&quot;00096A50&quot;/&gt;&lt;wsp:rsid wsp:val=&quot;00096C94&quot;/&gt;&lt;wsp:rsid wsp:val=&quot;00096EA1&quot;/&gt;&lt;wsp:rsid wsp:val=&quot;000975BE&quot;/&gt;&lt;wsp:rsid wsp:val=&quot;000976F4&quot;/&gt;&lt;wsp:rsid wsp:val=&quot;00097E51&quot;/&gt;&lt;wsp:rsid wsp:val=&quot;000A025E&quot;/&gt;&lt;wsp:rsid wsp:val=&quot;000A0381&quot;/&gt;&lt;wsp:rsid wsp:val=&quot;000A041E&quot;/&gt;&lt;wsp:rsid wsp:val=&quot;000A0867&quot;/&gt;&lt;wsp:rsid wsp:val=&quot;000A0889&quot;/&gt;&lt;wsp:rsid wsp:val=&quot;000A0B6A&quot;/&gt;&lt;wsp:rsid wsp:val=&quot;000A0D8D&quot;/&gt;&lt;wsp:rsid wsp:val=&quot;000A1093&quot;/&gt;&lt;wsp:rsid wsp:val=&quot;000A10CF&quot;/&gt;&lt;wsp:rsid wsp:val=&quot;000A1833&quot;/&gt;&lt;wsp:rsid wsp:val=&quot;000A1E2C&quot;/&gt;&lt;wsp:rsid wsp:val=&quot;000A1E99&quot;/&gt;&lt;wsp:rsid wsp:val=&quot;000A212D&quot;/&gt;&lt;wsp:rsid wsp:val=&quot;000A2A08&quot;/&gt;&lt;wsp:rsid wsp:val=&quot;000A2A36&quot;/&gt;&lt;wsp:rsid wsp:val=&quot;000A2DCD&quot;/&gt;&lt;wsp:rsid wsp:val=&quot;000A3BD8&quot;/&gt;&lt;wsp:rsid wsp:val=&quot;000A3E85&quot;/&gt;&lt;wsp:rsid wsp:val=&quot;000A4293&quot;/&gt;&lt;wsp:rsid wsp:val=&quot;000A490F&quot;/&gt;&lt;wsp:rsid wsp:val=&quot;000A4987&quot;/&gt;&lt;wsp:rsid wsp:val=&quot;000A50B8&quot;/&gt;&lt;wsp:rsid wsp:val=&quot;000A578D&quot;/&gt;&lt;wsp:rsid wsp:val=&quot;000A57AD&quot;/&gt;&lt;wsp:rsid wsp:val=&quot;000A59ED&quot;/&gt;&lt;wsp:rsid wsp:val=&quot;000A5BAE&quot;/&gt;&lt;wsp:rsid wsp:val=&quot;000A661F&quot;/&gt;&lt;wsp:rsid wsp:val=&quot;000A692D&quot;/&gt;&lt;wsp:rsid wsp:val=&quot;000A697C&quot;/&gt;&lt;wsp:rsid wsp:val=&quot;000A704B&quot;/&gt;&lt;wsp:rsid wsp:val=&quot;000A74A4&quot;/&gt;&lt;wsp:rsid wsp:val=&quot;000A78FE&quot;/&gt;&lt;wsp:rsid wsp:val=&quot;000A7E96&quot;/&gt;&lt;wsp:rsid wsp:val=&quot;000A7F48&quot;/&gt;&lt;wsp:rsid wsp:val=&quot;000B0286&quot;/&gt;&lt;wsp:rsid wsp:val=&quot;000B11FD&quot;/&gt;&lt;wsp:rsid wsp:val=&quot;000B146B&quot;/&gt;&lt;wsp:rsid wsp:val=&quot;000B1736&quot;/&gt;&lt;wsp:rsid wsp:val=&quot;000B176A&quot;/&gt;&lt;wsp:rsid wsp:val=&quot;000B1938&quot;/&gt;&lt;wsp:rsid wsp:val=&quot;000B1B74&quot;/&gt;&lt;wsp:rsid wsp:val=&quot;000B1B97&quot;/&gt;&lt;wsp:rsid wsp:val=&quot;000B1EA2&quot;/&gt;&lt;wsp:rsid wsp:val=&quot;000B1F20&quot;/&gt;&lt;wsp:rsid wsp:val=&quot;000B1FDE&quot;/&gt;&lt;wsp:rsid wsp:val=&quot;000B20E5&quot;/&gt;&lt;wsp:rsid wsp:val=&quot;000B2401&quot;/&gt;&lt;wsp:rsid wsp:val=&quot;000B2B0D&quot;/&gt;&lt;wsp:rsid wsp:val=&quot;000B2C41&quot;/&gt;&lt;wsp:rsid wsp:val=&quot;000B30CF&quot;/&gt;&lt;wsp:rsid wsp:val=&quot;000B3135&quot;/&gt;&lt;wsp:rsid wsp:val=&quot;000B31D0&quot;/&gt;&lt;wsp:rsid wsp:val=&quot;000B3727&quot;/&gt;&lt;wsp:rsid wsp:val=&quot;000B3A06&quot;/&gt;&lt;wsp:rsid wsp:val=&quot;000B3AB5&quot;/&gt;&lt;wsp:rsid wsp:val=&quot;000B402B&quot;/&gt;&lt;wsp:rsid wsp:val=&quot;000B40F6&quot;/&gt;&lt;wsp:rsid wsp:val=&quot;000B41EF&quot;/&gt;&lt;wsp:rsid wsp:val=&quot;000B4253&quot;/&gt;&lt;wsp:rsid wsp:val=&quot;000B4310&quot;/&gt;&lt;wsp:rsid wsp:val=&quot;000B4686&quot;/&gt;&lt;wsp:rsid wsp:val=&quot;000B4974&quot;/&gt;&lt;wsp:rsid wsp:val=&quot;000B4FD7&quot;/&gt;&lt;wsp:rsid wsp:val=&quot;000B58DA&quot;/&gt;&lt;wsp:rsid wsp:val=&quot;000B5E75&quot;/&gt;&lt;wsp:rsid wsp:val=&quot;000B6226&quot;/&gt;&lt;wsp:rsid wsp:val=&quot;000B7187&quot;/&gt;&lt;wsp:rsid wsp:val=&quot;000B7200&quot;/&gt;&lt;wsp:rsid wsp:val=&quot;000B7300&quot;/&gt;&lt;wsp:rsid wsp:val=&quot;000B73B7&quot;/&gt;&lt;wsp:rsid wsp:val=&quot;000B7421&quot;/&gt;&lt;wsp:rsid wsp:val=&quot;000B75A8&quot;/&gt;&lt;wsp:rsid wsp:val=&quot;000C06A5&quot;/&gt;&lt;wsp:rsid wsp:val=&quot;000C0971&quot;/&gt;&lt;wsp:rsid wsp:val=&quot;000C1374&quot;/&gt;&lt;wsp:rsid wsp:val=&quot;000C16F0&quot;/&gt;&lt;wsp:rsid wsp:val=&quot;000C1D25&quot;/&gt;&lt;wsp:rsid wsp:val=&quot;000C2767&quot;/&gt;&lt;wsp:rsid wsp:val=&quot;000C3015&quot;/&gt;&lt;wsp:rsid wsp:val=&quot;000C308B&quot;/&gt;&lt;wsp:rsid wsp:val=&quot;000C30DA&quot;/&gt;&lt;wsp:rsid wsp:val=&quot;000C336A&quot;/&gt;&lt;wsp:rsid wsp:val=&quot;000C36D1&quot;/&gt;&lt;wsp:rsid wsp:val=&quot;000C3AF0&quot;/&gt;&lt;wsp:rsid wsp:val=&quot;000C427B&quot;/&gt;&lt;wsp:rsid wsp:val=&quot;000C471F&quot;/&gt;&lt;wsp:rsid wsp:val=&quot;000C4960&quot;/&gt;&lt;wsp:rsid wsp:val=&quot;000C4D88&quot;/&gt;&lt;wsp:rsid wsp:val=&quot;000C4F82&quot;/&gt;&lt;wsp:rsid wsp:val=&quot;000C4FBD&quot;/&gt;&lt;wsp:rsid wsp:val=&quot;000C530D&quot;/&gt;&lt;wsp:rsid wsp:val=&quot;000C5F94&quot;/&gt;&lt;wsp:rsid wsp:val=&quot;000C6377&quot;/&gt;&lt;wsp:rsid wsp:val=&quot;000C676F&quot;/&gt;&lt;wsp:rsid wsp:val=&quot;000C6822&quot;/&gt;&lt;wsp:rsid wsp:val=&quot;000C7045&quot;/&gt;&lt;wsp:rsid wsp:val=&quot;000C78AD&quot;/&gt;&lt;wsp:rsid wsp:val=&quot;000C7AD6&quot;/&gt;&lt;wsp:rsid wsp:val=&quot;000D011D&quot;/&gt;&lt;wsp:rsid wsp:val=&quot;000D05E3&quot;/&gt;&lt;wsp:rsid wsp:val=&quot;000D0780&quot;/&gt;&lt;wsp:rsid wsp:val=&quot;000D1112&quot;/&gt;&lt;wsp:rsid wsp:val=&quot;000D1386&quot;/&gt;&lt;wsp:rsid wsp:val=&quot;000D1472&quot;/&gt;&lt;wsp:rsid wsp:val=&quot;000D14C0&quot;/&gt;&lt;wsp:rsid wsp:val=&quot;000D1561&quot;/&gt;&lt;wsp:rsid wsp:val=&quot;000D15CB&quot;/&gt;&lt;wsp:rsid wsp:val=&quot;000D16D1&quot;/&gt;&lt;wsp:rsid wsp:val=&quot;000D1B30&quot;/&gt;&lt;wsp:rsid wsp:val=&quot;000D1B3C&quot;/&gt;&lt;wsp:rsid wsp:val=&quot;000D1F82&quot;/&gt;&lt;wsp:rsid wsp:val=&quot;000D2007&quot;/&gt;&lt;wsp:rsid wsp:val=&quot;000D2804&quot;/&gt;&lt;wsp:rsid wsp:val=&quot;000D2A09&quot;/&gt;&lt;wsp:rsid wsp:val=&quot;000D2D98&quot;/&gt;&lt;wsp:rsid wsp:val=&quot;000D2E14&quot;/&gt;&lt;wsp:rsid wsp:val=&quot;000D3625&quot;/&gt;&lt;wsp:rsid wsp:val=&quot;000D3C6C&quot;/&gt;&lt;wsp:rsid wsp:val=&quot;000D3E3F&quot;/&gt;&lt;wsp:rsid wsp:val=&quot;000D4A3B&quot;/&gt;&lt;wsp:rsid wsp:val=&quot;000D4AB8&quot;/&gt;&lt;wsp:rsid wsp:val=&quot;000D5004&quot;/&gt;&lt;wsp:rsid wsp:val=&quot;000D50AE&quot;/&gt;&lt;wsp:rsid wsp:val=&quot;000D57DC&quot;/&gt;&lt;wsp:rsid wsp:val=&quot;000D6248&quot;/&gt;&lt;wsp:rsid wsp:val=&quot;000D6622&quot;/&gt;&lt;wsp:rsid wsp:val=&quot;000D6CB6&quot;/&gt;&lt;wsp:rsid wsp:val=&quot;000D6E29&quot;/&gt;&lt;wsp:rsid wsp:val=&quot;000D72BC&quot;/&gt;&lt;wsp:rsid wsp:val=&quot;000D7396&quot;/&gt;&lt;wsp:rsid wsp:val=&quot;000D73D5&quot;/&gt;&lt;wsp:rsid wsp:val=&quot;000D7555&quot;/&gt;&lt;wsp:rsid wsp:val=&quot;000D7BCD&quot;/&gt;&lt;wsp:rsid wsp:val=&quot;000E064E&quot;/&gt;&lt;wsp:rsid wsp:val=&quot;000E06ED&quot;/&gt;&lt;wsp:rsid wsp:val=&quot;000E0A81&quot;/&gt;&lt;wsp:rsid wsp:val=&quot;000E1252&quot;/&gt;&lt;wsp:rsid wsp:val=&quot;000E1286&quot;/&gt;&lt;wsp:rsid wsp:val=&quot;000E13F5&quot;/&gt;&lt;wsp:rsid wsp:val=&quot;000E1E53&quot;/&gt;&lt;wsp:rsid wsp:val=&quot;000E1E66&quot;/&gt;&lt;wsp:rsid wsp:val=&quot;000E1F62&quot;/&gt;&lt;wsp:rsid wsp:val=&quot;000E29AA&quot;/&gt;&lt;wsp:rsid wsp:val=&quot;000E2A57&quot;/&gt;&lt;wsp:rsid wsp:val=&quot;000E327B&quot;/&gt;&lt;wsp:rsid wsp:val=&quot;000E3546&quot;/&gt;&lt;wsp:rsid wsp:val=&quot;000E36EA&quot;/&gt;&lt;wsp:rsid wsp:val=&quot;000E3B26&quot;/&gt;&lt;wsp:rsid wsp:val=&quot;000E3CAF&quot;/&gt;&lt;wsp:rsid wsp:val=&quot;000E43F8&quot;/&gt;&lt;wsp:rsid wsp:val=&quot;000E4BFA&quot;/&gt;&lt;wsp:rsid wsp:val=&quot;000E523A&quot;/&gt;&lt;wsp:rsid wsp:val=&quot;000E5682&quot;/&gt;&lt;wsp:rsid wsp:val=&quot;000E586A&quot;/&gt;&lt;wsp:rsid wsp:val=&quot;000E59A2&quot;/&gt;&lt;wsp:rsid wsp:val=&quot;000E5C77&quot;/&gt;&lt;wsp:rsid wsp:val=&quot;000E5D39&quot;/&gt;&lt;wsp:rsid wsp:val=&quot;000E5DFA&quot;/&gt;&lt;wsp:rsid wsp:val=&quot;000E669D&quot;/&gt;&lt;wsp:rsid wsp:val=&quot;000E6718&quot;/&gt;&lt;wsp:rsid wsp:val=&quot;000E76E4&quot;/&gt;&lt;wsp:rsid wsp:val=&quot;000E7AD6&quot;/&gt;&lt;wsp:rsid wsp:val=&quot;000F04F9&quot;/&gt;&lt;wsp:rsid wsp:val=&quot;000F0625&quot;/&gt;&lt;wsp:rsid wsp:val=&quot;000F0BFA&quot;/&gt;&lt;wsp:rsid wsp:val=&quot;000F14A2&quot;/&gt;&lt;wsp:rsid wsp:val=&quot;000F14CC&quot;/&gt;&lt;wsp:rsid wsp:val=&quot;000F1814&quot;/&gt;&lt;wsp:rsid wsp:val=&quot;000F1F46&quot;/&gt;&lt;wsp:rsid wsp:val=&quot;000F218F&quot;/&gt;&lt;wsp:rsid wsp:val=&quot;000F2A23&quot;/&gt;&lt;wsp:rsid wsp:val=&quot;000F2D4B&quot;/&gt;&lt;wsp:rsid wsp:val=&quot;000F3034&quot;/&gt;&lt;wsp:rsid wsp:val=&quot;000F33B8&quot;/&gt;&lt;wsp:rsid wsp:val=&quot;000F3CAC&quot;/&gt;&lt;wsp:rsid wsp:val=&quot;000F40D1&quot;/&gt;&lt;wsp:rsid wsp:val=&quot;000F43A0&quot;/&gt;&lt;wsp:rsid wsp:val=&quot;000F4BD8&quot;/&gt;&lt;wsp:rsid wsp:val=&quot;000F4DC8&quot;/&gt;&lt;wsp:rsid wsp:val=&quot;000F4EA7&quot;/&gt;&lt;wsp:rsid wsp:val=&quot;000F4EBE&quot;/&gt;&lt;wsp:rsid wsp:val=&quot;000F55D5&quot;/&gt;&lt;wsp:rsid wsp:val=&quot;000F56BF&quot;/&gt;&lt;wsp:rsid wsp:val=&quot;000F5F63&quot;/&gt;&lt;wsp:rsid wsp:val=&quot;000F6172&quot;/&gt;&lt;wsp:rsid wsp:val=&quot;000F6234&quot;/&gt;&lt;wsp:rsid wsp:val=&quot;000F6792&quot;/&gt;&lt;wsp:rsid wsp:val=&quot;000F6DD3&quot;/&gt;&lt;wsp:rsid wsp:val=&quot;000F6DDB&quot;/&gt;&lt;wsp:rsid wsp:val=&quot;000F6ED6&quot;/&gt;&lt;wsp:rsid wsp:val=&quot;000F6F80&quot;/&gt;&lt;wsp:rsid wsp:val=&quot;000F6FEE&quot;/&gt;&lt;wsp:rsid wsp:val=&quot;000F767F&quot;/&gt;&lt;wsp:rsid wsp:val=&quot;000F7D44&quot;/&gt;&lt;wsp:rsid wsp:val=&quot;000F7DEB&quot;/&gt;&lt;wsp:rsid wsp:val=&quot;000F7F59&quot;/&gt;&lt;wsp:rsid wsp:val=&quot;001003E1&quot;/&gt;&lt;wsp:rsid wsp:val=&quot;00100553&quot;/&gt;&lt;wsp:rsid wsp:val=&quot;0010057C&quot;/&gt;&lt;wsp:rsid wsp:val=&quot;00100CB4&quot;/&gt;&lt;wsp:rsid wsp:val=&quot;00100EB4&quot;/&gt;&lt;wsp:rsid wsp:val=&quot;00101091&quot;/&gt;&lt;wsp:rsid wsp:val=&quot;00101346&quot;/&gt;&lt;wsp:rsid wsp:val=&quot;0010149D&quot;/&gt;&lt;wsp:rsid wsp:val=&quot;001014CF&quot;/&gt;&lt;wsp:rsid wsp:val=&quot;001016FF&quot;/&gt;&lt;wsp:rsid wsp:val=&quot;00101798&quot;/&gt;&lt;wsp:rsid wsp:val=&quot;00102106&quot;/&gt;&lt;wsp:rsid wsp:val=&quot;00102470&quot;/&gt;&lt;wsp:rsid wsp:val=&quot;001025E0&quot;/&gt;&lt;wsp:rsid wsp:val=&quot;0010260E&quot;/&gt;&lt;wsp:rsid wsp:val=&quot;00102853&quot;/&gt;&lt;wsp:rsid wsp:val=&quot;00103381&quot;/&gt;&lt;wsp:rsid wsp:val=&quot;001035B0&quot;/&gt;&lt;wsp:rsid wsp:val=&quot;00103767&quot;/&gt;&lt;wsp:rsid wsp:val=&quot;00103AF6&quot;/&gt;&lt;wsp:rsid wsp:val=&quot;00103EA0&quot;/&gt;&lt;wsp:rsid wsp:val=&quot;00103EFB&quot;/&gt;&lt;wsp:rsid wsp:val=&quot;00104147&quot;/&gt;&lt;wsp:rsid wsp:val=&quot;00104193&quot;/&gt;&lt;wsp:rsid wsp:val=&quot;00104B66&quot;/&gt;&lt;wsp:rsid wsp:val=&quot;00104C81&quot;/&gt;&lt;wsp:rsid wsp:val=&quot;00104EAC&quot;/&gt;&lt;wsp:rsid wsp:val=&quot;00104F20&quot;/&gt;&lt;wsp:rsid wsp:val=&quot;00105492&quot;/&gt;&lt;wsp:rsid wsp:val=&quot;00105B6A&quot;/&gt;&lt;wsp:rsid wsp:val=&quot;00105C6D&quot;/&gt;&lt;wsp:rsid wsp:val=&quot;00105CAF&quot;/&gt;&lt;wsp:rsid wsp:val=&quot;001064FE&quot;/&gt;&lt;wsp:rsid wsp:val=&quot;00106B6F&quot;/&gt;&lt;wsp:rsid wsp:val=&quot;00106D47&quot;/&gt;&lt;wsp:rsid wsp:val=&quot;001070D7&quot;/&gt;&lt;wsp:rsid wsp:val=&quot;0010711F&quot;/&gt;&lt;wsp:rsid wsp:val=&quot;0010782A&quot;/&gt;&lt;wsp:rsid wsp:val=&quot;00107962&quot;/&gt;&lt;wsp:rsid wsp:val=&quot;00107C8C&quot;/&gt;&lt;wsp:rsid wsp:val=&quot;00107E1D&quot;/&gt;&lt;wsp:rsid wsp:val=&quot;0011031F&quot;/&gt;&lt;wsp:rsid wsp:val=&quot;00110D8D&quot;/&gt;&lt;wsp:rsid wsp:val=&quot;00110DCA&quot;/&gt;&lt;wsp:rsid wsp:val=&quot;001117CB&quot;/&gt;&lt;wsp:rsid wsp:val=&quot;00111DFC&quot;/&gt;&lt;wsp:rsid wsp:val=&quot;001124F3&quot;/&gt;&lt;wsp:rsid wsp:val=&quot;00112796&quot;/&gt;&lt;wsp:rsid wsp:val=&quot;00112888&quot;/&gt;&lt;wsp:rsid wsp:val=&quot;0011308B&quot;/&gt;&lt;wsp:rsid wsp:val=&quot;00113BFD&quot;/&gt;&lt;wsp:rsid wsp:val=&quot;001141DC&quot;/&gt;&lt;wsp:rsid wsp:val=&quot;00114674&quot;/&gt;&lt;wsp:rsid wsp:val=&quot;00114BC0&quot;/&gt;&lt;wsp:rsid wsp:val=&quot;0011520F&quot;/&gt;&lt;wsp:rsid wsp:val=&quot;001157D6&quot;/&gt;&lt;wsp:rsid wsp:val=&quot;00115811&quot;/&gt;&lt;wsp:rsid wsp:val=&quot;00116109&quot;/&gt;&lt;wsp:rsid wsp:val=&quot;0011626D&quot;/&gt;&lt;wsp:rsid wsp:val=&quot;001169E1&quot;/&gt;&lt;wsp:rsid wsp:val=&quot;00117440&quot;/&gt;&lt;wsp:rsid wsp:val=&quot;00117A46&quot;/&gt;&lt;wsp:rsid wsp:val=&quot;00117E68&quot;/&gt;&lt;wsp:rsid wsp:val=&quot;00120041&quot;/&gt;&lt;wsp:rsid wsp:val=&quot;00120240&quot;/&gt;&lt;wsp:rsid wsp:val=&quot;0012030C&quot;/&gt;&lt;wsp:rsid wsp:val=&quot;0012038A&quot;/&gt;&lt;wsp:rsid wsp:val=&quot;00120476&quot;/&gt;&lt;wsp:rsid wsp:val=&quot;00120CE0&quot;/&gt;&lt;wsp:rsid wsp:val=&quot;00121128&quot;/&gt;&lt;wsp:rsid wsp:val=&quot;00121B68&quot;/&gt;&lt;wsp:rsid wsp:val=&quot;001223EE&quot;/&gt;&lt;wsp:rsid wsp:val=&quot;001229C5&quot;/&gt;&lt;wsp:rsid wsp:val=&quot;00123112&quot;/&gt;&lt;wsp:rsid wsp:val=&quot;0012355B&quot;/&gt;&lt;wsp:rsid wsp:val=&quot;00123686&quot;/&gt;&lt;wsp:rsid wsp:val=&quot;00123932&quot;/&gt;&lt;wsp:rsid wsp:val=&quot;00123C1F&quot;/&gt;&lt;wsp:rsid wsp:val=&quot;00123F56&quot;/&gt;&lt;wsp:rsid wsp:val=&quot;00123FE6&quot;/&gt;&lt;wsp:rsid wsp:val=&quot;001248E1&quot;/&gt;&lt;wsp:rsid wsp:val=&quot;00125760&quot;/&gt;&lt;wsp:rsid wsp:val=&quot;00125E01&quot;/&gt;&lt;wsp:rsid wsp:val=&quot;00125F26&quot;/&gt;&lt;wsp:rsid wsp:val=&quot;001260E0&quot;/&gt;&lt;wsp:rsid wsp:val=&quot;001261D7&quot;/&gt;&lt;wsp:rsid wsp:val=&quot;00127D5A&quot;/&gt;&lt;wsp:rsid wsp:val=&quot;00127F03&quot;/&gt;&lt;wsp:rsid wsp:val=&quot;001312BF&quot;/&gt;&lt;wsp:rsid wsp:val=&quot;00131901&quot;/&gt;&lt;wsp:rsid wsp:val=&quot;00132735&quot;/&gt;&lt;wsp:rsid wsp:val=&quot;00132980&quot;/&gt;&lt;wsp:rsid wsp:val=&quot;001338CD&quot;/&gt;&lt;wsp:rsid wsp:val=&quot;0013398B&quot;/&gt;&lt;wsp:rsid wsp:val=&quot;00133F3B&quot;/&gt;&lt;wsp:rsid wsp:val=&quot;00134291&quot;/&gt;&lt;wsp:rsid wsp:val=&quot;0013461B&quot;/&gt;&lt;wsp:rsid wsp:val=&quot;001349DA&quot;/&gt;&lt;wsp:rsid wsp:val=&quot;00134B40&quot;/&gt;&lt;wsp:rsid wsp:val=&quot;00136134&quot;/&gt;&lt;wsp:rsid wsp:val=&quot;00136515&quot;/&gt;&lt;wsp:rsid wsp:val=&quot;0013654B&quot;/&gt;&lt;wsp:rsid wsp:val=&quot;001365B0&quot;/&gt;&lt;wsp:rsid wsp:val=&quot;0013672C&quot;/&gt;&lt;wsp:rsid wsp:val=&quot;001367BB&quot;/&gt;&lt;wsp:rsid wsp:val=&quot;0013687B&quot;/&gt;&lt;wsp:rsid wsp:val=&quot;00136A25&quot;/&gt;&lt;wsp:rsid wsp:val=&quot;00136D28&quot;/&gt;&lt;wsp:rsid wsp:val=&quot;001372B6&quot;/&gt;&lt;wsp:rsid wsp:val=&quot;001376B3&quot;/&gt;&lt;wsp:rsid wsp:val=&quot;0013775A&quot;/&gt;&lt;wsp:rsid wsp:val=&quot;001377FA&quot;/&gt;&lt;wsp:rsid wsp:val=&quot;00137AC7&quot;/&gt;&lt;wsp:rsid wsp:val=&quot;00137C25&quot;/&gt;&lt;wsp:rsid wsp:val=&quot;00137C57&quot;/&gt;&lt;wsp:rsid wsp:val=&quot;00137D21&quot;/&gt;&lt;wsp:rsid wsp:val=&quot;00137DA3&quot;/&gt;&lt;wsp:rsid wsp:val=&quot;00140503&quot;/&gt;&lt;wsp:rsid wsp:val=&quot;00140531&quot;/&gt;&lt;wsp:rsid wsp:val=&quot;00140890&quot;/&gt;&lt;wsp:rsid wsp:val=&quot;00140CFC&quot;/&gt;&lt;wsp:rsid wsp:val=&quot;00140DE8&quot;/&gt;&lt;wsp:rsid wsp:val=&quot;00141788&quot;/&gt;&lt;wsp:rsid wsp:val=&quot;00141902&quot;/&gt;&lt;wsp:rsid wsp:val=&quot;00141A60&quot;/&gt;&lt;wsp:rsid wsp:val=&quot;00141A78&quot;/&gt;&lt;wsp:rsid wsp:val=&quot;00142090&quot;/&gt;&lt;wsp:rsid wsp:val=&quot;001423F5&quot;/&gt;&lt;wsp:rsid wsp:val=&quot;001424B1&quot;/&gt;&lt;wsp:rsid wsp:val=&quot;001425E3&quot;/&gt;&lt;wsp:rsid wsp:val=&quot;001428A7&quot;/&gt;&lt;wsp:rsid wsp:val=&quot;00142919&quot;/&gt;&lt;wsp:rsid wsp:val=&quot;00143392&quot;/&gt;&lt;wsp:rsid wsp:val=&quot;00143DF1&quot;/&gt;&lt;wsp:rsid wsp:val=&quot;00144AED&quot;/&gt;&lt;wsp:rsid wsp:val=&quot;00144DED&quot;/&gt;&lt;wsp:rsid wsp:val=&quot;00144F22&quot;/&gt;&lt;wsp:rsid wsp:val=&quot;001453A5&quot;/&gt;&lt;wsp:rsid wsp:val=&quot;001453B4&quot;/&gt;&lt;wsp:rsid wsp:val=&quot;001459B9&quot;/&gt;&lt;wsp:rsid wsp:val=&quot;001459E9&quot;/&gt;&lt;wsp:rsid wsp:val=&quot;00145CBC&quot;/&gt;&lt;wsp:rsid wsp:val=&quot;00145E2B&quot;/&gt;&lt;wsp:rsid wsp:val=&quot;001464B8&quot;/&gt;&lt;wsp:rsid wsp:val=&quot;00146670&quot;/&gt;&lt;wsp:rsid wsp:val=&quot;001466A9&quot;/&gt;&lt;wsp:rsid wsp:val=&quot;0014672D&quot;/&gt;&lt;wsp:rsid wsp:val=&quot;00146C5B&quot;/&gt;&lt;wsp:rsid wsp:val=&quot;0014702D&quot;/&gt;&lt;wsp:rsid wsp:val=&quot;001471E9&quot;/&gt;&lt;wsp:rsid wsp:val=&quot;00147257&quot;/&gt;&lt;wsp:rsid wsp:val=&quot;00147C82&quot;/&gt;&lt;wsp:rsid wsp:val=&quot;00147F1F&quot;/&gt;&lt;wsp:rsid wsp:val=&quot;00147F36&quot;/&gt;&lt;wsp:rsid wsp:val=&quot;00147F7D&quot;/&gt;&lt;wsp:rsid wsp:val=&quot;001501AC&quot;/&gt;&lt;wsp:rsid wsp:val=&quot;00150265&quot;/&gt;&lt;wsp:rsid wsp:val=&quot;00150700&quot;/&gt;&lt;wsp:rsid wsp:val=&quot;0015078D&quot;/&gt;&lt;wsp:rsid wsp:val=&quot;00150A7B&quot;/&gt;&lt;wsp:rsid wsp:val=&quot;0015142B&quot;/&gt;&lt;wsp:rsid wsp:val=&quot;0015170A&quot;/&gt;&lt;wsp:rsid wsp:val=&quot;00152363&quot;/&gt;&lt;wsp:rsid wsp:val=&quot;00153430&quot;/&gt;&lt;wsp:rsid wsp:val=&quot;0015361E&quot;/&gt;&lt;wsp:rsid wsp:val=&quot;00153C8D&quot;/&gt;&lt;wsp:rsid wsp:val=&quot;00153EAE&quot;/&gt;&lt;wsp:rsid wsp:val=&quot;00154176&quot;/&gt;&lt;wsp:rsid wsp:val=&quot;00154C86&quot;/&gt;&lt;wsp:rsid wsp:val=&quot;00154E86&quot;/&gt;&lt;wsp:rsid wsp:val=&quot;00154EA8&quot;/&gt;&lt;wsp:rsid wsp:val=&quot;00155018&quot;/&gt;&lt;wsp:rsid wsp:val=&quot;001553D8&quot;/&gt;&lt;wsp:rsid wsp:val=&quot;00155C70&quot;/&gt;&lt;wsp:rsid wsp:val=&quot;00156664&quot;/&gt;&lt;wsp:rsid wsp:val=&quot;00156ADE&quot;/&gt;&lt;wsp:rsid wsp:val=&quot;00156E16&quot;/&gt;&lt;wsp:rsid wsp:val=&quot;00156F0D&quot;/&gt;&lt;wsp:rsid wsp:val=&quot;00156F7E&quot;/&gt;&lt;wsp:rsid wsp:val=&quot;00157532&quot;/&gt;&lt;wsp:rsid wsp:val=&quot;0015755D&quot;/&gt;&lt;wsp:rsid wsp:val=&quot;00157564&quot;/&gt;&lt;wsp:rsid wsp:val=&quot;0016015A&quot;/&gt;&lt;wsp:rsid wsp:val=&quot;0016036E&quot;/&gt;&lt;wsp:rsid wsp:val=&quot;0016036F&quot;/&gt;&lt;wsp:rsid wsp:val=&quot;00160724&quot;/&gt;&lt;wsp:rsid wsp:val=&quot;00160CA8&quot;/&gt;&lt;wsp:rsid wsp:val=&quot;00161765&quot;/&gt;&lt;wsp:rsid wsp:val=&quot;00162442&quot;/&gt;&lt;wsp:rsid wsp:val=&quot;00162810&quot;/&gt;&lt;wsp:rsid wsp:val=&quot;00162B0C&quot;/&gt;&lt;wsp:rsid wsp:val=&quot;00162B8D&quot;/&gt;&lt;wsp:rsid wsp:val=&quot;00162C33&quot;/&gt;&lt;wsp:rsid wsp:val=&quot;00162F61&quot;/&gt;&lt;wsp:rsid wsp:val=&quot;00163140&quot;/&gt;&lt;wsp:rsid wsp:val=&quot;0016316E&quot;/&gt;&lt;wsp:rsid wsp:val=&quot;0016318D&quot;/&gt;&lt;wsp:rsid wsp:val=&quot;00163417&quot;/&gt;&lt;wsp:rsid wsp:val=&quot;00163642&quot;/&gt;&lt;wsp:rsid wsp:val=&quot;00163870&quot;/&gt;&lt;wsp:rsid wsp:val=&quot;001638A3&quot;/&gt;&lt;wsp:rsid wsp:val=&quot;00163A2C&quot;/&gt;&lt;wsp:rsid wsp:val=&quot;00163A5F&quot;/&gt;&lt;wsp:rsid wsp:val=&quot;00163F2A&quot;/&gt;&lt;wsp:rsid wsp:val=&quot;00163F55&quot;/&gt;&lt;wsp:rsid wsp:val=&quot;001643EC&quot;/&gt;&lt;wsp:rsid wsp:val=&quot;001647B7&quot;/&gt;&lt;wsp:rsid wsp:val=&quot;001648CA&quot;/&gt;&lt;wsp:rsid wsp:val=&quot;0016493B&quot;/&gt;&lt;wsp:rsid wsp:val=&quot;00164946&quot;/&gt;&lt;wsp:rsid wsp:val=&quot;00164EC1&quot;/&gt;&lt;wsp:rsid wsp:val=&quot;001658E6&quot;/&gt;&lt;wsp:rsid wsp:val=&quot;00165E5A&quot;/&gt;&lt;wsp:rsid wsp:val=&quot;00165FD4&quot;/&gt;&lt;wsp:rsid wsp:val=&quot;001666CB&quot;/&gt;&lt;wsp:rsid wsp:val=&quot;0016683D&quot;/&gt;&lt;wsp:rsid wsp:val=&quot;0016686D&quot;/&gt;&lt;wsp:rsid wsp:val=&quot;0016694E&quot;/&gt;&lt;wsp:rsid wsp:val=&quot;00166A11&quot;/&gt;&lt;wsp:rsid wsp:val=&quot;00166C4F&quot;/&gt;&lt;wsp:rsid wsp:val=&quot;00166CA6&quot;/&gt;&lt;wsp:rsid wsp:val=&quot;00166DE9&quot;/&gt;&lt;wsp:rsid wsp:val=&quot;0016791F&quot;/&gt;&lt;wsp:rsid wsp:val=&quot;00167AA9&quot;/&gt;&lt;wsp:rsid wsp:val=&quot;00167E8B&quot;/&gt;&lt;wsp:rsid wsp:val=&quot;00167F5F&quot;/&gt;&lt;wsp:rsid wsp:val=&quot;00170012&quot;/&gt;&lt;wsp:rsid wsp:val=&quot;001700B0&quot;/&gt;&lt;wsp:rsid wsp:val=&quot;0017065E&quot;/&gt;&lt;wsp:rsid wsp:val=&quot;00170DC2&quot;/&gt;&lt;wsp:rsid wsp:val=&quot;0017104C&quot;/&gt;&lt;wsp:rsid wsp:val=&quot;001719A1&quot;/&gt;&lt;wsp:rsid wsp:val=&quot;00171D66&quot;/&gt;&lt;wsp:rsid wsp:val=&quot;001724A3&quot;/&gt;&lt;wsp:rsid wsp:val=&quot;00172715&quot;/&gt;&lt;wsp:rsid wsp:val=&quot;001730EC&quot;/&gt;&lt;wsp:rsid wsp:val=&quot;00173371&quot;/&gt;&lt;wsp:rsid wsp:val=&quot;00173568&quot;/&gt;&lt;wsp:rsid wsp:val=&quot;0017371F&quot;/&gt;&lt;wsp:rsid wsp:val=&quot;00173B72&quot;/&gt;&lt;wsp:rsid wsp:val=&quot;00173D9D&quot;/&gt;&lt;wsp:rsid wsp:val=&quot;00174061&quot;/&gt;&lt;wsp:rsid wsp:val=&quot;001742CF&quot;/&gt;&lt;wsp:rsid wsp:val=&quot;001743B3&quot;/&gt;&lt;wsp:rsid wsp:val=&quot;00174740&quot;/&gt;&lt;wsp:rsid wsp:val=&quot;001747FB&quot;/&gt;&lt;wsp:rsid wsp:val=&quot;00174E15&quot;/&gt;&lt;wsp:rsid wsp:val=&quot;00174FC9&quot;/&gt;&lt;wsp:rsid wsp:val=&quot;0017506D&quot;/&gt;&lt;wsp:rsid wsp:val=&quot;001751C0&quot;/&gt;&lt;wsp:rsid wsp:val=&quot;00175BC2&quot;/&gt;&lt;wsp:rsid wsp:val=&quot;00175C5E&quot;/&gt;&lt;wsp:rsid wsp:val=&quot;00175F87&quot;/&gt;&lt;wsp:rsid wsp:val=&quot;00176223&quot;/&gt;&lt;wsp:rsid wsp:val=&quot;001762C3&quot;/&gt;&lt;wsp:rsid wsp:val=&quot;00176301&quot;/&gt;&lt;wsp:rsid wsp:val=&quot;001763C2&quot;/&gt;&lt;wsp:rsid wsp:val=&quot;001775C9&quot;/&gt;&lt;wsp:rsid wsp:val=&quot;001776F6&quot;/&gt;&lt;wsp:rsid wsp:val=&quot;001779CB&quot;/&gt;&lt;wsp:rsid wsp:val=&quot;001779FB&quot;/&gt;&lt;wsp:rsid wsp:val=&quot;00177B93&quot;/&gt;&lt;wsp:rsid wsp:val=&quot;00180242&quot;/&gt;&lt;wsp:rsid wsp:val=&quot;0018035E&quot;/&gt;&lt;wsp:rsid wsp:val=&quot;00180A3F&quot;/&gt;&lt;wsp:rsid wsp:val=&quot;00181288&quot;/&gt;&lt;wsp:rsid wsp:val=&quot;0018175E&quot;/&gt;&lt;wsp:rsid wsp:val=&quot;00181A12&quot;/&gt;&lt;wsp:rsid wsp:val=&quot;00181A4A&quot;/&gt;&lt;wsp:rsid wsp:val=&quot;00181BBE&quot;/&gt;&lt;wsp:rsid wsp:val=&quot;001824C4&quot;/&gt;&lt;wsp:rsid wsp:val=&quot;00182616&quot;/&gt;&lt;wsp:rsid wsp:val=&quot;00182E72&quot;/&gt;&lt;wsp:rsid wsp:val=&quot;00183127&quot;/&gt;&lt;wsp:rsid wsp:val=&quot;00183249&quot;/&gt;&lt;wsp:rsid wsp:val=&quot;001833E4&quot;/&gt;&lt;wsp:rsid wsp:val=&quot;00183485&quot;/&gt;&lt;wsp:rsid wsp:val=&quot;001836AA&quot;/&gt;&lt;wsp:rsid wsp:val=&quot;0018377F&quot;/&gt;&lt;wsp:rsid wsp:val=&quot;00184073&quot;/&gt;&lt;wsp:rsid wsp:val=&quot;0018408F&quot;/&gt;&lt;wsp:rsid wsp:val=&quot;00184121&quot;/&gt;&lt;wsp:rsid wsp:val=&quot;001845F9&quot;/&gt;&lt;wsp:rsid wsp:val=&quot;0018469C&quot;/&gt;&lt;wsp:rsid wsp:val=&quot;001846C6&quot;/&gt;&lt;wsp:rsid wsp:val=&quot;001852D7&quot;/&gt;&lt;wsp:rsid wsp:val=&quot;00185608&quot;/&gt;&lt;wsp:rsid wsp:val=&quot;00185678&quot;/&gt;&lt;wsp:rsid wsp:val=&quot;00185E7D&quot;/&gt;&lt;wsp:rsid wsp:val=&quot;00186014&quot;/&gt;&lt;wsp:rsid wsp:val=&quot;001861EE&quot;/&gt;&lt;wsp:rsid wsp:val=&quot;001869D8&quot;/&gt;&lt;wsp:rsid wsp:val=&quot;00186F52&quot;/&gt;&lt;wsp:rsid wsp:val=&quot;00187169&quot;/&gt;&lt;wsp:rsid wsp:val=&quot;00187364&quot;/&gt;&lt;wsp:rsid wsp:val=&quot;00187CFF&quot;/&gt;&lt;wsp:rsid wsp:val=&quot;00187F8E&quot;/&gt;&lt;wsp:rsid wsp:val=&quot;001907C3&quot;/&gt;&lt;wsp:rsid wsp:val=&quot;00190D68&quot;/&gt;&lt;wsp:rsid wsp:val=&quot;00190EC1&quot;/&gt;&lt;wsp:rsid wsp:val=&quot;001912A4&quot;/&gt;&lt;wsp:rsid wsp:val=&quot;0019163C&quot;/&gt;&lt;wsp:rsid wsp:val=&quot;00191712&quot;/&gt;&lt;wsp:rsid wsp:val=&quot;00191A97&quot;/&gt;&lt;wsp:rsid wsp:val=&quot;00191CC3&quot;/&gt;&lt;wsp:rsid wsp:val=&quot;00191E46&quot;/&gt;&lt;wsp:rsid wsp:val=&quot;00191E9A&quot;/&gt;&lt;wsp:rsid wsp:val=&quot;00191F10&quot;/&gt;&lt;wsp:rsid wsp:val=&quot;00192166&quot;/&gt;&lt;wsp:rsid wsp:val=&quot;00192222&quot;/&gt;&lt;wsp:rsid wsp:val=&quot;00192442&quot;/&gt;&lt;wsp:rsid wsp:val=&quot;0019250D&quot;/&gt;&lt;wsp:rsid wsp:val=&quot;00192580&quot;/&gt;&lt;wsp:rsid wsp:val=&quot;00192CD7&quot;/&gt;&lt;wsp:rsid wsp:val=&quot;001931D4&quot;/&gt;&lt;wsp:rsid wsp:val=&quot;00193303&quot;/&gt;&lt;wsp:rsid wsp:val=&quot;00193591&quot;/&gt;&lt;wsp:rsid wsp:val=&quot;00193E7A&quot;/&gt;&lt;wsp:rsid wsp:val=&quot;0019425A&quot;/&gt;&lt;wsp:rsid wsp:val=&quot;0019482F&quot;/&gt;&lt;wsp:rsid wsp:val=&quot;00194A6D&quot;/&gt;&lt;wsp:rsid wsp:val=&quot;00194BC1&quot;/&gt;&lt;wsp:rsid wsp:val=&quot;0019545B&quot;/&gt;&lt;wsp:rsid wsp:val=&quot;0019550E&quot;/&gt;&lt;wsp:rsid wsp:val=&quot;00195740&quot;/&gt;&lt;wsp:rsid wsp:val=&quot;00195878&quot;/&gt;&lt;wsp:rsid wsp:val=&quot;00195C68&quot;/&gt;&lt;wsp:rsid wsp:val=&quot;00195CA7&quot;/&gt;&lt;wsp:rsid wsp:val=&quot;001965A0&quot;/&gt;&lt;wsp:rsid wsp:val=&quot;00196AC8&quot;/&gt;&lt;wsp:rsid wsp:val=&quot;00196C69&quot;/&gt;&lt;wsp:rsid wsp:val=&quot;00196CB2&quot;/&gt;&lt;wsp:rsid wsp:val=&quot;00196CCB&quot;/&gt;&lt;wsp:rsid wsp:val=&quot;00196EA3&quot;/&gt;&lt;wsp:rsid wsp:val=&quot;00197676&quot;/&gt;&lt;wsp:rsid wsp:val=&quot;001A0024&quot;/&gt;&lt;wsp:rsid wsp:val=&quot;001A034B&quot;/&gt;&lt;wsp:rsid wsp:val=&quot;001A0388&quot;/&gt;&lt;wsp:rsid wsp:val=&quot;001A0761&quot;/&gt;&lt;wsp:rsid wsp:val=&quot;001A0B1C&quot;/&gt;&lt;wsp:rsid wsp:val=&quot;001A1223&quot;/&gt;&lt;wsp:rsid wsp:val=&quot;001A12BB&quot;/&gt;&lt;wsp:rsid wsp:val=&quot;001A1BAD&quot;/&gt;&lt;wsp:rsid wsp:val=&quot;001A1BE5&quot;/&gt;&lt;wsp:rsid wsp:val=&quot;001A1E60&quot;/&gt;&lt;wsp:rsid wsp:val=&quot;001A2246&quot;/&gt;&lt;wsp:rsid wsp:val=&quot;001A243E&quot;/&gt;&lt;wsp:rsid wsp:val=&quot;001A2644&quot;/&gt;&lt;wsp:rsid wsp:val=&quot;001A2A12&quot;/&gt;&lt;wsp:rsid wsp:val=&quot;001A34D1&quot;/&gt;&lt;wsp:rsid wsp:val=&quot;001A35F7&quot;/&gt;&lt;wsp:rsid wsp:val=&quot;001A3E37&quot;/&gt;&lt;wsp:rsid wsp:val=&quot;001A54F6&quot;/&gt;&lt;wsp:rsid wsp:val=&quot;001A5580&quot;/&gt;&lt;wsp:rsid wsp:val=&quot;001A5734&quot;/&gt;&lt;wsp:rsid wsp:val=&quot;001A5CED&quot;/&gt;&lt;wsp:rsid wsp:val=&quot;001A5EA7&quot;/&gt;&lt;wsp:rsid wsp:val=&quot;001A61F9&quot;/&gt;&lt;wsp:rsid wsp:val=&quot;001A67B1&quot;/&gt;&lt;wsp:rsid wsp:val=&quot;001A68BA&quot;/&gt;&lt;wsp:rsid wsp:val=&quot;001A6E7F&quot;/&gt;&lt;wsp:rsid wsp:val=&quot;001A6F97&quot;/&gt;&lt;wsp:rsid wsp:val=&quot;001B01FF&quot;/&gt;&lt;wsp:rsid wsp:val=&quot;001B034B&quot;/&gt;&lt;wsp:rsid wsp:val=&quot;001B03DF&quot;/&gt;&lt;wsp:rsid wsp:val=&quot;001B05AE&quot;/&gt;&lt;wsp:rsid wsp:val=&quot;001B076B&quot;/&gt;&lt;wsp:rsid wsp:val=&quot;001B0A57&quot;/&gt;&lt;wsp:rsid wsp:val=&quot;001B10AB&quot;/&gt;&lt;wsp:rsid wsp:val=&quot;001B139C&quot;/&gt;&lt;wsp:rsid wsp:val=&quot;001B139D&quot;/&gt;&lt;wsp:rsid wsp:val=&quot;001B13D0&quot;/&gt;&lt;wsp:rsid wsp:val=&quot;001B1488&quot;/&gt;&lt;wsp:rsid wsp:val=&quot;001B14C8&quot;/&gt;&lt;wsp:rsid wsp:val=&quot;001B1D3A&quot;/&gt;&lt;wsp:rsid wsp:val=&quot;001B1EE8&quot;/&gt;&lt;wsp:rsid wsp:val=&quot;001B2A5F&quot;/&gt;&lt;wsp:rsid wsp:val=&quot;001B2B07&quot;/&gt;&lt;wsp:rsid wsp:val=&quot;001B2E7C&quot;/&gt;&lt;wsp:rsid wsp:val=&quot;001B3E25&quot;/&gt;&lt;wsp:rsid wsp:val=&quot;001B3FD5&quot;/&gt;&lt;wsp:rsid wsp:val=&quot;001B417E&quot;/&gt;&lt;wsp:rsid wsp:val=&quot;001B41CE&quot;/&gt;&lt;wsp:rsid wsp:val=&quot;001B44C0&quot;/&gt;&lt;wsp:rsid wsp:val=&quot;001B4590&quot;/&gt;&lt;wsp:rsid wsp:val=&quot;001B48F7&quot;/&gt;&lt;wsp:rsid wsp:val=&quot;001B4A42&quot;/&gt;&lt;wsp:rsid wsp:val=&quot;001B4D63&quot;/&gt;&lt;wsp:rsid wsp:val=&quot;001B55DB&quot;/&gt;&lt;wsp:rsid wsp:val=&quot;001B5640&quot;/&gt;&lt;wsp:rsid wsp:val=&quot;001B580E&quot;/&gt;&lt;wsp:rsid wsp:val=&quot;001B5885&quot;/&gt;&lt;wsp:rsid wsp:val=&quot;001B590F&quot;/&gt;&lt;wsp:rsid wsp:val=&quot;001B5A1A&quot;/&gt;&lt;wsp:rsid wsp:val=&quot;001B5B8D&quot;/&gt;&lt;wsp:rsid wsp:val=&quot;001B5E72&quot;/&gt;&lt;wsp:rsid wsp:val=&quot;001B5F7F&quot;/&gt;&lt;wsp:rsid wsp:val=&quot;001B6407&quot;/&gt;&lt;wsp:rsid wsp:val=&quot;001B641A&quot;/&gt;&lt;wsp:rsid wsp:val=&quot;001B64C2&quot;/&gt;&lt;wsp:rsid wsp:val=&quot;001B6791&quot;/&gt;&lt;wsp:rsid wsp:val=&quot;001B67AF&quot;/&gt;&lt;wsp:rsid wsp:val=&quot;001B7055&quot;/&gt;&lt;wsp:rsid wsp:val=&quot;001B7643&quot;/&gt;&lt;wsp:rsid wsp:val=&quot;001C05E1&quot;/&gt;&lt;wsp:rsid wsp:val=&quot;001C06DC&quot;/&gt;&lt;wsp:rsid wsp:val=&quot;001C0A08&quot;/&gt;&lt;wsp:rsid wsp:val=&quot;001C0AB2&quot;/&gt;&lt;wsp:rsid wsp:val=&quot;001C16C4&quot;/&gt;&lt;wsp:rsid wsp:val=&quot;001C1A97&quot;/&gt;&lt;wsp:rsid wsp:val=&quot;001C1B31&quot;/&gt;&lt;wsp:rsid wsp:val=&quot;001C1D58&quot;/&gt;&lt;wsp:rsid wsp:val=&quot;001C1EAA&quot;/&gt;&lt;wsp:rsid wsp:val=&quot;001C2270&quot;/&gt;&lt;wsp:rsid wsp:val=&quot;001C2335&quot;/&gt;&lt;wsp:rsid wsp:val=&quot;001C239A&quot;/&gt;&lt;wsp:rsid wsp:val=&quot;001C2615&quot;/&gt;&lt;wsp:rsid wsp:val=&quot;001C2BDD&quot;/&gt;&lt;wsp:rsid wsp:val=&quot;001C3374&quot;/&gt;&lt;wsp:rsid wsp:val=&quot;001C3502&quot;/&gt;&lt;wsp:rsid wsp:val=&quot;001C351A&quot;/&gt;&lt;wsp:rsid wsp:val=&quot;001C377C&quot;/&gt;&lt;wsp:rsid wsp:val=&quot;001C385E&quot;/&gt;&lt;wsp:rsid wsp:val=&quot;001C3FAE&quot;/&gt;&lt;wsp:rsid wsp:val=&quot;001C4313&quot;/&gt;&lt;wsp:rsid wsp:val=&quot;001C4513&quot;/&gt;&lt;wsp:rsid wsp:val=&quot;001C4794&quot;/&gt;&lt;wsp:rsid wsp:val=&quot;001C4A20&quot;/&gt;&lt;wsp:rsid wsp:val=&quot;001C4E1F&quot;/&gt;&lt;wsp:rsid wsp:val=&quot;001C53B6&quot;/&gt;&lt;wsp:rsid wsp:val=&quot;001C53D8&quot;/&gt;&lt;wsp:rsid wsp:val=&quot;001C5AAC&quot;/&gt;&lt;wsp:rsid wsp:val=&quot;001C5C1E&quot;/&gt;&lt;wsp:rsid wsp:val=&quot;001C5D06&quot;/&gt;&lt;wsp:rsid wsp:val=&quot;001C6016&quot;/&gt;&lt;wsp:rsid wsp:val=&quot;001C6951&quot;/&gt;&lt;wsp:rsid wsp:val=&quot;001C712E&quot;/&gt;&lt;wsp:rsid wsp:val=&quot;001C715B&quot;/&gt;&lt;wsp:rsid wsp:val=&quot;001C734D&quot;/&gt;&lt;wsp:rsid wsp:val=&quot;001C7E7B&quot;/&gt;&lt;wsp:rsid wsp:val=&quot;001C7F66&quot;/&gt;&lt;wsp:rsid wsp:val=&quot;001D02E0&quot;/&gt;&lt;wsp:rsid wsp:val=&quot;001D03C9&quot;/&gt;&lt;wsp:rsid wsp:val=&quot;001D09E3&quot;/&gt;&lt;wsp:rsid wsp:val=&quot;001D0F52&quot;/&gt;&lt;wsp:rsid wsp:val=&quot;001D1348&quot;/&gt;&lt;wsp:rsid wsp:val=&quot;001D158B&quot;/&gt;&lt;wsp:rsid wsp:val=&quot;001D1C6A&quot;/&gt;&lt;wsp:rsid wsp:val=&quot;001D1EBF&quot;/&gt;&lt;wsp:rsid wsp:val=&quot;001D2C8C&quot;/&gt;&lt;wsp:rsid wsp:val=&quot;001D3335&quot;/&gt;&lt;wsp:rsid wsp:val=&quot;001D337D&quot;/&gt;&lt;wsp:rsid wsp:val=&quot;001D3452&quot;/&gt;&lt;wsp:rsid wsp:val=&quot;001D3ABE&quot;/&gt;&lt;wsp:rsid wsp:val=&quot;001D3B42&quot;/&gt;&lt;wsp:rsid wsp:val=&quot;001D3EB7&quot;/&gt;&lt;wsp:rsid wsp:val=&quot;001D3EE1&quot;/&gt;&lt;wsp:rsid wsp:val=&quot;001D4372&quot;/&gt;&lt;wsp:rsid wsp:val=&quot;001D4964&quot;/&gt;&lt;wsp:rsid wsp:val=&quot;001D4A47&quot;/&gt;&lt;wsp:rsid wsp:val=&quot;001D4B8C&quot;/&gt;&lt;wsp:rsid wsp:val=&quot;001D50BD&quot;/&gt;&lt;wsp:rsid wsp:val=&quot;001D5510&quot;/&gt;&lt;wsp:rsid wsp:val=&quot;001D5760&quot;/&gt;&lt;wsp:rsid wsp:val=&quot;001D578F&quot;/&gt;&lt;wsp:rsid wsp:val=&quot;001D5B99&quot;/&gt;&lt;wsp:rsid wsp:val=&quot;001D644E&quot;/&gt;&lt;wsp:rsid wsp:val=&quot;001D6B52&quot;/&gt;&lt;wsp:rsid wsp:val=&quot;001D6BC2&quot;/&gt;&lt;wsp:rsid wsp:val=&quot;001D6C15&quot;/&gt;&lt;wsp:rsid wsp:val=&quot;001D6D67&quot;/&gt;&lt;wsp:rsid wsp:val=&quot;001D6DE4&quot;/&gt;&lt;wsp:rsid wsp:val=&quot;001D6EBD&quot;/&gt;&lt;wsp:rsid wsp:val=&quot;001D6EDC&quot;/&gt;&lt;wsp:rsid wsp:val=&quot;001D6F1A&quot;/&gt;&lt;wsp:rsid wsp:val=&quot;001D6FA2&quot;/&gt;&lt;wsp:rsid wsp:val=&quot;001D7781&quot;/&gt;&lt;wsp:rsid wsp:val=&quot;001D7933&quot;/&gt;&lt;wsp:rsid wsp:val=&quot;001D7B4C&quot;/&gt;&lt;wsp:rsid wsp:val=&quot;001E007E&quot;/&gt;&lt;wsp:rsid wsp:val=&quot;001E0264&quot;/&gt;&lt;wsp:rsid wsp:val=&quot;001E041F&quot;/&gt;&lt;wsp:rsid wsp:val=&quot;001E06FB&quot;/&gt;&lt;wsp:rsid wsp:val=&quot;001E07DA&quot;/&gt;&lt;wsp:rsid wsp:val=&quot;001E0A86&quot;/&gt;&lt;wsp:rsid wsp:val=&quot;001E0CD3&quot;/&gt;&lt;wsp:rsid wsp:val=&quot;001E1A8A&quot;/&gt;&lt;wsp:rsid wsp:val=&quot;001E1C55&quot;/&gt;&lt;wsp:rsid wsp:val=&quot;001E1FB6&quot;/&gt;&lt;wsp:rsid wsp:val=&quot;001E1FD7&quot;/&gt;&lt;wsp:rsid wsp:val=&quot;001E206D&quot;/&gt;&lt;wsp:rsid wsp:val=&quot;001E21BE&quot;/&gt;&lt;wsp:rsid wsp:val=&quot;001E27CC&quot;/&gt;&lt;wsp:rsid wsp:val=&quot;001E2943&quot;/&gt;&lt;wsp:rsid wsp:val=&quot;001E2970&quot;/&gt;&lt;wsp:rsid wsp:val=&quot;001E2B41&quot;/&gt;&lt;wsp:rsid wsp:val=&quot;001E2FCD&quot;/&gt;&lt;wsp:rsid wsp:val=&quot;001E32AF&quot;/&gt;&lt;wsp:rsid wsp:val=&quot;001E3384&quot;/&gt;&lt;wsp:rsid wsp:val=&quot;001E34E3&quot;/&gt;&lt;wsp:rsid wsp:val=&quot;001E3582&quot;/&gt;&lt;wsp:rsid wsp:val=&quot;001E36DF&quot;/&gt;&lt;wsp:rsid wsp:val=&quot;001E3824&quot;/&gt;&lt;wsp:rsid wsp:val=&quot;001E3895&quot;/&gt;&lt;wsp:rsid wsp:val=&quot;001E3983&quot;/&gt;&lt;wsp:rsid wsp:val=&quot;001E3B65&quot;/&gt;&lt;wsp:rsid wsp:val=&quot;001E3D3E&quot;/&gt;&lt;wsp:rsid wsp:val=&quot;001E4386&quot;/&gt;&lt;wsp:rsid wsp:val=&quot;001E4ABD&quot;/&gt;&lt;wsp:rsid wsp:val=&quot;001E4B28&quot;/&gt;&lt;wsp:rsid wsp:val=&quot;001E4C3D&quot;/&gt;&lt;wsp:rsid wsp:val=&quot;001E5295&quot;/&gt;&lt;wsp:rsid wsp:val=&quot;001E5BD5&quot;/&gt;&lt;wsp:rsid wsp:val=&quot;001E5C48&quot;/&gt;&lt;wsp:rsid wsp:val=&quot;001E5C51&quot;/&gt;&lt;wsp:rsid wsp:val=&quot;001E5D40&quot;/&gt;&lt;wsp:rsid wsp:val=&quot;001E5DB8&quot;/&gt;&lt;wsp:rsid wsp:val=&quot;001E5DBB&quot;/&gt;&lt;wsp:rsid wsp:val=&quot;001E601D&quot;/&gt;&lt;wsp:rsid wsp:val=&quot;001E6138&quot;/&gt;&lt;wsp:rsid wsp:val=&quot;001E6152&quot;/&gt;&lt;wsp:rsid wsp:val=&quot;001E615A&quot;/&gt;&lt;wsp:rsid wsp:val=&quot;001E65D9&quot;/&gt;&lt;wsp:rsid wsp:val=&quot;001E68CB&quot;/&gt;&lt;wsp:rsid wsp:val=&quot;001E6926&quot;/&gt;&lt;wsp:rsid wsp:val=&quot;001E6C18&quot;/&gt;&lt;wsp:rsid wsp:val=&quot;001E7172&quot;/&gt;&lt;wsp:rsid wsp:val=&quot;001E7C31&quot;/&gt;&lt;wsp:rsid wsp:val=&quot;001E7CCB&quot;/&gt;&lt;wsp:rsid wsp:val=&quot;001F0027&quot;/&gt;&lt;wsp:rsid wsp:val=&quot;001F02F9&quot;/&gt;&lt;wsp:rsid wsp:val=&quot;001F03D1&quot;/&gt;&lt;wsp:rsid wsp:val=&quot;001F049A&quot;/&gt;&lt;wsp:rsid wsp:val=&quot;001F0526&quot;/&gt;&lt;wsp:rsid wsp:val=&quot;001F05E7&quot;/&gt;&lt;wsp:rsid wsp:val=&quot;001F06F5&quot;/&gt;&lt;wsp:rsid wsp:val=&quot;001F0752&quot;/&gt;&lt;wsp:rsid wsp:val=&quot;001F0A38&quot;/&gt;&lt;wsp:rsid wsp:val=&quot;001F0E33&quot;/&gt;&lt;wsp:rsid wsp:val=&quot;001F10F2&quot;/&gt;&lt;wsp:rsid wsp:val=&quot;001F1143&quot;/&gt;&lt;wsp:rsid wsp:val=&quot;001F1562&quot;/&gt;&lt;wsp:rsid wsp:val=&quot;001F167E&quot;/&gt;&lt;wsp:rsid wsp:val=&quot;001F17F8&quot;/&gt;&lt;wsp:rsid wsp:val=&quot;001F28F0&quot;/&gt;&lt;wsp:rsid wsp:val=&quot;001F2F40&quot;/&gt;&lt;wsp:rsid wsp:val=&quot;001F3349&quot;/&gt;&lt;wsp:rsid wsp:val=&quot;001F3C73&quot;/&gt;&lt;wsp:rsid wsp:val=&quot;001F3ED1&quot;/&gt;&lt;wsp:rsid wsp:val=&quot;001F46C0&quot;/&gt;&lt;wsp:rsid wsp:val=&quot;001F475E&quot;/&gt;&lt;wsp:rsid wsp:val=&quot;001F484C&quot;/&gt;&lt;wsp:rsid wsp:val=&quot;001F4989&quot;/&gt;&lt;wsp:rsid wsp:val=&quot;001F4E8F&quot;/&gt;&lt;wsp:rsid wsp:val=&quot;001F4FD5&quot;/&gt;&lt;wsp:rsid wsp:val=&quot;001F51FB&quot;/&gt;&lt;wsp:rsid wsp:val=&quot;001F532E&quot;/&gt;&lt;wsp:rsid wsp:val=&quot;001F53DF&quot;/&gt;&lt;wsp:rsid wsp:val=&quot;001F5829&quot;/&gt;&lt;wsp:rsid wsp:val=&quot;001F6057&quot;/&gt;&lt;wsp:rsid wsp:val=&quot;001F6CAF&quot;/&gt;&lt;wsp:rsid wsp:val=&quot;001F70AD&quot;/&gt;&lt;wsp:rsid wsp:val=&quot;001F715C&quot;/&gt;&lt;wsp:rsid wsp:val=&quot;001F7DBC&quot;/&gt;&lt;wsp:rsid wsp:val=&quot;002012FD&quot;/&gt;&lt;wsp:rsid wsp:val=&quot;0020130A&quot;/&gt;&lt;wsp:rsid wsp:val=&quot;002014C9&quot;/&gt;&lt;wsp:rsid wsp:val=&quot;002015EF&quot;/&gt;&lt;wsp:rsid wsp:val=&quot;00201744&quot;/&gt;&lt;wsp:rsid wsp:val=&quot;0020179C&quot;/&gt;&lt;wsp:rsid wsp:val=&quot;00201C24&quot;/&gt;&lt;wsp:rsid wsp:val=&quot;00201CD1&quot;/&gt;&lt;wsp:rsid wsp:val=&quot;002020CA&quot;/&gt;&lt;wsp:rsid wsp:val=&quot;00202464&quot;/&gt;&lt;wsp:rsid wsp:val=&quot;002029FF&quot;/&gt;&lt;wsp:rsid wsp:val=&quot;00202A45&quot;/&gt;&lt;wsp:rsid wsp:val=&quot;00202DA8&quot;/&gt;&lt;wsp:rsid wsp:val=&quot;00203314&quot;/&gt;&lt;wsp:rsid wsp:val=&quot;00203431&quot;/&gt;&lt;wsp:rsid wsp:val=&quot;00203BAD&quot;/&gt;&lt;wsp:rsid wsp:val=&quot;00203C76&quot;/&gt;&lt;wsp:rsid wsp:val=&quot;00204263&quot;/&gt;&lt;wsp:rsid wsp:val=&quot;0020461A&quot;/&gt;&lt;wsp:rsid wsp:val=&quot;0020474E&quot;/&gt;&lt;wsp:rsid wsp:val=&quot;002049BA&quot;/&gt;&lt;wsp:rsid wsp:val=&quot;00204CFA&quot;/&gt;&lt;wsp:rsid wsp:val=&quot;00205239&quot;/&gt;&lt;wsp:rsid wsp:val=&quot;00205506&quot;/&gt;&lt;wsp:rsid wsp:val=&quot;002055FA&quot;/&gt;&lt;wsp:rsid wsp:val=&quot;00205823&quot;/&gt;&lt;wsp:rsid wsp:val=&quot;00205B81&quot;/&gt;&lt;wsp:rsid wsp:val=&quot;00205BE7&quot;/&gt;&lt;wsp:rsid wsp:val=&quot;00205D0F&quot;/&gt;&lt;wsp:rsid wsp:val=&quot;00205D62&quot;/&gt;&lt;wsp:rsid wsp:val=&quot;00205FFF&quot;/&gt;&lt;wsp:rsid wsp:val=&quot;0020624C&quot;/&gt;&lt;wsp:rsid wsp:val=&quot;002063E1&quot;/&gt;&lt;wsp:rsid wsp:val=&quot;0020653F&quot;/&gt;&lt;wsp:rsid wsp:val=&quot;00206592&quot;/&gt;&lt;wsp:rsid wsp:val=&quot;00206593&quot;/&gt;&lt;wsp:rsid wsp:val=&quot;00206876&quot;/&gt;&lt;wsp:rsid wsp:val=&quot;00206F31&quot;/&gt;&lt;wsp:rsid wsp:val=&quot;0020716C&quot;/&gt;&lt;wsp:rsid wsp:val=&quot;00207403&quot;/&gt;&lt;wsp:rsid wsp:val=&quot;00207DB9&quot;/&gt;&lt;wsp:rsid wsp:val=&quot;00211043&quot;/&gt;&lt;wsp:rsid wsp:val=&quot;002117DC&quot;/&gt;&lt;wsp:rsid wsp:val=&quot;00211B0E&quot;/&gt;&lt;wsp:rsid wsp:val=&quot;002125E4&quot;/&gt;&lt;wsp:rsid wsp:val=&quot;00212CBC&quot;/&gt;&lt;wsp:rsid wsp:val=&quot;00213221&quot;/&gt;&lt;wsp:rsid wsp:val=&quot;0021336E&quot;/&gt;&lt;wsp:rsid wsp:val=&quot;00213428&quot;/&gt;&lt;wsp:rsid wsp:val=&quot;002139CE&quot;/&gt;&lt;wsp:rsid wsp:val=&quot;0021414C&quot;/&gt;&lt;wsp:rsid wsp:val=&quot;00214335&quot;/&gt;&lt;wsp:rsid wsp:val=&quot;00214FC3&quot;/&gt;&lt;wsp:rsid wsp:val=&quot;00215675&quot;/&gt;&lt;wsp:rsid wsp:val=&quot;002156D0&quot;/&gt;&lt;wsp:rsid wsp:val=&quot;00215CAC&quot;/&gt;&lt;wsp:rsid wsp:val=&quot;00216012&quot;/&gt;&lt;wsp:rsid wsp:val=&quot;00216287&quot;/&gt;&lt;wsp:rsid wsp:val=&quot;00216513&quot;/&gt;&lt;wsp:rsid wsp:val=&quot;00216871&quot;/&gt;&lt;wsp:rsid wsp:val=&quot;00216972&quot;/&gt;&lt;wsp:rsid wsp:val=&quot;00216C3E&quot;/&gt;&lt;wsp:rsid wsp:val=&quot;00217157&quot;/&gt;&lt;wsp:rsid wsp:val=&quot;002173AC&quot;/&gt;&lt;wsp:rsid wsp:val=&quot;00217417&quot;/&gt;&lt;wsp:rsid wsp:val=&quot;0021782E&quot;/&gt;&lt;wsp:rsid wsp:val=&quot;00217A0E&quot;/&gt;&lt;wsp:rsid wsp:val=&quot;00217D3D&quot;/&gt;&lt;wsp:rsid wsp:val=&quot;00217FFE&quot;/&gt;&lt;wsp:rsid wsp:val=&quot;002202D5&quot;/&gt;&lt;wsp:rsid wsp:val=&quot;0022031F&quot;/&gt;&lt;wsp:rsid wsp:val=&quot;00220345&quot;/&gt;&lt;wsp:rsid wsp:val=&quot;002208BF&quot;/&gt;&lt;wsp:rsid wsp:val=&quot;00220B96&quot;/&gt;&lt;wsp:rsid wsp:val=&quot;00220DF4&quot;/&gt;&lt;wsp:rsid wsp:val=&quot;002212BB&quot;/&gt;&lt;wsp:rsid wsp:val=&quot;002213BF&quot;/&gt;&lt;wsp:rsid wsp:val=&quot;00221569&quot;/&gt;&lt;wsp:rsid wsp:val=&quot;0022183A&quot;/&gt;&lt;wsp:rsid wsp:val=&quot;0022260C&quot;/&gt;&lt;wsp:rsid wsp:val=&quot;00222A77&quot;/&gt;&lt;wsp:rsid wsp:val=&quot;0022313E&quot;/&gt;&lt;wsp:rsid wsp:val=&quot;002232DE&quot;/&gt;&lt;wsp:rsid wsp:val=&quot;00223369&quot;/&gt;&lt;wsp:rsid wsp:val=&quot;00223812&quot;/&gt;&lt;wsp:rsid wsp:val=&quot;0022388C&quot;/&gt;&lt;wsp:rsid wsp:val=&quot;00223D33&quot;/&gt;&lt;wsp:rsid wsp:val=&quot;00223DB9&quot;/&gt;&lt;wsp:rsid wsp:val=&quot;0022401B&quot;/&gt;&lt;wsp:rsid wsp:val=&quot;002242CD&quot;/&gt;&lt;wsp:rsid wsp:val=&quot;002242F6&quot;/&gt;&lt;wsp:rsid wsp:val=&quot;00224745&quot;/&gt;&lt;wsp:rsid wsp:val=&quot;002248CB&quot;/&gt;&lt;wsp:rsid wsp:val=&quot;00224C77&quot;/&gt;&lt;wsp:rsid wsp:val=&quot;002258BA&quot;/&gt;&lt;wsp:rsid wsp:val=&quot;00225EB2&quot;/&gt;&lt;wsp:rsid wsp:val=&quot;00226148&quot;/&gt;&lt;wsp:rsid wsp:val=&quot;002266FD&quot;/&gt;&lt;wsp:rsid wsp:val=&quot;00226AD7&quot;/&gt;&lt;wsp:rsid wsp:val=&quot;00226CE4&quot;/&gt;&lt;wsp:rsid wsp:val=&quot;00226D15&quot;/&gt;&lt;wsp:rsid wsp:val=&quot;002271F0&quot;/&gt;&lt;wsp:rsid wsp:val=&quot;00227504&quot;/&gt;&lt;wsp:rsid wsp:val=&quot;00227D78&quot;/&gt;&lt;wsp:rsid wsp:val=&quot;00227F1D&quot;/&gt;&lt;wsp:rsid wsp:val=&quot;00230327&quot;/&gt;&lt;wsp:rsid wsp:val=&quot;002303F8&quot;/&gt;&lt;wsp:rsid wsp:val=&quot;00230F7A&quot;/&gt;&lt;wsp:rsid wsp:val=&quot;0023100E&quot;/&gt;&lt;wsp:rsid wsp:val=&quot;002310A9&quot;/&gt;&lt;wsp:rsid wsp:val=&quot;00231A93&quot;/&gt;&lt;wsp:rsid wsp:val=&quot;00231ADF&quot;/&gt;&lt;wsp:rsid wsp:val=&quot;00231CA2&quot;/&gt;&lt;wsp:rsid wsp:val=&quot;0023217F&quot;/&gt;&lt;wsp:rsid wsp:val=&quot;00232438&quot;/&gt;&lt;wsp:rsid wsp:val=&quot;002327B5&quot;/&gt;&lt;wsp:rsid wsp:val=&quot;0023280F&quot;/&gt;&lt;wsp:rsid wsp:val=&quot;00232EFF&quot;/&gt;&lt;wsp:rsid wsp:val=&quot;0023314A&quot;/&gt;&lt;wsp:rsid wsp:val=&quot;002331DA&quot;/&gt;&lt;wsp:rsid wsp:val=&quot;002333CC&quot;/&gt;&lt;wsp:rsid wsp:val=&quot;00233621&quot;/&gt;&lt;wsp:rsid wsp:val=&quot;00233649&quot;/&gt;&lt;wsp:rsid wsp:val=&quot;002337E5&quot;/&gt;&lt;wsp:rsid wsp:val=&quot;00234121&quot;/&gt;&lt;wsp:rsid wsp:val=&quot;00234BCF&quot;/&gt;&lt;wsp:rsid wsp:val=&quot;00234D1A&quot;/&gt;&lt;wsp:rsid wsp:val=&quot;00235201&quot;/&gt;&lt;wsp:rsid wsp:val=&quot;002352E9&quot;/&gt;&lt;wsp:rsid wsp:val=&quot;00235534&quot;/&gt;&lt;wsp:rsid wsp:val=&quot;00235794&quot;/&gt;&lt;wsp:rsid wsp:val=&quot;0023582F&quot;/&gt;&lt;wsp:rsid wsp:val=&quot;00235A38&quot;/&gt;&lt;wsp:rsid wsp:val=&quot;00235A90&quot;/&gt;&lt;wsp:rsid wsp:val=&quot;00235D07&quot;/&gt;&lt;wsp:rsid wsp:val=&quot;00235E31&quot;/&gt;&lt;wsp:rsid wsp:val=&quot;00235FB5&quot;/&gt;&lt;wsp:rsid wsp:val=&quot;00236703&quot;/&gt;&lt;wsp:rsid wsp:val=&quot;00236706&quot;/&gt;&lt;wsp:rsid wsp:val=&quot;00236F7B&quot;/&gt;&lt;wsp:rsid wsp:val=&quot;0023750A&quot;/&gt;&lt;wsp:rsid wsp:val=&quot;002377FB&quot;/&gt;&lt;wsp:rsid wsp:val=&quot;00237852&quot;/&gt;&lt;wsp:rsid wsp:val=&quot;0024005F&quot;/&gt;&lt;wsp:rsid wsp:val=&quot;00240063&quot;/&gt;&lt;wsp:rsid wsp:val=&quot;00240370&quot;/&gt;&lt;wsp:rsid wsp:val=&quot;002404D4&quot;/&gt;&lt;wsp:rsid wsp:val=&quot;00240824&quot;/&gt;&lt;wsp:rsid wsp:val=&quot;00240DA4&quot;/&gt;&lt;wsp:rsid wsp:val=&quot;00240DD1&quot;/&gt;&lt;wsp:rsid wsp:val=&quot;002414BE&quot;/&gt;&lt;wsp:rsid wsp:val=&quot;00241A2B&quot;/&gt;&lt;wsp:rsid wsp:val=&quot;00241C6B&quot;/&gt;&lt;wsp:rsid wsp:val=&quot;0024203C&quot;/&gt;&lt;wsp:rsid wsp:val=&quot;0024240C&quot;/&gt;&lt;wsp:rsid wsp:val=&quot;00242806&quot;/&gt;&lt;wsp:rsid wsp:val=&quot;002429C3&quot;/&gt;&lt;wsp:rsid wsp:val=&quot;002429CF&quot;/&gt;&lt;wsp:rsid wsp:val=&quot;00242A15&quot;/&gt;&lt;wsp:rsid wsp:val=&quot;00242A9F&quot;/&gt;&lt;wsp:rsid wsp:val=&quot;00242D70&quot;/&gt;&lt;wsp:rsid wsp:val=&quot;002433C1&quot;/&gt;&lt;wsp:rsid wsp:val=&quot;0024346F&quot;/&gt;&lt;wsp:rsid wsp:val=&quot;002437CC&quot;/&gt;&lt;wsp:rsid wsp:val=&quot;00243A63&quot;/&gt;&lt;wsp:rsid wsp:val=&quot;00243B2C&quot;/&gt;&lt;wsp:rsid wsp:val=&quot;002444D6&quot;/&gt;&lt;wsp:rsid wsp:val=&quot;00244C64&quot;/&gt;&lt;wsp:rsid wsp:val=&quot;00244DEA&quot;/&gt;&lt;wsp:rsid wsp:val=&quot;002451B4&quot;/&gt;&lt;wsp:rsid wsp:val=&quot;002452C8&quot;/&gt;&lt;wsp:rsid wsp:val=&quot;00245456&quot;/&gt;&lt;wsp:rsid wsp:val=&quot;00245BD0&quot;/&gt;&lt;wsp:rsid wsp:val=&quot;00245F86&quot;/&gt;&lt;wsp:rsid wsp:val=&quot;002461AF&quot;/&gt;&lt;wsp:rsid wsp:val=&quot;0024651C&quot;/&gt;&lt;wsp:rsid wsp:val=&quot;00246AFB&quot;/&gt;&lt;wsp:rsid wsp:val=&quot;00246EC6&quot;/&gt;&lt;wsp:rsid wsp:val=&quot;00246F97&quot;/&gt;&lt;wsp:rsid wsp:val=&quot;002475E1&quot;/&gt;&lt;wsp:rsid wsp:val=&quot;00247AC5&quot;/&gt;&lt;wsp:rsid wsp:val=&quot;00247F2B&quot;/&gt;&lt;wsp:rsid wsp:val=&quot;00250305&quot;/&gt;&lt;wsp:rsid wsp:val=&quot;002509D3&quot;/&gt;&lt;wsp:rsid wsp:val=&quot;00250F43&quot;/&gt;&lt;wsp:rsid wsp:val=&quot;00251158&quot;/&gt;&lt;wsp:rsid wsp:val=&quot;0025123D&quot;/&gt;&lt;wsp:rsid wsp:val=&quot;00251326&quot;/&gt;&lt;wsp:rsid wsp:val=&quot;0025133C&quot;/&gt;&lt;wsp:rsid wsp:val=&quot;002513DE&quot;/&gt;&lt;wsp:rsid wsp:val=&quot;002513F6&quot;/&gt;&lt;wsp:rsid wsp:val=&quot;0025173D&quot;/&gt;&lt;wsp:rsid wsp:val=&quot;00251DE9&quot;/&gt;&lt;wsp:rsid wsp:val=&quot;00251DF6&quot;/&gt;&lt;wsp:rsid wsp:val=&quot;00252088&quot;/&gt;&lt;wsp:rsid wsp:val=&quot;0025236D&quot;/&gt;&lt;wsp:rsid wsp:val=&quot;002527D4&quot;/&gt;&lt;wsp:rsid wsp:val=&quot;00252C20&quot;/&gt;&lt;wsp:rsid wsp:val=&quot;0025369C&quot;/&gt;&lt;wsp:rsid wsp:val=&quot;00253992&quot;/&gt;&lt;wsp:rsid wsp:val=&quot;00253AF0&quot;/&gt;&lt;wsp:rsid wsp:val=&quot;002540E3&quot;/&gt;&lt;wsp:rsid wsp:val=&quot;00254664&quot;/&gt;&lt;wsp:rsid wsp:val=&quot;00254F20&quot;/&gt;&lt;wsp:rsid wsp:val=&quot;00255228&quot;/&gt;&lt;wsp:rsid wsp:val=&quot;00255248&quot;/&gt;&lt;wsp:rsid wsp:val=&quot;002552AA&quot;/&gt;&lt;wsp:rsid wsp:val=&quot;002553EA&quot;/&gt;&lt;wsp:rsid wsp:val=&quot;002557D6&quot;/&gt;&lt;wsp:rsid wsp:val=&quot;00255B47&quot;/&gt;&lt;wsp:rsid wsp:val=&quot;0025634C&quot;/&gt;&lt;wsp:rsid wsp:val=&quot;00256A17&quot;/&gt;&lt;wsp:rsid wsp:val=&quot;00256E64&quot;/&gt;&lt;wsp:rsid wsp:val=&quot;00256F00&quot;/&gt;&lt;wsp:rsid wsp:val=&quot;00257133&quot;/&gt;&lt;wsp:rsid wsp:val=&quot;002574CA&quot;/&gt;&lt;wsp:rsid wsp:val=&quot;002576FA&quot;/&gt;&lt;wsp:rsid wsp:val=&quot;00257A46&quot;/&gt;&lt;wsp:rsid wsp:val=&quot;00257AD9&quot;/&gt;&lt;wsp:rsid wsp:val=&quot;00257FE0&quot;/&gt;&lt;wsp:rsid wsp:val=&quot;002604D5&quot;/&gt;&lt;wsp:rsid wsp:val=&quot;00260C65&quot;/&gt;&lt;wsp:rsid wsp:val=&quot;00260D4D&quot;/&gt;&lt;wsp:rsid wsp:val=&quot;002612DD&quot;/&gt;&lt;wsp:rsid wsp:val=&quot;0026191C&quot;/&gt;&lt;wsp:rsid wsp:val=&quot;00261F04&quot;/&gt;&lt;wsp:rsid wsp:val=&quot;0026208E&quot;/&gt;&lt;wsp:rsid wsp:val=&quot;002624FD&quot;/&gt;&lt;wsp:rsid wsp:val=&quot;002626BF&quot;/&gt;&lt;wsp:rsid wsp:val=&quot;00262769&quot;/&gt;&lt;wsp:rsid wsp:val=&quot;00262A77&quot;/&gt;&lt;wsp:rsid wsp:val=&quot;00262C5B&quot;/&gt;&lt;wsp:rsid wsp:val=&quot;00263001&quot;/&gt;&lt;wsp:rsid wsp:val=&quot;00263359&quot;/&gt;&lt;wsp:rsid wsp:val=&quot;00263576&quot;/&gt;&lt;wsp:rsid wsp:val=&quot;0026383D&quot;/&gt;&lt;wsp:rsid wsp:val=&quot;00264562&quot;/&gt;&lt;wsp:rsid wsp:val=&quot;00264573&quot;/&gt;&lt;wsp:rsid wsp:val=&quot;002646F4&quot;/&gt;&lt;wsp:rsid wsp:val=&quot;0026489A&quot;/&gt;&lt;wsp:rsid wsp:val=&quot;00264CEB&quot;/&gt;&lt;wsp:rsid wsp:val=&quot;00264E9B&quot;/&gt;&lt;wsp:rsid wsp:val=&quot;00265099&quot;/&gt;&lt;wsp:rsid wsp:val=&quot;002650ED&quot;/&gt;&lt;wsp:rsid wsp:val=&quot;00265308&quot;/&gt;&lt;wsp:rsid wsp:val=&quot;00265566&quot;/&gt;&lt;wsp:rsid wsp:val=&quot;00265A14&quot;/&gt;&lt;wsp:rsid wsp:val=&quot;00265BCB&quot;/&gt;&lt;wsp:rsid wsp:val=&quot;00265CEF&quot;/&gt;&lt;wsp:rsid wsp:val=&quot;00265DA2&quot;/&gt;&lt;wsp:rsid wsp:val=&quot;0026623B&quot;/&gt;&lt;wsp:rsid wsp:val=&quot;002662AE&quot;/&gt;&lt;wsp:rsid wsp:val=&quot;0026631D&quot;/&gt;&lt;wsp:rsid wsp:val=&quot;002663FC&quot;/&gt;&lt;wsp:rsid wsp:val=&quot;00266542&quot;/&gt;&lt;wsp:rsid wsp:val=&quot;002665F3&quot;/&gt;&lt;wsp:rsid wsp:val=&quot;00266824&quot;/&gt;&lt;wsp:rsid wsp:val=&quot;0026695F&quot;/&gt;&lt;wsp:rsid wsp:val=&quot;00266B84&quot;/&gt;&lt;wsp:rsid wsp:val=&quot;00267098&quot;/&gt;&lt;wsp:rsid wsp:val=&quot;002677E3&quot;/&gt;&lt;wsp:rsid wsp:val=&quot;00267871&quot;/&gt;&lt;wsp:rsid wsp:val=&quot;00267C0C&quot;/&gt;&lt;wsp:rsid wsp:val=&quot;00267D4D&quot;/&gt;&lt;wsp:rsid wsp:val=&quot;00270067&quot;/&gt;&lt;wsp:rsid wsp:val=&quot;00270919&quot;/&gt;&lt;wsp:rsid wsp:val=&quot;0027095D&quot;/&gt;&lt;wsp:rsid wsp:val=&quot;00270A8B&quot;/&gt;&lt;wsp:rsid wsp:val=&quot;00270A96&quot;/&gt;&lt;wsp:rsid wsp:val=&quot;00270E77&quot;/&gt;&lt;wsp:rsid wsp:val=&quot;00270F27&quot;/&gt;&lt;wsp:rsid wsp:val=&quot;00270F5D&quot;/&gt;&lt;wsp:rsid wsp:val=&quot;0027172A&quot;/&gt;&lt;wsp:rsid wsp:val=&quot;002717FF&quot;/&gt;&lt;wsp:rsid wsp:val=&quot;00271B73&quot;/&gt;&lt;wsp:rsid wsp:val=&quot;00271D76&quot;/&gt;&lt;wsp:rsid wsp:val=&quot;00271E17&quot;/&gt;&lt;wsp:rsid wsp:val=&quot;0027240D&quot;/&gt;&lt;wsp:rsid wsp:val=&quot;0027290F&quot;/&gt;&lt;wsp:rsid wsp:val=&quot;00272A6A&quot;/&gt;&lt;wsp:rsid wsp:val=&quot;00272C67&quot;/&gt;&lt;wsp:rsid wsp:val=&quot;00272FFC&quot;/&gt;&lt;wsp:rsid wsp:val=&quot;0027311A&quot;/&gt;&lt;wsp:rsid wsp:val=&quot;002732A1&quot;/&gt;&lt;wsp:rsid wsp:val=&quot;00273970&quot;/&gt;&lt;wsp:rsid wsp:val=&quot;002739A6&quot;/&gt;&lt;wsp:rsid wsp:val=&quot;00273A9A&quot;/&gt;&lt;wsp:rsid wsp:val=&quot;0027401B&quot;/&gt;&lt;wsp:rsid wsp:val=&quot;0027406E&quot;/&gt;&lt;wsp:rsid wsp:val=&quot;00274597&quot;/&gt;&lt;wsp:rsid wsp:val=&quot;00274766&quot;/&gt;&lt;wsp:rsid wsp:val=&quot;00274EB5&quot;/&gt;&lt;wsp:rsid wsp:val=&quot;00274F20&quot;/&gt;&lt;wsp:rsid wsp:val=&quot;0027525D&quot;/&gt;&lt;wsp:rsid wsp:val=&quot;00275336&quot;/&gt;&lt;wsp:rsid wsp:val=&quot;00275733&quot;/&gt;&lt;wsp:rsid wsp:val=&quot;00275AA2&quot;/&gt;&lt;wsp:rsid wsp:val=&quot;00275C3F&quot;/&gt;&lt;wsp:rsid wsp:val=&quot;00275D17&quot;/&gt;&lt;wsp:rsid wsp:val=&quot;00275EE5&quot;/&gt;&lt;wsp:rsid wsp:val=&quot;002763A3&quot;/&gt;&lt;wsp:rsid wsp:val=&quot;00276C8E&quot;/&gt;&lt;wsp:rsid wsp:val=&quot;00276FED&quot;/&gt;&lt;wsp:rsid wsp:val=&quot;0027729E&quot;/&gt;&lt;wsp:rsid wsp:val=&quot;002776A9&quot;/&gt;&lt;wsp:rsid wsp:val=&quot;00277BEB&quot;/&gt;&lt;wsp:rsid wsp:val=&quot;00277FC9&quot;/&gt;&lt;wsp:rsid wsp:val=&quot;00280431&quot;/&gt;&lt;wsp:rsid wsp:val=&quot;00280A5C&quot;/&gt;&lt;wsp:rsid wsp:val=&quot;00280BA7&quot;/&gt;&lt;wsp:rsid wsp:val=&quot;00280FF4&quot;/&gt;&lt;wsp:rsid wsp:val=&quot;00281293&quot;/&gt;&lt;wsp:rsid wsp:val=&quot;0028136B&quot;/&gt;&lt;wsp:rsid wsp:val=&quot;002816E3&quot;/&gt;&lt;wsp:rsid wsp:val=&quot;00281BBB&quot;/&gt;&lt;wsp:rsid wsp:val=&quot;00281D86&quot;/&gt;&lt;wsp:rsid wsp:val=&quot;00281DA5&quot;/&gt;&lt;wsp:rsid wsp:val=&quot;00281EBE&quot;/&gt;&lt;wsp:rsid wsp:val=&quot;002825E9&quot;/&gt;&lt;wsp:rsid wsp:val=&quot;002829D1&quot;/&gt;&lt;wsp:rsid wsp:val=&quot;00282BFB&quot;/&gt;&lt;wsp:rsid wsp:val=&quot;00282EAD&quot;/&gt;&lt;wsp:rsid wsp:val=&quot;00283005&quot;/&gt;&lt;wsp:rsid wsp:val=&quot;002834DB&quot;/&gt;&lt;wsp:rsid wsp:val=&quot;002838B0&quot;/&gt;&lt;wsp:rsid wsp:val=&quot;00283B43&quot;/&gt;&lt;wsp:rsid wsp:val=&quot;00283BA4&quot;/&gt;&lt;wsp:rsid wsp:val=&quot;00283CDA&quot;/&gt;&lt;wsp:rsid wsp:val=&quot;00284429&quot;/&gt;&lt;wsp:rsid wsp:val=&quot;002852E3&quot;/&gt;&lt;wsp:rsid wsp:val=&quot;00285572&quot;/&gt;&lt;wsp:rsid wsp:val=&quot;0028571B&quot;/&gt;&lt;wsp:rsid wsp:val=&quot;00285ABF&quot;/&gt;&lt;wsp:rsid wsp:val=&quot;00285CB2&quot;/&gt;&lt;wsp:rsid wsp:val=&quot;00285FA5&quot;/&gt;&lt;wsp:rsid wsp:val=&quot;00286543&quot;/&gt;&lt;wsp:rsid wsp:val=&quot;00286575&quot;/&gt;&lt;wsp:rsid wsp:val=&quot;0028668C&quot;/&gt;&lt;wsp:rsid wsp:val=&quot;002866ED&quot;/&gt;&lt;wsp:rsid wsp:val=&quot;00286D20&quot;/&gt;&lt;wsp:rsid wsp:val=&quot;00286D34&quot;/&gt;&lt;wsp:rsid wsp:val=&quot;002874E5&quot;/&gt;&lt;wsp:rsid wsp:val=&quot;00287617&quot;/&gt;&lt;wsp:rsid wsp:val=&quot;00287824&quot;/&gt;&lt;wsp:rsid wsp:val=&quot;0028792D&quot;/&gt;&lt;wsp:rsid wsp:val=&quot;00287AE2&quot;/&gt;&lt;wsp:rsid wsp:val=&quot;00287C73&quot;/&gt;&lt;wsp:rsid wsp:val=&quot;00290264&quot;/&gt;&lt;wsp:rsid wsp:val=&quot;002908F6&quot;/&gt;&lt;wsp:rsid wsp:val=&quot;00290B13&quot;/&gt;&lt;wsp:rsid wsp:val=&quot;0029127B&quot;/&gt;&lt;wsp:rsid wsp:val=&quot;00291569&quot;/&gt;&lt;wsp:rsid wsp:val=&quot;00291736&quot;/&gt;&lt;wsp:rsid wsp:val=&quot;00291A10&quot;/&gt;&lt;wsp:rsid wsp:val=&quot;00291DB1&quot;/&gt;&lt;wsp:rsid wsp:val=&quot;00292D7F&quot;/&gt;&lt;wsp:rsid wsp:val=&quot;0029309D&quot;/&gt;&lt;wsp:rsid wsp:val=&quot;002931FA&quot;/&gt;&lt;wsp:rsid wsp:val=&quot;00293834&quot;/&gt;&lt;wsp:rsid wsp:val=&quot;0029391C&quot;/&gt;&lt;wsp:rsid wsp:val=&quot;00293E8E&quot;/&gt;&lt;wsp:rsid wsp:val=&quot;002940F4&quot;/&gt;&lt;wsp:rsid wsp:val=&quot;00294115&quot;/&gt;&lt;wsp:rsid wsp:val=&quot;002941B3&quot;/&gt;&lt;wsp:rsid wsp:val=&quot;002942D3&quot;/&gt;&lt;wsp:rsid wsp:val=&quot;00294393&quot;/&gt;&lt;wsp:rsid wsp:val=&quot;00294660&quot;/&gt;&lt;wsp:rsid wsp:val=&quot;0029468C&quot;/&gt;&lt;wsp:rsid wsp:val=&quot;002947A5&quot;/&gt;&lt;wsp:rsid wsp:val=&quot;00294817&quot;/&gt;&lt;wsp:rsid wsp:val=&quot;00294EEF&quot;/&gt;&lt;wsp:rsid wsp:val=&quot;00294F0E&quot;/&gt;&lt;wsp:rsid wsp:val=&quot;00295038&quot;/&gt;&lt;wsp:rsid wsp:val=&quot;0029512E&quot;/&gt;&lt;wsp:rsid wsp:val=&quot;00295402&quot;/&gt;&lt;wsp:rsid wsp:val=&quot;00295658&quot;/&gt;&lt;wsp:rsid wsp:val=&quot;00295AD0&quot;/&gt;&lt;wsp:rsid wsp:val=&quot;00295AD3&quot;/&gt;&lt;wsp:rsid wsp:val=&quot;00295DAD&quot;/&gt;&lt;wsp:rsid wsp:val=&quot;00296447&quot;/&gt;&lt;wsp:rsid wsp:val=&quot;00296693&quot;/&gt;&lt;wsp:rsid wsp:val=&quot;00297B69&quot;/&gt;&lt;wsp:rsid wsp:val=&quot;00297BE6&quot;/&gt;&lt;wsp:rsid wsp:val=&quot;00297DA1&quot;/&gt;&lt;wsp:rsid wsp:val=&quot;002A00FE&quot;/&gt;&lt;wsp:rsid wsp:val=&quot;002A0411&quot;/&gt;&lt;wsp:rsid wsp:val=&quot;002A08F3&quot;/&gt;&lt;wsp:rsid wsp:val=&quot;002A0A9C&quot;/&gt;&lt;wsp:rsid wsp:val=&quot;002A0AD9&quot;/&gt;&lt;wsp:rsid wsp:val=&quot;002A0BD1&quot;/&gt;&lt;wsp:rsid wsp:val=&quot;002A1207&quot;/&gt;&lt;wsp:rsid wsp:val=&quot;002A1403&quot;/&gt;&lt;wsp:rsid wsp:val=&quot;002A14B7&quot;/&gt;&lt;wsp:rsid wsp:val=&quot;002A162F&quot;/&gt;&lt;wsp:rsid wsp:val=&quot;002A1912&quot;/&gt;&lt;wsp:rsid wsp:val=&quot;002A1947&quot;/&gt;&lt;wsp:rsid wsp:val=&quot;002A1C33&quot;/&gt;&lt;wsp:rsid wsp:val=&quot;002A1D22&quot;/&gt;&lt;wsp:rsid wsp:val=&quot;002A20AC&quot;/&gt;&lt;wsp:rsid wsp:val=&quot;002A242A&quot;/&gt;&lt;wsp:rsid wsp:val=&quot;002A2530&quot;/&gt;&lt;wsp:rsid wsp:val=&quot;002A3D77&quot;/&gt;&lt;wsp:rsid wsp:val=&quot;002A3EE1&quot;/&gt;&lt;wsp:rsid wsp:val=&quot;002A436A&quot;/&gt;&lt;wsp:rsid wsp:val=&quot;002A4ABA&quot;/&gt;&lt;wsp:rsid wsp:val=&quot;002A4B77&quot;/&gt;&lt;wsp:rsid wsp:val=&quot;002A51B5&quot;/&gt;&lt;wsp:rsid wsp:val=&quot;002A5252&quot;/&gt;&lt;wsp:rsid wsp:val=&quot;002A583B&quot;/&gt;&lt;wsp:rsid wsp:val=&quot;002A5BD2&quot;/&gt;&lt;wsp:rsid wsp:val=&quot;002A5E56&quot;/&gt;&lt;wsp:rsid wsp:val=&quot;002A6674&quot;/&gt;&lt;wsp:rsid wsp:val=&quot;002A675B&quot;/&gt;&lt;wsp:rsid wsp:val=&quot;002A6E34&quot;/&gt;&lt;wsp:rsid wsp:val=&quot;002A71FC&quot;/&gt;&lt;wsp:rsid wsp:val=&quot;002A77CE&quot;/&gt;&lt;wsp:rsid wsp:val=&quot;002B03C3&quot;/&gt;&lt;wsp:rsid wsp:val=&quot;002B08FB&quot;/&gt;&lt;wsp:rsid wsp:val=&quot;002B0A56&quot;/&gt;&lt;wsp:rsid wsp:val=&quot;002B0B72&quot;/&gt;&lt;wsp:rsid wsp:val=&quot;002B0D8D&quot;/&gt;&lt;wsp:rsid wsp:val=&quot;002B0EC6&quot;/&gt;&lt;wsp:rsid wsp:val=&quot;002B125E&quot;/&gt;&lt;wsp:rsid wsp:val=&quot;002B1390&quot;/&gt;&lt;wsp:rsid wsp:val=&quot;002B14BF&quot;/&gt;&lt;wsp:rsid wsp:val=&quot;002B14DE&quot;/&gt;&lt;wsp:rsid wsp:val=&quot;002B1BE3&quot;/&gt;&lt;wsp:rsid wsp:val=&quot;002B1C18&quot;/&gt;&lt;wsp:rsid wsp:val=&quot;002B2077&quot;/&gt;&lt;wsp:rsid wsp:val=&quot;002B21AE&quot;/&gt;&lt;wsp:rsid wsp:val=&quot;002B2F8D&quot;/&gt;&lt;wsp:rsid wsp:val=&quot;002B3242&quot;/&gt;&lt;wsp:rsid wsp:val=&quot;002B33FD&quot;/&gt;&lt;wsp:rsid wsp:val=&quot;002B340C&quot;/&gt;&lt;wsp:rsid wsp:val=&quot;002B3E0F&quot;/&gt;&lt;wsp:rsid wsp:val=&quot;002B3ED3&quot;/&gt;&lt;wsp:rsid wsp:val=&quot;002B3F54&quot;/&gt;&lt;wsp:rsid wsp:val=&quot;002B4111&quot;/&gt;&lt;wsp:rsid wsp:val=&quot;002B42D1&quot;/&gt;&lt;wsp:rsid wsp:val=&quot;002B48B5&quot;/&gt;&lt;wsp:rsid wsp:val=&quot;002B4A5B&quot;/&gt;&lt;wsp:rsid wsp:val=&quot;002B4D9D&quot;/&gt;&lt;wsp:rsid wsp:val=&quot;002B4FE7&quot;/&gt;&lt;wsp:rsid wsp:val=&quot;002B5104&quot;/&gt;&lt;wsp:rsid wsp:val=&quot;002B51A6&quot;/&gt;&lt;wsp:rsid wsp:val=&quot;002B572E&quot;/&gt;&lt;wsp:rsid wsp:val=&quot;002B5B49&quot;/&gt;&lt;wsp:rsid wsp:val=&quot;002B6049&quot;/&gt;&lt;wsp:rsid wsp:val=&quot;002B63EF&quot;/&gt;&lt;wsp:rsid wsp:val=&quot;002B671A&quot;/&gt;&lt;wsp:rsid wsp:val=&quot;002B6800&quot;/&gt;&lt;wsp:rsid wsp:val=&quot;002B6882&quot;/&gt;&lt;wsp:rsid wsp:val=&quot;002B688F&quot;/&gt;&lt;wsp:rsid wsp:val=&quot;002B68D3&quot;/&gt;&lt;wsp:rsid wsp:val=&quot;002B7134&quot;/&gt;&lt;wsp:rsid wsp:val=&quot;002B7142&quot;/&gt;&lt;wsp:rsid wsp:val=&quot;002B72DC&quot;/&gt;&lt;wsp:rsid wsp:val=&quot;002B74C5&quot;/&gt;&lt;wsp:rsid wsp:val=&quot;002B7769&quot;/&gt;&lt;wsp:rsid wsp:val=&quot;002B7A07&quot;/&gt;&lt;wsp:rsid wsp:val=&quot;002B7D7F&quot;/&gt;&lt;wsp:rsid wsp:val=&quot;002C068F&quot;/&gt;&lt;wsp:rsid wsp:val=&quot;002C091D&quot;/&gt;&lt;wsp:rsid wsp:val=&quot;002C095B&quot;/&gt;&lt;wsp:rsid wsp:val=&quot;002C0B5C&quot;/&gt;&lt;wsp:rsid wsp:val=&quot;002C0E5D&quot;/&gt;&lt;wsp:rsid wsp:val=&quot;002C0F81&quot;/&gt;&lt;wsp:rsid wsp:val=&quot;002C116F&quot;/&gt;&lt;wsp:rsid wsp:val=&quot;002C1494&quot;/&gt;&lt;wsp:rsid wsp:val=&quot;002C1674&quot;/&gt;&lt;wsp:rsid wsp:val=&quot;002C1E8F&quot;/&gt;&lt;wsp:rsid wsp:val=&quot;002C1FBE&quot;/&gt;&lt;wsp:rsid wsp:val=&quot;002C2584&quot;/&gt;&lt;wsp:rsid wsp:val=&quot;002C26DC&quot;/&gt;&lt;wsp:rsid wsp:val=&quot;002C2A04&quot;/&gt;&lt;wsp:rsid wsp:val=&quot;002C2DDC&quot;/&gt;&lt;wsp:rsid wsp:val=&quot;002C2EF4&quot;/&gt;&lt;wsp:rsid wsp:val=&quot;002C2F6B&quot;/&gt;&lt;wsp:rsid wsp:val=&quot;002C303C&quot;/&gt;&lt;wsp:rsid wsp:val=&quot;002C30AA&quot;/&gt;&lt;wsp:rsid wsp:val=&quot;002C32E6&quot;/&gt;&lt;wsp:rsid wsp:val=&quot;002C36F9&quot;/&gt;&lt;wsp:rsid wsp:val=&quot;002C38CD&quot;/&gt;&lt;wsp:rsid wsp:val=&quot;002C3E5E&quot;/&gt;&lt;wsp:rsid wsp:val=&quot;002C411C&quot;/&gt;&lt;wsp:rsid wsp:val=&quot;002C4182&quot;/&gt;&lt;wsp:rsid wsp:val=&quot;002C4336&quot;/&gt;&lt;wsp:rsid wsp:val=&quot;002C43F3&quot;/&gt;&lt;wsp:rsid wsp:val=&quot;002C4663&quot;/&gt;&lt;wsp:rsid wsp:val=&quot;002C46EB&quot;/&gt;&lt;wsp:rsid wsp:val=&quot;002C4B90&quot;/&gt;&lt;wsp:rsid wsp:val=&quot;002C4E03&quot;/&gt;&lt;wsp:rsid wsp:val=&quot;002C4FF8&quot;/&gt;&lt;wsp:rsid wsp:val=&quot;002C6477&quot;/&gt;&lt;wsp:rsid wsp:val=&quot;002C6D9A&quot;/&gt;&lt;wsp:rsid wsp:val=&quot;002C7251&quot;/&gt;&lt;wsp:rsid wsp:val=&quot;002C726D&quot;/&gt;&lt;wsp:rsid wsp:val=&quot;002C729D&quot;/&gt;&lt;wsp:rsid wsp:val=&quot;002C7748&quot;/&gt;&lt;wsp:rsid wsp:val=&quot;002C77DB&quot;/&gt;&lt;wsp:rsid wsp:val=&quot;002C7A83&quot;/&gt;&lt;wsp:rsid wsp:val=&quot;002C7DA1&quot;/&gt;&lt;wsp:rsid wsp:val=&quot;002D05BB&quot;/&gt;&lt;wsp:rsid wsp:val=&quot;002D072A&quot;/&gt;&lt;wsp:rsid wsp:val=&quot;002D0FB5&quot;/&gt;&lt;wsp:rsid wsp:val=&quot;002D11CA&quot;/&gt;&lt;wsp:rsid wsp:val=&quot;002D135F&quot;/&gt;&lt;wsp:rsid wsp:val=&quot;002D1C1F&quot;/&gt;&lt;wsp:rsid wsp:val=&quot;002D21F8&quot;/&gt;&lt;wsp:rsid wsp:val=&quot;002D22D1&quot;/&gt;&lt;wsp:rsid wsp:val=&quot;002D2BCF&quot;/&gt;&lt;wsp:rsid wsp:val=&quot;002D2ED3&quot;/&gt;&lt;wsp:rsid wsp:val=&quot;002D3B85&quot;/&gt;&lt;wsp:rsid wsp:val=&quot;002D3BB9&quot;/&gt;&lt;wsp:rsid wsp:val=&quot;002D3E36&quot;/&gt;&lt;wsp:rsid wsp:val=&quot;002D4B75&quot;/&gt;&lt;wsp:rsid wsp:val=&quot;002D5371&quot;/&gt;&lt;wsp:rsid wsp:val=&quot;002D55A0&quot;/&gt;&lt;wsp:rsid wsp:val=&quot;002D5F99&quot;/&gt;&lt;wsp:rsid wsp:val=&quot;002D617D&quot;/&gt;&lt;wsp:rsid wsp:val=&quot;002D6464&quot;/&gt;&lt;wsp:rsid wsp:val=&quot;002D64EB&quot;/&gt;&lt;wsp:rsid wsp:val=&quot;002D653D&quot;/&gt;&lt;wsp:rsid wsp:val=&quot;002D6BB7&quot;/&gt;&lt;wsp:rsid wsp:val=&quot;002D7061&quot;/&gt;&lt;wsp:rsid wsp:val=&quot;002D711A&quot;/&gt;&lt;wsp:rsid wsp:val=&quot;002D7421&quot;/&gt;&lt;wsp:rsid wsp:val=&quot;002D7652&quot;/&gt;&lt;wsp:rsid wsp:val=&quot;002D7A29&quot;/&gt;&lt;wsp:rsid wsp:val=&quot;002D7AAD&quot;/&gt;&lt;wsp:rsid wsp:val=&quot;002D7FB4&quot;/&gt;&lt;wsp:rsid wsp:val=&quot;002E02FF&quot;/&gt;&lt;wsp:rsid wsp:val=&quot;002E06DA&quot;/&gt;&lt;wsp:rsid wsp:val=&quot;002E0848&quot;/&gt;&lt;wsp:rsid wsp:val=&quot;002E0976&quot;/&gt;&lt;wsp:rsid wsp:val=&quot;002E0D11&quot;/&gt;&lt;wsp:rsid wsp:val=&quot;002E10E3&quot;/&gt;&lt;wsp:rsid wsp:val=&quot;002E1291&quot;/&gt;&lt;wsp:rsid wsp:val=&quot;002E1E39&quot;/&gt;&lt;wsp:rsid wsp:val=&quot;002E215E&quot;/&gt;&lt;wsp:rsid wsp:val=&quot;002E2867&quot;/&gt;&lt;wsp:rsid wsp:val=&quot;002E28D2&quot;/&gt;&lt;wsp:rsid wsp:val=&quot;002E2BDB&quot;/&gt;&lt;wsp:rsid wsp:val=&quot;002E35BB&quot;/&gt;&lt;wsp:rsid wsp:val=&quot;002E38D6&quot;/&gt;&lt;wsp:rsid wsp:val=&quot;002E3A8B&quot;/&gt;&lt;wsp:rsid wsp:val=&quot;002E3B21&quot;/&gt;&lt;wsp:rsid wsp:val=&quot;002E3B6A&quot;/&gt;&lt;wsp:rsid wsp:val=&quot;002E4088&quot;/&gt;&lt;wsp:rsid wsp:val=&quot;002E4338&quot;/&gt;&lt;wsp:rsid wsp:val=&quot;002E4AFE&quot;/&gt;&lt;wsp:rsid wsp:val=&quot;002E4E4F&quot;/&gt;&lt;wsp:rsid wsp:val=&quot;002E4F5A&quot;/&gt;&lt;wsp:rsid wsp:val=&quot;002E5108&quot;/&gt;&lt;wsp:rsid wsp:val=&quot;002E54E6&quot;/&gt;&lt;wsp:rsid wsp:val=&quot;002E5590&quot;/&gt;&lt;wsp:rsid wsp:val=&quot;002E56A0&quot;/&gt;&lt;wsp:rsid wsp:val=&quot;002E5767&quot;/&gt;&lt;wsp:rsid wsp:val=&quot;002E5E4A&quot;/&gt;&lt;wsp:rsid wsp:val=&quot;002E5EE5&quot;/&gt;&lt;wsp:rsid wsp:val=&quot;002E6209&quot;/&gt;&lt;wsp:rsid wsp:val=&quot;002E64C5&quot;/&gt;&lt;wsp:rsid wsp:val=&quot;002E66B5&quot;/&gt;&lt;wsp:rsid wsp:val=&quot;002E6B46&quot;/&gt;&lt;wsp:rsid wsp:val=&quot;002E6C9F&quot;/&gt;&lt;wsp:rsid wsp:val=&quot;002E6D19&quot;/&gt;&lt;wsp:rsid wsp:val=&quot;002E6F6F&quot;/&gt;&lt;wsp:rsid wsp:val=&quot;002E7255&quot;/&gt;&lt;wsp:rsid wsp:val=&quot;002E732E&quot;/&gt;&lt;wsp:rsid wsp:val=&quot;002E74F0&quot;/&gt;&lt;wsp:rsid wsp:val=&quot;002E75A3&quot;/&gt;&lt;wsp:rsid wsp:val=&quot;002E7F4A&quot;/&gt;&lt;wsp:rsid wsp:val=&quot;002F0126&quot;/&gt;&lt;wsp:rsid wsp:val=&quot;002F02D1&quot;/&gt;&lt;wsp:rsid wsp:val=&quot;002F065B&quot;/&gt;&lt;wsp:rsid wsp:val=&quot;002F1208&quot;/&gt;&lt;wsp:rsid wsp:val=&quot;002F1728&quot;/&gt;&lt;wsp:rsid wsp:val=&quot;002F18CB&quot;/&gt;&lt;wsp:rsid wsp:val=&quot;002F196A&quot;/&gt;&lt;wsp:rsid wsp:val=&quot;002F1C02&quot;/&gt;&lt;wsp:rsid wsp:val=&quot;002F1C17&quot;/&gt;&lt;wsp:rsid wsp:val=&quot;002F230A&quot;/&gt;&lt;wsp:rsid wsp:val=&quot;002F24D7&quot;/&gt;&lt;wsp:rsid wsp:val=&quot;002F32A6&quot;/&gt;&lt;wsp:rsid wsp:val=&quot;002F3858&quot;/&gt;&lt;wsp:rsid wsp:val=&quot;002F396B&quot;/&gt;&lt;wsp:rsid wsp:val=&quot;002F4132&quot;/&gt;&lt;wsp:rsid wsp:val=&quot;002F451E&quot;/&gt;&lt;wsp:rsid wsp:val=&quot;002F4577&quot;/&gt;&lt;wsp:rsid wsp:val=&quot;002F4AFC&quot;/&gt;&lt;wsp:rsid wsp:val=&quot;002F55BF&quot;/&gt;&lt;wsp:rsid wsp:val=&quot;002F5708&quot;/&gt;&lt;wsp:rsid wsp:val=&quot;002F5D5E&quot;/&gt;&lt;wsp:rsid wsp:val=&quot;002F5F29&quot;/&gt;&lt;wsp:rsid wsp:val=&quot;002F6043&quot;/&gt;&lt;wsp:rsid wsp:val=&quot;002F60A5&quot;/&gt;&lt;wsp:rsid wsp:val=&quot;002F621A&quot;/&gt;&lt;wsp:rsid wsp:val=&quot;002F6B40&quot;/&gt;&lt;wsp:rsid wsp:val=&quot;002F74ED&quot;/&gt;&lt;wsp:rsid wsp:val=&quot;002F78CC&quot;/&gt;&lt;wsp:rsid wsp:val=&quot;002F7AA9&quot;/&gt;&lt;wsp:rsid wsp:val=&quot;003000D2&quot;/&gt;&lt;wsp:rsid wsp:val=&quot;0030014A&quot;/&gt;&lt;wsp:rsid wsp:val=&quot;00300158&quot;/&gt;&lt;wsp:rsid wsp:val=&quot;00300BB2&quot;/&gt;&lt;wsp:rsid wsp:val=&quot;00300ECD&quot;/&gt;&lt;wsp:rsid wsp:val=&quot;00301022&quot;/&gt;&lt;wsp:rsid wsp:val=&quot;00301071&quot;/&gt;&lt;wsp:rsid wsp:val=&quot;003015BB&quot;/&gt;&lt;wsp:rsid wsp:val=&quot;00301922&quot;/&gt;&lt;wsp:rsid wsp:val=&quot;00301FFC&quot;/&gt;&lt;wsp:rsid wsp:val=&quot;003020C2&quot;/&gt;&lt;wsp:rsid wsp:val=&quot;00302169&quot;/&gt;&lt;wsp:rsid wsp:val=&quot;00302423&quot;/&gt;&lt;wsp:rsid wsp:val=&quot;00302618&quot;/&gt;&lt;wsp:rsid wsp:val=&quot;003028D1&quot;/&gt;&lt;wsp:rsid wsp:val=&quot;00302AF7&quot;/&gt;&lt;wsp:rsid wsp:val=&quot;00302B69&quot;/&gt;&lt;wsp:rsid wsp:val=&quot;00302E00&quot;/&gt;&lt;wsp:rsid wsp:val=&quot;00302FB1&quot;/&gt;&lt;wsp:rsid wsp:val=&quot;00303517&quot;/&gt;&lt;wsp:rsid wsp:val=&quot;003036CD&quot;/&gt;&lt;wsp:rsid wsp:val=&quot;00303A00&quot;/&gt;&lt;wsp:rsid wsp:val=&quot;00303B3B&quot;/&gt;&lt;wsp:rsid wsp:val=&quot;00303B4D&quot;/&gt;&lt;wsp:rsid wsp:val=&quot;00303D61&quot;/&gt;&lt;wsp:rsid wsp:val=&quot;0030464A&quot;/&gt;&lt;wsp:rsid wsp:val=&quot;00304713&quot;/&gt;&lt;wsp:rsid wsp:val=&quot;0030472F&quot;/&gt;&lt;wsp:rsid wsp:val=&quot;00304B97&quot;/&gt;&lt;wsp:rsid wsp:val=&quot;00305790&quot;/&gt;&lt;wsp:rsid wsp:val=&quot;00305876&quot;/&gt;&lt;wsp:rsid wsp:val=&quot;00305A6D&quot;/&gt;&lt;wsp:rsid wsp:val=&quot;003062F4&quot;/&gt;&lt;wsp:rsid wsp:val=&quot;0030662C&quot;/&gt;&lt;wsp:rsid wsp:val=&quot;0030689D&quot;/&gt;&lt;wsp:rsid wsp:val=&quot;00306A46&quot;/&gt;&lt;wsp:rsid wsp:val=&quot;00306F01&quot;/&gt;&lt;wsp:rsid wsp:val=&quot;00306FB2&quot;/&gt;&lt;wsp:rsid wsp:val=&quot;003073F7&quot;/&gt;&lt;wsp:rsid wsp:val=&quot;003075A4&quot;/&gt;&lt;wsp:rsid wsp:val=&quot;00307C01&quot;/&gt;&lt;wsp:rsid wsp:val=&quot;003107EC&quot;/&gt;&lt;wsp:rsid wsp:val=&quot;00310E02&quot;/&gt;&lt;wsp:rsid wsp:val=&quot;003111BB&quot;/&gt;&lt;wsp:rsid wsp:val=&quot;003111FC&quot;/&gt;&lt;wsp:rsid wsp:val=&quot;0031132A&quot;/&gt;&lt;wsp:rsid wsp:val=&quot;003115D1&quot;/&gt;&lt;wsp:rsid wsp:val=&quot;0031174E&quot;/&gt;&lt;wsp:rsid wsp:val=&quot;003117C8&quot;/&gt;&lt;wsp:rsid wsp:val=&quot;0031186A&quot;/&gt;&lt;wsp:rsid wsp:val=&quot;00311941&quot;/&gt;&lt;wsp:rsid wsp:val=&quot;00311AFF&quot;/&gt;&lt;wsp:rsid wsp:val=&quot;00311C1D&quot;/&gt;&lt;wsp:rsid wsp:val=&quot;00312039&quot;/&gt;&lt;wsp:rsid wsp:val=&quot;00312258&quot;/&gt;&lt;wsp:rsid wsp:val=&quot;00312601&quot;/&gt;&lt;wsp:rsid wsp:val=&quot;00312983&quot;/&gt;&lt;wsp:rsid wsp:val=&quot;00312EBC&quot;/&gt;&lt;wsp:rsid wsp:val=&quot;00313370&quot;/&gt;&lt;wsp:rsid wsp:val=&quot;0031356A&quot;/&gt;&lt;wsp:rsid wsp:val=&quot;00313D69&quot;/&gt;&lt;wsp:rsid wsp:val=&quot;00314013&quot;/&gt;&lt;wsp:rsid wsp:val=&quot;003149BE&quot;/&gt;&lt;wsp:rsid wsp:val=&quot;00314BE6&quot;/&gt;&lt;wsp:rsid wsp:val=&quot;00314C9F&quot;/&gt;&lt;wsp:rsid wsp:val=&quot;00314D2A&quot;/&gt;&lt;wsp:rsid wsp:val=&quot;003155F4&quot;/&gt;&lt;wsp:rsid wsp:val=&quot;00315754&quot;/&gt;&lt;wsp:rsid wsp:val=&quot;0031595A&quot;/&gt;&lt;wsp:rsid wsp:val=&quot;00315C07&quot;/&gt;&lt;wsp:rsid wsp:val=&quot;00316101&quot;/&gt;&lt;wsp:rsid wsp:val=&quot;003165DA&quot;/&gt;&lt;wsp:rsid wsp:val=&quot;003171A3&quot;/&gt;&lt;wsp:rsid wsp:val=&quot;00317584&quot;/&gt;&lt;wsp:rsid wsp:val=&quot;0031788A&quot;/&gt;&lt;wsp:rsid wsp:val=&quot;00317BBB&quot;/&gt;&lt;wsp:rsid wsp:val=&quot;0032058B&quot;/&gt;&lt;wsp:rsid wsp:val=&quot;00320710&quot;/&gt;&lt;wsp:rsid wsp:val=&quot;00320789&quot;/&gt;&lt;wsp:rsid wsp:val=&quot;0032083E&quot;/&gt;&lt;wsp:rsid wsp:val=&quot;00320A2B&quot;/&gt;&lt;wsp:rsid wsp:val=&quot;003213CD&quot;/&gt;&lt;wsp:rsid wsp:val=&quot;003214BF&quot;/&gt;&lt;wsp:rsid wsp:val=&quot;003219CA&quot;/&gt;&lt;wsp:rsid wsp:val=&quot;00321A1D&quot;/&gt;&lt;wsp:rsid wsp:val=&quot;00321AE1&quot;/&gt;&lt;wsp:rsid wsp:val=&quot;00322659&quot;/&gt;&lt;wsp:rsid wsp:val=&quot;00323075&quot;/&gt;&lt;wsp:rsid wsp:val=&quot;0032358B&quot;/&gt;&lt;wsp:rsid wsp:val=&quot;003238C2&quot;/&gt;&lt;wsp:rsid wsp:val=&quot;00323B62&quot;/&gt;&lt;wsp:rsid wsp:val=&quot;00323D54&quot;/&gt;&lt;wsp:rsid wsp:val=&quot;00324945&quot;/&gt;&lt;wsp:rsid wsp:val=&quot;00324CAC&quot;/&gt;&lt;wsp:rsid wsp:val=&quot;00324F6F&quot;/&gt;&lt;wsp:rsid wsp:val=&quot;003259B6&quot;/&gt;&lt;wsp:rsid wsp:val=&quot;00325ADE&quot;/&gt;&lt;wsp:rsid wsp:val=&quot;00325DEF&quot;/&gt;&lt;wsp:rsid wsp:val=&quot;003263A4&quot;/&gt;&lt;wsp:rsid wsp:val=&quot;0032658C&quot;/&gt;&lt;wsp:rsid wsp:val=&quot;00326A75&quot;/&gt;&lt;wsp:rsid wsp:val=&quot;00326C36&quot;/&gt;&lt;wsp:rsid wsp:val=&quot;00326F65&quot;/&gt;&lt;wsp:rsid wsp:val=&quot;00326F70&quot;/&gt;&lt;wsp:rsid wsp:val=&quot;003271FC&quot;/&gt;&lt;wsp:rsid wsp:val=&quot;003276BC&quot;/&gt;&lt;wsp:rsid wsp:val=&quot;0033057E&quot;/&gt;&lt;wsp:rsid wsp:val=&quot;00330AE9&quot;/&gt;&lt;wsp:rsid wsp:val=&quot;00330DF2&quot;/&gt;&lt;wsp:rsid wsp:val=&quot;00330E55&quot;/&gt;&lt;wsp:rsid wsp:val=&quot;00330E5D&quot;/&gt;&lt;wsp:rsid wsp:val=&quot;00330FBE&quot;/&gt;&lt;wsp:rsid wsp:val=&quot;00331365&quot;/&gt;&lt;wsp:rsid wsp:val=&quot;00331B1D&quot;/&gt;&lt;wsp:rsid wsp:val=&quot;00332031&quot;/&gt;&lt;wsp:rsid wsp:val=&quot;003320B6&quot;/&gt;&lt;wsp:rsid wsp:val=&quot;003321DF&quot;/&gt;&lt;wsp:rsid wsp:val=&quot;00332337&quot;/&gt;&lt;wsp:rsid wsp:val=&quot;00332341&quot;/&gt;&lt;wsp:rsid wsp:val=&quot;003328C7&quot;/&gt;&lt;wsp:rsid wsp:val=&quot;00332C3C&quot;/&gt;&lt;wsp:rsid wsp:val=&quot;00332DFB&quot;/&gt;&lt;wsp:rsid wsp:val=&quot;00332FF7&quot;/&gt;&lt;wsp:rsid wsp:val=&quot;0033317A&quot;/&gt;&lt;wsp:rsid wsp:val=&quot;00333628&quot;/&gt;&lt;wsp:rsid wsp:val=&quot;00333894&quot;/&gt;&lt;wsp:rsid wsp:val=&quot;00333C0C&quot;/&gt;&lt;wsp:rsid wsp:val=&quot;003342C2&quot;/&gt;&lt;wsp:rsid wsp:val=&quot;0033450D&quot;/&gt;&lt;wsp:rsid wsp:val=&quot;003350B5&quot;/&gt;&lt;wsp:rsid wsp:val=&quot;003352E4&quot;/&gt;&lt;wsp:rsid wsp:val=&quot;003356C7&quot;/&gt;&lt;wsp:rsid wsp:val=&quot;00335BE9&quot;/&gt;&lt;wsp:rsid wsp:val=&quot;00335C71&quot;/&gt;&lt;wsp:rsid wsp:val=&quot;00335CD1&quot;/&gt;&lt;wsp:rsid wsp:val=&quot;00335FEA&quot;/&gt;&lt;wsp:rsid wsp:val=&quot;0033610A&quot;/&gt;&lt;wsp:rsid wsp:val=&quot;0033613D&quot;/&gt;&lt;wsp:rsid wsp:val=&quot;00336256&quot;/&gt;&lt;wsp:rsid wsp:val=&quot;00336280&quot;/&gt;&lt;wsp:rsid wsp:val=&quot;003362F3&quot;/&gt;&lt;wsp:rsid wsp:val=&quot;0033663B&quot;/&gt;&lt;wsp:rsid wsp:val=&quot;00336F19&quot;/&gt;&lt;wsp:rsid wsp:val=&quot;00337063&quot;/&gt;&lt;wsp:rsid wsp:val=&quot;003378B2&quot;/&gt;&lt;wsp:rsid wsp:val=&quot;003378EC&quot;/&gt;&lt;wsp:rsid wsp:val=&quot;00337D73&quot;/&gt;&lt;wsp:rsid wsp:val=&quot;003400F3&quot;/&gt;&lt;wsp:rsid wsp:val=&quot;00340224&quot;/&gt;&lt;wsp:rsid wsp:val=&quot;00340DE7&quot;/&gt;&lt;wsp:rsid wsp:val=&quot;003410BD&quot;/&gt;&lt;wsp:rsid wsp:val=&quot;0034115C&quot;/&gt;&lt;wsp:rsid wsp:val=&quot;0034168D&quot;/&gt;&lt;wsp:rsid wsp:val=&quot;00341965&quot;/&gt;&lt;wsp:rsid wsp:val=&quot;00341A7C&quot;/&gt;&lt;wsp:rsid wsp:val=&quot;00341B4A&quot;/&gt;&lt;wsp:rsid wsp:val=&quot;00341E24&quot;/&gt;&lt;wsp:rsid wsp:val=&quot;0034200B&quot;/&gt;&lt;wsp:rsid wsp:val=&quot;003422F8&quot;/&gt;&lt;wsp:rsid wsp:val=&quot;003423FC&quot;/&gt;&lt;wsp:rsid wsp:val=&quot;003424EC&quot;/&gt;&lt;wsp:rsid wsp:val=&quot;00342A22&quot;/&gt;&lt;wsp:rsid wsp:val=&quot;00344FAA&quot;/&gt;&lt;wsp:rsid wsp:val=&quot;0034514A&quot;/&gt;&lt;wsp:rsid wsp:val=&quot;00345325&quot;/&gt;&lt;wsp:rsid wsp:val=&quot;00345EDB&quot;/&gt;&lt;wsp:rsid wsp:val=&quot;00345F7C&quot;/&gt;&lt;wsp:rsid wsp:val=&quot;00345F7F&quot;/&gt;&lt;wsp:rsid wsp:val=&quot;00346409&quot;/&gt;&lt;wsp:rsid wsp:val=&quot;003466DB&quot;/&gt;&lt;wsp:rsid wsp:val=&quot;0034686B&quot;/&gt;&lt;wsp:rsid wsp:val=&quot;00346BCC&quot;/&gt;&lt;wsp:rsid wsp:val=&quot;00346F5B&quot;/&gt;&lt;wsp:rsid wsp:val=&quot;0034721C&quot;/&gt;&lt;wsp:rsid wsp:val=&quot;0034767A&quot;/&gt;&lt;wsp:rsid wsp:val=&quot;003476CB&quot;/&gt;&lt;wsp:rsid wsp:val=&quot;00347934&quot;/&gt;&lt;wsp:rsid wsp:val=&quot;003479AE&quot;/&gt;&lt;wsp:rsid wsp:val=&quot;00347AF0&quot;/&gt;&lt;wsp:rsid wsp:val=&quot;00347B3A&quot;/&gt;&lt;wsp:rsid wsp:val=&quot;00347F28&quot;/&gt;&lt;wsp:rsid wsp:val=&quot;003505F5&quot;/&gt;&lt;wsp:rsid wsp:val=&quot;0035114B&quot;/&gt;&lt;wsp:rsid wsp:val=&quot;003512AE&quot;/&gt;&lt;wsp:rsid wsp:val=&quot;0035188F&quot;/&gt;&lt;wsp:rsid wsp:val=&quot;00351DE4&quot;/&gt;&lt;wsp:rsid wsp:val=&quot;003526D8&quot;/&gt;&lt;wsp:rsid wsp:val=&quot;00352839&quot;/&gt;&lt;wsp:rsid wsp:val=&quot;00352CB5&quot;/&gt;&lt;wsp:rsid wsp:val=&quot;0035315D&quot;/&gt;&lt;wsp:rsid wsp:val=&quot;0035388C&quot;/&gt;&lt;wsp:rsid wsp:val=&quot;00353F88&quot;/&gt;&lt;wsp:rsid wsp:val=&quot;00354D0B&quot;/&gt;&lt;wsp:rsid wsp:val=&quot;00354E40&quot;/&gt;&lt;wsp:rsid wsp:val=&quot;0035516E&quot;/&gt;&lt;wsp:rsid wsp:val=&quot;00355204&quot;/&gt;&lt;wsp:rsid wsp:val=&quot;003553B0&quot;/&gt;&lt;wsp:rsid wsp:val=&quot;003553D1&quot;/&gt;&lt;wsp:rsid wsp:val=&quot;0035599F&quot;/&gt;&lt;wsp:rsid wsp:val=&quot;00356C07&quot;/&gt;&lt;wsp:rsid wsp:val=&quot;00356CB7&quot;/&gt;&lt;wsp:rsid wsp:val=&quot;00356D04&quot;/&gt;&lt;wsp:rsid wsp:val=&quot;00356F2D&quot;/&gt;&lt;wsp:rsid wsp:val=&quot;003571E1&quot;/&gt;&lt;wsp:rsid wsp:val=&quot;0035747F&quot;/&gt;&lt;wsp:rsid wsp:val=&quot;003575AB&quot;/&gt;&lt;wsp:rsid wsp:val=&quot;00357A59&quot;/&gt;&lt;wsp:rsid wsp:val=&quot;0036026B&quot;/&gt;&lt;wsp:rsid wsp:val=&quot;003606C6&quot;/&gt;&lt;wsp:rsid wsp:val=&quot;00360EDF&quot;/&gt;&lt;wsp:rsid wsp:val=&quot;0036120F&quot;/&gt;&lt;wsp:rsid wsp:val=&quot;0036173A&quot;/&gt;&lt;wsp:rsid wsp:val=&quot;00361CF7&quot;/&gt;&lt;wsp:rsid wsp:val=&quot;0036216C&quot;/&gt;&lt;wsp:rsid wsp:val=&quot;0036240E&quot;/&gt;&lt;wsp:rsid wsp:val=&quot;00362683&quot;/&gt;&lt;wsp:rsid wsp:val=&quot;00363343&quot;/&gt;&lt;wsp:rsid wsp:val=&quot;003634B4&quot;/&gt;&lt;wsp:rsid wsp:val=&quot;00363573&quot;/&gt;&lt;wsp:rsid wsp:val=&quot;00363998&quot;/&gt;&lt;wsp:rsid wsp:val=&quot;00363C90&quot;/&gt;&lt;wsp:rsid wsp:val=&quot;00363F6B&quot;/&gt;&lt;wsp:rsid wsp:val=&quot;0036418B&quot;/&gt;&lt;wsp:rsid wsp:val=&quot;00364A30&quot;/&gt;&lt;wsp:rsid wsp:val=&quot;00364A84&quot;/&gt;&lt;wsp:rsid wsp:val=&quot;00364C87&quot;/&gt;&lt;wsp:rsid wsp:val=&quot;00364E7E&quot;/&gt;&lt;wsp:rsid wsp:val=&quot;00365061&quot;/&gt;&lt;wsp:rsid wsp:val=&quot;003652C9&quot;/&gt;&lt;wsp:rsid wsp:val=&quot;0036562A&quot;/&gt;&lt;wsp:rsid wsp:val=&quot;00365653&quot;/&gt;&lt;wsp:rsid wsp:val=&quot;0036575C&quot;/&gt;&lt;wsp:rsid wsp:val=&quot;00365858&quot;/&gt;&lt;wsp:rsid wsp:val=&quot;00365B02&quot;/&gt;&lt;wsp:rsid wsp:val=&quot;00365BA1&quot;/&gt;&lt;wsp:rsid wsp:val=&quot;00365E52&quot;/&gt;&lt;wsp:rsid wsp:val=&quot;003668EF&quot;/&gt;&lt;wsp:rsid wsp:val=&quot;00366A67&quot;/&gt;&lt;wsp:rsid wsp:val=&quot;00367DBF&quot;/&gt;&lt;wsp:rsid wsp:val=&quot;00367DC2&quot;/&gt;&lt;wsp:rsid wsp:val=&quot;00367E5E&quot;/&gt;&lt;wsp:rsid wsp:val=&quot;003707C5&quot;/&gt;&lt;wsp:rsid wsp:val=&quot;00370B0F&quot;/&gt;&lt;wsp:rsid wsp:val=&quot;00370C4C&quot;/&gt;&lt;wsp:rsid wsp:val=&quot;00370D1F&quot;/&gt;&lt;wsp:rsid wsp:val=&quot;003714E4&quot;/&gt;&lt;wsp:rsid wsp:val=&quot;00371670&quot;/&gt;&lt;wsp:rsid wsp:val=&quot;00371ABB&quot;/&gt;&lt;wsp:rsid wsp:val=&quot;00371BBC&quot;/&gt;&lt;wsp:rsid wsp:val=&quot;00371BFC&quot;/&gt;&lt;wsp:rsid wsp:val=&quot;00371C17&quot;/&gt;&lt;wsp:rsid wsp:val=&quot;00371CF3&quot;/&gt;&lt;wsp:rsid wsp:val=&quot;00371FAF&quot;/&gt;&lt;wsp:rsid wsp:val=&quot;00372111&quot;/&gt;&lt;wsp:rsid wsp:val=&quot;003725D3&quot;/&gt;&lt;wsp:rsid wsp:val=&quot;003726C5&quot;/&gt;&lt;wsp:rsid wsp:val=&quot;003727A3&quot;/&gt;&lt;wsp:rsid wsp:val=&quot;0037281C&quot;/&gt;&lt;wsp:rsid wsp:val=&quot;0037347E&quot;/&gt;&lt;wsp:rsid wsp:val=&quot;00373679&quot;/&gt;&lt;wsp:rsid wsp:val=&quot;00373A9B&quot;/&gt;&lt;wsp:rsid wsp:val=&quot;00373F6B&quot;/&gt;&lt;wsp:rsid wsp:val=&quot;003741E4&quot;/&gt;&lt;wsp:rsid wsp:val=&quot;00374314&quot;/&gt;&lt;wsp:rsid wsp:val=&quot;00374462&quot;/&gt;&lt;wsp:rsid wsp:val=&quot;00374A2B&quot;/&gt;&lt;wsp:rsid wsp:val=&quot;00374A96&quot;/&gt;&lt;wsp:rsid wsp:val=&quot;00374DB8&quot;/&gt;&lt;wsp:rsid wsp:val=&quot;00374DC4&quot;/&gt;&lt;wsp:rsid wsp:val=&quot;003750C6&quot;/&gt;&lt;wsp:rsid wsp:val=&quot;003752F0&quot;/&gt;&lt;wsp:rsid wsp:val=&quot;003759B6&quot;/&gt;&lt;wsp:rsid wsp:val=&quot;003759F5&quot;/&gt;&lt;wsp:rsid wsp:val=&quot;00375B69&quot;/&gt;&lt;wsp:rsid wsp:val=&quot;003762B7&quot;/&gt;&lt;wsp:rsid wsp:val=&quot;00376530&quot;/&gt;&lt;wsp:rsid wsp:val=&quot;00376735&quot;/&gt;&lt;wsp:rsid wsp:val=&quot;00376838&quot;/&gt;&lt;wsp:rsid wsp:val=&quot;00376A20&quot;/&gt;&lt;wsp:rsid wsp:val=&quot;003801DC&quot;/&gt;&lt;wsp:rsid wsp:val=&quot;00380201&quot;/&gt;&lt;wsp:rsid wsp:val=&quot;003804F4&quot;/&gt;&lt;wsp:rsid wsp:val=&quot;00380714&quot;/&gt;&lt;wsp:rsid wsp:val=&quot;0038078A&quot;/&gt;&lt;wsp:rsid wsp:val=&quot;00380EE4&quot;/&gt;&lt;wsp:rsid wsp:val=&quot;0038105C&quot;/&gt;&lt;wsp:rsid wsp:val=&quot;003813F5&quot;/&gt;&lt;wsp:rsid wsp:val=&quot;0038163F&quot;/&gt;&lt;wsp:rsid wsp:val=&quot;00382434&quot;/&gt;&lt;wsp:rsid wsp:val=&quot;003828CF&quot;/&gt;&lt;wsp:rsid wsp:val=&quot;00382A46&quot;/&gt;&lt;wsp:rsid wsp:val=&quot;00382CBB&quot;/&gt;&lt;wsp:rsid wsp:val=&quot;00382F87&quot;/&gt;&lt;wsp:rsid wsp:val=&quot;003834F1&quot;/&gt;&lt;wsp:rsid wsp:val=&quot;00383C65&quot;/&gt;&lt;wsp:rsid wsp:val=&quot;00383CAA&quot;/&gt;&lt;wsp:rsid wsp:val=&quot;00384537&quot;/&gt;&lt;wsp:rsid wsp:val=&quot;0038457F&quot;/&gt;&lt;wsp:rsid wsp:val=&quot;00384660&quot;/&gt;&lt;wsp:rsid wsp:val=&quot;00384A08&quot;/&gt;&lt;wsp:rsid wsp:val=&quot;00384E16&quot;/&gt;&lt;wsp:rsid wsp:val=&quot;00384F5F&quot;/&gt;&lt;wsp:rsid wsp:val=&quot;00385211&quot;/&gt;&lt;wsp:rsid wsp:val=&quot;00385260&quot;/&gt;&lt;wsp:rsid wsp:val=&quot;003855E5&quot;/&gt;&lt;wsp:rsid wsp:val=&quot;00385A45&quot;/&gt;&lt;wsp:rsid wsp:val=&quot;00385C9B&quot;/&gt;&lt;wsp:rsid wsp:val=&quot;00385D10&quot;/&gt;&lt;wsp:rsid wsp:val=&quot;00385E93&quot;/&gt;&lt;wsp:rsid wsp:val=&quot;00386C26&quot;/&gt;&lt;wsp:rsid wsp:val=&quot;0038727F&quot;/&gt;&lt;wsp:rsid wsp:val=&quot;003875E3&quot;/&gt;&lt;wsp:rsid wsp:val=&quot;003877D3&quot;/&gt;&lt;wsp:rsid wsp:val=&quot;00387A81&quot;/&gt;&lt;wsp:rsid wsp:val=&quot;00387B75&quot;/&gt;&lt;wsp:rsid wsp:val=&quot;00387DFD&quot;/&gt;&lt;wsp:rsid wsp:val=&quot;003901CF&quot;/&gt;&lt;wsp:rsid wsp:val=&quot;003903DE&quot;/&gt;&lt;wsp:rsid wsp:val=&quot;00390B8C&quot;/&gt;&lt;wsp:rsid wsp:val=&quot;00390DF1&quot;/&gt;&lt;wsp:rsid wsp:val=&quot;00391222&quot;/&gt;&lt;wsp:rsid wsp:val=&quot;0039174C&quot;/&gt;&lt;wsp:rsid wsp:val=&quot;003924FB&quot;/&gt;&lt;wsp:rsid wsp:val=&quot;00392557&quot;/&gt;&lt;wsp:rsid wsp:val=&quot;003925DD&quot;/&gt;&lt;wsp:rsid wsp:val=&quot;003925E9&quot;/&gt;&lt;wsp:rsid wsp:val=&quot;00392987&quot;/&gt;&lt;wsp:rsid wsp:val=&quot;003929C6&quot;/&gt;&lt;wsp:rsid wsp:val=&quot;003937CB&quot;/&gt;&lt;wsp:rsid wsp:val=&quot;00393C3F&quot;/&gt;&lt;wsp:rsid wsp:val=&quot;00394887&quot;/&gt;&lt;wsp:rsid wsp:val=&quot;00394A3B&quot;/&gt;&lt;wsp:rsid wsp:val=&quot;003951C8&quot;/&gt;&lt;wsp:rsid wsp:val=&quot;00395395&quot;/&gt;&lt;wsp:rsid wsp:val=&quot;003958E9&quot;/&gt;&lt;wsp:rsid wsp:val=&quot;00395A6F&quot;/&gt;&lt;wsp:rsid wsp:val=&quot;00395AA2&quot;/&gt;&lt;wsp:rsid wsp:val=&quot;00395ED5&quot;/&gt;&lt;wsp:rsid wsp:val=&quot;0039613C&quot;/&gt;&lt;wsp:rsid wsp:val=&quot;00396496&quot;/&gt;&lt;wsp:rsid wsp:val=&quot;00396916&quot;/&gt;&lt;wsp:rsid wsp:val=&quot;0039694C&quot;/&gt;&lt;wsp:rsid wsp:val=&quot;003969D5&quot;/&gt;&lt;wsp:rsid wsp:val=&quot;00396D69&quot;/&gt;&lt;wsp:rsid wsp:val=&quot;00396DFD&quot;/&gt;&lt;wsp:rsid wsp:val=&quot;00397150&quot;/&gt;&lt;wsp:rsid wsp:val=&quot;0039786B&quot;/&gt;&lt;wsp:rsid wsp:val=&quot;003979F1&quot;/&gt;&lt;wsp:rsid wsp:val=&quot;003A028B&quot;/&gt;&lt;wsp:rsid wsp:val=&quot;003A0293&quot;/&gt;&lt;wsp:rsid wsp:val=&quot;003A04E3&quot;/&gt;&lt;wsp:rsid wsp:val=&quot;003A0522&quot;/&gt;&lt;wsp:rsid wsp:val=&quot;003A0AC4&quot;/&gt;&lt;wsp:rsid wsp:val=&quot;003A0D2F&quot;/&gt;&lt;wsp:rsid wsp:val=&quot;003A10B8&quot;/&gt;&lt;wsp:rsid wsp:val=&quot;003A1359&quot;/&gt;&lt;wsp:rsid wsp:val=&quot;003A182F&quot;/&gt;&lt;wsp:rsid wsp:val=&quot;003A1CCD&quot;/&gt;&lt;wsp:rsid wsp:val=&quot;003A1D5B&quot;/&gt;&lt;wsp:rsid wsp:val=&quot;003A2E18&quot;/&gt;&lt;wsp:rsid wsp:val=&quot;003A2E2A&quot;/&gt;&lt;wsp:rsid wsp:val=&quot;003A2EBC&quot;/&gt;&lt;wsp:rsid wsp:val=&quot;003A304E&quot;/&gt;&lt;wsp:rsid wsp:val=&quot;003A38E7&quot;/&gt;&lt;wsp:rsid wsp:val=&quot;003A3C6B&quot;/&gt;&lt;wsp:rsid wsp:val=&quot;003A3EAD&quot;/&gt;&lt;wsp:rsid wsp:val=&quot;003A3F1D&quot;/&gt;&lt;wsp:rsid wsp:val=&quot;003A3FA9&quot;/&gt;&lt;wsp:rsid wsp:val=&quot;003A3FAF&quot;/&gt;&lt;wsp:rsid wsp:val=&quot;003A3FCB&quot;/&gt;&lt;wsp:rsid wsp:val=&quot;003A4281&quot;/&gt;&lt;wsp:rsid wsp:val=&quot;003A45A0&quot;/&gt;&lt;wsp:rsid wsp:val=&quot;003A494D&quot;/&gt;&lt;wsp:rsid wsp:val=&quot;003A4974&quot;/&gt;&lt;wsp:rsid wsp:val=&quot;003A4BD8&quot;/&gt;&lt;wsp:rsid wsp:val=&quot;003A4CB8&quot;/&gt;&lt;wsp:rsid wsp:val=&quot;003A4E09&quot;/&gt;&lt;wsp:rsid wsp:val=&quot;003A4E48&quot;/&gt;&lt;wsp:rsid wsp:val=&quot;003A5B24&quot;/&gt;&lt;wsp:rsid wsp:val=&quot;003A5B5A&quot;/&gt;&lt;wsp:rsid wsp:val=&quot;003A5D6C&quot;/&gt;&lt;wsp:rsid wsp:val=&quot;003A5FD7&quot;/&gt;&lt;wsp:rsid wsp:val=&quot;003A6828&quot;/&gt;&lt;wsp:rsid wsp:val=&quot;003A6EEB&quot;/&gt;&lt;wsp:rsid wsp:val=&quot;003A6F0F&quot;/&gt;&lt;wsp:rsid wsp:val=&quot;003A7007&quot;/&gt;&lt;wsp:rsid wsp:val=&quot;003A7788&quot;/&gt;&lt;wsp:rsid wsp:val=&quot;003A794B&quot;/&gt;&lt;wsp:rsid wsp:val=&quot;003A7CEB&quot;/&gt;&lt;wsp:rsid wsp:val=&quot;003B0017&quot;/&gt;&lt;wsp:rsid wsp:val=&quot;003B065E&quot;/&gt;&lt;wsp:rsid wsp:val=&quot;003B08B9&quot;/&gt;&lt;wsp:rsid wsp:val=&quot;003B0AA0&quot;/&gt;&lt;wsp:rsid wsp:val=&quot;003B0B13&quot;/&gt;&lt;wsp:rsid wsp:val=&quot;003B0B70&quot;/&gt;&lt;wsp:rsid wsp:val=&quot;003B0DDC&quot;/&gt;&lt;wsp:rsid wsp:val=&quot;003B0F02&quot;/&gt;&lt;wsp:rsid wsp:val=&quot;003B0F24&quot;/&gt;&lt;wsp:rsid wsp:val=&quot;003B1129&quot;/&gt;&lt;wsp:rsid wsp:val=&quot;003B193D&quot;/&gt;&lt;wsp:rsid wsp:val=&quot;003B19EB&quot;/&gt;&lt;wsp:rsid wsp:val=&quot;003B1E41&quot;/&gt;&lt;wsp:rsid wsp:val=&quot;003B1FB5&quot;/&gt;&lt;wsp:rsid wsp:val=&quot;003B2054&quot;/&gt;&lt;wsp:rsid wsp:val=&quot;003B2266&quot;/&gt;&lt;wsp:rsid wsp:val=&quot;003B24B5&quot;/&gt;&lt;wsp:rsid wsp:val=&quot;003B2646&quot;/&gt;&lt;wsp:rsid wsp:val=&quot;003B30BF&quot;/&gt;&lt;wsp:rsid wsp:val=&quot;003B3108&quot;/&gt;&lt;wsp:rsid wsp:val=&quot;003B320A&quot;/&gt;&lt;wsp:rsid wsp:val=&quot;003B32D9&quot;/&gt;&lt;wsp:rsid wsp:val=&quot;003B3712&quot;/&gt;&lt;wsp:rsid wsp:val=&quot;003B37D8&quot;/&gt;&lt;wsp:rsid wsp:val=&quot;003B39F9&quot;/&gt;&lt;wsp:rsid wsp:val=&quot;003B434F&quot;/&gt;&lt;wsp:rsid wsp:val=&quot;003B4377&quot;/&gt;&lt;wsp:rsid wsp:val=&quot;003B46BC&quot;/&gt;&lt;wsp:rsid wsp:val=&quot;003B47D0&quot;/&gt;&lt;wsp:rsid wsp:val=&quot;003B4804&quot;/&gt;&lt;wsp:rsid wsp:val=&quot;003B503A&quot;/&gt;&lt;wsp:rsid wsp:val=&quot;003B527C&quot;/&gt;&lt;wsp:rsid wsp:val=&quot;003B533B&quot;/&gt;&lt;wsp:rsid wsp:val=&quot;003B5602&quot;/&gt;&lt;wsp:rsid wsp:val=&quot;003B57E2&quot;/&gt;&lt;wsp:rsid wsp:val=&quot;003B63F7&quot;/&gt;&lt;wsp:rsid wsp:val=&quot;003B6424&quot;/&gt;&lt;wsp:rsid wsp:val=&quot;003B66A7&quot;/&gt;&lt;wsp:rsid wsp:val=&quot;003B6AEF&quot;/&gt;&lt;wsp:rsid wsp:val=&quot;003B6BE7&quot;/&gt;&lt;wsp:rsid wsp:val=&quot;003B6EBE&quot;/&gt;&lt;wsp:rsid wsp:val=&quot;003B7509&quot;/&gt;&lt;wsp:rsid wsp:val=&quot;003B7A35&quot;/&gt;&lt;wsp:rsid wsp:val=&quot;003C0007&quot;/&gt;&lt;wsp:rsid wsp:val=&quot;003C062D&quot;/&gt;&lt;wsp:rsid wsp:val=&quot;003C0B44&quot;/&gt;&lt;wsp:rsid wsp:val=&quot;003C1186&quot;/&gt;&lt;wsp:rsid wsp:val=&quot;003C1EB8&quot;/&gt;&lt;wsp:rsid wsp:val=&quot;003C20A8&quot;/&gt;&lt;wsp:rsid wsp:val=&quot;003C21BD&quot;/&gt;&lt;wsp:rsid wsp:val=&quot;003C2457&quot;/&gt;&lt;wsp:rsid wsp:val=&quot;003C27F8&quot;/&gt;&lt;wsp:rsid wsp:val=&quot;003C30F8&quot;/&gt;&lt;wsp:rsid wsp:val=&quot;003C3102&quot;/&gt;&lt;wsp:rsid wsp:val=&quot;003C37D8&quot;/&gt;&lt;wsp:rsid wsp:val=&quot;003C380B&quot;/&gt;&lt;wsp:rsid wsp:val=&quot;003C3AC8&quot;/&gt;&lt;wsp:rsid wsp:val=&quot;003C3EAC&quot;/&gt;&lt;wsp:rsid wsp:val=&quot;003C407C&quot;/&gt;&lt;wsp:rsid wsp:val=&quot;003C4610&quot;/&gt;&lt;wsp:rsid wsp:val=&quot;003C4766&quot;/&gt;&lt;wsp:rsid wsp:val=&quot;003C48C4&quot;/&gt;&lt;wsp:rsid wsp:val=&quot;003C4A30&quot;/&gt;&lt;wsp:rsid wsp:val=&quot;003C4A6C&quot;/&gt;&lt;wsp:rsid wsp:val=&quot;003C4BA3&quot;/&gt;&lt;wsp:rsid wsp:val=&quot;003C4E1E&quot;/&gt;&lt;wsp:rsid wsp:val=&quot;003C4EA2&quot;/&gt;&lt;wsp:rsid wsp:val=&quot;003C4EE3&quot;/&gt;&lt;wsp:rsid wsp:val=&quot;003C53D7&quot;/&gt;&lt;wsp:rsid wsp:val=&quot;003C5762&quot;/&gt;&lt;wsp:rsid wsp:val=&quot;003C5FD3&quot;/&gt;&lt;wsp:rsid wsp:val=&quot;003C60F5&quot;/&gt;&lt;wsp:rsid wsp:val=&quot;003C611F&quot;/&gt;&lt;wsp:rsid wsp:val=&quot;003C620F&quot;/&gt;&lt;wsp:rsid wsp:val=&quot;003C63F4&quot;/&gt;&lt;wsp:rsid wsp:val=&quot;003C662D&quot;/&gt;&lt;wsp:rsid wsp:val=&quot;003C7075&quot;/&gt;&lt;wsp:rsid wsp:val=&quot;003C74A1&quot;/&gt;&lt;wsp:rsid wsp:val=&quot;003C75E4&quot;/&gt;&lt;wsp:rsid wsp:val=&quot;003C7914&quot;/&gt;&lt;wsp:rsid wsp:val=&quot;003D028C&quot;/&gt;&lt;wsp:rsid wsp:val=&quot;003D034C&quot;/&gt;&lt;wsp:rsid wsp:val=&quot;003D07AC&quot;/&gt;&lt;wsp:rsid wsp:val=&quot;003D0AC7&quot;/&gt;&lt;wsp:rsid wsp:val=&quot;003D0BA3&quot;/&gt;&lt;wsp:rsid wsp:val=&quot;003D0EA4&quot;/&gt;&lt;wsp:rsid wsp:val=&quot;003D12F2&quot;/&gt;&lt;wsp:rsid wsp:val=&quot;003D154F&quot;/&gt;&lt;wsp:rsid wsp:val=&quot;003D1CDB&quot;/&gt;&lt;wsp:rsid wsp:val=&quot;003D2052&quot;/&gt;&lt;wsp:rsid wsp:val=&quot;003D25CB&quot;/&gt;&lt;wsp:rsid wsp:val=&quot;003D2635&quot;/&gt;&lt;wsp:rsid wsp:val=&quot;003D2859&quot;/&gt;&lt;wsp:rsid wsp:val=&quot;003D2BD9&quot;/&gt;&lt;wsp:rsid wsp:val=&quot;003D2CA5&quot;/&gt;&lt;wsp:rsid wsp:val=&quot;003D2EB7&quot;/&gt;&lt;wsp:rsid wsp:val=&quot;003D32C3&quot;/&gt;&lt;wsp:rsid wsp:val=&quot;003D32F9&quot;/&gt;&lt;wsp:rsid wsp:val=&quot;003D3D62&quot;/&gt;&lt;wsp:rsid wsp:val=&quot;003D3F90&quot;/&gt;&lt;wsp:rsid wsp:val=&quot;003D4469&quot;/&gt;&lt;wsp:rsid wsp:val=&quot;003D482B&quot;/&gt;&lt;wsp:rsid wsp:val=&quot;003D5085&quot;/&gt;&lt;wsp:rsid wsp:val=&quot;003D553E&quot;/&gt;&lt;wsp:rsid wsp:val=&quot;003D55EE&quot;/&gt;&lt;wsp:rsid wsp:val=&quot;003D5F8C&quot;/&gt;&lt;wsp:rsid wsp:val=&quot;003D6183&quot;/&gt;&lt;wsp:rsid wsp:val=&quot;003D61E8&quot;/&gt;&lt;wsp:rsid wsp:val=&quot;003D61F6&quot;/&gt;&lt;wsp:rsid wsp:val=&quot;003D6355&quot;/&gt;&lt;wsp:rsid wsp:val=&quot;003D6410&quot;/&gt;&lt;wsp:rsid wsp:val=&quot;003D6484&quot;/&gt;&lt;wsp:rsid wsp:val=&quot;003D65EF&quot;/&gt;&lt;wsp:rsid wsp:val=&quot;003D6867&quot;/&gt;&lt;wsp:rsid wsp:val=&quot;003D6AC3&quot;/&gt;&lt;wsp:rsid wsp:val=&quot;003D6AE7&quot;/&gt;&lt;wsp:rsid wsp:val=&quot;003D6F3F&quot;/&gt;&lt;wsp:rsid wsp:val=&quot;003D709C&quot;/&gt;&lt;wsp:rsid wsp:val=&quot;003D73D8&quot;/&gt;&lt;wsp:rsid wsp:val=&quot;003E00F2&quot;/&gt;&lt;wsp:rsid wsp:val=&quot;003E01F1&quot;/&gt;&lt;wsp:rsid wsp:val=&quot;003E02F9&quot;/&gt;&lt;wsp:rsid wsp:val=&quot;003E0830&quot;/&gt;&lt;wsp:rsid wsp:val=&quot;003E0B3B&quot;/&gt;&lt;wsp:rsid wsp:val=&quot;003E0EE6&quot;/&gt;&lt;wsp:rsid wsp:val=&quot;003E172E&quot;/&gt;&lt;wsp:rsid wsp:val=&quot;003E1B2F&quot;/&gt;&lt;wsp:rsid wsp:val=&quot;003E1BAD&quot;/&gt;&lt;wsp:rsid wsp:val=&quot;003E1DDB&quot;/&gt;&lt;wsp:rsid wsp:val=&quot;003E20EE&quot;/&gt;&lt;wsp:rsid wsp:val=&quot;003E272F&quot;/&gt;&lt;wsp:rsid wsp:val=&quot;003E2831&quot;/&gt;&lt;wsp:rsid wsp:val=&quot;003E2B6D&quot;/&gt;&lt;wsp:rsid wsp:val=&quot;003E3CB9&quot;/&gt;&lt;wsp:rsid wsp:val=&quot;003E3D3E&quot;/&gt;&lt;wsp:rsid wsp:val=&quot;003E47A3&quot;/&gt;&lt;wsp:rsid wsp:val=&quot;003E489D&quot;/&gt;&lt;wsp:rsid wsp:val=&quot;003E4941&quot;/&gt;&lt;wsp:rsid wsp:val=&quot;003E4B90&quot;/&gt;&lt;wsp:rsid wsp:val=&quot;003E4C8F&quot;/&gt;&lt;wsp:rsid wsp:val=&quot;003E4E12&quot;/&gt;&lt;wsp:rsid wsp:val=&quot;003E562A&quot;/&gt;&lt;wsp:rsid wsp:val=&quot;003E5B49&quot;/&gt;&lt;wsp:rsid wsp:val=&quot;003E62B3&quot;/&gt;&lt;wsp:rsid wsp:val=&quot;003E6640&quot;/&gt;&lt;wsp:rsid wsp:val=&quot;003E66B9&quot;/&gt;&lt;wsp:rsid wsp:val=&quot;003E6726&quot;/&gt;&lt;wsp:rsid wsp:val=&quot;003E6C99&quot;/&gt;&lt;wsp:rsid wsp:val=&quot;003E6E58&quot;/&gt;&lt;wsp:rsid wsp:val=&quot;003E6FCD&quot;/&gt;&lt;wsp:rsid wsp:val=&quot;003E725E&quot;/&gt;&lt;wsp:rsid wsp:val=&quot;003E7EB6&quot;/&gt;&lt;wsp:rsid wsp:val=&quot;003F0322&quot;/&gt;&lt;wsp:rsid wsp:val=&quot;003F0413&quot;/&gt;&lt;wsp:rsid wsp:val=&quot;003F0B39&quot;/&gt;&lt;wsp:rsid wsp:val=&quot;003F0E7F&quot;/&gt;&lt;wsp:rsid wsp:val=&quot;003F0ECF&quot;/&gt;&lt;wsp:rsid wsp:val=&quot;003F12A6&quot;/&gt;&lt;wsp:rsid wsp:val=&quot;003F1385&quot;/&gt;&lt;wsp:rsid wsp:val=&quot;003F14C7&quot;/&gt;&lt;wsp:rsid wsp:val=&quot;003F2289&quot;/&gt;&lt;wsp:rsid wsp:val=&quot;003F2445&quot;/&gt;&lt;wsp:rsid wsp:val=&quot;003F25D8&quot;/&gt;&lt;wsp:rsid wsp:val=&quot;003F29DF&quot;/&gt;&lt;wsp:rsid wsp:val=&quot;003F2C2A&quot;/&gt;&lt;wsp:rsid wsp:val=&quot;003F2CE8&quot;/&gt;&lt;wsp:rsid wsp:val=&quot;003F2E67&quot;/&gt;&lt;wsp:rsid wsp:val=&quot;003F349E&quot;/&gt;&lt;wsp:rsid wsp:val=&quot;003F3C82&quot;/&gt;&lt;wsp:rsid wsp:val=&quot;003F3E7B&quot;/&gt;&lt;wsp:rsid wsp:val=&quot;003F41F3&quot;/&gt;&lt;wsp:rsid wsp:val=&quot;003F4532&quot;/&gt;&lt;wsp:rsid wsp:val=&quot;003F4A06&quot;/&gt;&lt;wsp:rsid wsp:val=&quot;003F506A&quot;/&gt;&lt;wsp:rsid wsp:val=&quot;003F508C&quot;/&gt;&lt;wsp:rsid wsp:val=&quot;003F52DC&quot;/&gt;&lt;wsp:rsid wsp:val=&quot;003F53A4&quot;/&gt;&lt;wsp:rsid wsp:val=&quot;003F5787&quot;/&gt;&lt;wsp:rsid wsp:val=&quot;003F5D07&quot;/&gt;&lt;wsp:rsid wsp:val=&quot;003F6109&quot;/&gt;&lt;wsp:rsid wsp:val=&quot;003F623B&quot;/&gt;&lt;wsp:rsid wsp:val=&quot;003F636D&quot;/&gt;&lt;wsp:rsid wsp:val=&quot;003F6527&quot;/&gt;&lt;wsp:rsid wsp:val=&quot;003F6669&quot;/&gt;&lt;wsp:rsid wsp:val=&quot;003F6B6F&quot;/&gt;&lt;wsp:rsid wsp:val=&quot;003F6F95&quot;/&gt;&lt;wsp:rsid wsp:val=&quot;003F70E1&quot;/&gt;&lt;wsp:rsid wsp:val=&quot;003F755E&quot;/&gt;&lt;wsp:rsid wsp:val=&quot;003F7664&quot;/&gt;&lt;wsp:rsid wsp:val=&quot;003F7AAC&quot;/&gt;&lt;wsp:rsid wsp:val=&quot;003F7BD6&quot;/&gt;&lt;wsp:rsid wsp:val=&quot;003F7C52&quot;/&gt;&lt;wsp:rsid wsp:val=&quot;003F7F0F&quot;/&gt;&lt;wsp:rsid wsp:val=&quot;00400766&quot;/&gt;&lt;wsp:rsid wsp:val=&quot;00400ACD&quot;/&gt;&lt;wsp:rsid wsp:val=&quot;00400F04&quot;/&gt;&lt;wsp:rsid wsp:val=&quot;004011BA&quot;/&gt;&lt;wsp:rsid wsp:val=&quot;00401275&quot;/&gt;&lt;wsp:rsid wsp:val=&quot;00401CB6&quot;/&gt;&lt;wsp:rsid wsp:val=&quot;00401E7C&quot;/&gt;&lt;wsp:rsid wsp:val=&quot;00402085&quot;/&gt;&lt;wsp:rsid wsp:val=&quot;004021FC&quot;/&gt;&lt;wsp:rsid wsp:val=&quot;004029BB&quot;/&gt;&lt;wsp:rsid wsp:val=&quot;00402B69&quot;/&gt;&lt;wsp:rsid wsp:val=&quot;004033BB&quot;/&gt;&lt;wsp:rsid wsp:val=&quot;00403A08&quot;/&gt;&lt;wsp:rsid wsp:val=&quot;00403DE2&quot;/&gt;&lt;wsp:rsid wsp:val=&quot;004048E8&quot;/&gt;&lt;wsp:rsid wsp:val=&quot;00404985&quot;/&gt;&lt;wsp:rsid wsp:val=&quot;00404AB8&quot;/&gt;&lt;wsp:rsid wsp:val=&quot;00405FFA&quot;/&gt;&lt;wsp:rsid wsp:val=&quot;00406085&quot;/&gt;&lt;wsp:rsid wsp:val=&quot;004061CD&quot;/&gt;&lt;wsp:rsid wsp:val=&quot;00406510&quot;/&gt;&lt;wsp:rsid wsp:val=&quot;00406B51&quot;/&gt;&lt;wsp:rsid wsp:val=&quot;00407258&quot;/&gt;&lt;wsp:rsid wsp:val=&quot;0040768F&quot;/&gt;&lt;wsp:rsid wsp:val=&quot;004106EC&quot;/&gt;&lt;wsp:rsid wsp:val=&quot;00410AAD&quot;/&gt;&lt;wsp:rsid wsp:val=&quot;00410E2E&quot;/&gt;&lt;wsp:rsid wsp:val=&quot;00410ED4&quot;/&gt;&lt;wsp:rsid wsp:val=&quot;00410FCA&quot;/&gt;&lt;wsp:rsid wsp:val=&quot;00411765&quot;/&gt;&lt;wsp:rsid wsp:val=&quot;0041184D&quot;/&gt;&lt;wsp:rsid wsp:val=&quot;00411912&quot;/&gt;&lt;wsp:rsid wsp:val=&quot;00411A56&quot;/&gt;&lt;wsp:rsid wsp:val=&quot;004122F4&quot;/&gt;&lt;wsp:rsid wsp:val=&quot;00412326&quot;/&gt;&lt;wsp:rsid wsp:val=&quot;004124E6&quot;/&gt;&lt;wsp:rsid wsp:val=&quot;00412518&quot;/&gt;&lt;wsp:rsid wsp:val=&quot;0041269B&quot;/&gt;&lt;wsp:rsid wsp:val=&quot;004126B9&quot;/&gt;&lt;wsp:rsid wsp:val=&quot;00412AA2&quot;/&gt;&lt;wsp:rsid wsp:val=&quot;00412FC0&quot;/&gt;&lt;wsp:rsid wsp:val=&quot;0041334F&quot;/&gt;&lt;wsp:rsid wsp:val=&quot;00413992&quot;/&gt;&lt;wsp:rsid wsp:val=&quot;00413A15&quot;/&gt;&lt;wsp:rsid wsp:val=&quot;00414249&quot;/&gt;&lt;wsp:rsid wsp:val=&quot;0041428D&quot;/&gt;&lt;wsp:rsid wsp:val=&quot;00414970&quot;/&gt;&lt;wsp:rsid wsp:val=&quot;00414A24&quot;/&gt;&lt;wsp:rsid wsp:val=&quot;004150CB&quot;/&gt;&lt;wsp:rsid wsp:val=&quot;004151A7&quot;/&gt;&lt;wsp:rsid wsp:val=&quot;00415287&quot;/&gt;&lt;wsp:rsid wsp:val=&quot;004158E8&quot;/&gt;&lt;wsp:rsid wsp:val=&quot;00415A19&quot;/&gt;&lt;wsp:rsid wsp:val=&quot;00415B72&quot;/&gt;&lt;wsp:rsid wsp:val=&quot;00415F11&quot;/&gt;&lt;wsp:rsid wsp:val=&quot;00415FB2&quot;/&gt;&lt;wsp:rsid wsp:val=&quot;004161B7&quot;/&gt;&lt;wsp:rsid wsp:val=&quot;004166C7&quot;/&gt;&lt;wsp:rsid wsp:val=&quot;004167E8&quot;/&gt;&lt;wsp:rsid wsp:val=&quot;0041685C&quot;/&gt;&lt;wsp:rsid wsp:val=&quot;00416B8C&quot;/&gt;&lt;wsp:rsid wsp:val=&quot;00416C04&quot;/&gt;&lt;wsp:rsid wsp:val=&quot;00416F6E&quot;/&gt;&lt;wsp:rsid wsp:val=&quot;00417066&quot;/&gt;&lt;wsp:rsid wsp:val=&quot;004177E9&quot;/&gt;&lt;wsp:rsid wsp:val=&quot;004179F3&quot;/&gt;&lt;wsp:rsid wsp:val=&quot;00417FE6&quot;/&gt;&lt;wsp:rsid wsp:val=&quot;0042005E&quot;/&gt;&lt;wsp:rsid wsp:val=&quot;00420701&quot;/&gt;&lt;wsp:rsid wsp:val=&quot;00420EDC&quot;/&gt;&lt;wsp:rsid wsp:val=&quot;004212F9&quot;/&gt;&lt;wsp:rsid wsp:val=&quot;0042149F&quot;/&gt;&lt;wsp:rsid wsp:val=&quot;004217F6&quot;/&gt;&lt;wsp:rsid wsp:val=&quot;0042185F&quot;/&gt;&lt;wsp:rsid wsp:val=&quot;00421A49&quot;/&gt;&lt;wsp:rsid wsp:val=&quot;00421C88&quot;/&gt;&lt;wsp:rsid wsp:val=&quot;00421D7E&quot;/&gt;&lt;wsp:rsid wsp:val=&quot;00421DC7&quot;/&gt;&lt;wsp:rsid wsp:val=&quot;00421F89&quot;/&gt;&lt;wsp:rsid wsp:val=&quot;00421FE0&quot;/&gt;&lt;wsp:rsid wsp:val=&quot;0042236B&quot;/&gt;&lt;wsp:rsid wsp:val=&quot;004225D9&quot;/&gt;&lt;wsp:rsid wsp:val=&quot;00422A16&quot;/&gt;&lt;wsp:rsid wsp:val=&quot;00422D69&quot;/&gt;&lt;wsp:rsid wsp:val=&quot;0042301A&quot;/&gt;&lt;wsp:rsid wsp:val=&quot;004234C0&quot;/&gt;&lt;wsp:rsid wsp:val=&quot;004235CD&quot;/&gt;&lt;wsp:rsid wsp:val=&quot;00423838&quot;/&gt;&lt;wsp:rsid wsp:val=&quot;00423A6B&quot;/&gt;&lt;wsp:rsid wsp:val=&quot;00423D33&quot;/&gt;&lt;wsp:rsid wsp:val=&quot;00423E24&quot;/&gt;&lt;wsp:rsid wsp:val=&quot;00424037&quot;/&gt;&lt;wsp:rsid wsp:val=&quot;00424346&quot;/&gt;&lt;wsp:rsid wsp:val=&quot;00424D07&quot;/&gt;&lt;wsp:rsid wsp:val=&quot;00424F70&quot;/&gt;&lt;wsp:rsid wsp:val=&quot;00425E90&quot;/&gt;&lt;wsp:rsid wsp:val=&quot;00425EB2&quot;/&gt;&lt;wsp:rsid wsp:val=&quot;00426257&quot;/&gt;&lt;wsp:rsid wsp:val=&quot;004262D3&quot;/&gt;&lt;wsp:rsid wsp:val=&quot;00426D18&quot;/&gt;&lt;wsp:rsid wsp:val=&quot;00426F7A&quot;/&gt;&lt;wsp:rsid wsp:val=&quot;004271CA&quot;/&gt;&lt;wsp:rsid wsp:val=&quot;00427DC4&quot;/&gt;&lt;wsp:rsid wsp:val=&quot;004300E6&quot;/&gt;&lt;wsp:rsid wsp:val=&quot;004307E4&quot;/&gt;&lt;wsp:rsid wsp:val=&quot;00430A89&quot;/&gt;&lt;wsp:rsid wsp:val=&quot;0043116E&quot;/&gt;&lt;wsp:rsid wsp:val=&quot;004313B3&quot;/&gt;&lt;wsp:rsid wsp:val=&quot;00431EB3&quot;/&gt;&lt;wsp:rsid wsp:val=&quot;00432562&quot;/&gt;&lt;wsp:rsid wsp:val=&quot;004327B8&quot;/&gt;&lt;wsp:rsid wsp:val=&quot;00432895&quot;/&gt;&lt;wsp:rsid wsp:val=&quot;00432967&quot;/&gt;&lt;wsp:rsid wsp:val=&quot;0043297C&quot;/&gt;&lt;wsp:rsid wsp:val=&quot;004333FF&quot;/&gt;&lt;wsp:rsid wsp:val=&quot;004336F0&quot;/&gt;&lt;wsp:rsid wsp:val=&quot;00433701&quot;/&gt;&lt;wsp:rsid wsp:val=&quot;00433CE8&quot;/&gt;&lt;wsp:rsid wsp:val=&quot;00434399&quot;/&gt;&lt;wsp:rsid wsp:val=&quot;00434506&quot;/&gt;&lt;wsp:rsid wsp:val=&quot;0043452F&quot;/&gt;&lt;wsp:rsid wsp:val=&quot;004345A4&quot;/&gt;&lt;wsp:rsid wsp:val=&quot;00434D29&quot;/&gt;&lt;wsp:rsid wsp:val=&quot;00434EFA&quot;/&gt;&lt;wsp:rsid wsp:val=&quot;00435623&quot;/&gt;&lt;wsp:rsid wsp:val=&quot;004359B4&quot;/&gt;&lt;wsp:rsid wsp:val=&quot;00435D1B&quot;/&gt;&lt;wsp:rsid wsp:val=&quot;00435EB4&quot;/&gt;&lt;wsp:rsid wsp:val=&quot;0043609F&quot;/&gt;&lt;wsp:rsid wsp:val=&quot;0043684C&quot;/&gt;&lt;wsp:rsid wsp:val=&quot;00436B97&quot;/&gt;&lt;wsp:rsid wsp:val=&quot;00437033&quot;/&gt;&lt;wsp:rsid wsp:val=&quot;00437304&quot;/&gt;&lt;wsp:rsid wsp:val=&quot;00437577&quot;/&gt;&lt;wsp:rsid wsp:val=&quot;00437E2A&quot;/&gt;&lt;wsp:rsid wsp:val=&quot;00437EF7&quot;/&gt;&lt;wsp:rsid wsp:val=&quot;00440166&quot;/&gt;&lt;wsp:rsid wsp:val=&quot;00440557&quot;/&gt;&lt;wsp:rsid wsp:val=&quot;004408A6&quot;/&gt;&lt;wsp:rsid wsp:val=&quot;00440CA0&quot;/&gt;&lt;wsp:rsid wsp:val=&quot;00441359&quot;/&gt;&lt;wsp:rsid wsp:val=&quot;00441637&quot;/&gt;&lt;wsp:rsid wsp:val=&quot;0044179D&quot;/&gt;&lt;wsp:rsid wsp:val=&quot;004417CD&quot;/&gt;&lt;wsp:rsid wsp:val=&quot;00441882&quot;/&gt;&lt;wsp:rsid wsp:val=&quot;004418C2&quot;/&gt;&lt;wsp:rsid wsp:val=&quot;004419F6&quot;/&gt;&lt;wsp:rsid wsp:val=&quot;00441A62&quot;/&gt;&lt;wsp:rsid wsp:val=&quot;00442EA7&quot;/&gt;&lt;wsp:rsid wsp:val=&quot;00444673&quot;/&gt;&lt;wsp:rsid wsp:val=&quot;00444F80&quot;/&gt;&lt;wsp:rsid wsp:val=&quot;004451D5&quot;/&gt;&lt;wsp:rsid wsp:val=&quot;004453BF&quot;/&gt;&lt;wsp:rsid wsp:val=&quot;0044545C&quot;/&gt;&lt;wsp:rsid wsp:val=&quot;00445C26&quot;/&gt;&lt;wsp:rsid wsp:val=&quot;00445D3E&quot;/&gt;&lt;wsp:rsid wsp:val=&quot;004460F9&quot;/&gt;&lt;wsp:rsid wsp:val=&quot;004464AE&quot;/&gt;&lt;wsp:rsid wsp:val=&quot;00446877&quot;/&gt;&lt;wsp:rsid wsp:val=&quot;00446A7E&quot;/&gt;&lt;wsp:rsid wsp:val=&quot;004470D8&quot;/&gt;&lt;wsp:rsid wsp:val=&quot;00447663&quot;/&gt;&lt;wsp:rsid wsp:val=&quot;004479EE&quot;/&gt;&lt;wsp:rsid wsp:val=&quot;00447B11&quot;/&gt;&lt;wsp:rsid wsp:val=&quot;00447B62&quot;/&gt;&lt;wsp:rsid wsp:val=&quot;00450171&quot;/&gt;&lt;wsp:rsid wsp:val=&quot;00450635&quot;/&gt;&lt;wsp:rsid wsp:val=&quot;00450676&quot;/&gt;&lt;wsp:rsid wsp:val=&quot;00450CD1&quot;/&gt;&lt;wsp:rsid wsp:val=&quot;0045100D&quot;/&gt;&lt;wsp:rsid wsp:val=&quot;00451366&quot;/&gt;&lt;wsp:rsid wsp:val=&quot;00451EAF&quot;/&gt;&lt;wsp:rsid wsp:val=&quot;0045202F&quot;/&gt;&lt;wsp:rsid wsp:val=&quot;00452436&quot;/&gt;&lt;wsp:rsid wsp:val=&quot;0045247A&quot;/&gt;&lt;wsp:rsid wsp:val=&quot;00452526&quot;/&gt;&lt;wsp:rsid wsp:val=&quot;00452542&quot;/&gt;&lt;wsp:rsid wsp:val=&quot;00452D4C&quot;/&gt;&lt;wsp:rsid wsp:val=&quot;0045371E&quot;/&gt;&lt;wsp:rsid wsp:val=&quot;004537A8&quot;/&gt;&lt;wsp:rsid wsp:val=&quot;00453892&quot;/&gt;&lt;wsp:rsid wsp:val=&quot;00453BC3&quot;/&gt;&lt;wsp:rsid wsp:val=&quot;00453D49&quot;/&gt;&lt;wsp:rsid wsp:val=&quot;004540AC&quot;/&gt;&lt;wsp:rsid wsp:val=&quot;0045438C&quot;/&gt;&lt;wsp:rsid wsp:val=&quot;00454652&quot;/&gt;&lt;wsp:rsid wsp:val=&quot;00454670&quot;/&gt;&lt;wsp:rsid wsp:val=&quot;00454764&quot;/&gt;&lt;wsp:rsid wsp:val=&quot;00454DAD&quot;/&gt;&lt;wsp:rsid wsp:val=&quot;00454E01&quot;/&gt;&lt;wsp:rsid wsp:val=&quot;00454EAD&quot;/&gt;&lt;wsp:rsid wsp:val=&quot;00455033&quot;/&gt;&lt;wsp:rsid wsp:val=&quot;00455238&quot;/&gt;&lt;wsp:rsid wsp:val=&quot;004558A2&quot;/&gt;&lt;wsp:rsid wsp:val=&quot;0045687A&quot;/&gt;&lt;wsp:rsid wsp:val=&quot;004571AA&quot;/&gt;&lt;wsp:rsid wsp:val=&quot;004573C3&quot;/&gt;&lt;wsp:rsid wsp:val=&quot;00457ED4&quot;/&gt;&lt;wsp:rsid wsp:val=&quot;004604E6&quot;/&gt;&lt;wsp:rsid wsp:val=&quot;00460FC4&quot;/&gt;&lt;wsp:rsid wsp:val=&quot;00461879&quot;/&gt;&lt;wsp:rsid wsp:val=&quot;00461A87&quot;/&gt;&lt;wsp:rsid wsp:val=&quot;00461DEA&quot;/&gt;&lt;wsp:rsid wsp:val=&quot;00461FFE&quot;/&gt;&lt;wsp:rsid wsp:val=&quot;00462065&quot;/&gt;&lt;wsp:rsid wsp:val=&quot;0046393D&quot;/&gt;&lt;wsp:rsid wsp:val=&quot;004640CE&quot;/&gt;&lt;wsp:rsid wsp:val=&quot;004641B7&quot;/&gt;&lt;wsp:rsid wsp:val=&quot;0046436D&quot;/&gt;&lt;wsp:rsid wsp:val=&quot;00464641&quot;/&gt;&lt;wsp:rsid wsp:val=&quot;004648B0&quot;/&gt;&lt;wsp:rsid wsp:val=&quot;00464BE3&quot;/&gt;&lt;wsp:rsid wsp:val=&quot;00464F7E&quot;/&gt;&lt;wsp:rsid wsp:val=&quot;00465247&quot;/&gt;&lt;wsp:rsid wsp:val=&quot;004652B3&quot;/&gt;&lt;wsp:rsid wsp:val=&quot;00465A60&quot;/&gt;&lt;wsp:rsid wsp:val=&quot;00465D56&quot;/&gt;&lt;wsp:rsid wsp:val=&quot;00465E32&quot;/&gt;&lt;wsp:rsid wsp:val=&quot;0046697D&quot;/&gt;&lt;wsp:rsid wsp:val=&quot;00466DFA&quot;/&gt;&lt;wsp:rsid wsp:val=&quot;00467080&quot;/&gt;&lt;wsp:rsid wsp:val=&quot;0046720D&quot;/&gt;&lt;wsp:rsid wsp:val=&quot;00467324&quot;/&gt;&lt;wsp:rsid wsp:val=&quot;004674FA&quot;/&gt;&lt;wsp:rsid wsp:val=&quot;004676DD&quot;/&gt;&lt;wsp:rsid wsp:val=&quot;004678C4&quot;/&gt;&lt;wsp:rsid wsp:val=&quot;00470019&quot;/&gt;&lt;wsp:rsid wsp:val=&quot;004706F0&quot;/&gt;&lt;wsp:rsid wsp:val=&quot;00470AB8&quot;/&gt;&lt;wsp:rsid wsp:val=&quot;0047118A&quot;/&gt;&lt;wsp:rsid wsp:val=&quot;00471570&quot;/&gt;&lt;wsp:rsid wsp:val=&quot;0047172F&quot;/&gt;&lt;wsp:rsid wsp:val=&quot;00471CB9&quot;/&gt;&lt;wsp:rsid wsp:val=&quot;00471CED&quot;/&gt;&lt;wsp:rsid wsp:val=&quot;00471E4C&quot;/&gt;&lt;wsp:rsid wsp:val=&quot;00472619&quot;/&gt;&lt;wsp:rsid wsp:val=&quot;00472C61&quot;/&gt;&lt;wsp:rsid wsp:val=&quot;00472D8C&quot;/&gt;&lt;wsp:rsid wsp:val=&quot;00472E63&quot;/&gt;&lt;wsp:rsid wsp:val=&quot;00473992&quot;/&gt;&lt;wsp:rsid wsp:val=&quot;00473BF1&quot;/&gt;&lt;wsp:rsid wsp:val=&quot;004742F3&quot;/&gt;&lt;wsp:rsid wsp:val=&quot;00474601&quot;/&gt;&lt;wsp:rsid wsp:val=&quot;0047480A&quot;/&gt;&lt;wsp:rsid wsp:val=&quot;00474E0A&quot;/&gt;&lt;wsp:rsid wsp:val=&quot;00474E34&quot;/&gt;&lt;wsp:rsid wsp:val=&quot;00475094&quot;/&gt;&lt;wsp:rsid wsp:val=&quot;004750C0&quot;/&gt;&lt;wsp:rsid wsp:val=&quot;0047518C&quot;/&gt;&lt;wsp:rsid wsp:val=&quot;004751A2&quot;/&gt;&lt;wsp:rsid wsp:val=&quot;00475CC2&quot;/&gt;&lt;wsp:rsid wsp:val=&quot;00475CFC&quot;/&gt;&lt;wsp:rsid wsp:val=&quot;00475D4F&quot;/&gt;&lt;wsp:rsid wsp:val=&quot;00475DE6&quot;/&gt;&lt;wsp:rsid wsp:val=&quot;00475FA7&quot;/&gt;&lt;wsp:rsid wsp:val=&quot;0047623B&quot;/&gt;&lt;wsp:rsid wsp:val=&quot;00476272&quot;/&gt;&lt;wsp:rsid wsp:val=&quot;00476A55&quot;/&gt;&lt;wsp:rsid wsp:val=&quot;00477018&quot;/&gt;&lt;wsp:rsid wsp:val=&quot;0047702B&quot;/&gt;&lt;wsp:rsid wsp:val=&quot;004772D6&quot;/&gt;&lt;wsp:rsid wsp:val=&quot;0047771C&quot;/&gt;&lt;wsp:rsid wsp:val=&quot;00477743&quot;/&gt;&lt;wsp:rsid wsp:val=&quot;00477A4A&quot;/&gt;&lt;wsp:rsid wsp:val=&quot;00477BBF&quot;/&gt;&lt;wsp:rsid wsp:val=&quot;0048040B&quot;/&gt;&lt;wsp:rsid wsp:val=&quot;0048080A&quot;/&gt;&lt;wsp:rsid wsp:val=&quot;0048090A&quot;/&gt;&lt;wsp:rsid wsp:val=&quot;00480AE6&quot;/&gt;&lt;wsp:rsid wsp:val=&quot;004812B2&quot;/&gt;&lt;wsp:rsid wsp:val=&quot;0048159B&quot;/&gt;&lt;wsp:rsid wsp:val=&quot;00481AFF&quot;/&gt;&lt;wsp:rsid wsp:val=&quot;00481B39&quot;/&gt;&lt;wsp:rsid wsp:val=&quot;00481CBB&quot;/&gt;&lt;wsp:rsid wsp:val=&quot;00481D45&quot;/&gt;&lt;wsp:rsid wsp:val=&quot;00481EC3&quot;/&gt;&lt;wsp:rsid wsp:val=&quot;00482275&quot;/&gt;&lt;wsp:rsid wsp:val=&quot;00482400&quot;/&gt;&lt;wsp:rsid wsp:val=&quot;00482EDB&quot;/&gt;&lt;wsp:rsid wsp:val=&quot;00482F11&quot;/&gt;&lt;wsp:rsid wsp:val=&quot;0048327F&quot;/&gt;&lt;wsp:rsid wsp:val=&quot;00483452&quot;/&gt;&lt;wsp:rsid wsp:val=&quot;0048348C&quot;/&gt;&lt;wsp:rsid wsp:val=&quot;00483538&quot;/&gt;&lt;wsp:rsid wsp:val=&quot;00483C62&quot;/&gt;&lt;wsp:rsid wsp:val=&quot;00483CA4&quot;/&gt;&lt;wsp:rsid wsp:val=&quot;004849BF&quot;/&gt;&lt;wsp:rsid wsp:val=&quot;004849F8&quot;/&gt;&lt;wsp:rsid wsp:val=&quot;00484B4D&quot;/&gt;&lt;wsp:rsid wsp:val=&quot;00484F7D&quot;/&gt;&lt;wsp:rsid wsp:val=&quot;004851D3&quot;/&gt;&lt;wsp:rsid wsp:val=&quot;0048581E&quot;/&gt;&lt;wsp:rsid wsp:val=&quot;00485CFD&quot;/&gt;&lt;wsp:rsid wsp:val=&quot;00485E1A&quot;/&gt;&lt;wsp:rsid wsp:val=&quot;00485E99&quot;/&gt;&lt;wsp:rsid wsp:val=&quot;00485F9F&quot;/&gt;&lt;wsp:rsid wsp:val=&quot;0048651D&quot;/&gt;&lt;wsp:rsid wsp:val=&quot;004865AE&quot;/&gt;&lt;wsp:rsid wsp:val=&quot;0048679D&quot;/&gt;&lt;wsp:rsid wsp:val=&quot;00486E5E&quot;/&gt;&lt;wsp:rsid wsp:val=&quot;00487463&quot;/&gt;&lt;wsp:rsid wsp:val=&quot;0048753B&quot;/&gt;&lt;wsp:rsid wsp:val=&quot;004879FC&quot;/&gt;&lt;wsp:rsid wsp:val=&quot;00487A1B&quot;/&gt;&lt;wsp:rsid wsp:val=&quot;00487AD1&quot;/&gt;&lt;wsp:rsid wsp:val=&quot;00487B27&quot;/&gt;&lt;wsp:rsid wsp:val=&quot;00487BD8&quot;/&gt;&lt;wsp:rsid wsp:val=&quot;00487E7B&quot;/&gt;&lt;wsp:rsid wsp:val=&quot;0049066F&quot;/&gt;&lt;wsp:rsid wsp:val=&quot;00490C48&quot;/&gt;&lt;wsp:rsid wsp:val=&quot;00490EAA&quot;/&gt;&lt;wsp:rsid wsp:val=&quot;00491143&quot;/&gt;&lt;wsp:rsid wsp:val=&quot;00491991&quot;/&gt;&lt;wsp:rsid wsp:val=&quot;00491AA3&quot;/&gt;&lt;wsp:rsid wsp:val=&quot;004923D4&quot;/&gt;&lt;wsp:rsid wsp:val=&quot;00492600&quot;/&gt;&lt;wsp:rsid wsp:val=&quot;004927A1&quot;/&gt;&lt;wsp:rsid wsp:val=&quot;004927B2&quot;/&gt;&lt;wsp:rsid wsp:val=&quot;00492E2B&quot;/&gt;&lt;wsp:rsid wsp:val=&quot;00493521&quot;/&gt;&lt;wsp:rsid wsp:val=&quot;00494636&quot;/&gt;&lt;wsp:rsid wsp:val=&quot;00494F65&quot;/&gt;&lt;wsp:rsid wsp:val=&quot;00494FAB&quot;/&gt;&lt;wsp:rsid wsp:val=&quot;004950A9&quot;/&gt;&lt;wsp:rsid wsp:val=&quot;00495107&quot;/&gt;&lt;wsp:rsid wsp:val=&quot;004951A2&quot;/&gt;&lt;wsp:rsid wsp:val=&quot;00495453&quot;/&gt;&lt;wsp:rsid wsp:val=&quot;004958C7&quot;/&gt;&lt;wsp:rsid wsp:val=&quot;00495A76&quot;/&gt;&lt;wsp:rsid wsp:val=&quot;00496243&quot;/&gt;&lt;wsp:rsid wsp:val=&quot;004962A6&quot;/&gt;&lt;wsp:rsid wsp:val=&quot;00496732&quot;/&gt;&lt;wsp:rsid wsp:val=&quot;004967AC&quot;/&gt;&lt;wsp:rsid wsp:val=&quot;00496F5E&quot;/&gt;&lt;wsp:rsid wsp:val=&quot;00496F82&quot;/&gt;&lt;wsp:rsid wsp:val=&quot;004971A1&quot;/&gt;&lt;wsp:rsid wsp:val=&quot;004971A2&quot;/&gt;&lt;wsp:rsid wsp:val=&quot;004977C6&quot;/&gt;&lt;wsp:rsid wsp:val=&quot;00497C5A&quot;/&gt;&lt;wsp:rsid wsp:val=&quot;00497EFE&quot;/&gt;&lt;wsp:rsid wsp:val=&quot;004A03B0&quot;/&gt;&lt;wsp:rsid wsp:val=&quot;004A13D6&quot;/&gt;&lt;wsp:rsid wsp:val=&quot;004A14BA&quot;/&gt;&lt;wsp:rsid wsp:val=&quot;004A1575&quot;/&gt;&lt;wsp:rsid wsp:val=&quot;004A1616&quot;/&gt;&lt;wsp:rsid wsp:val=&quot;004A1847&quot;/&gt;&lt;wsp:rsid wsp:val=&quot;004A1933&quot;/&gt;&lt;wsp:rsid wsp:val=&quot;004A19F0&quot;/&gt;&lt;wsp:rsid wsp:val=&quot;004A203B&quot;/&gt;&lt;wsp:rsid wsp:val=&quot;004A2965&quot;/&gt;&lt;wsp:rsid wsp:val=&quot;004A2AEE&quot;/&gt;&lt;wsp:rsid wsp:val=&quot;004A2D3D&quot;/&gt;&lt;wsp:rsid wsp:val=&quot;004A30FA&quot;/&gt;&lt;wsp:rsid wsp:val=&quot;004A3274&quot;/&gt;&lt;wsp:rsid wsp:val=&quot;004A357F&quot;/&gt;&lt;wsp:rsid wsp:val=&quot;004A38DC&quot;/&gt;&lt;wsp:rsid wsp:val=&quot;004A3FA1&quot;/&gt;&lt;wsp:rsid wsp:val=&quot;004A43AC&quot;/&gt;&lt;wsp:rsid wsp:val=&quot;004A48BA&quot;/&gt;&lt;wsp:rsid wsp:val=&quot;004A4B31&quot;/&gt;&lt;wsp:rsid wsp:val=&quot;004A575A&quot;/&gt;&lt;wsp:rsid wsp:val=&quot;004A57F0&quot;/&gt;&lt;wsp:rsid wsp:val=&quot;004A5FB0&quot;/&gt;&lt;wsp:rsid wsp:val=&quot;004A624A&quot;/&gt;&lt;wsp:rsid wsp:val=&quot;004A6314&quot;/&gt;&lt;wsp:rsid wsp:val=&quot;004A6C5B&quot;/&gt;&lt;wsp:rsid wsp:val=&quot;004A6C60&quot;/&gt;&lt;wsp:rsid wsp:val=&quot;004A6CB1&quot;/&gt;&lt;wsp:rsid wsp:val=&quot;004A702C&quot;/&gt;&lt;wsp:rsid wsp:val=&quot;004A7066&quot;/&gt;&lt;wsp:rsid wsp:val=&quot;004A7782&quot;/&gt;&lt;wsp:rsid wsp:val=&quot;004B0241&quot;/&gt;&lt;wsp:rsid wsp:val=&quot;004B03D5&quot;/&gt;&lt;wsp:rsid wsp:val=&quot;004B0750&quot;/&gt;&lt;wsp:rsid wsp:val=&quot;004B078C&quot;/&gt;&lt;wsp:rsid wsp:val=&quot;004B0821&quot;/&gt;&lt;wsp:rsid wsp:val=&quot;004B0D19&quot;/&gt;&lt;wsp:rsid wsp:val=&quot;004B10DE&quot;/&gt;&lt;wsp:rsid wsp:val=&quot;004B17C3&quot;/&gt;&lt;wsp:rsid wsp:val=&quot;004B1D56&quot;/&gt;&lt;wsp:rsid wsp:val=&quot;004B2663&quot;/&gt;&lt;wsp:rsid wsp:val=&quot;004B2766&quot;/&gt;&lt;wsp:rsid wsp:val=&quot;004B2C56&quot;/&gt;&lt;wsp:rsid wsp:val=&quot;004B2D9A&quot;/&gt;&lt;wsp:rsid wsp:val=&quot;004B30BE&quot;/&gt;&lt;wsp:rsid wsp:val=&quot;004B336A&quot;/&gt;&lt;wsp:rsid wsp:val=&quot;004B36BE&quot;/&gt;&lt;wsp:rsid wsp:val=&quot;004B486B&quot;/&gt;&lt;wsp:rsid wsp:val=&quot;004B4A10&quot;/&gt;&lt;wsp:rsid wsp:val=&quot;004B5230&quot;/&gt;&lt;wsp:rsid wsp:val=&quot;004B533F&quot;/&gt;&lt;wsp:rsid wsp:val=&quot;004B58E5&quot;/&gt;&lt;wsp:rsid wsp:val=&quot;004B5C15&quot;/&gt;&lt;wsp:rsid wsp:val=&quot;004B6059&quot;/&gt;&lt;wsp:rsid wsp:val=&quot;004B6A26&quot;/&gt;&lt;wsp:rsid wsp:val=&quot;004B6B28&quot;/&gt;&lt;wsp:rsid wsp:val=&quot;004B6E3E&quot;/&gt;&lt;wsp:rsid wsp:val=&quot;004B6E71&quot;/&gt;&lt;wsp:rsid wsp:val=&quot;004B6E9A&quot;/&gt;&lt;wsp:rsid wsp:val=&quot;004B7279&quot;/&gt;&lt;wsp:rsid wsp:val=&quot;004B7E70&quot;/&gt;&lt;wsp:rsid wsp:val=&quot;004B7FC4&quot;/&gt;&lt;wsp:rsid wsp:val=&quot;004C07AC&quot;/&gt;&lt;wsp:rsid wsp:val=&quot;004C0F84&quot;/&gt;&lt;wsp:rsid wsp:val=&quot;004C0F8E&quot;/&gt;&lt;wsp:rsid wsp:val=&quot;004C10DF&quot;/&gt;&lt;wsp:rsid wsp:val=&quot;004C112B&quot;/&gt;&lt;wsp:rsid wsp:val=&quot;004C122E&quot;/&gt;&lt;wsp:rsid wsp:val=&quot;004C1B15&quot;/&gt;&lt;wsp:rsid wsp:val=&quot;004C1CDC&quot;/&gt;&lt;wsp:rsid wsp:val=&quot;004C235F&quot;/&gt;&lt;wsp:rsid wsp:val=&quot;004C2409&quot;/&gt;&lt;wsp:rsid wsp:val=&quot;004C270A&quot;/&gt;&lt;wsp:rsid wsp:val=&quot;004C318A&quot;/&gt;&lt;wsp:rsid wsp:val=&quot;004C3274&quot;/&gt;&lt;wsp:rsid wsp:val=&quot;004C3374&quot;/&gt;&lt;wsp:rsid wsp:val=&quot;004C3593&quot;/&gt;&lt;wsp:rsid wsp:val=&quot;004C4348&quot;/&gt;&lt;wsp:rsid wsp:val=&quot;004C45E4&quot;/&gt;&lt;wsp:rsid wsp:val=&quot;004C4F75&quot;/&gt;&lt;wsp:rsid wsp:val=&quot;004C51AA&quot;/&gt;&lt;wsp:rsid wsp:val=&quot;004C539D&quot;/&gt;&lt;wsp:rsid wsp:val=&quot;004C575B&quot;/&gt;&lt;wsp:rsid wsp:val=&quot;004C582E&quot;/&gt;&lt;wsp:rsid wsp:val=&quot;004C5A4E&quot;/&gt;&lt;wsp:rsid wsp:val=&quot;004C6A51&quot;/&gt;&lt;wsp:rsid wsp:val=&quot;004C6BA2&quot;/&gt;&lt;wsp:rsid wsp:val=&quot;004C759F&quot;/&gt;&lt;wsp:rsid wsp:val=&quot;004C7AE1&quot;/&gt;&lt;wsp:rsid wsp:val=&quot;004C7D10&quot;/&gt;&lt;wsp:rsid wsp:val=&quot;004C7D51&quot;/&gt;&lt;wsp:rsid wsp:val=&quot;004D0026&quot;/&gt;&lt;wsp:rsid wsp:val=&quot;004D0104&quot;/&gt;&lt;wsp:rsid wsp:val=&quot;004D0866&quot;/&gt;&lt;wsp:rsid wsp:val=&quot;004D08A6&quot;/&gt;&lt;wsp:rsid wsp:val=&quot;004D0BDE&quot;/&gt;&lt;wsp:rsid wsp:val=&quot;004D0E4B&quot;/&gt;&lt;wsp:rsid wsp:val=&quot;004D0FA9&quot;/&gt;&lt;wsp:rsid wsp:val=&quot;004D0FF5&quot;/&gt;&lt;wsp:rsid wsp:val=&quot;004D12F8&quot;/&gt;&lt;wsp:rsid wsp:val=&quot;004D1599&quot;/&gt;&lt;wsp:rsid wsp:val=&quot;004D1704&quot;/&gt;&lt;wsp:rsid wsp:val=&quot;004D1B45&quot;/&gt;&lt;wsp:rsid wsp:val=&quot;004D1BF7&quot;/&gt;&lt;wsp:rsid wsp:val=&quot;004D1C44&quot;/&gt;&lt;wsp:rsid wsp:val=&quot;004D1F08&quot;/&gt;&lt;wsp:rsid wsp:val=&quot;004D214E&quot;/&gt;&lt;wsp:rsid wsp:val=&quot;004D278F&quot;/&gt;&lt;wsp:rsid wsp:val=&quot;004D2869&quot;/&gt;&lt;wsp:rsid wsp:val=&quot;004D2A35&quot;/&gt;&lt;wsp:rsid wsp:val=&quot;004D2F9B&quot;/&gt;&lt;wsp:rsid wsp:val=&quot;004D31CA&quot;/&gt;&lt;wsp:rsid wsp:val=&quot;004D397B&quot;/&gt;&lt;wsp:rsid wsp:val=&quot;004D3E45&quot;/&gt;&lt;wsp:rsid wsp:val=&quot;004D3EC3&quot;/&gt;&lt;wsp:rsid wsp:val=&quot;004D40E9&quot;/&gt;&lt;wsp:rsid wsp:val=&quot;004D4545&quot;/&gt;&lt;wsp:rsid wsp:val=&quot;004D4AA9&quot;/&gt;&lt;wsp:rsid wsp:val=&quot;004D4B2B&quot;/&gt;&lt;wsp:rsid wsp:val=&quot;004D4B40&quot;/&gt;&lt;wsp:rsid wsp:val=&quot;004D4FB5&quot;/&gt;&lt;wsp:rsid wsp:val=&quot;004D5149&quot;/&gt;&lt;wsp:rsid wsp:val=&quot;004D5607&quot;/&gt;&lt;wsp:rsid wsp:val=&quot;004D5BFB&quot;/&gt;&lt;wsp:rsid wsp:val=&quot;004D5C17&quot;/&gt;&lt;wsp:rsid wsp:val=&quot;004D5C28&quot;/&gt;&lt;wsp:rsid wsp:val=&quot;004D5DBA&quot;/&gt;&lt;wsp:rsid wsp:val=&quot;004D5F58&quot;/&gt;&lt;wsp:rsid wsp:val=&quot;004D60E9&quot;/&gt;&lt;wsp:rsid wsp:val=&quot;004D6240&quot;/&gt;&lt;wsp:rsid wsp:val=&quot;004D6413&quot;/&gt;&lt;wsp:rsid wsp:val=&quot;004D6807&quot;/&gt;&lt;wsp:rsid wsp:val=&quot;004D6AB9&quot;/&gt;&lt;wsp:rsid wsp:val=&quot;004D6D8C&quot;/&gt;&lt;wsp:rsid wsp:val=&quot;004D75D2&quot;/&gt;&lt;wsp:rsid wsp:val=&quot;004D7B4C&quot;/&gt;&lt;wsp:rsid wsp:val=&quot;004D7BDB&quot;/&gt;&lt;wsp:rsid wsp:val=&quot;004E00E8&quot;/&gt;&lt;wsp:rsid wsp:val=&quot;004E02CB&quot;/&gt;&lt;wsp:rsid wsp:val=&quot;004E02EA&quot;/&gt;&lt;wsp:rsid wsp:val=&quot;004E0C53&quot;/&gt;&lt;wsp:rsid wsp:val=&quot;004E0E57&quot;/&gt;&lt;wsp:rsid wsp:val=&quot;004E0F35&quot;/&gt;&lt;wsp:rsid wsp:val=&quot;004E1239&quot;/&gt;&lt;wsp:rsid wsp:val=&quot;004E1979&quot;/&gt;&lt;wsp:rsid wsp:val=&quot;004E1C06&quot;/&gt;&lt;wsp:rsid wsp:val=&quot;004E2008&quot;/&gt;&lt;wsp:rsid wsp:val=&quot;004E21B2&quot;/&gt;&lt;wsp:rsid wsp:val=&quot;004E221B&quot;/&gt;&lt;wsp:rsid wsp:val=&quot;004E28ED&quot;/&gt;&lt;wsp:rsid wsp:val=&quot;004E2C85&quot;/&gt;&lt;wsp:rsid wsp:val=&quot;004E3531&quot;/&gt;&lt;wsp:rsid wsp:val=&quot;004E404B&quot;/&gt;&lt;wsp:rsid wsp:val=&quot;004E40A2&quot;/&gt;&lt;wsp:rsid wsp:val=&quot;004E4A3B&quot;/&gt;&lt;wsp:rsid wsp:val=&quot;004E4AC2&quot;/&gt;&lt;wsp:rsid wsp:val=&quot;004E54AC&quot;/&gt;&lt;wsp:rsid wsp:val=&quot;004E554A&quot;/&gt;&lt;wsp:rsid wsp:val=&quot;004E5A1D&quot;/&gt;&lt;wsp:rsid wsp:val=&quot;004E5B31&quot;/&gt;&lt;wsp:rsid wsp:val=&quot;004E5C6D&quot;/&gt;&lt;wsp:rsid wsp:val=&quot;004E5E30&quot;/&gt;&lt;wsp:rsid wsp:val=&quot;004E605D&quot;/&gt;&lt;wsp:rsid wsp:val=&quot;004E72FB&quot;/&gt;&lt;wsp:rsid wsp:val=&quot;004E749E&quot;/&gt;&lt;wsp:rsid wsp:val=&quot;004E783C&quot;/&gt;&lt;wsp:rsid wsp:val=&quot;004E7A85&quot;/&gt;&lt;wsp:rsid wsp:val=&quot;004E7B0D&quot;/&gt;&lt;wsp:rsid wsp:val=&quot;004F03EF&quot;/&gt;&lt;wsp:rsid wsp:val=&quot;004F0763&quot;/&gt;&lt;wsp:rsid wsp:val=&quot;004F0CEF&quot;/&gt;&lt;wsp:rsid wsp:val=&quot;004F0CFD&quot;/&gt;&lt;wsp:rsid wsp:val=&quot;004F0D56&quot;/&gt;&lt;wsp:rsid wsp:val=&quot;004F105B&quot;/&gt;&lt;wsp:rsid wsp:val=&quot;004F11F3&quot;/&gt;&lt;wsp:rsid wsp:val=&quot;004F13E1&quot;/&gt;&lt;wsp:rsid wsp:val=&quot;004F1512&quot;/&gt;&lt;wsp:rsid wsp:val=&quot;004F1559&quot;/&gt;&lt;wsp:rsid wsp:val=&quot;004F1A3D&quot;/&gt;&lt;wsp:rsid wsp:val=&quot;004F240F&quot;/&gt;&lt;wsp:rsid wsp:val=&quot;004F2A8F&quot;/&gt;&lt;wsp:rsid wsp:val=&quot;004F3014&quot;/&gt;&lt;wsp:rsid wsp:val=&quot;004F35D6&quot;/&gt;&lt;wsp:rsid wsp:val=&quot;004F37FD&quot;/&gt;&lt;wsp:rsid wsp:val=&quot;004F3AFB&quot;/&gt;&lt;wsp:rsid wsp:val=&quot;004F3F73&quot;/&gt;&lt;wsp:rsid wsp:val=&quot;004F4548&quot;/&gt;&lt;wsp:rsid wsp:val=&quot;004F48E0&quot;/&gt;&lt;wsp:rsid wsp:val=&quot;004F49D2&quot;/&gt;&lt;wsp:rsid wsp:val=&quot;004F4A95&quot;/&gt;&lt;wsp:rsid wsp:val=&quot;004F50C2&quot;/&gt;&lt;wsp:rsid wsp:val=&quot;004F55E3&quot;/&gt;&lt;wsp:rsid wsp:val=&quot;004F57A5&quot;/&gt;&lt;wsp:rsid wsp:val=&quot;004F59BA&quot;/&gt;&lt;wsp:rsid wsp:val=&quot;004F5A44&quot;/&gt;&lt;wsp:rsid wsp:val=&quot;004F5E35&quot;/&gt;&lt;wsp:rsid wsp:val=&quot;004F6B33&quot;/&gt;&lt;wsp:rsid wsp:val=&quot;004F6C56&quot;/&gt;&lt;wsp:rsid wsp:val=&quot;004F6D0E&quot;/&gt;&lt;wsp:rsid wsp:val=&quot;004F6F0E&quot;/&gt;&lt;wsp:rsid wsp:val=&quot;004F7136&quot;/&gt;&lt;wsp:rsid wsp:val=&quot;004F75C7&quot;/&gt;&lt;wsp:rsid wsp:val=&quot;004F790A&quot;/&gt;&lt;wsp:rsid wsp:val=&quot;004F79DF&quot;/&gt;&lt;wsp:rsid wsp:val=&quot;004F7E9F&quot;/&gt;&lt;wsp:rsid wsp:val=&quot;00500577&quot;/&gt;&lt;wsp:rsid wsp:val=&quot;00500733&quot;/&gt;&lt;wsp:rsid wsp:val=&quot;0050100D&quot;/&gt;&lt;wsp:rsid wsp:val=&quot;00501598&quot;/&gt;&lt;wsp:rsid wsp:val=&quot;00501625&quot;/&gt;&lt;wsp:rsid wsp:val=&quot;00501C56&quot;/&gt;&lt;wsp:rsid wsp:val=&quot;00501FC8&quot;/&gt;&lt;wsp:rsid wsp:val=&quot;005024B7&quot;/&gt;&lt;wsp:rsid wsp:val=&quot;00502CD7&quot;/&gt;&lt;wsp:rsid wsp:val=&quot;00502F16&quot;/&gt;&lt;wsp:rsid wsp:val=&quot;00502F28&quot;/&gt;&lt;wsp:rsid wsp:val=&quot;005030F7&quot;/&gt;&lt;wsp:rsid wsp:val=&quot;005031C1&quot;/&gt;&lt;wsp:rsid wsp:val=&quot;005033EA&quot;/&gt;&lt;wsp:rsid wsp:val=&quot;005037E7&quot;/&gt;&lt;wsp:rsid wsp:val=&quot;00503DE1&quot;/&gt;&lt;wsp:rsid wsp:val=&quot;00503F9A&quot;/&gt;&lt;wsp:rsid wsp:val=&quot;005044AA&quot;/&gt;&lt;wsp:rsid wsp:val=&quot;005047C1&quot;/&gt;&lt;wsp:rsid wsp:val=&quot;00504836&quot;/&gt;&lt;wsp:rsid wsp:val=&quot;00505200&quot;/&gt;&lt;wsp:rsid wsp:val=&quot;00505322&quot;/&gt;&lt;wsp:rsid wsp:val=&quot;005056AC&quot;/&gt;&lt;wsp:rsid wsp:val=&quot;00505E12&quot;/&gt;&lt;wsp:rsid wsp:val=&quot;00505F6E&quot;/&gt;&lt;wsp:rsid wsp:val=&quot;0050608B&quot;/&gt;&lt;wsp:rsid wsp:val=&quot;00506436&quot;/&gt;&lt;wsp:rsid wsp:val=&quot;005064C5&quot;/&gt;&lt;wsp:rsid wsp:val=&quot;005067A9&quot;/&gt;&lt;wsp:rsid wsp:val=&quot;00506A55&quot;/&gt;&lt;wsp:rsid wsp:val=&quot;00506E5C&quot;/&gt;&lt;wsp:rsid wsp:val=&quot;005074FF&quot;/&gt;&lt;wsp:rsid wsp:val=&quot;005076F1&quot;/&gt;&lt;wsp:rsid wsp:val=&quot;00507B11&quot;/&gt;&lt;wsp:rsid wsp:val=&quot;00507B96&quot;/&gt;&lt;wsp:rsid wsp:val=&quot;0051054C&quot;/&gt;&lt;wsp:rsid wsp:val=&quot;0051076C&quot;/&gt;&lt;wsp:rsid wsp:val=&quot;00510B13&quot;/&gt;&lt;wsp:rsid wsp:val=&quot;0051106E&quot;/&gt;&lt;wsp:rsid wsp:val=&quot;005112F2&quot;/&gt;&lt;wsp:rsid wsp:val=&quot;005113FB&quot;/&gt;&lt;wsp:rsid wsp:val=&quot;005118BB&quot;/&gt;&lt;wsp:rsid wsp:val=&quot;00511B31&quot;/&gt;&lt;wsp:rsid wsp:val=&quot;00511C2E&quot;/&gt;&lt;wsp:rsid wsp:val=&quot;00512025&quot;/&gt;&lt;wsp:rsid wsp:val=&quot;005120C8&quot;/&gt;&lt;wsp:rsid wsp:val=&quot;005121F4&quot;/&gt;&lt;wsp:rsid wsp:val=&quot;0051255A&quot;/&gt;&lt;wsp:rsid wsp:val=&quot;005127CB&quot;/&gt;&lt;wsp:rsid wsp:val=&quot;00512AF9&quot;/&gt;&lt;wsp:rsid wsp:val=&quot;00512C2A&quot;/&gt;&lt;wsp:rsid wsp:val=&quot;00512D4E&quot;/&gt;&lt;wsp:rsid wsp:val=&quot;005130A6&quot;/&gt;&lt;wsp:rsid wsp:val=&quot;00513278&quot;/&gt;&lt;wsp:rsid wsp:val=&quot;0051371A&quot;/&gt;&lt;wsp:rsid wsp:val=&quot;005138B9&quot;/&gt;&lt;wsp:rsid wsp:val=&quot;005141C9&quot;/&gt;&lt;wsp:rsid wsp:val=&quot;00514395&quot;/&gt;&lt;wsp:rsid wsp:val=&quot;00514970&quot;/&gt;&lt;wsp:rsid wsp:val=&quot;00515442&quot;/&gt;&lt;wsp:rsid wsp:val=&quot;005156E1&quot;/&gt;&lt;wsp:rsid wsp:val=&quot;00515A0C&quot;/&gt;&lt;wsp:rsid wsp:val=&quot;00515B11&quot;/&gt;&lt;wsp:rsid wsp:val=&quot;00515B93&quot;/&gt;&lt;wsp:rsid wsp:val=&quot;005165A1&quot;/&gt;&lt;wsp:rsid wsp:val=&quot;0051687C&quot;/&gt;&lt;wsp:rsid wsp:val=&quot;005168C0&quot;/&gt;&lt;wsp:rsid wsp:val=&quot;00516C2D&quot;/&gt;&lt;wsp:rsid wsp:val=&quot;00517134&quot;/&gt;&lt;wsp:rsid wsp:val=&quot;00517512&quot;/&gt;&lt;wsp:rsid wsp:val=&quot;005175AB&quot;/&gt;&lt;wsp:rsid wsp:val=&quot;00517BB0&quot;/&gt;&lt;wsp:rsid wsp:val=&quot;00517CFD&quot;/&gt;&lt;wsp:rsid wsp:val=&quot;0052016F&quot;/&gt;&lt;wsp:rsid wsp:val=&quot;00520542&quot;/&gt;&lt;wsp:rsid wsp:val=&quot;00520B6E&quot;/&gt;&lt;wsp:rsid wsp:val=&quot;00520F53&quot;/&gt;&lt;wsp:rsid wsp:val=&quot;00522355&quot;/&gt;&lt;wsp:rsid wsp:val=&quot;0052278C&quot;/&gt;&lt;wsp:rsid wsp:val=&quot;00522BEE&quot;/&gt;&lt;wsp:rsid wsp:val=&quot;00523264&quot;/&gt;&lt;wsp:rsid wsp:val=&quot;005233A8&quot;/&gt;&lt;wsp:rsid wsp:val=&quot;00523529&quot;/&gt;&lt;wsp:rsid wsp:val=&quot;00523C6B&quot;/&gt;&lt;wsp:rsid wsp:val=&quot;00523C9F&quot;/&gt;&lt;wsp:rsid wsp:val=&quot;00523ECA&quot;/&gt;&lt;wsp:rsid wsp:val=&quot;0052405A&quot;/&gt;&lt;wsp:rsid wsp:val=&quot;0052415C&quot;/&gt;&lt;wsp:rsid wsp:val=&quot;0052464F&quot;/&gt;&lt;wsp:rsid wsp:val=&quot;00524DBD&quot;/&gt;&lt;wsp:rsid wsp:val=&quot;00524DC8&quot;/&gt;&lt;wsp:rsid wsp:val=&quot;00524DCA&quot;/&gt;&lt;wsp:rsid wsp:val=&quot;00525191&quot;/&gt;&lt;wsp:rsid wsp:val=&quot;005256C7&quot;/&gt;&lt;wsp:rsid wsp:val=&quot;00525A8D&quot;/&gt;&lt;wsp:rsid wsp:val=&quot;00525BB6&quot;/&gt;&lt;wsp:rsid wsp:val=&quot;00526818&quot;/&gt;&lt;wsp:rsid wsp:val=&quot;00526C85&quot;/&gt;&lt;wsp:rsid wsp:val=&quot;00526F2B&quot;/&gt;&lt;wsp:rsid wsp:val=&quot;005275BB&quot;/&gt;&lt;wsp:rsid wsp:val=&quot;00527C73&quot;/&gt;&lt;wsp:rsid wsp:val=&quot;00527DD8&quot;/&gt;&lt;wsp:rsid wsp:val=&quot;00527EB8&quot;/&gt;&lt;wsp:rsid wsp:val=&quot;00527EEB&quot;/&gt;&lt;wsp:rsid wsp:val=&quot;00527F5A&quot;/&gt;&lt;wsp:rsid wsp:val=&quot;005302A0&quot;/&gt;&lt;wsp:rsid wsp:val=&quot;005309CF&quot;/&gt;&lt;wsp:rsid wsp:val=&quot;00530B4E&quot;/&gt;&lt;wsp:rsid wsp:val=&quot;00530C52&quot;/&gt;&lt;wsp:rsid wsp:val=&quot;00530EE1&quot;/&gt;&lt;wsp:rsid wsp:val=&quot;005314AC&quot;/&gt;&lt;wsp:rsid wsp:val=&quot;0053189F&quot;/&gt;&lt;wsp:rsid wsp:val=&quot;005319E8&quot;/&gt;&lt;wsp:rsid wsp:val=&quot;00531A40&quot;/&gt;&lt;wsp:rsid wsp:val=&quot;00531BF6&quot;/&gt;&lt;wsp:rsid wsp:val=&quot;00531D1B&quot;/&gt;&lt;wsp:rsid wsp:val=&quot;00531FBD&quot;/&gt;&lt;wsp:rsid wsp:val=&quot;00532038&quot;/&gt;&lt;wsp:rsid wsp:val=&quot;0053223E&quot;/&gt;&lt;wsp:rsid wsp:val=&quot;00532BFD&quot;/&gt;&lt;wsp:rsid wsp:val=&quot;005331EB&quot;/&gt;&lt;wsp:rsid wsp:val=&quot;0053340F&quot;/&gt;&lt;wsp:rsid wsp:val=&quot;00533DD0&quot;/&gt;&lt;wsp:rsid wsp:val=&quot;005341FD&quot;/&gt;&lt;wsp:rsid wsp:val=&quot;00534641&quot;/&gt;&lt;wsp:rsid wsp:val=&quot;00534A13&quot;/&gt;&lt;wsp:rsid wsp:val=&quot;00534A7F&quot;/&gt;&lt;wsp:rsid wsp:val=&quot;00534B7C&quot;/&gt;&lt;wsp:rsid wsp:val=&quot;00534D6C&quot;/&gt;&lt;wsp:rsid wsp:val=&quot;00534E43&quot;/&gt;&lt;wsp:rsid wsp:val=&quot;00534F6E&quot;/&gt;&lt;wsp:rsid wsp:val=&quot;005350EE&quot;/&gt;&lt;wsp:rsid wsp:val=&quot;005351A4&quot;/&gt;&lt;wsp:rsid wsp:val=&quot;00536272&quot;/&gt;&lt;wsp:rsid wsp:val=&quot;005362FA&quot;/&gt;&lt;wsp:rsid wsp:val=&quot;005363F6&quot;/&gt;&lt;wsp:rsid wsp:val=&quot;005366DB&quot;/&gt;&lt;wsp:rsid wsp:val=&quot;00537278&quot;/&gt;&lt;wsp:rsid wsp:val=&quot;00537466&quot;/&gt;&lt;wsp:rsid wsp:val=&quot;0053764C&quot;/&gt;&lt;wsp:rsid wsp:val=&quot;005378CC&quot;/&gt;&lt;wsp:rsid wsp:val=&quot;00540464&quot;/&gt;&lt;wsp:rsid wsp:val=&quot;00540519&quot;/&gt;&lt;wsp:rsid wsp:val=&quot;0054062E&quot;/&gt;&lt;wsp:rsid wsp:val=&quot;00540B3F&quot;/&gt;&lt;wsp:rsid wsp:val=&quot;00540C4F&quot;/&gt;&lt;wsp:rsid wsp:val=&quot;005413F0&quot;/&gt;&lt;wsp:rsid wsp:val=&quot;0054158F&quot;/&gt;&lt;wsp:rsid wsp:val=&quot;00541883&quot;/&gt;&lt;wsp:rsid wsp:val=&quot;0054248A&quot;/&gt;&lt;wsp:rsid wsp:val=&quot;00542518&quot;/&gt;&lt;wsp:rsid wsp:val=&quot;005429A5&quot;/&gt;&lt;wsp:rsid wsp:val=&quot;00542B13&quot;/&gt;&lt;wsp:rsid wsp:val=&quot;00542DF9&quot;/&gt;&lt;wsp:rsid wsp:val=&quot;00542EC2&quot;/&gt;&lt;wsp:rsid wsp:val=&quot;00542EC5&quot;/&gt;&lt;wsp:rsid wsp:val=&quot;005432ED&quot;/&gt;&lt;wsp:rsid wsp:val=&quot;005433BE&quot;/&gt;&lt;wsp:rsid wsp:val=&quot;00543B60&quot;/&gt;&lt;wsp:rsid wsp:val=&quot;00543D2C&quot;/&gt;&lt;wsp:rsid wsp:val=&quot;00543E62&quot;/&gt;&lt;wsp:rsid wsp:val=&quot;00544A3A&quot;/&gt;&lt;wsp:rsid wsp:val=&quot;00544AE0&quot;/&gt;&lt;wsp:rsid wsp:val=&quot;005450FC&quot;/&gt;&lt;wsp:rsid wsp:val=&quot;005454B6&quot;/&gt;&lt;wsp:rsid wsp:val=&quot;0054557A&quot;/&gt;&lt;wsp:rsid wsp:val=&quot;0054572F&quot;/&gt;&lt;wsp:rsid wsp:val=&quot;0054580B&quot;/&gt;&lt;wsp:rsid wsp:val=&quot;00545C39&quot;/&gt;&lt;wsp:rsid wsp:val=&quot;005463AC&quot;/&gt;&lt;wsp:rsid wsp:val=&quot;00546613&quot;/&gt;&lt;wsp:rsid wsp:val=&quot;005466BF&quot;/&gt;&lt;wsp:rsid wsp:val=&quot;00546E34&quot;/&gt;&lt;wsp:rsid wsp:val=&quot;005471C5&quot;/&gt;&lt;wsp:rsid wsp:val=&quot;0054797D&quot;/&gt;&lt;wsp:rsid wsp:val=&quot;00547A2A&quot;/&gt;&lt;wsp:rsid wsp:val=&quot;00547A90&quot;/&gt;&lt;wsp:rsid wsp:val=&quot;005502DF&quot;/&gt;&lt;wsp:rsid wsp:val=&quot;0055071D&quot;/&gt;&lt;wsp:rsid wsp:val=&quot;005507A8&quot;/&gt;&lt;wsp:rsid wsp:val=&quot;00550DEE&quot;/&gt;&lt;wsp:rsid wsp:val=&quot;00550EB7&quot;/&gt;&lt;wsp:rsid wsp:val=&quot;00550F23&quot;/&gt;&lt;wsp:rsid wsp:val=&quot;0055129C&quot;/&gt;&lt;wsp:rsid wsp:val=&quot;0055189C&quot;/&gt;&lt;wsp:rsid wsp:val=&quot;005518C4&quot;/&gt;&lt;wsp:rsid wsp:val=&quot;005519E6&quot;/&gt;&lt;wsp:rsid wsp:val=&quot;00551EFD&quot;/&gt;&lt;wsp:rsid wsp:val=&quot;00551F85&quot;/&gt;&lt;wsp:rsid wsp:val=&quot;00552B32&quot;/&gt;&lt;wsp:rsid wsp:val=&quot;00552E20&quot;/&gt;&lt;wsp:rsid wsp:val=&quot;005531A0&quot;/&gt;&lt;wsp:rsid wsp:val=&quot;005533CC&quot;/&gt;&lt;wsp:rsid wsp:val=&quot;005534DB&quot;/&gt;&lt;wsp:rsid wsp:val=&quot;00553ECF&quot;/&gt;&lt;wsp:rsid wsp:val=&quot;00553FD2&quot;/&gt;&lt;wsp:rsid wsp:val=&quot;005541AE&quot;/&gt;&lt;wsp:rsid wsp:val=&quot;005548A5&quot;/&gt;&lt;wsp:rsid wsp:val=&quot;00555064&quot;/&gt;&lt;wsp:rsid wsp:val=&quot;00555592&quot;/&gt;&lt;wsp:rsid wsp:val=&quot;0055590C&quot;/&gt;&lt;wsp:rsid wsp:val=&quot;00555A1B&quot;/&gt;&lt;wsp:rsid wsp:val=&quot;00556565&quot;/&gt;&lt;wsp:rsid wsp:val=&quot;005579F6&quot;/&gt;&lt;wsp:rsid wsp:val=&quot;00557B05&quot;/&gt;&lt;wsp:rsid wsp:val=&quot;00557BF9&quot;/&gt;&lt;wsp:rsid wsp:val=&quot;00557C50&quot;/&gt;&lt;wsp:rsid wsp:val=&quot;005602E5&quot;/&gt;&lt;wsp:rsid wsp:val=&quot;00560692&quot;/&gt;&lt;wsp:rsid wsp:val=&quot;005609DB&quot;/&gt;&lt;wsp:rsid wsp:val=&quot;00560C37&quot;/&gt;&lt;wsp:rsid wsp:val=&quot;00560CD8&quot;/&gt;&lt;wsp:rsid wsp:val=&quot;00560FE6&quot;/&gt;&lt;wsp:rsid wsp:val=&quot;00561026&quot;/&gt;&lt;wsp:rsid wsp:val=&quot;0056106E&quot;/&gt;&lt;wsp:rsid wsp:val=&quot;005614E6&quot;/&gt;&lt;wsp:rsid wsp:val=&quot;0056172C&quot;/&gt;&lt;wsp:rsid wsp:val=&quot;0056187C&quot;/&gt;&lt;wsp:rsid wsp:val=&quot;00561FE1&quot;/&gt;&lt;wsp:rsid wsp:val=&quot;005621C5&quot;/&gt;&lt;wsp:rsid wsp:val=&quot;005623F8&quot;/&gt;&lt;wsp:rsid wsp:val=&quot;00562914&quot;/&gt;&lt;wsp:rsid wsp:val=&quot;00562C37&quot;/&gt;&lt;wsp:rsid wsp:val=&quot;005632E5&quot;/&gt;&lt;wsp:rsid wsp:val=&quot;00563726&quot;/&gt;&lt;wsp:rsid wsp:val=&quot;00563763&quot;/&gt;&lt;wsp:rsid wsp:val=&quot;00563EBB&quot;/&gt;&lt;wsp:rsid wsp:val=&quot;005642FD&quot;/&gt;&lt;wsp:rsid wsp:val=&quot;0056462C&quot;/&gt;&lt;wsp:rsid wsp:val=&quot;00564AD6&quot;/&gt;&lt;wsp:rsid wsp:val=&quot;00564EE0&quot;/&gt;&lt;wsp:rsid wsp:val=&quot;00565017&quot;/&gt;&lt;wsp:rsid wsp:val=&quot;0056509A&quot;/&gt;&lt;wsp:rsid wsp:val=&quot;00565278&quot;/&gt;&lt;wsp:rsid wsp:val=&quot;0056528A&quot;/&gt;&lt;wsp:rsid wsp:val=&quot;0056556B&quot;/&gt;&lt;wsp:rsid wsp:val=&quot;005657BC&quot;/&gt;&lt;wsp:rsid wsp:val=&quot;00565982&quot;/&gt;&lt;wsp:rsid wsp:val=&quot;00565DA5&quot;/&gt;&lt;wsp:rsid wsp:val=&quot;00566375&quot;/&gt;&lt;wsp:rsid wsp:val=&quot;00566BE2&quot;/&gt;&lt;wsp:rsid wsp:val=&quot;00567444&quot;/&gt;&lt;wsp:rsid wsp:val=&quot;00567697&quot;/&gt;&lt;wsp:rsid wsp:val=&quot;00567AB1&quot;/&gt;&lt;wsp:rsid wsp:val=&quot;00567BC5&quot;/&gt;&lt;wsp:rsid wsp:val=&quot;00567C6E&quot;/&gt;&lt;wsp:rsid wsp:val=&quot;00567D50&quot;/&gt;&lt;wsp:rsid wsp:val=&quot;00567D69&quot;/&gt;&lt;wsp:rsid wsp:val=&quot;00567EC2&quot;/&gt;&lt;wsp:rsid wsp:val=&quot;00567EE8&quot;/&gt;&lt;wsp:rsid wsp:val=&quot;00567F7B&quot;/&gt;&lt;wsp:rsid wsp:val=&quot;0057023F&quot;/&gt;&lt;wsp:rsid wsp:val=&quot;00570493&quot;/&gt;&lt;wsp:rsid wsp:val=&quot;00570830&quot;/&gt;&lt;wsp:rsid wsp:val=&quot;00570986&quot;/&gt;&lt;wsp:rsid wsp:val=&quot;00570989&quot;/&gt;&lt;wsp:rsid wsp:val=&quot;005709E4&quot;/&gt;&lt;wsp:rsid wsp:val=&quot;00571060&quot;/&gt;&lt;wsp:rsid wsp:val=&quot;0057107E&quot;/&gt;&lt;wsp:rsid wsp:val=&quot;005714E6&quot;/&gt;&lt;wsp:rsid wsp:val=&quot;0057152A&quot;/&gt;&lt;wsp:rsid wsp:val=&quot;00571655&quot;/&gt;&lt;wsp:rsid wsp:val=&quot;0057166C&quot;/&gt;&lt;wsp:rsid wsp:val=&quot;005716F6&quot;/&gt;&lt;wsp:rsid wsp:val=&quot;00571A78&quot;/&gt;&lt;wsp:rsid wsp:val=&quot;00571D1F&quot;/&gt;&lt;wsp:rsid wsp:val=&quot;00571FFC&quot;/&gt;&lt;wsp:rsid wsp:val=&quot;005723E9&quot;/&gt;&lt;wsp:rsid wsp:val=&quot;00572610&quot;/&gt;&lt;wsp:rsid wsp:val=&quot;005728CA&quot;/&gt;&lt;wsp:rsid wsp:val=&quot;00572B46&quot;/&gt;&lt;wsp:rsid wsp:val=&quot;00572F14&quot;/&gt;&lt;wsp:rsid wsp:val=&quot;00572F55&quot;/&gt;&lt;wsp:rsid wsp:val=&quot;005730E7&quot;/&gt;&lt;wsp:rsid wsp:val=&quot;005730EA&quot;/&gt;&lt;wsp:rsid wsp:val=&quot;0057336E&quot;/&gt;&lt;wsp:rsid wsp:val=&quot;005734EC&quot;/&gt;&lt;wsp:rsid wsp:val=&quot;00573BEB&quot;/&gt;&lt;wsp:rsid wsp:val=&quot;0057417E&quot;/&gt;&lt;wsp:rsid wsp:val=&quot;0057456A&quot;/&gt;&lt;wsp:rsid wsp:val=&quot;00574B8E&quot;/&gt;&lt;wsp:rsid wsp:val=&quot;00574CB8&quot;/&gt;&lt;wsp:rsid wsp:val=&quot;0057535C&quot;/&gt;&lt;wsp:rsid wsp:val=&quot;005754D2&quot;/&gt;&lt;wsp:rsid wsp:val=&quot;00575932&quot;/&gt;&lt;wsp:rsid wsp:val=&quot;005759B0&quot;/&gt;&lt;wsp:rsid wsp:val=&quot;00575A44&quot;/&gt;&lt;wsp:rsid wsp:val=&quot;00575A95&quot;/&gt;&lt;wsp:rsid wsp:val=&quot;00576491&quot;/&gt;&lt;wsp:rsid wsp:val=&quot;005767B8&quot;/&gt;&lt;wsp:rsid wsp:val=&quot;00576876&quot;/&gt;&lt;wsp:rsid wsp:val=&quot;00576973&quot;/&gt;&lt;wsp:rsid wsp:val=&quot;00576A43&quot;/&gt;&lt;wsp:rsid wsp:val=&quot;00576F3A&quot;/&gt;&lt;wsp:rsid wsp:val=&quot;00577203&quot;/&gt;&lt;wsp:rsid wsp:val=&quot;00577C68&quot;/&gt;&lt;wsp:rsid wsp:val=&quot;00577D9D&quot;/&gt;&lt;wsp:rsid wsp:val=&quot;00577FBB&quot;/&gt;&lt;wsp:rsid wsp:val=&quot;00580345&quot;/&gt;&lt;wsp:rsid wsp:val=&quot;00580346&quot;/&gt;&lt;wsp:rsid wsp:val=&quot;005805A0&quot;/&gt;&lt;wsp:rsid wsp:val=&quot;005807FD&quot;/&gt;&lt;wsp:rsid wsp:val=&quot;00580CBB&quot;/&gt;&lt;wsp:rsid wsp:val=&quot;005817F3&quot;/&gt;&lt;wsp:rsid wsp:val=&quot;00581D6F&quot;/&gt;&lt;wsp:rsid wsp:val=&quot;0058218A&quot;/&gt;&lt;wsp:rsid wsp:val=&quot;0058238F&quot;/&gt;&lt;wsp:rsid wsp:val=&quot;005823A9&quot;/&gt;&lt;wsp:rsid wsp:val=&quot;00582439&quot;/&gt;&lt;wsp:rsid wsp:val=&quot;005827B8&quot;/&gt;&lt;wsp:rsid wsp:val=&quot;00582C06&quot;/&gt;&lt;wsp:rsid wsp:val=&quot;005831AD&quot;/&gt;&lt;wsp:rsid wsp:val=&quot;005831AE&quot;/&gt;&lt;wsp:rsid wsp:val=&quot;005833A1&quot;/&gt;&lt;wsp:rsid wsp:val=&quot;00583476&quot;/&gt;&lt;wsp:rsid wsp:val=&quot;00583598&quot;/&gt;&lt;wsp:rsid wsp:val=&quot;005836FD&quot;/&gt;&lt;wsp:rsid wsp:val=&quot;0058386F&quot;/&gt;&lt;wsp:rsid wsp:val=&quot;00583BF8&quot;/&gt;&lt;wsp:rsid wsp:val=&quot;005840AF&quot;/&gt;&lt;wsp:rsid wsp:val=&quot;0058438A&quot;/&gt;&lt;wsp:rsid wsp:val=&quot;0058479C&quot;/&gt;&lt;wsp:rsid wsp:val=&quot;00584B8D&quot;/&gt;&lt;wsp:rsid wsp:val=&quot;0058556C&quot;/&gt;&lt;wsp:rsid wsp:val=&quot;005855B8&quot;/&gt;&lt;wsp:rsid wsp:val=&quot;00585B4C&quot;/&gt;&lt;wsp:rsid wsp:val=&quot;00585FED&quot;/&gt;&lt;wsp:rsid wsp:val=&quot;0058628D&quot;/&gt;&lt;wsp:rsid wsp:val=&quot;00586A28&quot;/&gt;&lt;wsp:rsid wsp:val=&quot;00586C45&quot;/&gt;&lt;wsp:rsid wsp:val=&quot;00586CB5&quot;/&gt;&lt;wsp:rsid wsp:val=&quot;00586DEA&quot;/&gt;&lt;wsp:rsid wsp:val=&quot;00587042&quot;/&gt;&lt;wsp:rsid wsp:val=&quot;00587127&quot;/&gt;&lt;wsp:rsid wsp:val=&quot;005901D5&quot;/&gt;&lt;wsp:rsid wsp:val=&quot;005906EE&quot;/&gt;&lt;wsp:rsid wsp:val=&quot;00590A1E&quot;/&gt;&lt;wsp:rsid wsp:val=&quot;00590A96&quot;/&gt;&lt;wsp:rsid wsp:val=&quot;00591157&quot;/&gt;&lt;wsp:rsid wsp:val=&quot;00591229&quot;/&gt;&lt;wsp:rsid wsp:val=&quot;00591367&quot;/&gt;&lt;wsp:rsid wsp:val=&quot;005917AE&quot;/&gt;&lt;wsp:rsid wsp:val=&quot;00591C51&quot;/&gt;&lt;wsp:rsid wsp:val=&quot;00591D1D&quot;/&gt;&lt;wsp:rsid wsp:val=&quot;0059330E&quot;/&gt;&lt;wsp:rsid wsp:val=&quot;0059333D&quot;/&gt;&lt;wsp:rsid wsp:val=&quot;00593815&quot;/&gt;&lt;wsp:rsid wsp:val=&quot;005938A5&quot;/&gt;&lt;wsp:rsid wsp:val=&quot;00593BEC&quot;/&gt;&lt;wsp:rsid wsp:val=&quot;00593C30&quot;/&gt;&lt;wsp:rsid wsp:val=&quot;00594411&quot;/&gt;&lt;wsp:rsid wsp:val=&quot;00594739&quot;/&gt;&lt;wsp:rsid wsp:val=&quot;00594A4B&quot;/&gt;&lt;wsp:rsid wsp:val=&quot;00594BFA&quot;/&gt;&lt;wsp:rsid wsp:val=&quot;00594D76&quot;/&gt;&lt;wsp:rsid wsp:val=&quot;00595468&quot;/&gt;&lt;wsp:rsid wsp:val=&quot;005962AE&quot;/&gt;&lt;wsp:rsid wsp:val=&quot;005966AA&quot;/&gt;&lt;wsp:rsid wsp:val=&quot;00596DA5&quot;/&gt;&lt;wsp:rsid wsp:val=&quot;00597A14&quot;/&gt;&lt;wsp:rsid wsp:val=&quot;005A03DF&quot;/&gt;&lt;wsp:rsid wsp:val=&quot;005A0D3A&quot;/&gt;&lt;wsp:rsid wsp:val=&quot;005A1298&quot;/&gt;&lt;wsp:rsid wsp:val=&quot;005A1867&quot;/&gt;&lt;wsp:rsid wsp:val=&quot;005A1CF5&quot;/&gt;&lt;wsp:rsid wsp:val=&quot;005A2027&quot;/&gt;&lt;wsp:rsid wsp:val=&quot;005A2135&quot;/&gt;&lt;wsp:rsid wsp:val=&quot;005A21C4&quot;/&gt;&lt;wsp:rsid wsp:val=&quot;005A22A9&quot;/&gt;&lt;wsp:rsid wsp:val=&quot;005A2305&quot;/&gt;&lt;wsp:rsid wsp:val=&quot;005A2404&quot;/&gt;&lt;wsp:rsid wsp:val=&quot;005A2AE8&quot;/&gt;&lt;wsp:rsid wsp:val=&quot;005A2D6D&quot;/&gt;&lt;wsp:rsid wsp:val=&quot;005A2EA5&quot;/&gt;&lt;wsp:rsid wsp:val=&quot;005A30C5&quot;/&gt;&lt;wsp:rsid wsp:val=&quot;005A32BE&quot;/&gt;&lt;wsp:rsid wsp:val=&quot;005A3A13&quot;/&gt;&lt;wsp:rsid wsp:val=&quot;005A3E38&quot;/&gt;&lt;wsp:rsid wsp:val=&quot;005A4087&quot;/&gt;&lt;wsp:rsid wsp:val=&quot;005A40D6&quot;/&gt;&lt;wsp:rsid wsp:val=&quot;005A4251&quot;/&gt;&lt;wsp:rsid wsp:val=&quot;005A448B&quot;/&gt;&lt;wsp:rsid wsp:val=&quot;005A47AF&quot;/&gt;&lt;wsp:rsid wsp:val=&quot;005A4C9D&quot;/&gt;&lt;wsp:rsid wsp:val=&quot;005A4E82&quot;/&gt;&lt;wsp:rsid wsp:val=&quot;005A4EC8&quot;/&gt;&lt;wsp:rsid wsp:val=&quot;005A5184&quot;/&gt;&lt;wsp:rsid wsp:val=&quot;005A5244&quot;/&gt;&lt;wsp:rsid wsp:val=&quot;005A53D9&quot;/&gt;&lt;wsp:rsid wsp:val=&quot;005A58A9&quot;/&gt;&lt;wsp:rsid wsp:val=&quot;005A6727&quot;/&gt;&lt;wsp:rsid wsp:val=&quot;005A709B&quot;/&gt;&lt;wsp:rsid wsp:val=&quot;005A728C&quot;/&gt;&lt;wsp:rsid wsp:val=&quot;005A7463&quot;/&gt;&lt;wsp:rsid wsp:val=&quot;005A794F&quot;/&gt;&lt;wsp:rsid wsp:val=&quot;005A7C01&quot;/&gt;&lt;wsp:rsid wsp:val=&quot;005A7E66&quot;/&gt;&lt;wsp:rsid wsp:val=&quot;005B02EE&quot;/&gt;&lt;wsp:rsid wsp:val=&quot;005B0427&quot;/&gt;&lt;wsp:rsid wsp:val=&quot;005B0506&quot;/&gt;&lt;wsp:rsid wsp:val=&quot;005B0735&quot;/&gt;&lt;wsp:rsid wsp:val=&quot;005B09A8&quot;/&gt;&lt;wsp:rsid wsp:val=&quot;005B0AAE&quot;/&gt;&lt;wsp:rsid wsp:val=&quot;005B0E69&quot;/&gt;&lt;wsp:rsid wsp:val=&quot;005B0EEE&quot;/&gt;&lt;wsp:rsid wsp:val=&quot;005B127D&quot;/&gt;&lt;wsp:rsid wsp:val=&quot;005B18D8&quot;/&gt;&lt;wsp:rsid wsp:val=&quot;005B19A2&quot;/&gt;&lt;wsp:rsid wsp:val=&quot;005B2429&quot;/&gt;&lt;wsp:rsid wsp:val=&quot;005B24A7&quot;/&gt;&lt;wsp:rsid wsp:val=&quot;005B285F&quot;/&gt;&lt;wsp:rsid wsp:val=&quot;005B2954&quot;/&gt;&lt;wsp:rsid wsp:val=&quot;005B2970&quot;/&gt;&lt;wsp:rsid wsp:val=&quot;005B3460&quot;/&gt;&lt;wsp:rsid wsp:val=&quot;005B350D&quot;/&gt;&lt;wsp:rsid wsp:val=&quot;005B3BB7&quot;/&gt;&lt;wsp:rsid wsp:val=&quot;005B3F93&quot;/&gt;&lt;wsp:rsid wsp:val=&quot;005B4110&quot;/&gt;&lt;wsp:rsid wsp:val=&quot;005B412D&quot;/&gt;&lt;wsp:rsid wsp:val=&quot;005B4251&quot;/&gt;&lt;wsp:rsid wsp:val=&quot;005B437B&quot;/&gt;&lt;wsp:rsid wsp:val=&quot;005B44CC&quot;/&gt;&lt;wsp:rsid wsp:val=&quot;005B44F7&quot;/&gt;&lt;wsp:rsid wsp:val=&quot;005B45C2&quot;/&gt;&lt;wsp:rsid wsp:val=&quot;005B466A&quot;/&gt;&lt;wsp:rsid wsp:val=&quot;005B4DE8&quot;/&gt;&lt;wsp:rsid wsp:val=&quot;005B50D1&quot;/&gt;&lt;wsp:rsid wsp:val=&quot;005B520D&quot;/&gt;&lt;wsp:rsid wsp:val=&quot;005B554D&quot;/&gt;&lt;wsp:rsid wsp:val=&quot;005B5AE3&quot;/&gt;&lt;wsp:rsid wsp:val=&quot;005B5D19&quot;/&gt;&lt;wsp:rsid wsp:val=&quot;005B5EE5&quot;/&gt;&lt;wsp:rsid wsp:val=&quot;005B60DD&quot;/&gt;&lt;wsp:rsid wsp:val=&quot;005B6C8C&quot;/&gt;&lt;wsp:rsid wsp:val=&quot;005B6EF2&quot;/&gt;&lt;wsp:rsid wsp:val=&quot;005B7040&quot;/&gt;&lt;wsp:rsid wsp:val=&quot;005B74FD&quot;/&gt;&lt;wsp:rsid wsp:val=&quot;005B7CF8&quot;/&gt;&lt;wsp:rsid wsp:val=&quot;005C0087&quot;/&gt;&lt;wsp:rsid wsp:val=&quot;005C0278&quot;/&gt;&lt;wsp:rsid wsp:val=&quot;005C0D48&quot;/&gt;&lt;wsp:rsid wsp:val=&quot;005C101C&quot;/&gt;&lt;wsp:rsid wsp:val=&quot;005C10C6&quot;/&gt;&lt;wsp:rsid wsp:val=&quot;005C12F6&quot;/&gt;&lt;wsp:rsid wsp:val=&quot;005C1868&quot;/&gt;&lt;wsp:rsid wsp:val=&quot;005C1BA1&quot;/&gt;&lt;wsp:rsid wsp:val=&quot;005C1D2D&quot;/&gt;&lt;wsp:rsid wsp:val=&quot;005C1E3E&quot;/&gt;&lt;wsp:rsid wsp:val=&quot;005C232A&quot;/&gt;&lt;wsp:rsid wsp:val=&quot;005C24FB&quot;/&gt;&lt;wsp:rsid wsp:val=&quot;005C24FE&quot;/&gt;&lt;wsp:rsid wsp:val=&quot;005C291D&quot;/&gt;&lt;wsp:rsid wsp:val=&quot;005C2A05&quot;/&gt;&lt;wsp:rsid wsp:val=&quot;005C2E50&quot;/&gt;&lt;wsp:rsid wsp:val=&quot;005C2F27&quot;/&gt;&lt;wsp:rsid wsp:val=&quot;005C2F58&quot;/&gt;&lt;wsp:rsid wsp:val=&quot;005C31EA&quot;/&gt;&lt;wsp:rsid wsp:val=&quot;005C35A0&quot;/&gt;&lt;wsp:rsid wsp:val=&quot;005C35AD&quot;/&gt;&lt;wsp:rsid wsp:val=&quot;005C3758&quot;/&gt;&lt;wsp:rsid wsp:val=&quot;005C3A24&quot;/&gt;&lt;wsp:rsid wsp:val=&quot;005C3BEB&quot;/&gt;&lt;wsp:rsid wsp:val=&quot;005C3E08&quot;/&gt;&lt;wsp:rsid wsp:val=&quot;005C3FC0&quot;/&gt;&lt;wsp:rsid wsp:val=&quot;005C43EC&quot;/&gt;&lt;wsp:rsid wsp:val=&quot;005C4526&quot;/&gt;&lt;wsp:rsid wsp:val=&quot;005C4992&quot;/&gt;&lt;wsp:rsid wsp:val=&quot;005C4CA8&quot;/&gt;&lt;wsp:rsid wsp:val=&quot;005C4E09&quot;/&gt;&lt;wsp:rsid wsp:val=&quot;005C51F6&quot;/&gt;&lt;wsp:rsid wsp:val=&quot;005C5341&quot;/&gt;&lt;wsp:rsid wsp:val=&quot;005C539E&quot;/&gt;&lt;wsp:rsid wsp:val=&quot;005C5883&quot;/&gt;&lt;wsp:rsid wsp:val=&quot;005C59EF&quot;/&gt;&lt;wsp:rsid wsp:val=&quot;005C5D3C&quot;/&gt;&lt;wsp:rsid wsp:val=&quot;005C5D91&quot;/&gt;&lt;wsp:rsid wsp:val=&quot;005C5DCD&quot;/&gt;&lt;wsp:rsid wsp:val=&quot;005C5EA0&quot;/&gt;&lt;wsp:rsid wsp:val=&quot;005C62C0&quot;/&gt;&lt;wsp:rsid wsp:val=&quot;005C6F46&quot;/&gt;&lt;wsp:rsid wsp:val=&quot;005C7175&quot;/&gt;&lt;wsp:rsid wsp:val=&quot;005C7255&quot;/&gt;&lt;wsp:rsid wsp:val=&quot;005C7886&quot;/&gt;&lt;wsp:rsid wsp:val=&quot;005C7B5A&quot;/&gt;&lt;wsp:rsid wsp:val=&quot;005C7D34&quot;/&gt;&lt;wsp:rsid wsp:val=&quot;005D035A&quot;/&gt;&lt;wsp:rsid wsp:val=&quot;005D035D&quot;/&gt;&lt;wsp:rsid wsp:val=&quot;005D0DFB&quot;/&gt;&lt;wsp:rsid wsp:val=&quot;005D129A&quot;/&gt;&lt;wsp:rsid wsp:val=&quot;005D1370&quot;/&gt;&lt;wsp:rsid wsp:val=&quot;005D16D7&quot;/&gt;&lt;wsp:rsid wsp:val=&quot;005D1B79&quot;/&gt;&lt;wsp:rsid wsp:val=&quot;005D1C97&quot;/&gt;&lt;wsp:rsid wsp:val=&quot;005D256D&quot;/&gt;&lt;wsp:rsid wsp:val=&quot;005D2644&quot;/&gt;&lt;wsp:rsid wsp:val=&quot;005D26A5&quot;/&gt;&lt;wsp:rsid wsp:val=&quot;005D2E7B&quot;/&gt;&lt;wsp:rsid wsp:val=&quot;005D2EC0&quot;/&gt;&lt;wsp:rsid wsp:val=&quot;005D3883&quot;/&gt;&lt;wsp:rsid wsp:val=&quot;005D3FA8&quot;/&gt;&lt;wsp:rsid wsp:val=&quot;005D458A&quot;/&gt;&lt;wsp:rsid wsp:val=&quot;005D46F7&quot;/&gt;&lt;wsp:rsid wsp:val=&quot;005D47C0&quot;/&gt;&lt;wsp:rsid wsp:val=&quot;005D4918&quot;/&gt;&lt;wsp:rsid wsp:val=&quot;005D4A4E&quot;/&gt;&lt;wsp:rsid wsp:val=&quot;005D4ABB&quot;/&gt;&lt;wsp:rsid wsp:val=&quot;005D4B5D&quot;/&gt;&lt;wsp:rsid wsp:val=&quot;005D4BEB&quot;/&gt;&lt;wsp:rsid wsp:val=&quot;005D4BEE&quot;/&gt;&lt;wsp:rsid wsp:val=&quot;005D4D69&quot;/&gt;&lt;wsp:rsid wsp:val=&quot;005D5094&quot;/&gt;&lt;wsp:rsid wsp:val=&quot;005D53B8&quot;/&gt;&lt;wsp:rsid wsp:val=&quot;005D543A&quot;/&gt;&lt;wsp:rsid wsp:val=&quot;005D5662&quot;/&gt;&lt;wsp:rsid wsp:val=&quot;005D597B&quot;/&gt;&lt;wsp:rsid wsp:val=&quot;005D5CD5&quot;/&gt;&lt;wsp:rsid wsp:val=&quot;005D602E&quot;/&gt;&lt;wsp:rsid wsp:val=&quot;005D638E&quot;/&gt;&lt;wsp:rsid wsp:val=&quot;005D64B6&quot;/&gt;&lt;wsp:rsid wsp:val=&quot;005D64EA&quot;/&gt;&lt;wsp:rsid wsp:val=&quot;005D6797&quot;/&gt;&lt;wsp:rsid wsp:val=&quot;005D6DBE&quot;/&gt;&lt;wsp:rsid wsp:val=&quot;005D6EA1&quot;/&gt;&lt;wsp:rsid wsp:val=&quot;005D6FF7&quot;/&gt;&lt;wsp:rsid wsp:val=&quot;005D7403&quot;/&gt;&lt;wsp:rsid wsp:val=&quot;005D76A6&quot;/&gt;&lt;wsp:rsid wsp:val=&quot;005E08B0&quot;/&gt;&lt;wsp:rsid wsp:val=&quot;005E0C97&quot;/&gt;&lt;wsp:rsid wsp:val=&quot;005E15BE&quot;/&gt;&lt;wsp:rsid wsp:val=&quot;005E1886&quot;/&gt;&lt;wsp:rsid wsp:val=&quot;005E1B3B&quot;/&gt;&lt;wsp:rsid wsp:val=&quot;005E1D07&quot;/&gt;&lt;wsp:rsid wsp:val=&quot;005E1E93&quot;/&gt;&lt;wsp:rsid wsp:val=&quot;005E1EB0&quot;/&gt;&lt;wsp:rsid wsp:val=&quot;005E26AD&quot;/&gt;&lt;wsp:rsid wsp:val=&quot;005E27AB&quot;/&gt;&lt;wsp:rsid wsp:val=&quot;005E2BBA&quot;/&gt;&lt;wsp:rsid wsp:val=&quot;005E3140&quot;/&gt;&lt;wsp:rsid wsp:val=&quot;005E341D&quot;/&gt;&lt;wsp:rsid wsp:val=&quot;005E344F&quot;/&gt;&lt;wsp:rsid wsp:val=&quot;005E3456&quot;/&gt;&lt;wsp:rsid wsp:val=&quot;005E38DE&quot;/&gt;&lt;wsp:rsid wsp:val=&quot;005E3A39&quot;/&gt;&lt;wsp:rsid wsp:val=&quot;005E3B83&quot;/&gt;&lt;wsp:rsid wsp:val=&quot;005E400B&quot;/&gt;&lt;wsp:rsid wsp:val=&quot;005E41DC&quot;/&gt;&lt;wsp:rsid wsp:val=&quot;005E4329&quot;/&gt;&lt;wsp:rsid wsp:val=&quot;005E440B&quot;/&gt;&lt;wsp:rsid wsp:val=&quot;005E4860&quot;/&gt;&lt;wsp:rsid wsp:val=&quot;005E48EC&quot;/&gt;&lt;wsp:rsid wsp:val=&quot;005E494C&quot;/&gt;&lt;wsp:rsid wsp:val=&quot;005E4CA6&quot;/&gt;&lt;wsp:rsid wsp:val=&quot;005E4CB7&quot;/&gt;&lt;wsp:rsid wsp:val=&quot;005E4CD2&quot;/&gt;&lt;wsp:rsid wsp:val=&quot;005E503F&quot;/&gt;&lt;wsp:rsid wsp:val=&quot;005E5942&quot;/&gt;&lt;wsp:rsid wsp:val=&quot;005E5BEC&quot;/&gt;&lt;wsp:rsid wsp:val=&quot;005E5DC5&quot;/&gt;&lt;wsp:rsid wsp:val=&quot;005E5F5D&quot;/&gt;&lt;wsp:rsid wsp:val=&quot;005E62CC&quot;/&gt;&lt;wsp:rsid wsp:val=&quot;005E6610&quot;/&gt;&lt;wsp:rsid wsp:val=&quot;005E6B7A&quot;/&gt;&lt;wsp:rsid wsp:val=&quot;005E6C16&quot;/&gt;&lt;wsp:rsid wsp:val=&quot;005E6CA7&quot;/&gt;&lt;wsp:rsid wsp:val=&quot;005E6E52&quot;/&gt;&lt;wsp:rsid wsp:val=&quot;005E6FB4&quot;/&gt;&lt;wsp:rsid wsp:val=&quot;005E79AC&quot;/&gt;&lt;wsp:rsid wsp:val=&quot;005F0087&quot;/&gt;&lt;wsp:rsid wsp:val=&quot;005F046F&quot;/&gt;&lt;wsp:rsid wsp:val=&quot;005F079E&quot;/&gt;&lt;wsp:rsid wsp:val=&quot;005F095A&quot;/&gt;&lt;wsp:rsid wsp:val=&quot;005F0AF0&quot;/&gt;&lt;wsp:rsid wsp:val=&quot;005F0B64&quot;/&gt;&lt;wsp:rsid wsp:val=&quot;005F0B83&quot;/&gt;&lt;wsp:rsid wsp:val=&quot;005F1028&quot;/&gt;&lt;wsp:rsid wsp:val=&quot;005F14F7&quot;/&gt;&lt;wsp:rsid wsp:val=&quot;005F1CF0&quot;/&gt;&lt;wsp:rsid wsp:val=&quot;005F20AC&quot;/&gt;&lt;wsp:rsid wsp:val=&quot;005F2325&quot;/&gt;&lt;wsp:rsid wsp:val=&quot;005F275C&quot;/&gt;&lt;wsp:rsid wsp:val=&quot;005F2A38&quot;/&gt;&lt;wsp:rsid wsp:val=&quot;005F2F10&quot;/&gt;&lt;wsp:rsid wsp:val=&quot;005F32ED&quot;/&gt;&lt;wsp:rsid wsp:val=&quot;005F3C76&quot;/&gt;&lt;wsp:rsid wsp:val=&quot;005F3CE1&quot;/&gt;&lt;wsp:rsid wsp:val=&quot;005F3E54&quot;/&gt;&lt;wsp:rsid wsp:val=&quot;005F3F42&quot;/&gt;&lt;wsp:rsid wsp:val=&quot;005F4300&quot;/&gt;&lt;wsp:rsid wsp:val=&quot;005F4723&quot;/&gt;&lt;wsp:rsid wsp:val=&quot;005F4A4D&quot;/&gt;&lt;wsp:rsid wsp:val=&quot;005F4CBC&quot;/&gt;&lt;wsp:rsid wsp:val=&quot;005F5103&quot;/&gt;&lt;wsp:rsid wsp:val=&quot;005F51BF&quot;/&gt;&lt;wsp:rsid wsp:val=&quot;005F5470&quot;/&gt;&lt;wsp:rsid wsp:val=&quot;005F54A7&quot;/&gt;&lt;wsp:rsid wsp:val=&quot;005F5744&quot;/&gt;&lt;wsp:rsid wsp:val=&quot;005F579E&quot;/&gt;&lt;wsp:rsid wsp:val=&quot;005F5A5D&quot;/&gt;&lt;wsp:rsid wsp:val=&quot;005F5EDC&quot;/&gt;&lt;wsp:rsid wsp:val=&quot;005F63F2&quot;/&gt;&lt;wsp:rsid wsp:val=&quot;005F6C01&quot;/&gt;&lt;wsp:rsid wsp:val=&quot;005F7055&quot;/&gt;&lt;wsp:rsid wsp:val=&quot;005F7357&quot;/&gt;&lt;wsp:rsid wsp:val=&quot;005F736F&quot;/&gt;&lt;wsp:rsid wsp:val=&quot;005F746F&quot;/&gt;&lt;wsp:rsid wsp:val=&quot;005F74EC&quot;/&gt;&lt;wsp:rsid wsp:val=&quot;005F7819&quot;/&gt;&lt;wsp:rsid wsp:val=&quot;005F79B3&quot;/&gt;&lt;wsp:rsid wsp:val=&quot;005F7F80&quot;/&gt;&lt;wsp:rsid wsp:val=&quot;0060095E&quot;/&gt;&lt;wsp:rsid wsp:val=&quot;00600992&quot;/&gt;&lt;wsp:rsid wsp:val=&quot;00600D8F&quot;/&gt;&lt;wsp:rsid wsp:val=&quot;00600E30&quot;/&gt;&lt;wsp:rsid wsp:val=&quot;0060138F&quot;/&gt;&lt;wsp:rsid wsp:val=&quot;0060162F&quot;/&gt;&lt;wsp:rsid wsp:val=&quot;006017BE&quot;/&gt;&lt;wsp:rsid wsp:val=&quot;006018D3&quot;/&gt;&lt;wsp:rsid wsp:val=&quot;00601E92&quot;/&gt;&lt;wsp:rsid wsp:val=&quot;00602A63&quot;/&gt;&lt;wsp:rsid wsp:val=&quot;00602C28&quot;/&gt;&lt;wsp:rsid wsp:val=&quot;00602DB5&quot;/&gt;&lt;wsp:rsid wsp:val=&quot;0060316E&quot;/&gt;&lt;wsp:rsid wsp:val=&quot;0060379F&quot;/&gt;&lt;wsp:rsid wsp:val=&quot;006039CB&quot;/&gt;&lt;wsp:rsid wsp:val=&quot;00603B75&quot;/&gt;&lt;wsp:rsid wsp:val=&quot;00603E8F&quot;/&gt;&lt;wsp:rsid wsp:val=&quot;00603EAD&quot;/&gt;&lt;wsp:rsid wsp:val=&quot;00604FD7&quot;/&gt;&lt;wsp:rsid wsp:val=&quot;00605A5F&quot;/&gt;&lt;wsp:rsid wsp:val=&quot;00605A6A&quot;/&gt;&lt;wsp:rsid wsp:val=&quot;00605F60&quot;/&gt;&lt;wsp:rsid wsp:val=&quot;006062BA&quot;/&gt;&lt;wsp:rsid wsp:val=&quot;006064C1&quot;/&gt;&lt;wsp:rsid wsp:val=&quot;00606B6C&quot;/&gt;&lt;wsp:rsid wsp:val=&quot;00607163&quot;/&gt;&lt;wsp:rsid wsp:val=&quot;006072D4&quot;/&gt;&lt;wsp:rsid wsp:val=&quot;006073EB&quot;/&gt;&lt;wsp:rsid wsp:val=&quot;006075E8&quot;/&gt;&lt;wsp:rsid wsp:val=&quot;006076C6&quot;/&gt;&lt;wsp:rsid wsp:val=&quot;00607933&quot;/&gt;&lt;wsp:rsid wsp:val=&quot;00607EF9&quot;/&gt;&lt;wsp:rsid wsp:val=&quot;00610970&quot;/&gt;&lt;wsp:rsid wsp:val=&quot;00610987&quot;/&gt;&lt;wsp:rsid wsp:val=&quot;00610BD4&quot;/&gt;&lt;wsp:rsid wsp:val=&quot;00610CE3&quot;/&gt;&lt;wsp:rsid wsp:val=&quot;00610D59&quot;/&gt;&lt;wsp:rsid wsp:val=&quot;00611C03&quot;/&gt;&lt;wsp:rsid wsp:val=&quot;00611C9E&quot;/&gt;&lt;wsp:rsid wsp:val=&quot;0061278F&quot;/&gt;&lt;wsp:rsid wsp:val=&quot;00612AB2&quot;/&gt;&lt;wsp:rsid wsp:val=&quot;0061394B&quot;/&gt;&lt;wsp:rsid wsp:val=&quot;00613A0A&quot;/&gt;&lt;wsp:rsid wsp:val=&quot;00613F2E&quot;/&gt;&lt;wsp:rsid wsp:val=&quot;0061421F&quot;/&gt;&lt;wsp:rsid wsp:val=&quot;00614501&quot;/&gt;&lt;wsp:rsid wsp:val=&quot;006145BE&quot;/&gt;&lt;wsp:rsid wsp:val=&quot;006148F2&quot;/&gt;&lt;wsp:rsid wsp:val=&quot;00614952&quot;/&gt;&lt;wsp:rsid wsp:val=&quot;00614FBF&quot;/&gt;&lt;wsp:rsid wsp:val=&quot;006150E3&quot;/&gt;&lt;wsp:rsid wsp:val=&quot;00615103&quot;/&gt;&lt;wsp:rsid wsp:val=&quot;00615859&quot;/&gt;&lt;wsp:rsid wsp:val=&quot;00615E6C&quot;/&gt;&lt;wsp:rsid wsp:val=&quot;00616505&quot;/&gt;&lt;wsp:rsid wsp:val=&quot;00616924&quot;/&gt;&lt;wsp:rsid wsp:val=&quot;006169CD&quot;/&gt;&lt;wsp:rsid wsp:val=&quot;00616B41&quot;/&gt;&lt;wsp:rsid wsp:val=&quot;0061722D&quot;/&gt;&lt;wsp:rsid wsp:val=&quot;00617579&quot;/&gt;&lt;wsp:rsid wsp:val=&quot;00617F59&quot;/&gt;&lt;wsp:rsid wsp:val=&quot;00617FA6&quot;/&gt;&lt;wsp:rsid wsp:val=&quot;00620666&quot;/&gt;&lt;wsp:rsid wsp:val=&quot;00620778&quot;/&gt;&lt;wsp:rsid wsp:val=&quot;006207F7&quot;/&gt;&lt;wsp:rsid wsp:val=&quot;00620A5A&quot;/&gt;&lt;wsp:rsid wsp:val=&quot;00620B36&quot;/&gt;&lt;wsp:rsid wsp:val=&quot;00621051&quot;/&gt;&lt;wsp:rsid wsp:val=&quot;0062126A&quot;/&gt;&lt;wsp:rsid wsp:val=&quot;0062140F&quot;/&gt;&lt;wsp:rsid wsp:val=&quot;006214B6&quot;/&gt;&lt;wsp:rsid wsp:val=&quot;00621957&quot;/&gt;&lt;wsp:rsid wsp:val=&quot;00621B2A&quot;/&gt;&lt;wsp:rsid wsp:val=&quot;00621C5C&quot;/&gt;&lt;wsp:rsid wsp:val=&quot;00621CD3&quot;/&gt;&lt;wsp:rsid wsp:val=&quot;00622147&quot;/&gt;&lt;wsp:rsid wsp:val=&quot;006227AD&quot;/&gt;&lt;wsp:rsid wsp:val=&quot;006227BA&quot;/&gt;&lt;wsp:rsid wsp:val=&quot;00622A74&quot;/&gt;&lt;wsp:rsid wsp:val=&quot;00622CE4&quot;/&gt;&lt;wsp:rsid wsp:val=&quot;00622FA3&quot;/&gt;&lt;wsp:rsid wsp:val=&quot;00623935&quot;/&gt;&lt;wsp:rsid wsp:val=&quot;0062399E&quot;/&gt;&lt;wsp:rsid wsp:val=&quot;00623A05&quot;/&gt;&lt;wsp:rsid wsp:val=&quot;00623ACC&quot;/&gt;&lt;wsp:rsid wsp:val=&quot;00623C68&quot;/&gt;&lt;wsp:rsid wsp:val=&quot;006240E7&quot;/&gt;&lt;wsp:rsid wsp:val=&quot;00624289&quot;/&gt;&lt;wsp:rsid wsp:val=&quot;00624468&quot;/&gt;&lt;wsp:rsid wsp:val=&quot;00624904&quot;/&gt;&lt;wsp:rsid wsp:val=&quot;00625000&quot;/&gt;&lt;wsp:rsid wsp:val=&quot;006252DE&quot;/&gt;&lt;wsp:rsid wsp:val=&quot;00625B24&quot;/&gt;&lt;wsp:rsid wsp:val=&quot;00626071&quot;/&gt;&lt;wsp:rsid wsp:val=&quot;006266E2&quot;/&gt;&lt;wsp:rsid wsp:val=&quot;00626771&quot;/&gt;&lt;wsp:rsid wsp:val=&quot;00626F8F&quot;/&gt;&lt;wsp:rsid wsp:val=&quot;006270F4&quot;/&gt;&lt;wsp:rsid wsp:val=&quot;00627296&quot;/&gt;&lt;wsp:rsid wsp:val=&quot;0062742F&quot;/&gt;&lt;wsp:rsid wsp:val=&quot;00627562&quot;/&gt;&lt;wsp:rsid wsp:val=&quot;0062778D&quot;/&gt;&lt;wsp:rsid wsp:val=&quot;00627A7B&quot;/&gt;&lt;wsp:rsid wsp:val=&quot;00627D2A&quot;/&gt;&lt;wsp:rsid wsp:val=&quot;00627D7F&quot;/&gt;&lt;wsp:rsid wsp:val=&quot;00627E7A&quot;/&gt;&lt;wsp:rsid wsp:val=&quot;00627F18&quot;/&gt;&lt;wsp:rsid wsp:val=&quot;006302B4&quot;/&gt;&lt;wsp:rsid wsp:val=&quot;006304A4&quot;/&gt;&lt;wsp:rsid wsp:val=&quot;00630667&quot;/&gt;&lt;wsp:rsid wsp:val=&quot;0063070A&quot;/&gt;&lt;wsp:rsid wsp:val=&quot;00631192&quot;/&gt;&lt;wsp:rsid wsp:val=&quot;00631380&quot;/&gt;&lt;wsp:rsid wsp:val=&quot;00631384&quot;/&gt;&lt;wsp:rsid wsp:val=&quot;0063146C&quot;/&gt;&lt;wsp:rsid wsp:val=&quot;00631756&quot;/&gt;&lt;wsp:rsid wsp:val=&quot;0063187A&quot;/&gt;&lt;wsp:rsid wsp:val=&quot;00631A39&quot;/&gt;&lt;wsp:rsid wsp:val=&quot;00631A5F&quot;/&gt;&lt;wsp:rsid wsp:val=&quot;00632486&quot;/&gt;&lt;wsp:rsid wsp:val=&quot;00632BAC&quot;/&gt;&lt;wsp:rsid wsp:val=&quot;00633261&quot;/&gt;&lt;wsp:rsid wsp:val=&quot;006332A6&quot;/&gt;&lt;wsp:rsid wsp:val=&quot;00633783&quot;/&gt;&lt;wsp:rsid wsp:val=&quot;0063379D&quot;/&gt;&lt;wsp:rsid wsp:val=&quot;006337BE&quot;/&gt;&lt;wsp:rsid wsp:val=&quot;00633B9F&quot;/&gt;&lt;wsp:rsid wsp:val=&quot;006340FE&quot;/&gt;&lt;wsp:rsid wsp:val=&quot;006345D6&quot;/&gt;&lt;wsp:rsid wsp:val=&quot;00634C43&quot;/&gt;&lt;wsp:rsid wsp:val=&quot;00634E18&quot;/&gt;&lt;wsp:rsid wsp:val=&quot;00635737&quot;/&gt;&lt;wsp:rsid wsp:val=&quot;006358AE&quot;/&gt;&lt;wsp:rsid wsp:val=&quot;00635F37&quot;/&gt;&lt;wsp:rsid wsp:val=&quot;006361BE&quot;/&gt;&lt;wsp:rsid wsp:val=&quot;00636371&quot;/&gt;&lt;wsp:rsid wsp:val=&quot;006368A8&quot;/&gt;&lt;wsp:rsid wsp:val=&quot;006368DF&quot;/&gt;&lt;wsp:rsid wsp:val=&quot;00636A59&quot;/&gt;&lt;wsp:rsid wsp:val=&quot;00636AAD&quot;/&gt;&lt;wsp:rsid wsp:val=&quot;00636B1B&quot;/&gt;&lt;wsp:rsid wsp:val=&quot;00637122&quot;/&gt;&lt;wsp:rsid wsp:val=&quot;006376FE&quot;/&gt;&lt;wsp:rsid wsp:val=&quot;00637845&quot;/&gt;&lt;wsp:rsid wsp:val=&quot;00637C4F&quot;/&gt;&lt;wsp:rsid wsp:val=&quot;00640187&quot;/&gt;&lt;wsp:rsid wsp:val=&quot;00640330&quot;/&gt;&lt;wsp:rsid wsp:val=&quot;00640443&quot;/&gt;&lt;wsp:rsid wsp:val=&quot;006404D0&quot;/&gt;&lt;wsp:rsid wsp:val=&quot;006406D6&quot;/&gt;&lt;wsp:rsid wsp:val=&quot;006408BE&quot;/&gt;&lt;wsp:rsid wsp:val=&quot;00640BCB&quot;/&gt;&lt;wsp:rsid wsp:val=&quot;00640FED&quot;/&gt;&lt;wsp:rsid wsp:val=&quot;00641031&quot;/&gt;&lt;wsp:rsid wsp:val=&quot;00641079&quot;/&gt;&lt;wsp:rsid wsp:val=&quot;006413F4&quot;/&gt;&lt;wsp:rsid wsp:val=&quot;00641437&quot;/&gt;&lt;wsp:rsid wsp:val=&quot;00641465&quot;/&gt;&lt;wsp:rsid wsp:val=&quot;0064152F&quot;/&gt;&lt;wsp:rsid wsp:val=&quot;006419C8&quot;/&gt;&lt;wsp:rsid wsp:val=&quot;00641E76&quot;/&gt;&lt;wsp:rsid wsp:val=&quot;00642010&quot;/&gt;&lt;wsp:rsid wsp:val=&quot;00642946&quot;/&gt;&lt;wsp:rsid wsp:val=&quot;006429CA&quot;/&gt;&lt;wsp:rsid wsp:val=&quot;00642BFE&quot;/&gt;&lt;wsp:rsid wsp:val=&quot;006433AA&quot;/&gt;&lt;wsp:rsid wsp:val=&quot;0064350F&quot;/&gt;&lt;wsp:rsid wsp:val=&quot;00643759&quot;/&gt;&lt;wsp:rsid wsp:val=&quot;00643781&quot;/&gt;&lt;wsp:rsid wsp:val=&quot;00643903&quot;/&gt;&lt;wsp:rsid wsp:val=&quot;0064446E&quot;/&gt;&lt;wsp:rsid wsp:val=&quot;00644BCF&quot;/&gt;&lt;wsp:rsid wsp:val=&quot;00644E3F&quot;/&gt;&lt;wsp:rsid wsp:val=&quot;006451D8&quot;/&gt;&lt;wsp:rsid wsp:val=&quot;00645363&quot;/&gt;&lt;wsp:rsid wsp:val=&quot;00645ACE&quot;/&gt;&lt;wsp:rsid wsp:val=&quot;00645F50&quot;/&gt;&lt;wsp:rsid wsp:val=&quot;006461DC&quot;/&gt;&lt;wsp:rsid wsp:val=&quot;0064624B&quot;/&gt;&lt;wsp:rsid wsp:val=&quot;00646321&quot;/&gt;&lt;wsp:rsid wsp:val=&quot;00646D8B&quot;/&gt;&lt;wsp:rsid wsp:val=&quot;00647584&quot;/&gt;&lt;wsp:rsid wsp:val=&quot;00647C4F&quot;/&gt;&lt;wsp:rsid wsp:val=&quot;00647D71&quot;/&gt;&lt;wsp:rsid wsp:val=&quot;00647E36&quot;/&gt;&lt;wsp:rsid wsp:val=&quot;00647FBE&quot;/&gt;&lt;wsp:rsid wsp:val=&quot;0065028C&quot;/&gt;&lt;wsp:rsid wsp:val=&quot;00650A9A&quot;/&gt;&lt;wsp:rsid wsp:val=&quot;006512A6&quot;/&gt;&lt;wsp:rsid wsp:val=&quot;00651391&quot;/&gt;&lt;wsp:rsid wsp:val=&quot;00651877&quot;/&gt;&lt;wsp:rsid wsp:val=&quot;00651B85&quot;/&gt;&lt;wsp:rsid wsp:val=&quot;00651BFE&quot;/&gt;&lt;wsp:rsid wsp:val=&quot;00651D06&quot;/&gt;&lt;wsp:rsid wsp:val=&quot;00652176&quot;/&gt;&lt;wsp:rsid wsp:val=&quot;0065227A&quot;/&gt;&lt;wsp:rsid wsp:val=&quot;0065239A&quot;/&gt;&lt;wsp:rsid wsp:val=&quot;0065270D&quot;/&gt;&lt;wsp:rsid wsp:val=&quot;00652B1A&quot;/&gt;&lt;wsp:rsid wsp:val=&quot;00652D7B&quot;/&gt;&lt;wsp:rsid wsp:val=&quot;00652DB4&quot;/&gt;&lt;wsp:rsid wsp:val=&quot;00653308&quot;/&gt;&lt;wsp:rsid wsp:val=&quot;00653BDC&quot;/&gt;&lt;wsp:rsid wsp:val=&quot;0065427D&quot;/&gt;&lt;wsp:rsid wsp:val=&quot;00654429&quot;/&gt;&lt;wsp:rsid wsp:val=&quot;00654465&quot;/&gt;&lt;wsp:rsid wsp:val=&quot;006544E0&quot;/&gt;&lt;wsp:rsid wsp:val=&quot;00654826&quot;/&gt;&lt;wsp:rsid wsp:val=&quot;006550D3&quot;/&gt;&lt;wsp:rsid wsp:val=&quot;00655A6E&quot;/&gt;&lt;wsp:rsid wsp:val=&quot;0065620D&quot;/&gt;&lt;wsp:rsid wsp:val=&quot;00656D7A&quot;/&gt;&lt;wsp:rsid wsp:val=&quot;00656E41&quot;/&gt;&lt;wsp:rsid wsp:val=&quot;00656F55&quot;/&gt;&lt;wsp:rsid wsp:val=&quot;00657625&quot;/&gt;&lt;wsp:rsid wsp:val=&quot;00657ADD&quot;/&gt;&lt;wsp:rsid wsp:val=&quot;00657DBC&quot;/&gt;&lt;wsp:rsid wsp:val=&quot;00660C74&quot;/&gt;&lt;wsp:rsid wsp:val=&quot;00660D40&quot;/&gt;&lt;wsp:rsid wsp:val=&quot;00660F8C&quot;/&gt;&lt;wsp:rsid wsp:val=&quot;006612BB&quot;/&gt;&lt;wsp:rsid wsp:val=&quot;0066148D&quot;/&gt;&lt;wsp:rsid wsp:val=&quot;006618EF&quot;/&gt;&lt;wsp:rsid wsp:val=&quot;00661C61&quot;/&gt;&lt;wsp:rsid wsp:val=&quot;00661CD8&quot;/&gt;&lt;wsp:rsid wsp:val=&quot;00661DB3&quot;/&gt;&lt;wsp:rsid wsp:val=&quot;00661F84&quot;/&gt;&lt;wsp:rsid wsp:val=&quot;006628B4&quot;/&gt;&lt;wsp:rsid wsp:val=&quot;00663D0D&quot;/&gt;&lt;wsp:rsid wsp:val=&quot;0066430E&quot;/&gt;&lt;wsp:rsid wsp:val=&quot;00664522&quot;/&gt;&lt;wsp:rsid wsp:val=&quot;00664943&quot;/&gt;&lt;wsp:rsid wsp:val=&quot;00664AAD&quot;/&gt;&lt;wsp:rsid wsp:val=&quot;00664BB2&quot;/&gt;&lt;wsp:rsid wsp:val=&quot;00664BC9&quot;/&gt;&lt;wsp:rsid wsp:val=&quot;00665234&quot;/&gt;&lt;wsp:rsid wsp:val=&quot;0066533F&quot;/&gt;&lt;wsp:rsid wsp:val=&quot;006658EB&quot;/&gt;&lt;wsp:rsid wsp:val=&quot;006660E5&quot;/&gt;&lt;wsp:rsid wsp:val=&quot;00666122&quot;/&gt;&lt;wsp:rsid wsp:val=&quot;006666F6&quot;/&gt;&lt;wsp:rsid wsp:val=&quot;00666726&quot;/&gt;&lt;wsp:rsid wsp:val=&quot;00666B61&quot;/&gt;&lt;wsp:rsid wsp:val=&quot;00666D1C&quot;/&gt;&lt;wsp:rsid wsp:val=&quot;00667166&quot;/&gt;&lt;wsp:rsid wsp:val=&quot;006675B1&quot;/&gt;&lt;wsp:rsid wsp:val=&quot;0066790D&quot;/&gt;&lt;wsp:rsid wsp:val=&quot;00670618&quot;/&gt;&lt;wsp:rsid wsp:val=&quot;006708BB&quot;/&gt;&lt;wsp:rsid wsp:val=&quot;00670E20&quot;/&gt;&lt;wsp:rsid wsp:val=&quot;00670FF4&quot;/&gt;&lt;wsp:rsid wsp:val=&quot;006711C0&quot;/&gt;&lt;wsp:rsid wsp:val=&quot;00671802&quot;/&gt;&lt;wsp:rsid wsp:val=&quot;00671FF8&quot;/&gt;&lt;wsp:rsid wsp:val=&quot;006723F3&quot;/&gt;&lt;wsp:rsid wsp:val=&quot;00672565&quot;/&gt;&lt;wsp:rsid wsp:val=&quot;00672758&quot;/&gt;&lt;wsp:rsid wsp:val=&quot;00672C6B&quot;/&gt;&lt;wsp:rsid wsp:val=&quot;00672E3A&quot;/&gt;&lt;wsp:rsid wsp:val=&quot;00672FAD&quot;/&gt;&lt;wsp:rsid wsp:val=&quot;00673059&quot;/&gt;&lt;wsp:rsid wsp:val=&quot;00673190&quot;/&gt;&lt;wsp:rsid wsp:val=&quot;00673490&quot;/&gt;&lt;wsp:rsid wsp:val=&quot;00673E9E&quot;/&gt;&lt;wsp:rsid wsp:val=&quot;00673EDD&quot;/&gt;&lt;wsp:rsid wsp:val=&quot;0067403F&quot;/&gt;&lt;wsp:rsid wsp:val=&quot;00674369&quot;/&gt;&lt;wsp:rsid wsp:val=&quot;00674A76&quot;/&gt;&lt;wsp:rsid wsp:val=&quot;00674F7B&quot;/&gt;&lt;wsp:rsid wsp:val=&quot;0067549E&quot;/&gt;&lt;wsp:rsid wsp:val=&quot;006756A7&quot;/&gt;&lt;wsp:rsid wsp:val=&quot;00675937&quot;/&gt;&lt;wsp:rsid wsp:val=&quot;00675C1B&quot;/&gt;&lt;wsp:rsid wsp:val=&quot;00675CEF&quot;/&gt;&lt;wsp:rsid wsp:val=&quot;00675E90&quot;/&gt;&lt;wsp:rsid wsp:val=&quot;00675F11&quot;/&gt;&lt;wsp:rsid wsp:val=&quot;00675FA8&quot;/&gt;&lt;wsp:rsid wsp:val=&quot;00676240&quot;/&gt;&lt;wsp:rsid wsp:val=&quot;006764A2&quot;/&gt;&lt;wsp:rsid wsp:val=&quot;00676709&quot;/&gt;&lt;wsp:rsid wsp:val=&quot;006768E8&quot;/&gt;&lt;wsp:rsid wsp:val=&quot;00676911&quot;/&gt;&lt;wsp:rsid wsp:val=&quot;00676BB5&quot;/&gt;&lt;wsp:rsid wsp:val=&quot;00676BC7&quot;/&gt;&lt;wsp:rsid wsp:val=&quot;00677010&quot;/&gt;&lt;wsp:rsid wsp:val=&quot;0067756E&quot;/&gt;&lt;wsp:rsid wsp:val=&quot;00677588&quot;/&gt;&lt;wsp:rsid wsp:val=&quot;00677837&quot;/&gt;&lt;wsp:rsid wsp:val=&quot;00677B84&quot;/&gt;&lt;wsp:rsid wsp:val=&quot;00677F4C&quot;/&gt;&lt;wsp:rsid wsp:val=&quot;00677FF0&quot;/&gt;&lt;wsp:rsid wsp:val=&quot;0068002D&quot;/&gt;&lt;wsp:rsid wsp:val=&quot;00680686&quot;/&gt;&lt;wsp:rsid wsp:val=&quot;0068071B&quot;/&gt;&lt;wsp:rsid wsp:val=&quot;00680F63&quot;/&gt;&lt;wsp:rsid wsp:val=&quot;006814BA&quot;/&gt;&lt;wsp:rsid wsp:val=&quot;0068176A&quot;/&gt;&lt;wsp:rsid wsp:val=&quot;00681BB8&quot;/&gt;&lt;wsp:rsid wsp:val=&quot;0068272D&quot;/&gt;&lt;wsp:rsid wsp:val=&quot;006828F7&quot;/&gt;&lt;wsp:rsid wsp:val=&quot;00682A6D&quot;/&gt;&lt;wsp:rsid wsp:val=&quot;00682B45&quot;/&gt;&lt;wsp:rsid wsp:val=&quot;00682C63&quot;/&gt;&lt;wsp:rsid wsp:val=&quot;00682CBB&quot;/&gt;&lt;wsp:rsid wsp:val=&quot;006830D5&quot;/&gt;&lt;wsp:rsid wsp:val=&quot;006833D9&quot;/&gt;&lt;wsp:rsid wsp:val=&quot;00683A9C&quot;/&gt;&lt;wsp:rsid wsp:val=&quot;00683B70&quot;/&gt;&lt;wsp:rsid wsp:val=&quot;00683E05&quot;/&gt;&lt;wsp:rsid wsp:val=&quot;00683F00&quot;/&gt;&lt;wsp:rsid wsp:val=&quot;00684216&quot;/&gt;&lt;wsp:rsid wsp:val=&quot;00684398&quot;/&gt;&lt;wsp:rsid wsp:val=&quot;006845F0&quot;/&gt;&lt;wsp:rsid wsp:val=&quot;00684A80&quot;/&gt;&lt;wsp:rsid wsp:val=&quot;00684EB5&quot;/&gt;&lt;wsp:rsid wsp:val=&quot;00684EC0&quot;/&gt;&lt;wsp:rsid wsp:val=&quot;00684F47&quot;/&gt;&lt;wsp:rsid wsp:val=&quot;00684F8D&quot;/&gt;&lt;wsp:rsid wsp:val=&quot;00685269&quot;/&gt;&lt;wsp:rsid wsp:val=&quot;006856FD&quot;/&gt;&lt;wsp:rsid wsp:val=&quot;00685DDB&quot;/&gt;&lt;wsp:rsid wsp:val=&quot;00685DEE&quot;/&gt;&lt;wsp:rsid wsp:val=&quot;0068636A&quot;/&gt;&lt;wsp:rsid wsp:val=&quot;006866E1&quot;/&gt;&lt;wsp:rsid wsp:val=&quot;0068679C&quot;/&gt;&lt;wsp:rsid wsp:val=&quot;006867C7&quot;/&gt;&lt;wsp:rsid wsp:val=&quot;0068715D&quot;/&gt;&lt;wsp:rsid wsp:val=&quot;00687BAE&quot;/&gt;&lt;wsp:rsid wsp:val=&quot;00687E97&quot;/&gt;&lt;wsp:rsid wsp:val=&quot;0069013C&quot;/&gt;&lt;wsp:rsid wsp:val=&quot;00690330&quot;/&gt;&lt;wsp:rsid wsp:val=&quot;00690735&quot;/&gt;&lt;wsp:rsid wsp:val=&quot;0069078F&quot;/&gt;&lt;wsp:rsid wsp:val=&quot;00690F50&quot;/&gt;&lt;wsp:rsid wsp:val=&quot;0069119E&quot;/&gt;&lt;wsp:rsid wsp:val=&quot;006911E7&quot;/&gt;&lt;wsp:rsid wsp:val=&quot;006917AC&quot;/&gt;&lt;wsp:rsid wsp:val=&quot;00691EBB&quot;/&gt;&lt;wsp:rsid wsp:val=&quot;00691F08&quot;/&gt;&lt;wsp:rsid wsp:val=&quot;0069200C&quot;/&gt;&lt;wsp:rsid wsp:val=&quot;006921CD&quot;/&gt;&lt;wsp:rsid wsp:val=&quot;00692407&quot;/&gt;&lt;wsp:rsid wsp:val=&quot;0069290A&quot;/&gt;&lt;wsp:rsid wsp:val=&quot;00692E05&quot;/&gt;&lt;wsp:rsid wsp:val=&quot;00692F21&quot;/&gt;&lt;wsp:rsid wsp:val=&quot;00693929&quot;/&gt;&lt;wsp:rsid wsp:val=&quot;00693C06&quot;/&gt;&lt;wsp:rsid wsp:val=&quot;00693EE5&quot;/&gt;&lt;wsp:rsid wsp:val=&quot;006940F4&quot;/&gt;&lt;wsp:rsid wsp:val=&quot;00694206&quot;/&gt;&lt;wsp:rsid wsp:val=&quot;006949FA&quot;/&gt;&lt;wsp:rsid wsp:val=&quot;00694B20&quot;/&gt;&lt;wsp:rsid wsp:val=&quot;00694D2A&quot;/&gt;&lt;wsp:rsid wsp:val=&quot;00694FA0&quot;/&gt;&lt;wsp:rsid wsp:val=&quot;006950E8&quot;/&gt;&lt;wsp:rsid wsp:val=&quot;00695210&quot;/&gt;&lt;wsp:rsid wsp:val=&quot;006952D8&quot;/&gt;&lt;wsp:rsid wsp:val=&quot;00695634&quot;/&gt;&lt;wsp:rsid wsp:val=&quot;006958A0&quot;/&gt;&lt;wsp:rsid wsp:val=&quot;00695B78&quot;/&gt;&lt;wsp:rsid wsp:val=&quot;006960D4&quot;/&gt;&lt;wsp:rsid wsp:val=&quot;00696138&quot;/&gt;&lt;wsp:rsid wsp:val=&quot;006968D0&quot;/&gt;&lt;wsp:rsid wsp:val=&quot;00696B20&quot;/&gt;&lt;wsp:rsid wsp:val=&quot;00696E49&quot;/&gt;&lt;wsp:rsid wsp:val=&quot;006971CD&quot;/&gt;&lt;wsp:rsid wsp:val=&quot;00697531&quot;/&gt;&lt;wsp:rsid wsp:val=&quot;006976CC&quot;/&gt;&lt;wsp:rsid wsp:val=&quot;00697794&quot;/&gt;&lt;wsp:rsid wsp:val=&quot;0069786E&quot;/&gt;&lt;wsp:rsid wsp:val=&quot;00697BB9&quot;/&gt;&lt;wsp:rsid wsp:val=&quot;006A05A4&quot;/&gt;&lt;wsp:rsid wsp:val=&quot;006A063C&quot;/&gt;&lt;wsp:rsid wsp:val=&quot;006A074C&quot;/&gt;&lt;wsp:rsid wsp:val=&quot;006A09DF&quot;/&gt;&lt;wsp:rsid wsp:val=&quot;006A0BEB&quot;/&gt;&lt;wsp:rsid wsp:val=&quot;006A14D7&quot;/&gt;&lt;wsp:rsid wsp:val=&quot;006A1621&quot;/&gt;&lt;wsp:rsid wsp:val=&quot;006A1687&quot;/&gt;&lt;wsp:rsid wsp:val=&quot;006A23B0&quot;/&gt;&lt;wsp:rsid wsp:val=&quot;006A3013&quot;/&gt;&lt;wsp:rsid wsp:val=&quot;006A3250&quot;/&gt;&lt;wsp:rsid wsp:val=&quot;006A34B5&quot;/&gt;&lt;wsp:rsid wsp:val=&quot;006A3657&quot;/&gt;&lt;wsp:rsid wsp:val=&quot;006A3723&quot;/&gt;&lt;wsp:rsid wsp:val=&quot;006A3C63&quot;/&gt;&lt;wsp:rsid wsp:val=&quot;006A3D1F&quot;/&gt;&lt;wsp:rsid wsp:val=&quot;006A3E65&quot;/&gt;&lt;wsp:rsid wsp:val=&quot;006A467F&quot;/&gt;&lt;wsp:rsid wsp:val=&quot;006A49BC&quot;/&gt;&lt;wsp:rsid wsp:val=&quot;006A4CBC&quot;/&gt;&lt;wsp:rsid wsp:val=&quot;006A4D8D&quot;/&gt;&lt;wsp:rsid wsp:val=&quot;006A4FF2&quot;/&gt;&lt;wsp:rsid wsp:val=&quot;006A511D&quot;/&gt;&lt;wsp:rsid wsp:val=&quot;006A514C&quot;/&gt;&lt;wsp:rsid wsp:val=&quot;006A5278&quot;/&gt;&lt;wsp:rsid wsp:val=&quot;006A5480&quot;/&gt;&lt;wsp:rsid wsp:val=&quot;006A5494&quot;/&gt;&lt;wsp:rsid wsp:val=&quot;006A552F&quot;/&gt;&lt;wsp:rsid wsp:val=&quot;006A590C&quot;/&gt;&lt;wsp:rsid wsp:val=&quot;006A626A&quot;/&gt;&lt;wsp:rsid wsp:val=&quot;006A63EA&quot;/&gt;&lt;wsp:rsid wsp:val=&quot;006A67CA&quot;/&gt;&lt;wsp:rsid wsp:val=&quot;006A6D84&quot;/&gt;&lt;wsp:rsid wsp:val=&quot;006A70FA&quot;/&gt;&lt;wsp:rsid wsp:val=&quot;006A7390&quot;/&gt;&lt;wsp:rsid wsp:val=&quot;006A73EE&quot;/&gt;&lt;wsp:rsid wsp:val=&quot;006A74B7&quot;/&gt;&lt;wsp:rsid wsp:val=&quot;006A7842&quot;/&gt;&lt;wsp:rsid wsp:val=&quot;006B05E2&quot;/&gt;&lt;wsp:rsid wsp:val=&quot;006B1A9F&quot;/&gt;&lt;wsp:rsid wsp:val=&quot;006B1B4C&quot;/&gt;&lt;wsp:rsid wsp:val=&quot;006B1DA0&quot;/&gt;&lt;wsp:rsid wsp:val=&quot;006B296C&quot;/&gt;&lt;wsp:rsid wsp:val=&quot;006B2FC5&quot;/&gt;&lt;wsp:rsid wsp:val=&quot;006B3029&quot;/&gt;&lt;wsp:rsid wsp:val=&quot;006B3098&quot;/&gt;&lt;wsp:rsid wsp:val=&quot;006B36C9&quot;/&gt;&lt;wsp:rsid wsp:val=&quot;006B3871&quot;/&gt;&lt;wsp:rsid wsp:val=&quot;006B3876&quot;/&gt;&lt;wsp:rsid wsp:val=&quot;006B3BC4&quot;/&gt;&lt;wsp:rsid wsp:val=&quot;006B3D67&quot;/&gt;&lt;wsp:rsid wsp:val=&quot;006B3E51&quot;/&gt;&lt;wsp:rsid wsp:val=&quot;006B3EF7&quot;/&gt;&lt;wsp:rsid wsp:val=&quot;006B409E&quot;/&gt;&lt;wsp:rsid wsp:val=&quot;006B4184&quot;/&gt;&lt;wsp:rsid wsp:val=&quot;006B46D8&quot;/&gt;&lt;wsp:rsid wsp:val=&quot;006B4A77&quot;/&gt;&lt;wsp:rsid wsp:val=&quot;006B4CE4&quot;/&gt;&lt;wsp:rsid wsp:val=&quot;006B4E3D&quot;/&gt;&lt;wsp:rsid wsp:val=&quot;006B565C&quot;/&gt;&lt;wsp:rsid wsp:val=&quot;006B5907&quot;/&gt;&lt;wsp:rsid wsp:val=&quot;006B5DD5&quot;/&gt;&lt;wsp:rsid wsp:val=&quot;006B5FB3&quot;/&gt;&lt;wsp:rsid wsp:val=&quot;006B629F&quot;/&gt;&lt;wsp:rsid wsp:val=&quot;006B649B&quot;/&gt;&lt;wsp:rsid wsp:val=&quot;006B665E&quot;/&gt;&lt;wsp:rsid wsp:val=&quot;006B689B&quot;/&gt;&lt;wsp:rsid wsp:val=&quot;006B6D92&quot;/&gt;&lt;wsp:rsid wsp:val=&quot;006B78E5&quot;/&gt;&lt;wsp:rsid wsp:val=&quot;006B7A51&quot;/&gt;&lt;wsp:rsid wsp:val=&quot;006B7A5C&quot;/&gt;&lt;wsp:rsid wsp:val=&quot;006B7A75&quot;/&gt;&lt;wsp:rsid wsp:val=&quot;006B7C8A&quot;/&gt;&lt;wsp:rsid wsp:val=&quot;006C0006&quot;/&gt;&lt;wsp:rsid wsp:val=&quot;006C00D4&quot;/&gt;&lt;wsp:rsid wsp:val=&quot;006C03AE&quot;/&gt;&lt;wsp:rsid wsp:val=&quot;006C08B9&quot;/&gt;&lt;wsp:rsid wsp:val=&quot;006C0C8E&quot;/&gt;&lt;wsp:rsid wsp:val=&quot;006C0F87&quot;/&gt;&lt;wsp:rsid wsp:val=&quot;006C148D&quot;/&gt;&lt;wsp:rsid wsp:val=&quot;006C1509&quot;/&gt;&lt;wsp:rsid wsp:val=&quot;006C1584&quot;/&gt;&lt;wsp:rsid wsp:val=&quot;006C1DBC&quot;/&gt;&lt;wsp:rsid wsp:val=&quot;006C225F&quot;/&gt;&lt;wsp:rsid wsp:val=&quot;006C2327&quot;/&gt;&lt;wsp:rsid wsp:val=&quot;006C2417&quot;/&gt;&lt;wsp:rsid wsp:val=&quot;006C2478&quot;/&gt;&lt;wsp:rsid wsp:val=&quot;006C279D&quot;/&gt;&lt;wsp:rsid wsp:val=&quot;006C2BB3&quot;/&gt;&lt;wsp:rsid wsp:val=&quot;006C2CFB&quot;/&gt;&lt;wsp:rsid wsp:val=&quot;006C2FE3&quot;/&gt;&lt;wsp:rsid wsp:val=&quot;006C302F&quot;/&gt;&lt;wsp:rsid wsp:val=&quot;006C3038&quot;/&gt;&lt;wsp:rsid wsp:val=&quot;006C318A&quot;/&gt;&lt;wsp:rsid wsp:val=&quot;006C31CF&quot;/&gt;&lt;wsp:rsid wsp:val=&quot;006C333E&quot;/&gt;&lt;wsp:rsid wsp:val=&quot;006C33DD&quot;/&gt;&lt;wsp:rsid wsp:val=&quot;006C40C0&quot;/&gt;&lt;wsp:rsid wsp:val=&quot;006C40EE&quot;/&gt;&lt;wsp:rsid wsp:val=&quot;006C41C2&quot;/&gt;&lt;wsp:rsid wsp:val=&quot;006C46AB&quot;/&gt;&lt;wsp:rsid wsp:val=&quot;006C4B70&quot;/&gt;&lt;wsp:rsid wsp:val=&quot;006C528D&quot;/&gt;&lt;wsp:rsid wsp:val=&quot;006C55BC&quot;/&gt;&lt;wsp:rsid wsp:val=&quot;006C567B&quot;/&gt;&lt;wsp:rsid wsp:val=&quot;006C60DA&quot;/&gt;&lt;wsp:rsid wsp:val=&quot;006C63EE&quot;/&gt;&lt;wsp:rsid wsp:val=&quot;006C653D&quot;/&gt;&lt;wsp:rsid wsp:val=&quot;006C690B&quot;/&gt;&lt;wsp:rsid wsp:val=&quot;006C6A8C&quot;/&gt;&lt;wsp:rsid wsp:val=&quot;006C6FFC&quot;/&gt;&lt;wsp:rsid wsp:val=&quot;006C7BD8&quot;/&gt;&lt;wsp:rsid wsp:val=&quot;006C7E10&quot;/&gt;&lt;wsp:rsid wsp:val=&quot;006C7EEE&quot;/&gt;&lt;wsp:rsid wsp:val=&quot;006D0401&quot;/&gt;&lt;wsp:rsid wsp:val=&quot;006D04B5&quot;/&gt;&lt;wsp:rsid wsp:val=&quot;006D0808&quot;/&gt;&lt;wsp:rsid wsp:val=&quot;006D106F&quot;/&gt;&lt;wsp:rsid wsp:val=&quot;006D1257&quot;/&gt;&lt;wsp:rsid wsp:val=&quot;006D1505&quot;/&gt;&lt;wsp:rsid wsp:val=&quot;006D1FAC&quot;/&gt;&lt;wsp:rsid wsp:val=&quot;006D28F2&quot;/&gt;&lt;wsp:rsid wsp:val=&quot;006D2C85&quot;/&gt;&lt;wsp:rsid wsp:val=&quot;006D31AA&quot;/&gt;&lt;wsp:rsid wsp:val=&quot;006D396D&quot;/&gt;&lt;wsp:rsid wsp:val=&quot;006D4E0B&quot;/&gt;&lt;wsp:rsid wsp:val=&quot;006D4F52&quot;/&gt;&lt;wsp:rsid wsp:val=&quot;006D51B6&quot;/&gt;&lt;wsp:rsid wsp:val=&quot;006D544F&quot;/&gt;&lt;wsp:rsid wsp:val=&quot;006D5727&quot;/&gt;&lt;wsp:rsid wsp:val=&quot;006D5EC0&quot;/&gt;&lt;wsp:rsid wsp:val=&quot;006D62AE&quot;/&gt;&lt;wsp:rsid wsp:val=&quot;006D634E&quot;/&gt;&lt;wsp:rsid wsp:val=&quot;006D6E4F&quot;/&gt;&lt;wsp:rsid wsp:val=&quot;006D6FF4&quot;/&gt;&lt;wsp:rsid wsp:val=&quot;006D7CA1&quot;/&gt;&lt;wsp:rsid wsp:val=&quot;006D7F95&quot;/&gt;&lt;wsp:rsid wsp:val=&quot;006E00C9&quot;/&gt;&lt;wsp:rsid wsp:val=&quot;006E03E2&quot;/&gt;&lt;wsp:rsid wsp:val=&quot;006E0616&quot;/&gt;&lt;wsp:rsid wsp:val=&quot;006E15B6&quot;/&gt;&lt;wsp:rsid wsp:val=&quot;006E1CAC&quot;/&gt;&lt;wsp:rsid wsp:val=&quot;006E1F3A&quot;/&gt;&lt;wsp:rsid wsp:val=&quot;006E23B9&quot;/&gt;&lt;wsp:rsid wsp:val=&quot;006E23FC&quot;/&gt;&lt;wsp:rsid wsp:val=&quot;006E2408&quot;/&gt;&lt;wsp:rsid wsp:val=&quot;006E240F&quot;/&gt;&lt;wsp:rsid wsp:val=&quot;006E32EF&quot;/&gt;&lt;wsp:rsid wsp:val=&quot;006E395E&quot;/&gt;&lt;wsp:rsid wsp:val=&quot;006E4271&quot;/&gt;&lt;wsp:rsid wsp:val=&quot;006E44F6&quot;/&gt;&lt;wsp:rsid wsp:val=&quot;006E47A3&quot;/&gt;&lt;wsp:rsid wsp:val=&quot;006E4AF0&quot;/&gt;&lt;wsp:rsid wsp:val=&quot;006E4DCA&quot;/&gt;&lt;wsp:rsid wsp:val=&quot;006E4EE1&quot;/&gt;&lt;wsp:rsid wsp:val=&quot;006E52AE&quot;/&gt;&lt;wsp:rsid wsp:val=&quot;006E5623&quot;/&gt;&lt;wsp:rsid wsp:val=&quot;006E584D&quot;/&gt;&lt;wsp:rsid wsp:val=&quot;006E5973&quot;/&gt;&lt;wsp:rsid wsp:val=&quot;006E5C56&quot;/&gt;&lt;wsp:rsid wsp:val=&quot;006E5CCE&quot;/&gt;&lt;wsp:rsid wsp:val=&quot;006E6442&quot;/&gt;&lt;wsp:rsid wsp:val=&quot;006E6504&quot;/&gt;&lt;wsp:rsid wsp:val=&quot;006E6548&quot;/&gt;&lt;wsp:rsid wsp:val=&quot;006E6FCC&quot;/&gt;&lt;wsp:rsid wsp:val=&quot;006E7C8C&quot;/&gt;&lt;wsp:rsid wsp:val=&quot;006E7D06&quot;/&gt;&lt;wsp:rsid wsp:val=&quot;006F0025&quot;/&gt;&lt;wsp:rsid wsp:val=&quot;006F06A0&quot;/&gt;&lt;wsp:rsid wsp:val=&quot;006F06DE&quot;/&gt;&lt;wsp:rsid wsp:val=&quot;006F0D9C&quot;/&gt;&lt;wsp:rsid wsp:val=&quot;006F0DDF&quot;/&gt;&lt;wsp:rsid wsp:val=&quot;006F0FA9&quot;/&gt;&lt;wsp:rsid wsp:val=&quot;006F14F3&quot;/&gt;&lt;wsp:rsid wsp:val=&quot;006F1519&quot;/&gt;&lt;wsp:rsid wsp:val=&quot;006F1C25&quot;/&gt;&lt;wsp:rsid wsp:val=&quot;006F1D91&quot;/&gt;&lt;wsp:rsid wsp:val=&quot;006F22DD&quot;/&gt;&lt;wsp:rsid wsp:val=&quot;006F252D&quot;/&gt;&lt;wsp:rsid wsp:val=&quot;006F25A4&quot;/&gt;&lt;wsp:rsid wsp:val=&quot;006F25BD&quot;/&gt;&lt;wsp:rsid wsp:val=&quot;006F29D9&quot;/&gt;&lt;wsp:rsid wsp:val=&quot;006F2F1B&quot;/&gt;&lt;wsp:rsid wsp:val=&quot;006F3399&quot;/&gt;&lt;wsp:rsid wsp:val=&quot;006F34C2&quot;/&gt;&lt;wsp:rsid wsp:val=&quot;006F3F3D&quot;/&gt;&lt;wsp:rsid wsp:val=&quot;006F407A&quot;/&gt;&lt;wsp:rsid wsp:val=&quot;006F40BA&quot;/&gt;&lt;wsp:rsid wsp:val=&quot;006F43E5&quot;/&gt;&lt;wsp:rsid wsp:val=&quot;006F4792&quot;/&gt;&lt;wsp:rsid wsp:val=&quot;006F490C&quot;/&gt;&lt;wsp:rsid wsp:val=&quot;006F4CA0&quot;/&gt;&lt;wsp:rsid wsp:val=&quot;006F508F&quot;/&gt;&lt;wsp:rsid wsp:val=&quot;006F51C4&quot;/&gt;&lt;wsp:rsid wsp:val=&quot;006F51F1&quot;/&gt;&lt;wsp:rsid wsp:val=&quot;006F5596&quot;/&gt;&lt;wsp:rsid wsp:val=&quot;006F5855&quot;/&gt;&lt;wsp:rsid wsp:val=&quot;006F5A60&quot;/&gt;&lt;wsp:rsid wsp:val=&quot;006F5D07&quot;/&gt;&lt;wsp:rsid wsp:val=&quot;006F616B&quot;/&gt;&lt;wsp:rsid wsp:val=&quot;006F62B4&quot;/&gt;&lt;wsp:rsid wsp:val=&quot;006F653F&quot;/&gt;&lt;wsp:rsid wsp:val=&quot;006F658C&quot;/&gt;&lt;wsp:rsid wsp:val=&quot;006F6B3B&quot;/&gt;&lt;wsp:rsid wsp:val=&quot;006F6E8E&quot;/&gt;&lt;wsp:rsid wsp:val=&quot;006F7230&quot;/&gt;&lt;wsp:rsid wsp:val=&quot;006F728A&quot;/&gt;&lt;wsp:rsid wsp:val=&quot;006F7485&quot;/&gt;&lt;wsp:rsid wsp:val=&quot;006F7E88&quot;/&gt;&lt;wsp:rsid wsp:val=&quot;007000E2&quot;/&gt;&lt;wsp:rsid wsp:val=&quot;007008A4&quot;/&gt;&lt;wsp:rsid wsp:val=&quot;00700A7B&quot;/&gt;&lt;wsp:rsid wsp:val=&quot;00700AA5&quot;/&gt;&lt;wsp:rsid wsp:val=&quot;00700FD7&quot;/&gt;&lt;wsp:rsid wsp:val=&quot;0070175B&quot;/&gt;&lt;wsp:rsid wsp:val=&quot;0070175F&quot;/&gt;&lt;wsp:rsid wsp:val=&quot;007017F5&quot;/&gt;&lt;wsp:rsid wsp:val=&quot;007018FE&quot;/&gt;&lt;wsp:rsid wsp:val=&quot;00701A9F&quot;/&gt;&lt;wsp:rsid wsp:val=&quot;00701AAA&quot;/&gt;&lt;wsp:rsid wsp:val=&quot;00701D0A&quot;/&gt;&lt;wsp:rsid wsp:val=&quot;00702E40&quot;/&gt;&lt;wsp:rsid wsp:val=&quot;00702E78&quot;/&gt;&lt;wsp:rsid wsp:val=&quot;007034BD&quot;/&gt;&lt;wsp:rsid wsp:val=&quot;00703710&quot;/&gt;&lt;wsp:rsid wsp:val=&quot;00703895&quot;/&gt;&lt;wsp:rsid wsp:val=&quot;007039F8&quot;/&gt;&lt;wsp:rsid wsp:val=&quot;007043F9&quot;/&gt;&lt;wsp:rsid wsp:val=&quot;007046C2&quot;/&gt;&lt;wsp:rsid wsp:val=&quot;00704B5F&quot;/&gt;&lt;wsp:rsid wsp:val=&quot;007052B5&quot;/&gt;&lt;wsp:rsid wsp:val=&quot;007052CE&quot;/&gt;&lt;wsp:rsid wsp:val=&quot;0070576F&quot;/&gt;&lt;wsp:rsid wsp:val=&quot;00705B0E&quot;/&gt;&lt;wsp:rsid wsp:val=&quot;00706483&quot;/&gt;&lt;wsp:rsid wsp:val=&quot;0070674E&quot;/&gt;&lt;wsp:rsid wsp:val=&quot;0070688C&quot;/&gt;&lt;wsp:rsid wsp:val=&quot;007072B9&quot;/&gt;&lt;wsp:rsid wsp:val=&quot;0070772B&quot;/&gt;&lt;wsp:rsid wsp:val=&quot;0070777E&quot;/&gt;&lt;wsp:rsid wsp:val=&quot;007078C2&quot;/&gt;&lt;wsp:rsid wsp:val=&quot;0071018A&quot;/&gt;&lt;wsp:rsid wsp:val=&quot;00710316&quot;/&gt;&lt;wsp:rsid wsp:val=&quot;007104C2&quot;/&gt;&lt;wsp:rsid wsp:val=&quot;00710B0E&quot;/&gt;&lt;wsp:rsid wsp:val=&quot;00710D10&quot;/&gt;&lt;wsp:rsid wsp:val=&quot;00711068&quot;/&gt;&lt;wsp:rsid wsp:val=&quot;007111F4&quot;/&gt;&lt;wsp:rsid wsp:val=&quot;00711633&quot;/&gt;&lt;wsp:rsid wsp:val=&quot;007118BF&quot;/&gt;&lt;wsp:rsid wsp:val=&quot;00711A12&quot;/&gt;&lt;wsp:rsid wsp:val=&quot;00711BF5&quot;/&gt;&lt;wsp:rsid wsp:val=&quot;00711C60&quot;/&gt;&lt;wsp:rsid wsp:val=&quot;00711EFB&quot;/&gt;&lt;wsp:rsid wsp:val=&quot;007123C9&quot;/&gt;&lt;wsp:rsid wsp:val=&quot;00712A30&quot;/&gt;&lt;wsp:rsid wsp:val=&quot;00712E2D&quot;/&gt;&lt;wsp:rsid wsp:val=&quot;0071346C&quot;/&gt;&lt;wsp:rsid wsp:val=&quot;00713780&quot;/&gt;&lt;wsp:rsid wsp:val=&quot;007138D9&quot;/&gt;&lt;wsp:rsid wsp:val=&quot;00713DF9&quot;/&gt;&lt;wsp:rsid wsp:val=&quot;00714343&quot;/&gt;&lt;wsp:rsid wsp:val=&quot;007143CB&quot;/&gt;&lt;wsp:rsid wsp:val=&quot;00714C5A&quot;/&gt;&lt;wsp:rsid wsp:val=&quot;00714C7D&quot;/&gt;&lt;wsp:rsid wsp:val=&quot;00714CE5&quot;/&gt;&lt;wsp:rsid wsp:val=&quot;00714E0A&quot;/&gt;&lt;wsp:rsid wsp:val=&quot;0071510F&quot;/&gt;&lt;wsp:rsid wsp:val=&quot;0071517F&quot;/&gt;&lt;wsp:rsid wsp:val=&quot;007156C2&quot;/&gt;&lt;wsp:rsid wsp:val=&quot;00715AA7&quot;/&gt;&lt;wsp:rsid wsp:val=&quot;007161D8&quot;/&gt;&lt;wsp:rsid wsp:val=&quot;00716885&quot;/&gt;&lt;wsp:rsid wsp:val=&quot;007168E6&quot;/&gt;&lt;wsp:rsid wsp:val=&quot;00716C33&quot;/&gt;&lt;wsp:rsid wsp:val=&quot;007173F6&quot;/&gt;&lt;wsp:rsid wsp:val=&quot;00717817&quot;/&gt;&lt;wsp:rsid wsp:val=&quot;00717A6A&quot;/&gt;&lt;wsp:rsid wsp:val=&quot;00717DA8&quot;/&gt;&lt;wsp:rsid wsp:val=&quot;007201C1&quot;/&gt;&lt;wsp:rsid wsp:val=&quot;007206ED&quot;/&gt;&lt;wsp:rsid wsp:val=&quot;00720928&quot;/&gt;&lt;wsp:rsid wsp:val=&quot;0072099D&quot;/&gt;&lt;wsp:rsid wsp:val=&quot;007209DF&quot;/&gt;&lt;wsp:rsid wsp:val=&quot;00721114&quot;/&gt;&lt;wsp:rsid wsp:val=&quot;00721234&quot;/&gt;&lt;wsp:rsid wsp:val=&quot;00721279&quot;/&gt;&lt;wsp:rsid wsp:val=&quot;00721695&quot;/&gt;&lt;wsp:rsid wsp:val=&quot;0072177B&quot;/&gt;&lt;wsp:rsid wsp:val=&quot;0072196E&quot;/&gt;&lt;wsp:rsid wsp:val=&quot;00721A31&quot;/&gt;&lt;wsp:rsid wsp:val=&quot;00721BF8&quot;/&gt;&lt;wsp:rsid wsp:val=&quot;00721CBD&quot;/&gt;&lt;wsp:rsid wsp:val=&quot;00722052&quot;/&gt;&lt;wsp:rsid wsp:val=&quot;00722370&quot;/&gt;&lt;wsp:rsid wsp:val=&quot;00722378&quot;/&gt;&lt;wsp:rsid wsp:val=&quot;007229B1&quot;/&gt;&lt;wsp:rsid wsp:val=&quot;007229BA&quot;/&gt;&lt;wsp:rsid wsp:val=&quot;00722C03&quot;/&gt;&lt;wsp:rsid wsp:val=&quot;00723BF4&quot;/&gt;&lt;wsp:rsid wsp:val=&quot;00723CCA&quot;/&gt;&lt;wsp:rsid wsp:val=&quot;00724195&quot;/&gt;&lt;wsp:rsid wsp:val=&quot;007245FA&quot;/&gt;&lt;wsp:rsid wsp:val=&quot;00724721&quot;/&gt;&lt;wsp:rsid wsp:val=&quot;007247C6&quot;/&gt;&lt;wsp:rsid wsp:val=&quot;00724922&quot;/&gt;&lt;wsp:rsid wsp:val=&quot;00724B03&quot;/&gt;&lt;wsp:rsid wsp:val=&quot;0072505D&quot;/&gt;&lt;wsp:rsid wsp:val=&quot;0072508E&quot;/&gt;&lt;wsp:rsid wsp:val=&quot;007251CB&quot;/&gt;&lt;wsp:rsid wsp:val=&quot;00725A2A&quot;/&gt;&lt;wsp:rsid wsp:val=&quot;00725A9E&quot;/&gt;&lt;wsp:rsid wsp:val=&quot;00725F4A&quot;/&gt;&lt;wsp:rsid wsp:val=&quot;00725F74&quot;/&gt;&lt;wsp:rsid wsp:val=&quot;00726040&quot;/&gt;&lt;wsp:rsid wsp:val=&quot;007264E4&quot;/&gt;&lt;wsp:rsid wsp:val=&quot;00726B58&quot;/&gt;&lt;wsp:rsid wsp:val=&quot;00726B6D&quot;/&gt;&lt;wsp:rsid wsp:val=&quot;007271C1&quot;/&gt;&lt;wsp:rsid wsp:val=&quot;00727214&quot;/&gt;&lt;wsp:rsid wsp:val=&quot;007276DF&quot;/&gt;&lt;wsp:rsid wsp:val=&quot;007277A1&quot;/&gt;&lt;wsp:rsid wsp:val=&quot;0072798E&quot;/&gt;&lt;wsp:rsid wsp:val=&quot;00727B10&quot;/&gt;&lt;wsp:rsid wsp:val=&quot;0073011A&quot;/&gt;&lt;wsp:rsid wsp:val=&quot;00730952&quot;/&gt;&lt;wsp:rsid wsp:val=&quot;00730D9C&quot;/&gt;&lt;wsp:rsid wsp:val=&quot;00730E70&quot;/&gt;&lt;wsp:rsid wsp:val=&quot;007314B2&quot;/&gt;&lt;wsp:rsid wsp:val=&quot;007314BF&quot;/&gt;&lt;wsp:rsid wsp:val=&quot;00732329&quot;/&gt;&lt;wsp:rsid wsp:val=&quot;007324A1&quot;/&gt;&lt;wsp:rsid wsp:val=&quot;007327D6&quot;/&gt;&lt;wsp:rsid wsp:val=&quot;00732912&quot;/&gt;&lt;wsp:rsid wsp:val=&quot;00732E25&quot;/&gt;&lt;wsp:rsid wsp:val=&quot;0073392C&quot;/&gt;&lt;wsp:rsid wsp:val=&quot;007346FC&quot;/&gt;&lt;wsp:rsid wsp:val=&quot;0073491A&quot;/&gt;&lt;wsp:rsid wsp:val=&quot;00734B0A&quot;/&gt;&lt;wsp:rsid wsp:val=&quot;00734CCF&quot;/&gt;&lt;wsp:rsid wsp:val=&quot;00734DD8&quot;/&gt;&lt;wsp:rsid wsp:val=&quot;00735229&quot;/&gt;&lt;wsp:rsid wsp:val=&quot;00735413&quot;/&gt;&lt;wsp:rsid wsp:val=&quot;0073584B&quot;/&gt;&lt;wsp:rsid wsp:val=&quot;00735AC1&quot;/&gt;&lt;wsp:rsid wsp:val=&quot;00735B58&quot;/&gt;&lt;wsp:rsid wsp:val=&quot;00735C48&quot;/&gt;&lt;wsp:rsid wsp:val=&quot;00735CEB&quot;/&gt;&lt;wsp:rsid wsp:val=&quot;00735D29&quot;/&gt;&lt;wsp:rsid wsp:val=&quot;00735D96&quot;/&gt;&lt;wsp:rsid wsp:val=&quot;0073601B&quot;/&gt;&lt;wsp:rsid wsp:val=&quot;00736031&quot;/&gt;&lt;wsp:rsid wsp:val=&quot;0073622B&quot;/&gt;&lt;wsp:rsid wsp:val=&quot;00736DF3&quot;/&gt;&lt;wsp:rsid wsp:val=&quot;00736FB1&quot;/&gt;&lt;wsp:rsid wsp:val=&quot;007372EB&quot;/&gt;&lt;wsp:rsid wsp:val=&quot;007374B7&quot;/&gt;&lt;wsp:rsid wsp:val=&quot;00737F2D&quot;/&gt;&lt;wsp:rsid wsp:val=&quot;00740028&quot;/&gt;&lt;wsp:rsid wsp:val=&quot;007401CC&quot;/&gt;&lt;wsp:rsid wsp:val=&quot;007402F9&quot;/&gt;&lt;wsp:rsid wsp:val=&quot;0074040C&quot;/&gt;&lt;wsp:rsid wsp:val=&quot;007404EF&quot;/&gt;&lt;wsp:rsid wsp:val=&quot;00740A9E&quot;/&gt;&lt;wsp:rsid wsp:val=&quot;0074156A&quot;/&gt;&lt;wsp:rsid wsp:val=&quot;00741DED&quot;/&gt;&lt;wsp:rsid wsp:val=&quot;007420D2&quot;/&gt;&lt;wsp:rsid wsp:val=&quot;00742AA7&quot;/&gt;&lt;wsp:rsid wsp:val=&quot;00742AB1&quot;/&gt;&lt;wsp:rsid wsp:val=&quot;00743256&quot;/&gt;&lt;wsp:rsid wsp:val=&quot;007434D4&quot;/&gt;&lt;wsp:rsid wsp:val=&quot;007439C9&quot;/&gt;&lt;wsp:rsid wsp:val=&quot;00743E87&quot;/&gt;&lt;wsp:rsid wsp:val=&quot;00744180&quot;/&gt;&lt;wsp:rsid wsp:val=&quot;0074430B&quot;/&gt;&lt;wsp:rsid wsp:val=&quot;00744959&quot;/&gt;&lt;wsp:rsid wsp:val=&quot;00744E1D&quot;/&gt;&lt;wsp:rsid wsp:val=&quot;00744FC2&quot;/&gt;&lt;wsp:rsid wsp:val=&quot;007455B7&quot;/&gt;&lt;wsp:rsid wsp:val=&quot;007457B3&quot;/&gt;&lt;wsp:rsid wsp:val=&quot;00745A09&quot;/&gt;&lt;wsp:rsid wsp:val=&quot;00745C6E&quot;/&gt;&lt;wsp:rsid wsp:val=&quot;00745E8E&quot;/&gt;&lt;wsp:rsid wsp:val=&quot;0074641D&quot;/&gt;&lt;wsp:rsid wsp:val=&quot;007464C2&quot;/&gt;&lt;wsp:rsid wsp:val=&quot;00746679&quot;/&gt;&lt;wsp:rsid wsp:val=&quot;00746750&quot;/&gt;&lt;wsp:rsid wsp:val=&quot;00746A95&quot;/&gt;&lt;wsp:rsid wsp:val=&quot;00746EAF&quot;/&gt;&lt;wsp:rsid wsp:val=&quot;00746EE6&quot;/&gt;&lt;wsp:rsid wsp:val=&quot;007472EA&quot;/&gt;&lt;wsp:rsid wsp:val=&quot;00747385&quot;/&gt;&lt;wsp:rsid wsp:val=&quot;00747948&quot;/&gt;&lt;wsp:rsid wsp:val=&quot;00747BCB&quot;/&gt;&lt;wsp:rsid wsp:val=&quot;00747E75&quot;/&gt;&lt;wsp:rsid wsp:val=&quot;00750048&quot;/&gt;&lt;wsp:rsid wsp:val=&quot;007505FC&quot;/&gt;&lt;wsp:rsid wsp:val=&quot;00750887&quot;/&gt;&lt;wsp:rsid wsp:val=&quot;00750978&quot;/&gt;&lt;wsp:rsid wsp:val=&quot;0075101F&quot;/&gt;&lt;wsp:rsid wsp:val=&quot;00751053&quot;/&gt;&lt;wsp:rsid wsp:val=&quot;00751115&quot;/&gt;&lt;wsp:rsid wsp:val=&quot;007514DF&quot;/&gt;&lt;wsp:rsid wsp:val=&quot;007523E9&quot;/&gt;&lt;wsp:rsid wsp:val=&quot;0075249A&quot;/&gt;&lt;wsp:rsid wsp:val=&quot;007527F6&quot;/&gt;&lt;wsp:rsid wsp:val=&quot;0075281E&quot;/&gt;&lt;wsp:rsid wsp:val=&quot;007528A0&quot;/&gt;&lt;wsp:rsid wsp:val=&quot;00752DA4&quot;/&gt;&lt;wsp:rsid wsp:val=&quot;0075374B&quot;/&gt;&lt;wsp:rsid wsp:val=&quot;00753AF2&quot;/&gt;&lt;wsp:rsid wsp:val=&quot;0075416B&quot;/&gt;&lt;wsp:rsid wsp:val=&quot;00754436&quot;/&gt;&lt;wsp:rsid wsp:val=&quot;00754760&quot;/&gt;&lt;wsp:rsid wsp:val=&quot;00754A76&quot;/&gt;&lt;wsp:rsid wsp:val=&quot;00754B5F&quot;/&gt;&lt;wsp:rsid wsp:val=&quot;00754CC1&quot;/&gt;&lt;wsp:rsid wsp:val=&quot;0075575D&quot;/&gt;&lt;wsp:rsid wsp:val=&quot;00755786&quot;/&gt;&lt;wsp:rsid wsp:val=&quot;00755948&quot;/&gt;&lt;wsp:rsid wsp:val=&quot;00755A98&quot;/&gt;&lt;wsp:rsid wsp:val=&quot;00755E07&quot;/&gt;&lt;wsp:rsid wsp:val=&quot;007560BC&quot;/&gt;&lt;wsp:rsid wsp:val=&quot;00756E00&quot;/&gt;&lt;wsp:rsid wsp:val=&quot;007571B3&quot;/&gt;&lt;wsp:rsid wsp:val=&quot;007572AD&quot;/&gt;&lt;wsp:rsid wsp:val=&quot;0075731F&quot;/&gt;&lt;wsp:rsid wsp:val=&quot;007573C3&quot;/&gt;&lt;wsp:rsid wsp:val=&quot;007574D5&quot;/&gt;&lt;wsp:rsid wsp:val=&quot;007577F9&quot;/&gt;&lt;wsp:rsid wsp:val=&quot;00757D08&quot;/&gt;&lt;wsp:rsid wsp:val=&quot;00757D09&quot;/&gt;&lt;wsp:rsid wsp:val=&quot;00757F74&quot;/&gt;&lt;wsp:rsid wsp:val=&quot;0076037B&quot;/&gt;&lt;wsp:rsid wsp:val=&quot;00760565&quot;/&gt;&lt;wsp:rsid wsp:val=&quot;0076087F&quot;/&gt;&lt;wsp:rsid wsp:val=&quot;00760913&quot;/&gt;&lt;wsp:rsid wsp:val=&quot;00760A5D&quot;/&gt;&lt;wsp:rsid wsp:val=&quot;00760B2B&quot;/&gt;&lt;wsp:rsid wsp:val=&quot;00760D7F&quot;/&gt;&lt;wsp:rsid wsp:val=&quot;00760DAC&quot;/&gt;&lt;wsp:rsid wsp:val=&quot;007618EE&quot;/&gt;&lt;wsp:rsid wsp:val=&quot;00761EED&quot;/&gt;&lt;wsp:rsid wsp:val=&quot;00762379&quot;/&gt;&lt;wsp:rsid wsp:val=&quot;0076287F&quot;/&gt;&lt;wsp:rsid wsp:val=&quot;00762A74&quot;/&gt;&lt;wsp:rsid wsp:val=&quot;00762E67&quot;/&gt;&lt;wsp:rsid wsp:val=&quot;00762E99&quot;/&gt;&lt;wsp:rsid wsp:val=&quot;007636E0&quot;/&gt;&lt;wsp:rsid wsp:val=&quot;00763805&quot;/&gt;&lt;wsp:rsid wsp:val=&quot;00763AC3&quot;/&gt;&lt;wsp:rsid wsp:val=&quot;00763FA6&quot;/&gt;&lt;wsp:rsid wsp:val=&quot;0076411D&quot;/&gt;&lt;wsp:rsid wsp:val=&quot;007648A4&quot;/&gt;&lt;wsp:rsid wsp:val=&quot;00764BD8&quot;/&gt;&lt;wsp:rsid wsp:val=&quot;00765144&quot;/&gt;&lt;wsp:rsid wsp:val=&quot;007657ED&quot;/&gt;&lt;wsp:rsid wsp:val=&quot;00765878&quot;/&gt;&lt;wsp:rsid wsp:val=&quot;007662A1&quot;/&gt;&lt;wsp:rsid wsp:val=&quot;00766C7F&quot;/&gt;&lt;wsp:rsid wsp:val=&quot;00767391&quot;/&gt;&lt;wsp:rsid wsp:val=&quot;00767604&quot;/&gt;&lt;wsp:rsid wsp:val=&quot;00767840&quot;/&gt;&lt;wsp:rsid wsp:val=&quot;00770252&quot;/&gt;&lt;wsp:rsid wsp:val=&quot;00770978&quot;/&gt;&lt;wsp:rsid wsp:val=&quot;00770C49&quot;/&gt;&lt;wsp:rsid wsp:val=&quot;00771525&quot;/&gt;&lt;wsp:rsid wsp:val=&quot;00771698&quot;/&gt;&lt;wsp:rsid wsp:val=&quot;00771CD6&quot;/&gt;&lt;wsp:rsid wsp:val=&quot;00771DCA&quot;/&gt;&lt;wsp:rsid wsp:val=&quot;00771DE9&quot;/&gt;&lt;wsp:rsid wsp:val=&quot;00771F31&quot;/&gt;&lt;wsp:rsid wsp:val=&quot;0077219A&quot;/&gt;&lt;wsp:rsid wsp:val=&quot;0077265D&quot;/&gt;&lt;wsp:rsid wsp:val=&quot;00772E6D&quot;/&gt;&lt;wsp:rsid wsp:val=&quot;00773442&quot;/&gt;&lt;wsp:rsid wsp:val=&quot;0077350E&quot;/&gt;&lt;wsp:rsid wsp:val=&quot;00773BA4&quot;/&gt;&lt;wsp:rsid wsp:val=&quot;00773EDD&quot;/&gt;&lt;wsp:rsid wsp:val=&quot;007741DA&quot;/&gt;&lt;wsp:rsid wsp:val=&quot;007742D4&quot;/&gt;&lt;wsp:rsid wsp:val=&quot;00774572&quot;/&gt;&lt;wsp:rsid wsp:val=&quot;007747A5&quot;/&gt;&lt;wsp:rsid wsp:val=&quot;00774822&quot;/&gt;&lt;wsp:rsid wsp:val=&quot;00774B66&quot;/&gt;&lt;wsp:rsid wsp:val=&quot;00774C1B&quot;/&gt;&lt;wsp:rsid wsp:val=&quot;00774EAA&quot;/&gt;&lt;wsp:rsid wsp:val=&quot;00774ED5&quot;/&gt;&lt;wsp:rsid wsp:val=&quot;00775030&quot;/&gt;&lt;wsp:rsid wsp:val=&quot;007750B2&quot;/&gt;&lt;wsp:rsid wsp:val=&quot;00775799&quot;/&gt;&lt;wsp:rsid wsp:val=&quot;00775B20&quot;/&gt;&lt;wsp:rsid wsp:val=&quot;00775E3C&quot;/&gt;&lt;wsp:rsid wsp:val=&quot;00776075&quot;/&gt;&lt;wsp:rsid wsp:val=&quot;0077622A&quot;/&gt;&lt;wsp:rsid wsp:val=&quot;0077637E&quot;/&gt;&lt;wsp:rsid wsp:val=&quot;007764AA&quot;/&gt;&lt;wsp:rsid wsp:val=&quot;007768CF&quot;/&gt;&lt;wsp:rsid wsp:val=&quot;00776925&quot;/&gt;&lt;wsp:rsid wsp:val=&quot;00777221&quot;/&gt;&lt;wsp:rsid wsp:val=&quot;007774E3&quot;/&gt;&lt;wsp:rsid wsp:val=&quot;007777AB&quot;/&gt;&lt;wsp:rsid wsp:val=&quot;007778AC&quot;/&gt;&lt;wsp:rsid wsp:val=&quot;00777944&quot;/&gt;&lt;wsp:rsid wsp:val=&quot;007779E0&quot;/&gt;&lt;wsp:rsid wsp:val=&quot;00777B8A&quot;/&gt;&lt;wsp:rsid wsp:val=&quot;00777E3D&quot;/&gt;&lt;wsp:rsid wsp:val=&quot;00780287&quot;/&gt;&lt;wsp:rsid wsp:val=&quot;0078029F&quot;/&gt;&lt;wsp:rsid wsp:val=&quot;00780CD3&quot;/&gt;&lt;wsp:rsid wsp:val=&quot;0078102B&quot;/&gt;&lt;wsp:rsid wsp:val=&quot;00781249&quot;/&gt;&lt;wsp:rsid wsp:val=&quot;00781391&quot;/&gt;&lt;wsp:rsid wsp:val=&quot;0078185F&quot;/&gt;&lt;wsp:rsid wsp:val=&quot;00781A54&quot;/&gt;&lt;wsp:rsid wsp:val=&quot;00781B36&quot;/&gt;&lt;wsp:rsid wsp:val=&quot;00781DA1&quot;/&gt;&lt;wsp:rsid wsp:val=&quot;0078234C&quot;/&gt;&lt;wsp:rsid wsp:val=&quot;00782B9B&quot;/&gt;&lt;wsp:rsid wsp:val=&quot;00782BF1&quot;/&gt;&lt;wsp:rsid wsp:val=&quot;00782DD6&quot;/&gt;&lt;wsp:rsid wsp:val=&quot;00783272&quot;/&gt;&lt;wsp:rsid wsp:val=&quot;007832A6&quot;/&gt;&lt;wsp:rsid wsp:val=&quot;007836A7&quot;/&gt;&lt;wsp:rsid wsp:val=&quot;00783848&quot;/&gt;&lt;wsp:rsid wsp:val=&quot;00784078&quot;/&gt;&lt;wsp:rsid wsp:val=&quot;00784373&quot;/&gt;&lt;wsp:rsid wsp:val=&quot;007844F2&quot;/&gt;&lt;wsp:rsid wsp:val=&quot;007847BD&quot;/&gt;&lt;wsp:rsid wsp:val=&quot;00784C4E&quot;/&gt;&lt;wsp:rsid wsp:val=&quot;00784ED4&quot;/&gt;&lt;wsp:rsid wsp:val=&quot;0078510A&quot;/&gt;&lt;wsp:rsid wsp:val=&quot;007851DC&quot;/&gt;&lt;wsp:rsid wsp:val=&quot;00785238&quot;/&gt;&lt;wsp:rsid wsp:val=&quot;00785301&quot;/&gt;&lt;wsp:rsid wsp:val=&quot;00785613&quot;/&gt;&lt;wsp:rsid wsp:val=&quot;007856A3&quot;/&gt;&lt;wsp:rsid wsp:val=&quot;007859F2&quot;/&gt;&lt;wsp:rsid wsp:val=&quot;00785A04&quot;/&gt;&lt;wsp:rsid wsp:val=&quot;0078651C&quot;/&gt;&lt;wsp:rsid wsp:val=&quot;00786A13&quot;/&gt;&lt;wsp:rsid wsp:val=&quot;00786C83&quot;/&gt;&lt;wsp:rsid wsp:val=&quot;00786FD1&quot;/&gt;&lt;wsp:rsid wsp:val=&quot;007872A0&quot;/&gt;&lt;wsp:rsid wsp:val=&quot;007873F3&quot;/&gt;&lt;wsp:rsid wsp:val=&quot;00787716&quot;/&gt;&lt;wsp:rsid wsp:val=&quot;00787A72&quot;/&gt;&lt;wsp:rsid wsp:val=&quot;00790084&quot;/&gt;&lt;wsp:rsid wsp:val=&quot;007903BC&quot;/&gt;&lt;wsp:rsid wsp:val=&quot;007905CF&quot;/&gt;&lt;wsp:rsid wsp:val=&quot;00790846&quot;/&gt;&lt;wsp:rsid wsp:val=&quot;007909E5&quot;/&gt;&lt;wsp:rsid wsp:val=&quot;00790BBE&quot;/&gt;&lt;wsp:rsid wsp:val=&quot;00791148&quot;/&gt;&lt;wsp:rsid wsp:val=&quot;00791301&quot;/&gt;&lt;wsp:rsid wsp:val=&quot;007917F3&quot;/&gt;&lt;wsp:rsid wsp:val=&quot;0079181F&quot;/&gt;&lt;wsp:rsid wsp:val=&quot;0079198F&quot;/&gt;&lt;wsp:rsid wsp:val=&quot;00791A12&quot;/&gt;&lt;wsp:rsid wsp:val=&quot;00791BA6&quot;/&gt;&lt;wsp:rsid wsp:val=&quot;0079204E&quot;/&gt;&lt;wsp:rsid wsp:val=&quot;0079211F&quot;/&gt;&lt;wsp:rsid wsp:val=&quot;00792BBE&quot;/&gt;&lt;wsp:rsid wsp:val=&quot;00792C28&quot;/&gt;&lt;wsp:rsid wsp:val=&quot;00792F61&quot;/&gt;&lt;wsp:rsid wsp:val=&quot;00792F70&quot;/&gt;&lt;wsp:rsid wsp:val=&quot;00792F80&quot;/&gt;&lt;wsp:rsid wsp:val=&quot;0079318C&quot;/&gt;&lt;wsp:rsid wsp:val=&quot;00793451&quot;/&gt;&lt;wsp:rsid wsp:val=&quot;00793F5B&quot;/&gt;&lt;wsp:rsid wsp:val=&quot;0079405A&quot;/&gt;&lt;wsp:rsid wsp:val=&quot;0079469D&quot;/&gt;&lt;wsp:rsid wsp:val=&quot;007946D9&quot;/&gt;&lt;wsp:rsid wsp:val=&quot;0079475E&quot;/&gt;&lt;wsp:rsid wsp:val=&quot;007954E9&quot;/&gt;&lt;wsp:rsid wsp:val=&quot;00795B2D&quot;/&gt;&lt;wsp:rsid wsp:val=&quot;00795E91&quot;/&gt;&lt;wsp:rsid wsp:val=&quot;00795F57&quot;/&gt;&lt;wsp:rsid wsp:val=&quot;00796195&quot;/&gt;&lt;wsp:rsid wsp:val=&quot;007968EC&quot;/&gt;&lt;wsp:rsid wsp:val=&quot;00796B48&quot;/&gt;&lt;wsp:rsid wsp:val=&quot;00797D02&quot;/&gt;&lt;wsp:rsid wsp:val=&quot;00797D2C&quot;/&gt;&lt;wsp:rsid wsp:val=&quot;007A0030&quot;/&gt;&lt;wsp:rsid wsp:val=&quot;007A0551&quot;/&gt;&lt;wsp:rsid wsp:val=&quot;007A058D&quot;/&gt;&lt;wsp:rsid wsp:val=&quot;007A0B58&quot;/&gt;&lt;wsp:rsid wsp:val=&quot;007A0C38&quot;/&gt;&lt;wsp:rsid wsp:val=&quot;007A12A4&quot;/&gt;&lt;wsp:rsid wsp:val=&quot;007A1309&quot;/&gt;&lt;wsp:rsid wsp:val=&quot;007A1BBE&quot;/&gt;&lt;wsp:rsid wsp:val=&quot;007A1F59&quot;/&gt;&lt;wsp:rsid wsp:val=&quot;007A1FB8&quot;/&gt;&lt;wsp:rsid wsp:val=&quot;007A2764&quot;/&gt;&lt;wsp:rsid wsp:val=&quot;007A29DD&quot;/&gt;&lt;wsp:rsid wsp:val=&quot;007A30D8&quot;/&gt;&lt;wsp:rsid wsp:val=&quot;007A3364&quot;/&gt;&lt;wsp:rsid wsp:val=&quot;007A36C1&quot;/&gt;&lt;wsp:rsid wsp:val=&quot;007A384E&quot;/&gt;&lt;wsp:rsid wsp:val=&quot;007A3D0B&quot;/&gt;&lt;wsp:rsid wsp:val=&quot;007A3D8F&quot;/&gt;&lt;wsp:rsid wsp:val=&quot;007A3FA0&quot;/&gt;&lt;wsp:rsid wsp:val=&quot;007A40C1&quot;/&gt;&lt;wsp:rsid wsp:val=&quot;007A42DF&quot;/&gt;&lt;wsp:rsid wsp:val=&quot;007A461B&quot;/&gt;&lt;wsp:rsid wsp:val=&quot;007A4A68&quot;/&gt;&lt;wsp:rsid wsp:val=&quot;007A4E4F&quot;/&gt;&lt;wsp:rsid wsp:val=&quot;007A4FBB&quot;/&gt;&lt;wsp:rsid wsp:val=&quot;007A537E&quot;/&gt;&lt;wsp:rsid wsp:val=&quot;007A58B2&quot;/&gt;&lt;wsp:rsid wsp:val=&quot;007A5D2D&quot;/&gt;&lt;wsp:rsid wsp:val=&quot;007A5D90&quot;/&gt;&lt;wsp:rsid wsp:val=&quot;007A6515&quot;/&gt;&lt;wsp:rsid wsp:val=&quot;007A6D76&quot;/&gt;&lt;wsp:rsid wsp:val=&quot;007A6DB4&quot;/&gt;&lt;wsp:rsid wsp:val=&quot;007A6EFB&quot;/&gt;&lt;wsp:rsid wsp:val=&quot;007A73C3&quot;/&gt;&lt;wsp:rsid wsp:val=&quot;007A7595&quot;/&gt;&lt;wsp:rsid wsp:val=&quot;007B0AE6&quot;/&gt;&lt;wsp:rsid wsp:val=&quot;007B0DAD&quot;/&gt;&lt;wsp:rsid wsp:val=&quot;007B174A&quot;/&gt;&lt;wsp:rsid wsp:val=&quot;007B1B89&quot;/&gt;&lt;wsp:rsid wsp:val=&quot;007B205C&quot;/&gt;&lt;wsp:rsid wsp:val=&quot;007B2461&quot;/&gt;&lt;wsp:rsid wsp:val=&quot;007B2569&quot;/&gt;&lt;wsp:rsid wsp:val=&quot;007B26AE&quot;/&gt;&lt;wsp:rsid wsp:val=&quot;007B2C48&quot;/&gt;&lt;wsp:rsid wsp:val=&quot;007B2F79&quot;/&gt;&lt;wsp:rsid wsp:val=&quot;007B30E0&quot;/&gt;&lt;wsp:rsid wsp:val=&quot;007B3228&quot;/&gt;&lt;wsp:rsid wsp:val=&quot;007B36A9&quot;/&gt;&lt;wsp:rsid wsp:val=&quot;007B3851&quot;/&gt;&lt;wsp:rsid wsp:val=&quot;007B3986&quot;/&gt;&lt;wsp:rsid wsp:val=&quot;007B3F1F&quot;/&gt;&lt;wsp:rsid wsp:val=&quot;007B3FF9&quot;/&gt;&lt;wsp:rsid wsp:val=&quot;007B4170&quot;/&gt;&lt;wsp:rsid wsp:val=&quot;007B4344&quot;/&gt;&lt;wsp:rsid wsp:val=&quot;007B4E7E&quot;/&gt;&lt;wsp:rsid wsp:val=&quot;007B554C&quot;/&gt;&lt;wsp:rsid wsp:val=&quot;007B57C7&quot;/&gt;&lt;wsp:rsid wsp:val=&quot;007B58BC&quot;/&gt;&lt;wsp:rsid wsp:val=&quot;007B5923&quot;/&gt;&lt;wsp:rsid wsp:val=&quot;007B5D79&quot;/&gt;&lt;wsp:rsid wsp:val=&quot;007B6057&quot;/&gt;&lt;wsp:rsid wsp:val=&quot;007B62A5&quot;/&gt;&lt;wsp:rsid wsp:val=&quot;007B637A&quot;/&gt;&lt;wsp:rsid wsp:val=&quot;007B6922&quot;/&gt;&lt;wsp:rsid wsp:val=&quot;007B7439&quot;/&gt;&lt;wsp:rsid wsp:val=&quot;007B76F7&quot;/&gt;&lt;wsp:rsid wsp:val=&quot;007B781B&quot;/&gt;&lt;wsp:rsid wsp:val=&quot;007B7FF7&quot;/&gt;&lt;wsp:rsid wsp:val=&quot;007C0085&quot;/&gt;&lt;wsp:rsid wsp:val=&quot;007C0543&quot;/&gt;&lt;wsp:rsid wsp:val=&quot;007C0852&quot;/&gt;&lt;wsp:rsid wsp:val=&quot;007C0EFA&quot;/&gt;&lt;wsp:rsid wsp:val=&quot;007C1136&quot;/&gt;&lt;wsp:rsid wsp:val=&quot;007C1BCA&quot;/&gt;&lt;wsp:rsid wsp:val=&quot;007C1EBF&quot;/&gt;&lt;wsp:rsid wsp:val=&quot;007C2089&quot;/&gt;&lt;wsp:rsid wsp:val=&quot;007C22E6&quot;/&gt;&lt;wsp:rsid wsp:val=&quot;007C2458&quot;/&gt;&lt;wsp:rsid wsp:val=&quot;007C274A&quot;/&gt;&lt;wsp:rsid wsp:val=&quot;007C274E&quot;/&gt;&lt;wsp:rsid wsp:val=&quot;007C2CED&quot;/&gt;&lt;wsp:rsid wsp:val=&quot;007C2E73&quot;/&gt;&lt;wsp:rsid wsp:val=&quot;007C2F4B&quot;/&gt;&lt;wsp:rsid wsp:val=&quot;007C2FA4&quot;/&gt;&lt;wsp:rsid wsp:val=&quot;007C3490&quot;/&gt;&lt;wsp:rsid wsp:val=&quot;007C3622&quot;/&gt;&lt;wsp:rsid wsp:val=&quot;007C4443&quot;/&gt;&lt;wsp:rsid wsp:val=&quot;007C446A&quot;/&gt;&lt;wsp:rsid wsp:val=&quot;007C46AA&quot;/&gt;&lt;wsp:rsid wsp:val=&quot;007C47AF&quot;/&gt;&lt;wsp:rsid wsp:val=&quot;007C4B46&quot;/&gt;&lt;wsp:rsid wsp:val=&quot;007C5187&quot;/&gt;&lt;wsp:rsid wsp:val=&quot;007C5339&quot;/&gt;&lt;wsp:rsid wsp:val=&quot;007C533F&quot;/&gt;&lt;wsp:rsid wsp:val=&quot;007C5A1E&quot;/&gt;&lt;wsp:rsid wsp:val=&quot;007C5BF8&quot;/&gt;&lt;wsp:rsid wsp:val=&quot;007C5E50&quot;/&gt;&lt;wsp:rsid wsp:val=&quot;007C636A&quot;/&gt;&lt;wsp:rsid wsp:val=&quot;007C6B88&quot;/&gt;&lt;wsp:rsid wsp:val=&quot;007C7517&quot;/&gt;&lt;wsp:rsid wsp:val=&quot;007C75E5&quot;/&gt;&lt;wsp:rsid wsp:val=&quot;007C770F&quot;/&gt;&lt;wsp:rsid wsp:val=&quot;007C775A&quot;/&gt;&lt;wsp:rsid wsp:val=&quot;007C788C&quot;/&gt;&lt;wsp:rsid wsp:val=&quot;007C7948&quot;/&gt;&lt;wsp:rsid wsp:val=&quot;007C7EB3&quot;/&gt;&lt;wsp:rsid wsp:val=&quot;007D00FC&quot;/&gt;&lt;wsp:rsid wsp:val=&quot;007D01D8&quot;/&gt;&lt;wsp:rsid wsp:val=&quot;007D048F&quot;/&gt;&lt;wsp:rsid wsp:val=&quot;007D0EFA&quot;/&gt;&lt;wsp:rsid wsp:val=&quot;007D0F0F&quot;/&gt;&lt;wsp:rsid wsp:val=&quot;007D105D&quot;/&gt;&lt;wsp:rsid wsp:val=&quot;007D118B&quot;/&gt;&lt;wsp:rsid wsp:val=&quot;007D119A&quot;/&gt;&lt;wsp:rsid wsp:val=&quot;007D143B&quot;/&gt;&lt;wsp:rsid wsp:val=&quot;007D19EA&quot;/&gt;&lt;wsp:rsid wsp:val=&quot;007D1B04&quot;/&gt;&lt;wsp:rsid wsp:val=&quot;007D1B83&quot;/&gt;&lt;wsp:rsid wsp:val=&quot;007D1E66&quot;/&gt;&lt;wsp:rsid wsp:val=&quot;007D26ED&quot;/&gt;&lt;wsp:rsid wsp:val=&quot;007D2C6B&quot;/&gt;&lt;wsp:rsid wsp:val=&quot;007D3159&quot;/&gt;&lt;wsp:rsid wsp:val=&quot;007D328D&quot;/&gt;&lt;wsp:rsid wsp:val=&quot;007D32FA&quot;/&gt;&lt;wsp:rsid wsp:val=&quot;007D355E&quot;/&gt;&lt;wsp:rsid wsp:val=&quot;007D35F3&quot;/&gt;&lt;wsp:rsid wsp:val=&quot;007D3910&quot;/&gt;&lt;wsp:rsid wsp:val=&quot;007D3BF8&quot;/&gt;&lt;wsp:rsid wsp:val=&quot;007D3C19&quot;/&gt;&lt;wsp:rsid wsp:val=&quot;007D4020&quot;/&gt;&lt;wsp:rsid wsp:val=&quot;007D46B6&quot;/&gt;&lt;wsp:rsid wsp:val=&quot;007D478C&quot;/&gt;&lt;wsp:rsid wsp:val=&quot;007D4B72&quot;/&gt;&lt;wsp:rsid wsp:val=&quot;007D4E62&quot;/&gt;&lt;wsp:rsid wsp:val=&quot;007D4EF7&quot;/&gt;&lt;wsp:rsid wsp:val=&quot;007D50A4&quot;/&gt;&lt;wsp:rsid wsp:val=&quot;007D50E7&quot;/&gt;&lt;wsp:rsid wsp:val=&quot;007D5108&quot;/&gt;&lt;wsp:rsid wsp:val=&quot;007D512A&quot;/&gt;&lt;wsp:rsid wsp:val=&quot;007D550A&quot;/&gt;&lt;wsp:rsid wsp:val=&quot;007D5C7B&quot;/&gt;&lt;wsp:rsid wsp:val=&quot;007D5E71&quot;/&gt;&lt;wsp:rsid wsp:val=&quot;007D5FC4&quot;/&gt;&lt;wsp:rsid wsp:val=&quot;007D62B6&quot;/&gt;&lt;wsp:rsid wsp:val=&quot;007D672A&quot;/&gt;&lt;wsp:rsid wsp:val=&quot;007D68B5&quot;/&gt;&lt;wsp:rsid wsp:val=&quot;007D69F4&quot;/&gt;&lt;wsp:rsid wsp:val=&quot;007D6DA0&quot;/&gt;&lt;wsp:rsid wsp:val=&quot;007D71CB&quot;/&gt;&lt;wsp:rsid wsp:val=&quot;007D729E&quot;/&gt;&lt;wsp:rsid wsp:val=&quot;007D7673&quot;/&gt;&lt;wsp:rsid wsp:val=&quot;007D774F&quot;/&gt;&lt;wsp:rsid wsp:val=&quot;007D7AE8&quot;/&gt;&lt;wsp:rsid wsp:val=&quot;007D7D7D&quot;/&gt;&lt;wsp:rsid wsp:val=&quot;007E0057&quot;/&gt;&lt;wsp:rsid wsp:val=&quot;007E0323&quot;/&gt;&lt;wsp:rsid wsp:val=&quot;007E06AB&quot;/&gt;&lt;wsp:rsid wsp:val=&quot;007E074F&quot;/&gt;&lt;wsp:rsid wsp:val=&quot;007E092B&quot;/&gt;&lt;wsp:rsid wsp:val=&quot;007E09E7&quot;/&gt;&lt;wsp:rsid wsp:val=&quot;007E0FBD&quot;/&gt;&lt;wsp:rsid wsp:val=&quot;007E103C&quot;/&gt;&lt;wsp:rsid wsp:val=&quot;007E153A&quot;/&gt;&lt;wsp:rsid wsp:val=&quot;007E173F&quot;/&gt;&lt;wsp:rsid wsp:val=&quot;007E1F1D&quot;/&gt;&lt;wsp:rsid wsp:val=&quot;007E270B&quot;/&gt;&lt;wsp:rsid wsp:val=&quot;007E2782&quot;/&gt;&lt;wsp:rsid wsp:val=&quot;007E29CB&quot;/&gt;&lt;wsp:rsid wsp:val=&quot;007E29E2&quot;/&gt;&lt;wsp:rsid wsp:val=&quot;007E2CEC&quot;/&gt;&lt;wsp:rsid wsp:val=&quot;007E2CFF&quot;/&gt;&lt;wsp:rsid wsp:val=&quot;007E2F6B&quot;/&gt;&lt;wsp:rsid wsp:val=&quot;007E3238&quot;/&gt;&lt;wsp:rsid wsp:val=&quot;007E354B&quot;/&gt;&lt;wsp:rsid wsp:val=&quot;007E3861&quot;/&gt;&lt;wsp:rsid wsp:val=&quot;007E3FE9&quot;/&gt;&lt;wsp:rsid wsp:val=&quot;007E417D&quot;/&gt;&lt;wsp:rsid wsp:val=&quot;007E425E&quot;/&gt;&lt;wsp:rsid wsp:val=&quot;007E45B6&quot;/&gt;&lt;wsp:rsid wsp:val=&quot;007E46DE&quot;/&gt;&lt;wsp:rsid wsp:val=&quot;007E4828&quot;/&gt;&lt;wsp:rsid wsp:val=&quot;007E49BA&quot;/&gt;&lt;wsp:rsid wsp:val=&quot;007E4B56&quot;/&gt;&lt;wsp:rsid wsp:val=&quot;007E4CDD&quot;/&gt;&lt;wsp:rsid wsp:val=&quot;007E5192&quot;/&gt;&lt;wsp:rsid wsp:val=&quot;007E54E0&quot;/&gt;&lt;wsp:rsid wsp:val=&quot;007E56FD&quot;/&gt;&lt;wsp:rsid wsp:val=&quot;007E58B0&quot;/&gt;&lt;wsp:rsid wsp:val=&quot;007E61DA&quot;/&gt;&lt;wsp:rsid wsp:val=&quot;007E63BB&quot;/&gt;&lt;wsp:rsid wsp:val=&quot;007E66C1&quot;/&gt;&lt;wsp:rsid wsp:val=&quot;007E6EE6&quot;/&gt;&lt;wsp:rsid wsp:val=&quot;007E6F2F&quot;/&gt;&lt;wsp:rsid wsp:val=&quot;007E73AE&quot;/&gt;&lt;wsp:rsid wsp:val=&quot;007E73B0&quot;/&gt;&lt;wsp:rsid wsp:val=&quot;007E743E&quot;/&gt;&lt;wsp:rsid wsp:val=&quot;007E764C&quot;/&gt;&lt;wsp:rsid wsp:val=&quot;007E7D09&quot;/&gt;&lt;wsp:rsid wsp:val=&quot;007E7DC8&quot;/&gt;&lt;wsp:rsid wsp:val=&quot;007E7F12&quot;/&gt;&lt;wsp:rsid wsp:val=&quot;007F0079&quot;/&gt;&lt;wsp:rsid wsp:val=&quot;007F0371&quot;/&gt;&lt;wsp:rsid wsp:val=&quot;007F03A3&quot;/&gt;&lt;wsp:rsid wsp:val=&quot;007F0742&quot;/&gt;&lt;wsp:rsid wsp:val=&quot;007F0C69&quot;/&gt;&lt;wsp:rsid wsp:val=&quot;007F0FC1&quot;/&gt;&lt;wsp:rsid wsp:val=&quot;007F1028&quot;/&gt;&lt;wsp:rsid wsp:val=&quot;007F1975&quot;/&gt;&lt;wsp:rsid wsp:val=&quot;007F1AF3&quot;/&gt;&lt;wsp:rsid wsp:val=&quot;007F1DE8&quot;/&gt;&lt;wsp:rsid wsp:val=&quot;007F1E93&quot;/&gt;&lt;wsp:rsid wsp:val=&quot;007F2337&quot;/&gt;&lt;wsp:rsid wsp:val=&quot;007F2936&quot;/&gt;&lt;wsp:rsid wsp:val=&quot;007F2ABB&quot;/&gt;&lt;wsp:rsid wsp:val=&quot;007F3255&quot;/&gt;&lt;wsp:rsid wsp:val=&quot;007F3465&quot;/&gt;&lt;wsp:rsid wsp:val=&quot;007F3AEB&quot;/&gt;&lt;wsp:rsid wsp:val=&quot;007F4620&quot;/&gt;&lt;wsp:rsid wsp:val=&quot;007F4957&quot;/&gt;&lt;wsp:rsid wsp:val=&quot;007F4C59&quot;/&gt;&lt;wsp:rsid wsp:val=&quot;007F4CBA&quot;/&gt;&lt;wsp:rsid wsp:val=&quot;007F555B&quot;/&gt;&lt;wsp:rsid wsp:val=&quot;007F55F5&quot;/&gt;&lt;wsp:rsid wsp:val=&quot;007F566F&quot;/&gt;&lt;wsp:rsid wsp:val=&quot;007F5AF1&quot;/&gt;&lt;wsp:rsid wsp:val=&quot;007F616F&quot;/&gt;&lt;wsp:rsid wsp:val=&quot;007F6198&quot;/&gt;&lt;wsp:rsid wsp:val=&quot;007F6235&quot;/&gt;&lt;wsp:rsid wsp:val=&quot;007F635E&quot;/&gt;&lt;wsp:rsid wsp:val=&quot;007F640D&quot;/&gt;&lt;wsp:rsid wsp:val=&quot;007F66C8&quot;/&gt;&lt;wsp:rsid wsp:val=&quot;007F68E1&quot;/&gt;&lt;wsp:rsid wsp:val=&quot;007F69F2&quot;/&gt;&lt;wsp:rsid wsp:val=&quot;007F7238&quot;/&gt;&lt;wsp:rsid wsp:val=&quot;007F7B24&quot;/&gt;&lt;wsp:rsid wsp:val=&quot;007F7B5D&quot;/&gt;&lt;wsp:rsid wsp:val=&quot;007F7B61&quot;/&gt;&lt;wsp:rsid wsp:val=&quot;0080096D&quot;/&gt;&lt;wsp:rsid wsp:val=&quot;00800D2E&quot;/&gt;&lt;wsp:rsid wsp:val=&quot;00800F36&quot;/&gt;&lt;wsp:rsid wsp:val=&quot;00801424&quot;/&gt;&lt;wsp:rsid wsp:val=&quot;008014B8&quot;/&gt;&lt;wsp:rsid wsp:val=&quot;008014C8&quot;/&gt;&lt;wsp:rsid wsp:val=&quot;0080199E&quot;/&gt;&lt;wsp:rsid wsp:val=&quot;008024DC&quot;/&gt;&lt;wsp:rsid wsp:val=&quot;00802550&quot;/&gt;&lt;wsp:rsid wsp:val=&quot;00802BD0&quot;/&gt;&lt;wsp:rsid wsp:val=&quot;008031CA&quot;/&gt;&lt;wsp:rsid wsp:val=&quot;008032CC&quot;/&gt;&lt;wsp:rsid wsp:val=&quot;00803494&quot;/&gt;&lt;wsp:rsid wsp:val=&quot;0080354C&quot;/&gt;&lt;wsp:rsid wsp:val=&quot;00803636&quot;/&gt;&lt;wsp:rsid wsp:val=&quot;008037B9&quot;/&gt;&lt;wsp:rsid wsp:val=&quot;008038D6&quot;/&gt;&lt;wsp:rsid wsp:val=&quot;00803E4E&quot;/&gt;&lt;wsp:rsid wsp:val=&quot;008041A9&quot;/&gt;&lt;wsp:rsid wsp:val=&quot;00804E26&quot;/&gt;&lt;wsp:rsid wsp:val=&quot;00805226&quot;/&gt;&lt;wsp:rsid wsp:val=&quot;00805395&quot;/&gt;&lt;wsp:rsid wsp:val=&quot;008057CC&quot;/&gt;&lt;wsp:rsid wsp:val=&quot;00805A8A&quot;/&gt;&lt;wsp:rsid wsp:val=&quot;00805BD2&quot;/&gt;&lt;wsp:rsid wsp:val=&quot;008063C1&quot;/&gt;&lt;wsp:rsid wsp:val=&quot;008063C9&quot;/&gt;&lt;wsp:rsid wsp:val=&quot;00806576&quot;/&gt;&lt;wsp:rsid wsp:val=&quot;008067D5&quot;/&gt;&lt;wsp:rsid wsp:val=&quot;008067E5&quot;/&gt;&lt;wsp:rsid wsp:val=&quot;008069A1&quot;/&gt;&lt;wsp:rsid wsp:val=&quot;0080707D&quot;/&gt;&lt;wsp:rsid wsp:val=&quot;0080778B&quot;/&gt;&lt;wsp:rsid wsp:val=&quot;008079E0&quot;/&gt;&lt;wsp:rsid wsp:val=&quot;00807B5B&quot;/&gt;&lt;wsp:rsid wsp:val=&quot;00807C3B&quot;/&gt;&lt;wsp:rsid wsp:val=&quot;00807F2C&quot;/&gt;&lt;wsp:rsid wsp:val=&quot;00807F9C&quot;/&gt;&lt;wsp:rsid wsp:val=&quot;008100C1&quot;/&gt;&lt;wsp:rsid wsp:val=&quot;008101A4&quot;/&gt;&lt;wsp:rsid wsp:val=&quot;00810355&quot;/&gt;&lt;wsp:rsid wsp:val=&quot;00810577&quot;/&gt;&lt;wsp:rsid wsp:val=&quot;0081094D&quot;/&gt;&lt;wsp:rsid wsp:val=&quot;008109D7&quot;/&gt;&lt;wsp:rsid wsp:val=&quot;00811A03&quot;/&gt;&lt;wsp:rsid wsp:val=&quot;00811D1D&quot;/&gt;&lt;wsp:rsid wsp:val=&quot;00811F3B&quot;/&gt;&lt;wsp:rsid wsp:val=&quot;00812041&quot;/&gt;&lt;wsp:rsid wsp:val=&quot;00812FAD&quot;/&gt;&lt;wsp:rsid wsp:val=&quot;00813348&quot;/&gt;&lt;wsp:rsid wsp:val=&quot;00813C8C&quot;/&gt;&lt;wsp:rsid wsp:val=&quot;00813CBD&quot;/&gt;&lt;wsp:rsid wsp:val=&quot;00814066&quot;/&gt;&lt;wsp:rsid wsp:val=&quot;00814086&quot;/&gt;&lt;wsp:rsid wsp:val=&quot;008144EF&quot;/&gt;&lt;wsp:rsid wsp:val=&quot;008148BD&quot;/&gt;&lt;wsp:rsid wsp:val=&quot;00814AC0&quot;/&gt;&lt;wsp:rsid wsp:val=&quot;00815739&quot;/&gt;&lt;wsp:rsid wsp:val=&quot;00815931&quot;/&gt;&lt;wsp:rsid wsp:val=&quot;00815AA2&quot;/&gt;&lt;wsp:rsid wsp:val=&quot;008165A3&quot;/&gt;&lt;wsp:rsid wsp:val=&quot;008169AF&quot;/&gt;&lt;wsp:rsid wsp:val=&quot;00816C62&quot;/&gt;&lt;wsp:rsid wsp:val=&quot;00816E02&quot;/&gt;&lt;wsp:rsid wsp:val=&quot;00816E72&quot;/&gt;&lt;wsp:rsid wsp:val=&quot;0081735A&quot;/&gt;&lt;wsp:rsid wsp:val=&quot;00817D10&quot;/&gt;&lt;wsp:rsid wsp:val=&quot;00817DF3&quot;/&gt;&lt;wsp:rsid wsp:val=&quot;008206A9&quot;/&gt;&lt;wsp:rsid wsp:val=&quot;00820AD1&quot;/&gt;&lt;wsp:rsid wsp:val=&quot;00820B1A&quot;/&gt;&lt;wsp:rsid wsp:val=&quot;0082102A&quot;/&gt;&lt;wsp:rsid wsp:val=&quot;008211BB&quot;/&gt;&lt;wsp:rsid wsp:val=&quot;0082133B&quot;/&gt;&lt;wsp:rsid wsp:val=&quot;008215E4&quot;/&gt;&lt;wsp:rsid wsp:val=&quot;00821695&quot;/&gt;&lt;wsp:rsid wsp:val=&quot;00823715&quot;/&gt;&lt;wsp:rsid wsp:val=&quot;0082398A&quot;/&gt;&lt;wsp:rsid wsp:val=&quot;00823A81&quot;/&gt;&lt;wsp:rsid wsp:val=&quot;00823B69&quot;/&gt;&lt;wsp:rsid wsp:val=&quot;00823FD1&quot;/&gt;&lt;wsp:rsid wsp:val=&quot;00824337&quot;/&gt;&lt;wsp:rsid wsp:val=&quot;00824AAE&quot;/&gt;&lt;wsp:rsid wsp:val=&quot;00824FDB&quot;/&gt;&lt;wsp:rsid wsp:val=&quot;008257A9&quot;/&gt;&lt;wsp:rsid wsp:val=&quot;008257FA&quot;/&gt;&lt;wsp:rsid wsp:val=&quot;0082584E&quot;/&gt;&lt;wsp:rsid wsp:val=&quot;00825DEE&quot;/&gt;&lt;wsp:rsid wsp:val=&quot;00825E0B&quot;/&gt;&lt;wsp:rsid wsp:val=&quot;00825E1B&quot;/&gt;&lt;wsp:rsid wsp:val=&quot;00825F47&quot;/&gt;&lt;wsp:rsid wsp:val=&quot;00826812&quot;/&gt;&lt;wsp:rsid wsp:val=&quot;008268AB&quot;/&gt;&lt;wsp:rsid wsp:val=&quot;00826B9F&quot;/&gt;&lt;wsp:rsid wsp:val=&quot;0082763A&quot;/&gt;&lt;wsp:rsid wsp:val=&quot;0082788D&quot;/&gt;&lt;wsp:rsid wsp:val=&quot;00827972&quot;/&gt;&lt;wsp:rsid wsp:val=&quot;00827EB1&quot;/&gt;&lt;wsp:rsid wsp:val=&quot;00830285&quot;/&gt;&lt;wsp:rsid wsp:val=&quot;0083033F&quot;/&gt;&lt;wsp:rsid wsp:val=&quot;0083038F&quot;/&gt;&lt;wsp:rsid wsp:val=&quot;00830444&quot;/&gt;&lt;wsp:rsid wsp:val=&quot;00830445&quot;/&gt;&lt;wsp:rsid wsp:val=&quot;00830987&quot;/&gt;&lt;wsp:rsid wsp:val=&quot;008312B8&quot;/&gt;&lt;wsp:rsid wsp:val=&quot;008313E9&quot;/&gt;&lt;wsp:rsid wsp:val=&quot;00831650&quot;/&gt;&lt;wsp:rsid wsp:val=&quot;00831993&quot;/&gt;&lt;wsp:rsid wsp:val=&quot;00831A66&quot;/&gt;&lt;wsp:rsid wsp:val=&quot;00831C94&quot;/&gt;&lt;wsp:rsid wsp:val=&quot;00831E4A&quot;/&gt;&lt;wsp:rsid wsp:val=&quot;00832B1C&quot;/&gt;&lt;wsp:rsid wsp:val=&quot;00833111&quot;/&gt;&lt;wsp:rsid wsp:val=&quot;00833D36&quot;/&gt;&lt;wsp:rsid wsp:val=&quot;008340A3&quot;/&gt;&lt;wsp:rsid wsp:val=&quot;008342DD&quot;/&gt;&lt;wsp:rsid wsp:val=&quot;00834368&quot;/&gt;&lt;wsp:rsid wsp:val=&quot;008346CE&quot;/&gt;&lt;wsp:rsid wsp:val=&quot;008349BD&quot;/&gt;&lt;wsp:rsid wsp:val=&quot;00834E4D&quot;/&gt;&lt;wsp:rsid wsp:val=&quot;0083521C&quot;/&gt;&lt;wsp:rsid wsp:val=&quot;008355B7&quot;/&gt;&lt;wsp:rsid wsp:val=&quot;008358E4&quot;/&gt;&lt;wsp:rsid wsp:val=&quot;00835C79&quot;/&gt;&lt;wsp:rsid wsp:val=&quot;00835CEB&quot;/&gt;&lt;wsp:rsid wsp:val=&quot;00835E35&quot;/&gt;&lt;wsp:rsid wsp:val=&quot;0083660E&quot;/&gt;&lt;wsp:rsid wsp:val=&quot;00836A6E&quot;/&gt;&lt;wsp:rsid wsp:val=&quot;00836BE5&quot;/&gt;&lt;wsp:rsid wsp:val=&quot;00837610&quot;/&gt;&lt;wsp:rsid wsp:val=&quot;008378D5&quot;/&gt;&lt;wsp:rsid wsp:val=&quot;00837983&quot;/&gt;&lt;wsp:rsid wsp:val=&quot;00837D2C&quot;/&gt;&lt;wsp:rsid wsp:val=&quot;0084022F&quot;/&gt;&lt;wsp:rsid wsp:val=&quot;008404EB&quot;/&gt;&lt;wsp:rsid wsp:val=&quot;008406C2&quot;/&gt;&lt;wsp:rsid wsp:val=&quot;00840C67&quot;/&gt;&lt;wsp:rsid wsp:val=&quot;0084102D&quot;/&gt;&lt;wsp:rsid wsp:val=&quot;00841176&quot;/&gt;&lt;wsp:rsid wsp:val=&quot;008412C7&quot;/&gt;&lt;wsp:rsid wsp:val=&quot;008418DC&quot;/&gt;&lt;wsp:rsid wsp:val=&quot;00841B36&quot;/&gt;&lt;wsp:rsid wsp:val=&quot;00841B51&quot;/&gt;&lt;wsp:rsid wsp:val=&quot;00841C23&quot;/&gt;&lt;wsp:rsid wsp:val=&quot;00841F61&quot;/&gt;&lt;wsp:rsid wsp:val=&quot;008421DD&quot;/&gt;&lt;wsp:rsid wsp:val=&quot;008424C5&quot;/&gt;&lt;wsp:rsid wsp:val=&quot;008428A4&quot;/&gt;&lt;wsp:rsid wsp:val=&quot;008428DE&quot;/&gt;&lt;wsp:rsid wsp:val=&quot;00842E1E&quot;/&gt;&lt;wsp:rsid wsp:val=&quot;00842FC3&quot;/&gt;&lt;wsp:rsid wsp:val=&quot;00843151&quot;/&gt;&lt;wsp:rsid wsp:val=&quot;0084335F&quot;/&gt;&lt;wsp:rsid wsp:val=&quot;0084348D&quot;/&gt;&lt;wsp:rsid wsp:val=&quot;00843548&quot;/&gt;&lt;wsp:rsid wsp:val=&quot;0084354E&quot;/&gt;&lt;wsp:rsid wsp:val=&quot;00843A91&quot;/&gt;&lt;wsp:rsid wsp:val=&quot;00843C49&quot;/&gt;&lt;wsp:rsid wsp:val=&quot;0084433B&quot;/&gt;&lt;wsp:rsid wsp:val=&quot;008444F7&quot;/&gt;&lt;wsp:rsid wsp:val=&quot;00844910&quot;/&gt;&lt;wsp:rsid wsp:val=&quot;00844933&quot;/&gt;&lt;wsp:rsid wsp:val=&quot;00844C0C&quot;/&gt;&lt;wsp:rsid wsp:val=&quot;00844E1D&quot;/&gt;&lt;wsp:rsid wsp:val=&quot;008453DD&quot;/&gt;&lt;wsp:rsid wsp:val=&quot;008455A7&quot;/&gt;&lt;wsp:rsid wsp:val=&quot;00845B94&quot;/&gt;&lt;wsp:rsid wsp:val=&quot;00845FD6&quot;/&gt;&lt;wsp:rsid wsp:val=&quot;00846001&quot;/&gt;&lt;wsp:rsid wsp:val=&quot;00846169&quot;/&gt;&lt;wsp:rsid wsp:val=&quot;00846343&quot;/&gt;&lt;wsp:rsid wsp:val=&quot;00846CEB&quot;/&gt;&lt;wsp:rsid wsp:val=&quot;00846D0A&quot;/&gt;&lt;wsp:rsid wsp:val=&quot;00846E0D&quot;/&gt;&lt;wsp:rsid wsp:val=&quot;00847087&quot;/&gt;&lt;wsp:rsid wsp:val=&quot;008475D6&quot;/&gt;&lt;wsp:rsid wsp:val=&quot;008478A9&quot;/&gt;&lt;wsp:rsid wsp:val=&quot;00847D3C&quot;/&gt;&lt;wsp:rsid wsp:val=&quot;00847E9B&quot;/&gt;&lt;wsp:rsid wsp:val=&quot;00850285&quot;/&gt;&lt;wsp:rsid wsp:val=&quot;008503F3&quot;/&gt;&lt;wsp:rsid wsp:val=&quot;008505FF&quot;/&gt;&lt;wsp:rsid wsp:val=&quot;0085061A&quot;/&gt;&lt;wsp:rsid wsp:val=&quot;008507DA&quot;/&gt;&lt;wsp:rsid wsp:val=&quot;0085090B&quot;/&gt;&lt;wsp:rsid wsp:val=&quot;00850BC7&quot;/&gt;&lt;wsp:rsid wsp:val=&quot;00851631&quot;/&gt;&lt;wsp:rsid wsp:val=&quot;00851A2F&quot;/&gt;&lt;wsp:rsid wsp:val=&quot;00851E08&quot;/&gt;&lt;wsp:rsid wsp:val=&quot;008521A5&quot;/&gt;&lt;wsp:rsid wsp:val=&quot;008523CC&quot;/&gt;&lt;wsp:rsid wsp:val=&quot;0085267A&quot;/&gt;&lt;wsp:rsid wsp:val=&quot;008529EC&quot;/&gt;&lt;wsp:rsid wsp:val=&quot;00852D26&quot;/&gt;&lt;wsp:rsid wsp:val=&quot;00852FD8&quot;/&gt;&lt;wsp:rsid wsp:val=&quot;008531D4&quot;/&gt;&lt;wsp:rsid wsp:val=&quot;0085327F&quot;/&gt;&lt;wsp:rsid wsp:val=&quot;00853F41&quot;/&gt;&lt;wsp:rsid wsp:val=&quot;00854242&quot;/&gt;&lt;wsp:rsid wsp:val=&quot;00854B4E&quot;/&gt;&lt;wsp:rsid wsp:val=&quot;00854D65&quot;/&gt;&lt;wsp:rsid wsp:val=&quot;008555E6&quot;/&gt;&lt;wsp:rsid wsp:val=&quot;00855644&quot;/&gt;&lt;wsp:rsid wsp:val=&quot;00855AF6&quot;/&gt;&lt;wsp:rsid wsp:val=&quot;00855B15&quot;/&gt;&lt;wsp:rsid wsp:val=&quot;00855B2E&quot;/&gt;&lt;wsp:rsid wsp:val=&quot;00855C71&quot;/&gt;&lt;wsp:rsid wsp:val=&quot;00855F60&quot;/&gt;&lt;wsp:rsid wsp:val=&quot;00856393&quot;/&gt;&lt;wsp:rsid wsp:val=&quot;00856576&quot;/&gt;&lt;wsp:rsid wsp:val=&quot;0085663B&quot;/&gt;&lt;wsp:rsid wsp:val=&quot;0085674D&quot;/&gt;&lt;wsp:rsid wsp:val=&quot;008568AB&quot;/&gt;&lt;wsp:rsid wsp:val=&quot;008568D0&quot;/&gt;&lt;wsp:rsid wsp:val=&quot;0085692F&quot;/&gt;&lt;wsp:rsid wsp:val=&quot;00856C6E&quot;/&gt;&lt;wsp:rsid wsp:val=&quot;00856D3C&quot;/&gt;&lt;wsp:rsid wsp:val=&quot;00856FBC&quot;/&gt;&lt;wsp:rsid wsp:val=&quot;0085725D&quot;/&gt;&lt;wsp:rsid wsp:val=&quot;00857413&quot;/&gt;&lt;wsp:rsid wsp:val=&quot;0086006B&quot;/&gt;&lt;wsp:rsid wsp:val=&quot;00860377&quot;/&gt;&lt;wsp:rsid wsp:val=&quot;008605A6&quot;/&gt;&lt;wsp:rsid wsp:val=&quot;008606FC&quot;/&gt;&lt;wsp:rsid wsp:val=&quot;00860A1D&quot;/&gt;&lt;wsp:rsid wsp:val=&quot;00860CD1&quot;/&gt;&lt;wsp:rsid wsp:val=&quot;00860D34&quot;/&gt;&lt;wsp:rsid wsp:val=&quot;00860D3A&quot;/&gt;&lt;wsp:rsid wsp:val=&quot;008612B8&quot;/&gt;&lt;wsp:rsid wsp:val=&quot;00861362&quot;/&gt;&lt;wsp:rsid wsp:val=&quot;008618B9&quot;/&gt;&lt;wsp:rsid wsp:val=&quot;008618EB&quot;/&gt;&lt;wsp:rsid wsp:val=&quot;00861CEC&quot;/&gt;&lt;wsp:rsid wsp:val=&quot;008622AB&quot;/&gt;&lt;wsp:rsid wsp:val=&quot;00862360&quot;/&gt;&lt;wsp:rsid wsp:val=&quot;008625F3&quot;/&gt;&lt;wsp:rsid wsp:val=&quot;00862B94&quot;/&gt;&lt;wsp:rsid wsp:val=&quot;00862C7B&quot;/&gt;&lt;wsp:rsid wsp:val=&quot;00863115&quot;/&gt;&lt;wsp:rsid wsp:val=&quot;008636D0&quot;/&gt;&lt;wsp:rsid wsp:val=&quot;008636E6&quot;/&gt;&lt;wsp:rsid wsp:val=&quot;00863EBA&quot;/&gt;&lt;wsp:rsid wsp:val=&quot;00864212&quot;/&gt;&lt;wsp:rsid wsp:val=&quot;008645B4&quot;/&gt;&lt;wsp:rsid wsp:val=&quot;00864634&quot;/&gt;&lt;wsp:rsid wsp:val=&quot;0086467E&quot;/&gt;&lt;wsp:rsid wsp:val=&quot;0086494B&quot;/&gt;&lt;wsp:rsid wsp:val=&quot;00865830&quot;/&gt;&lt;wsp:rsid wsp:val=&quot;00865B36&quot;/&gt;&lt;wsp:rsid wsp:val=&quot;00865D1F&quot;/&gt;&lt;wsp:rsid wsp:val=&quot;00865F7C&quot;/&gt;&lt;wsp:rsid wsp:val=&quot;008662F4&quot;/&gt;&lt;wsp:rsid wsp:val=&quot;00866309&quot;/&gt;&lt;wsp:rsid wsp:val=&quot;0086663C&quot;/&gt;&lt;wsp:rsid wsp:val=&quot;00866ADA&quot;/&gt;&lt;wsp:rsid wsp:val=&quot;008672E6&quot;/&gt;&lt;wsp:rsid wsp:val=&quot;008676F5&quot;/&gt;&lt;wsp:rsid wsp:val=&quot;008678F6&quot;/&gt;&lt;wsp:rsid wsp:val=&quot;0086791C&quot;/&gt;&lt;wsp:rsid wsp:val=&quot;00867F53&quot;/&gt;&lt;wsp:rsid wsp:val=&quot;008708D7&quot;/&gt;&lt;wsp:rsid wsp:val=&quot;00870AA2&quot;/&gt;&lt;wsp:rsid wsp:val=&quot;0087153C&quot;/&gt;&lt;wsp:rsid wsp:val=&quot;008718EA&quot;/&gt;&lt;wsp:rsid wsp:val=&quot;00871D95&quot;/&gt;&lt;wsp:rsid wsp:val=&quot;00872153&quot;/&gt;&lt;wsp:rsid wsp:val=&quot;00872156&quot;/&gt;&lt;wsp:rsid wsp:val=&quot;00872196&quot;/&gt;&lt;wsp:rsid wsp:val=&quot;0087221A&quot;/&gt;&lt;wsp:rsid wsp:val=&quot;008722FB&quot;/&gt;&lt;wsp:rsid wsp:val=&quot;0087238C&quot;/&gt;&lt;wsp:rsid wsp:val=&quot;00872412&quot;/&gt;&lt;wsp:rsid wsp:val=&quot;008728CC&quot;/&gt;&lt;wsp:rsid wsp:val=&quot;00872AC2&quot;/&gt;&lt;wsp:rsid wsp:val=&quot;00872D34&quot;/&gt;&lt;wsp:rsid wsp:val=&quot;00873224&quot;/&gt;&lt;wsp:rsid wsp:val=&quot;00873267&quot;/&gt;&lt;wsp:rsid wsp:val=&quot;0087353D&quot;/&gt;&lt;wsp:rsid wsp:val=&quot;008739AE&quot;/&gt;&lt;wsp:rsid wsp:val=&quot;00873B96&quot;/&gt;&lt;wsp:rsid wsp:val=&quot;00873C8C&quot;/&gt;&lt;wsp:rsid wsp:val=&quot;00873D19&quot;/&gt;&lt;wsp:rsid wsp:val=&quot;00873E80&quot;/&gt;&lt;wsp:rsid wsp:val=&quot;008740A1&quot;/&gt;&lt;wsp:rsid wsp:val=&quot;0087445A&quot;/&gt;&lt;wsp:rsid wsp:val=&quot;008744B7&quot;/&gt;&lt;wsp:rsid wsp:val=&quot;008746C1&quot;/&gt;&lt;wsp:rsid wsp:val=&quot;00874800&quot;/&gt;&lt;wsp:rsid wsp:val=&quot;00874B01&quot;/&gt;&lt;wsp:rsid wsp:val=&quot;00875406&quot;/&gt;&lt;wsp:rsid wsp:val=&quot;0087540A&quot;/&gt;&lt;wsp:rsid wsp:val=&quot;00875942&quot;/&gt;&lt;wsp:rsid wsp:val=&quot;008759BE&quot;/&gt;&lt;wsp:rsid wsp:val=&quot;008759D8&quot;/&gt;&lt;wsp:rsid wsp:val=&quot;008761F7&quot;/&gt;&lt;wsp:rsid wsp:val=&quot;00876D3C&quot;/&gt;&lt;wsp:rsid wsp:val=&quot;00876E98&quot;/&gt;&lt;wsp:rsid wsp:val=&quot;00876EC5&quot;/&gt;&lt;wsp:rsid wsp:val=&quot;00877618&quot;/&gt;&lt;wsp:rsid wsp:val=&quot;0087773F&quot;/&gt;&lt;wsp:rsid wsp:val=&quot;00877C44&quot;/&gt;&lt;wsp:rsid wsp:val=&quot;0088005B&quot;/&gt;&lt;wsp:rsid wsp:val=&quot;008802B1&quot;/&gt;&lt;wsp:rsid wsp:val=&quot;008809F6&quot;/&gt;&lt;wsp:rsid wsp:val=&quot;00881025&quot;/&gt;&lt;wsp:rsid wsp:val=&quot;0088109E&quot;/&gt;&lt;wsp:rsid wsp:val=&quot;0088164D&quot;/&gt;&lt;wsp:rsid wsp:val=&quot;00881AD9&quot;/&gt;&lt;wsp:rsid wsp:val=&quot;00882147&quot;/&gt;&lt;wsp:rsid wsp:val=&quot;008827B2&quot;/&gt;&lt;wsp:rsid wsp:val=&quot;00883049&quot;/&gt;&lt;wsp:rsid wsp:val=&quot;00883137&quot;/&gt;&lt;wsp:rsid wsp:val=&quot;0088324F&quot;/&gt;&lt;wsp:rsid wsp:val=&quot;00884B7D&quot;/&gt;&lt;wsp:rsid wsp:val=&quot;00884FAD&quot;/&gt;&lt;wsp:rsid wsp:val=&quot;008850DA&quot;/&gt;&lt;wsp:rsid wsp:val=&quot;0088574A&quot;/&gt;&lt;wsp:rsid wsp:val=&quot;00885758&quot;/&gt;&lt;wsp:rsid wsp:val=&quot;008858E4&quot;/&gt;&lt;wsp:rsid wsp:val=&quot;00885F2D&quot;/&gt;&lt;wsp:rsid wsp:val=&quot;0088629B&quot;/&gt;&lt;wsp:rsid wsp:val=&quot;00886A57&quot;/&gt;&lt;wsp:rsid wsp:val=&quot;00886AAD&quot;/&gt;&lt;wsp:rsid wsp:val=&quot;00886C64&quot;/&gt;&lt;wsp:rsid wsp:val=&quot;00886D9E&quot;/&gt;&lt;wsp:rsid wsp:val=&quot;00886E75&quot;/&gt;&lt;wsp:rsid wsp:val=&quot;0088702A&quot;/&gt;&lt;wsp:rsid wsp:val=&quot;00887045&quot;/&gt;&lt;wsp:rsid wsp:val=&quot;008873E5&quot;/&gt;&lt;wsp:rsid wsp:val=&quot;00887459&quot;/&gt;&lt;wsp:rsid wsp:val=&quot;00887EF6&quot;/&gt;&lt;wsp:rsid wsp:val=&quot;0089005E&quot;/&gt;&lt;wsp:rsid wsp:val=&quot;00890660&quot;/&gt;&lt;wsp:rsid wsp:val=&quot;00890831&quot;/&gt;&lt;wsp:rsid wsp:val=&quot;00890CA8&quot;/&gt;&lt;wsp:rsid wsp:val=&quot;008911BA&quot;/&gt;&lt;wsp:rsid wsp:val=&quot;00891227&quot;/&gt;&lt;wsp:rsid wsp:val=&quot;008916D7&quot;/&gt;&lt;wsp:rsid wsp:val=&quot;00891917&quot;/&gt;&lt;wsp:rsid wsp:val=&quot;008919A6&quot;/&gt;&lt;wsp:rsid wsp:val=&quot;008920CA&quot;/&gt;&lt;wsp:rsid wsp:val=&quot;00892149&quot;/&gt;&lt;wsp:rsid wsp:val=&quot;00892181&quot;/&gt;&lt;wsp:rsid wsp:val=&quot;00893065&quot;/&gt;&lt;wsp:rsid wsp:val=&quot;008932B8&quot;/&gt;&lt;wsp:rsid wsp:val=&quot;00893464&quot;/&gt;&lt;wsp:rsid wsp:val=&quot;00893546&quot;/&gt;&lt;wsp:rsid wsp:val=&quot;0089355A&quot;/&gt;&lt;wsp:rsid wsp:val=&quot;00893CAD&quot;/&gt;&lt;wsp:rsid wsp:val=&quot;00893E8D&quot;/&gt;&lt;wsp:rsid wsp:val=&quot;00893F84&quot;/&gt;&lt;wsp:rsid wsp:val=&quot;008940BB&quot;/&gt;&lt;wsp:rsid wsp:val=&quot;00894214&quot;/&gt;&lt;wsp:rsid wsp:val=&quot;0089444A&quot;/&gt;&lt;wsp:rsid wsp:val=&quot;00894C0F&quot;/&gt;&lt;wsp:rsid wsp:val=&quot;00894C2C&quot;/&gt;&lt;wsp:rsid wsp:val=&quot;00894DFE&quot;/&gt;&lt;wsp:rsid wsp:val=&quot;00895985&quot;/&gt;&lt;wsp:rsid wsp:val=&quot;00896111&quot;/&gt;&lt;wsp:rsid wsp:val=&quot;00896358&quot;/&gt;&lt;wsp:rsid wsp:val=&quot;0089691C&quot;/&gt;&lt;wsp:rsid wsp:val=&quot;00896FA0&quot;/&gt;&lt;wsp:rsid wsp:val=&quot;0089738C&quot;/&gt;&lt;wsp:rsid wsp:val=&quot;008973AA&quot;/&gt;&lt;wsp:rsid wsp:val=&quot;00897840&quot;/&gt;&lt;wsp:rsid wsp:val=&quot;008A17CE&quot;/&gt;&lt;wsp:rsid wsp:val=&quot;008A1F6B&quot;/&gt;&lt;wsp:rsid wsp:val=&quot;008A2442&quot;/&gt;&lt;wsp:rsid wsp:val=&quot;008A341F&quot;/&gt;&lt;wsp:rsid wsp:val=&quot;008A34B9&quot;/&gt;&lt;wsp:rsid wsp:val=&quot;008A3633&quot;/&gt;&lt;wsp:rsid wsp:val=&quot;008A3806&quot;/&gt;&lt;wsp:rsid wsp:val=&quot;008A3E22&quot;/&gt;&lt;wsp:rsid wsp:val=&quot;008A3ECC&quot;/&gt;&lt;wsp:rsid wsp:val=&quot;008A3ED8&quot;/&gt;&lt;wsp:rsid wsp:val=&quot;008A40CE&quot;/&gt;&lt;wsp:rsid wsp:val=&quot;008A4F88&quot;/&gt;&lt;wsp:rsid wsp:val=&quot;008A50EF&quot;/&gt;&lt;wsp:rsid wsp:val=&quot;008A510F&quot;/&gt;&lt;wsp:rsid wsp:val=&quot;008A5A1D&quot;/&gt;&lt;wsp:rsid wsp:val=&quot;008A5A61&quot;/&gt;&lt;wsp:rsid wsp:val=&quot;008A5ECB&quot;/&gt;&lt;wsp:rsid wsp:val=&quot;008A5ED9&quot;/&gt;&lt;wsp:rsid wsp:val=&quot;008A627E&quot;/&gt;&lt;wsp:rsid wsp:val=&quot;008A689E&quot;/&gt;&lt;wsp:rsid wsp:val=&quot;008A6E1F&quot;/&gt;&lt;wsp:rsid wsp:val=&quot;008A6F2B&quot;/&gt;&lt;wsp:rsid wsp:val=&quot;008A6F70&quot;/&gt;&lt;wsp:rsid wsp:val=&quot;008A77E8&quot;/&gt;&lt;wsp:rsid wsp:val=&quot;008A7D6B&quot;/&gt;&lt;wsp:rsid wsp:val=&quot;008A7D7D&quot;/&gt;&lt;wsp:rsid wsp:val=&quot;008A7ED3&quot;/&gt;&lt;wsp:rsid wsp:val=&quot;008B027D&quot;/&gt;&lt;wsp:rsid wsp:val=&quot;008B0A23&quot;/&gt;&lt;wsp:rsid wsp:val=&quot;008B0A43&quot;/&gt;&lt;wsp:rsid wsp:val=&quot;008B0CFC&quot;/&gt;&lt;wsp:rsid wsp:val=&quot;008B157C&quot;/&gt;&lt;wsp:rsid wsp:val=&quot;008B1DDE&quot;/&gt;&lt;wsp:rsid wsp:val=&quot;008B20C5&quot;/&gt;&lt;wsp:rsid wsp:val=&quot;008B2248&quot;/&gt;&lt;wsp:rsid wsp:val=&quot;008B24EC&quot;/&gt;&lt;wsp:rsid wsp:val=&quot;008B287B&quot;/&gt;&lt;wsp:rsid wsp:val=&quot;008B2A04&quot;/&gt;&lt;wsp:rsid wsp:val=&quot;008B2ED5&quot;/&gt;&lt;wsp:rsid wsp:val=&quot;008B30CE&quot;/&gt;&lt;wsp:rsid wsp:val=&quot;008B3764&quot;/&gt;&lt;wsp:rsid wsp:val=&quot;008B384C&quot;/&gt;&lt;wsp:rsid wsp:val=&quot;008B3B5A&quot;/&gt;&lt;wsp:rsid wsp:val=&quot;008B3C53&quot;/&gt;&lt;wsp:rsid wsp:val=&quot;008B3C54&quot;/&gt;&lt;wsp:rsid wsp:val=&quot;008B4188&quot;/&gt;&lt;wsp:rsid wsp:val=&quot;008B41DC&quot;/&gt;&lt;wsp:rsid wsp:val=&quot;008B428D&quot;/&gt;&lt;wsp:rsid wsp:val=&quot;008B4408&quot;/&gt;&lt;wsp:rsid wsp:val=&quot;008B55E7&quot;/&gt;&lt;wsp:rsid wsp:val=&quot;008B5E39&quot;/&gt;&lt;wsp:rsid wsp:val=&quot;008B5F3A&quot;/&gt;&lt;wsp:rsid wsp:val=&quot;008B65E7&quot;/&gt;&lt;wsp:rsid wsp:val=&quot;008B6774&quot;/&gt;&lt;wsp:rsid wsp:val=&quot;008B6E6F&quot;/&gt;&lt;wsp:rsid wsp:val=&quot;008B7369&quot;/&gt;&lt;wsp:rsid wsp:val=&quot;008B782E&quot;/&gt;&lt;wsp:rsid wsp:val=&quot;008B789D&quot;/&gt;&lt;wsp:rsid wsp:val=&quot;008B7AF3&quot;/&gt;&lt;wsp:rsid wsp:val=&quot;008B7C7F&quot;/&gt;&lt;wsp:rsid wsp:val=&quot;008B7CC9&quot;/&gt;&lt;wsp:rsid wsp:val=&quot;008B7DA4&quot;/&gt;&lt;wsp:rsid wsp:val=&quot;008B7DC6&quot;/&gt;&lt;wsp:rsid wsp:val=&quot;008C0138&quot;/&gt;&lt;wsp:rsid wsp:val=&quot;008C021B&quot;/&gt;&lt;wsp:rsid wsp:val=&quot;008C02A4&quot;/&gt;&lt;wsp:rsid wsp:val=&quot;008C05EB&quot;/&gt;&lt;wsp:rsid wsp:val=&quot;008C06C1&quot;/&gt;&lt;wsp:rsid wsp:val=&quot;008C06C9&quot;/&gt;&lt;wsp:rsid wsp:val=&quot;008C0C96&quot;/&gt;&lt;wsp:rsid wsp:val=&quot;008C11D8&quot;/&gt;&lt;wsp:rsid wsp:val=&quot;008C153E&quot;/&gt;&lt;wsp:rsid wsp:val=&quot;008C1574&quot;/&gt;&lt;wsp:rsid wsp:val=&quot;008C188C&quot;/&gt;&lt;wsp:rsid wsp:val=&quot;008C1D7E&quot;/&gt;&lt;wsp:rsid wsp:val=&quot;008C1E40&quot;/&gt;&lt;wsp:rsid wsp:val=&quot;008C1F3C&quot;/&gt;&lt;wsp:rsid wsp:val=&quot;008C1F68&quot;/&gt;&lt;wsp:rsid wsp:val=&quot;008C26DC&quot;/&gt;&lt;wsp:rsid wsp:val=&quot;008C294B&quot;/&gt;&lt;wsp:rsid wsp:val=&quot;008C2D19&quot;/&gt;&lt;wsp:rsid wsp:val=&quot;008C2E96&quot;/&gt;&lt;wsp:rsid wsp:val=&quot;008C33C6&quot;/&gt;&lt;wsp:rsid wsp:val=&quot;008C38FF&quot;/&gt;&lt;wsp:rsid wsp:val=&quot;008C432D&quot;/&gt;&lt;wsp:rsid wsp:val=&quot;008C45F9&quot;/&gt;&lt;wsp:rsid wsp:val=&quot;008C4772&quot;/&gt;&lt;wsp:rsid wsp:val=&quot;008C4773&quot;/&gt;&lt;wsp:rsid wsp:val=&quot;008C495B&quot;/&gt;&lt;wsp:rsid wsp:val=&quot;008C4FFA&quot;/&gt;&lt;wsp:rsid wsp:val=&quot;008C5850&quot;/&gt;&lt;wsp:rsid wsp:val=&quot;008C5CA4&quot;/&gt;&lt;wsp:rsid wsp:val=&quot;008C6463&quot;/&gt;&lt;wsp:rsid wsp:val=&quot;008C6993&quot;/&gt;&lt;wsp:rsid wsp:val=&quot;008C7597&quot;/&gt;&lt;wsp:rsid wsp:val=&quot;008C75B4&quot;/&gt;&lt;wsp:rsid wsp:val=&quot;008C7666&quot;/&gt;&lt;wsp:rsid wsp:val=&quot;008D0252&quot;/&gt;&lt;wsp:rsid wsp:val=&quot;008D0862&quot;/&gt;&lt;wsp:rsid wsp:val=&quot;008D0916&quot;/&gt;&lt;wsp:rsid wsp:val=&quot;008D09F1&quot;/&gt;&lt;wsp:rsid wsp:val=&quot;008D0BA7&quot;/&gt;&lt;wsp:rsid wsp:val=&quot;008D0EF8&quot;/&gt;&lt;wsp:rsid wsp:val=&quot;008D113C&quot;/&gt;&lt;wsp:rsid wsp:val=&quot;008D16BC&quot;/&gt;&lt;wsp:rsid wsp:val=&quot;008D1743&quot;/&gt;&lt;wsp:rsid wsp:val=&quot;008D1C08&quot;/&gt;&lt;wsp:rsid wsp:val=&quot;008D1CDA&quot;/&gt;&lt;wsp:rsid wsp:val=&quot;008D1E4E&quot;/&gt;&lt;wsp:rsid wsp:val=&quot;008D29A4&quot;/&gt;&lt;wsp:rsid wsp:val=&quot;008D31BB&quot;/&gt;&lt;wsp:rsid wsp:val=&quot;008D3784&quot;/&gt;&lt;wsp:rsid wsp:val=&quot;008D3B09&quot;/&gt;&lt;wsp:rsid wsp:val=&quot;008D3B7C&quot;/&gt;&lt;wsp:rsid wsp:val=&quot;008D3D4F&quot;/&gt;&lt;wsp:rsid wsp:val=&quot;008D3F33&quot;/&gt;&lt;wsp:rsid wsp:val=&quot;008D41D4&quot;/&gt;&lt;wsp:rsid wsp:val=&quot;008D42C8&quot;/&gt;&lt;wsp:rsid wsp:val=&quot;008D42DF&quot;/&gt;&lt;wsp:rsid wsp:val=&quot;008D4CE2&quot;/&gt;&lt;wsp:rsid wsp:val=&quot;008D4D70&quot;/&gt;&lt;wsp:rsid wsp:val=&quot;008D4E29&quot;/&gt;&lt;wsp:rsid wsp:val=&quot;008D5475&quot;/&gt;&lt;wsp:rsid wsp:val=&quot;008D5D3E&quot;/&gt;&lt;wsp:rsid wsp:val=&quot;008D5DFB&quot;/&gt;&lt;wsp:rsid wsp:val=&quot;008D5EEA&quot;/&gt;&lt;wsp:rsid wsp:val=&quot;008D5F5A&quot;/&gt;&lt;wsp:rsid wsp:val=&quot;008D6035&quot;/&gt;&lt;wsp:rsid wsp:val=&quot;008D6428&quot;/&gt;&lt;wsp:rsid wsp:val=&quot;008D66DC&quot;/&gt;&lt;wsp:rsid wsp:val=&quot;008D68C2&quot;/&gt;&lt;wsp:rsid wsp:val=&quot;008D68CC&quot;/&gt;&lt;wsp:rsid wsp:val=&quot;008D706A&quot;/&gt;&lt;wsp:rsid wsp:val=&quot;008D716A&quot;/&gt;&lt;wsp:rsid wsp:val=&quot;008D7677&quot;/&gt;&lt;wsp:rsid wsp:val=&quot;008D78F3&quot;/&gt;&lt;wsp:rsid wsp:val=&quot;008D7DF2&quot;/&gt;&lt;wsp:rsid wsp:val=&quot;008D7DFD&quot;/&gt;&lt;wsp:rsid wsp:val=&quot;008D7E98&quot;/&gt;&lt;wsp:rsid wsp:val=&quot;008E044A&quot;/&gt;&lt;wsp:rsid wsp:val=&quot;008E098B&quot;/&gt;&lt;wsp:rsid wsp:val=&quot;008E0A16&quot;/&gt;&lt;wsp:rsid wsp:val=&quot;008E0ED5&quot;/&gt;&lt;wsp:rsid wsp:val=&quot;008E0F00&quot;/&gt;&lt;wsp:rsid wsp:val=&quot;008E0FC4&quot;/&gt;&lt;wsp:rsid wsp:val=&quot;008E1251&quot;/&gt;&lt;wsp:rsid wsp:val=&quot;008E1329&quot;/&gt;&lt;wsp:rsid wsp:val=&quot;008E139D&quot;/&gt;&lt;wsp:rsid wsp:val=&quot;008E1590&quot;/&gt;&lt;wsp:rsid wsp:val=&quot;008E190F&quot;/&gt;&lt;wsp:rsid wsp:val=&quot;008E1B56&quot;/&gt;&lt;wsp:rsid wsp:val=&quot;008E1EA1&quot;/&gt;&lt;wsp:rsid wsp:val=&quot;008E1F67&quot;/&gt;&lt;wsp:rsid wsp:val=&quot;008E205A&quot;/&gt;&lt;wsp:rsid wsp:val=&quot;008E20E2&quot;/&gt;&lt;wsp:rsid wsp:val=&quot;008E256F&quot;/&gt;&lt;wsp:rsid wsp:val=&quot;008E268F&quot;/&gt;&lt;wsp:rsid wsp:val=&quot;008E29E4&quot;/&gt;&lt;wsp:rsid wsp:val=&quot;008E2CE3&quot;/&gt;&lt;wsp:rsid wsp:val=&quot;008E365E&quot;/&gt;&lt;wsp:rsid wsp:val=&quot;008E367C&quot;/&gt;&lt;wsp:rsid wsp:val=&quot;008E373B&quot;/&gt;&lt;wsp:rsid wsp:val=&quot;008E3A1B&quot;/&gt;&lt;wsp:rsid wsp:val=&quot;008E3BC7&quot;/&gt;&lt;wsp:rsid wsp:val=&quot;008E3CA4&quot;/&gt;&lt;wsp:rsid wsp:val=&quot;008E3EFF&quot;/&gt;&lt;wsp:rsid wsp:val=&quot;008E3F51&quot;/&gt;&lt;wsp:rsid wsp:val=&quot;008E49F9&quot;/&gt;&lt;wsp:rsid wsp:val=&quot;008E4B8B&quot;/&gt;&lt;wsp:rsid wsp:val=&quot;008E4B92&quot;/&gt;&lt;wsp:rsid wsp:val=&quot;008E514A&quot;/&gt;&lt;wsp:rsid wsp:val=&quot;008E51A9&quot;/&gt;&lt;wsp:rsid wsp:val=&quot;008E52C9&quot;/&gt;&lt;wsp:rsid wsp:val=&quot;008E548F&quot;/&gt;&lt;wsp:rsid wsp:val=&quot;008E54C2&quot;/&gt;&lt;wsp:rsid wsp:val=&quot;008E6530&quot;/&gt;&lt;wsp:rsid wsp:val=&quot;008E67F0&quot;/&gt;&lt;wsp:rsid wsp:val=&quot;008E6A71&quot;/&gt;&lt;wsp:rsid wsp:val=&quot;008E6B4D&quot;/&gt;&lt;wsp:rsid wsp:val=&quot;008E6BB3&quot;/&gt;&lt;wsp:rsid wsp:val=&quot;008E6F22&quot;/&gt;&lt;wsp:rsid wsp:val=&quot;008E6F7C&quot;/&gt;&lt;wsp:rsid wsp:val=&quot;008E72F0&quot;/&gt;&lt;wsp:rsid wsp:val=&quot;008E77B4&quot;/&gt;&lt;wsp:rsid wsp:val=&quot;008E77C0&quot;/&gt;&lt;wsp:rsid wsp:val=&quot;008E7BD0&quot;/&gt;&lt;wsp:rsid wsp:val=&quot;008F0492&quot;/&gt;&lt;wsp:rsid wsp:val=&quot;008F0698&quot;/&gt;&lt;wsp:rsid wsp:val=&quot;008F0EA8&quot;/&gt;&lt;wsp:rsid wsp:val=&quot;008F0EF8&quot;/&gt;&lt;wsp:rsid wsp:val=&quot;008F101A&quot;/&gt;&lt;wsp:rsid wsp:val=&quot;008F127E&quot;/&gt;&lt;wsp:rsid wsp:val=&quot;008F14F5&quot;/&gt;&lt;wsp:rsid wsp:val=&quot;008F251B&quot;/&gt;&lt;wsp:rsid wsp:val=&quot;008F2634&quot;/&gt;&lt;wsp:rsid wsp:val=&quot;008F2AFA&quot;/&gt;&lt;wsp:rsid wsp:val=&quot;008F2CF8&quot;/&gt;&lt;wsp:rsid wsp:val=&quot;008F2D7D&quot;/&gt;&lt;wsp:rsid wsp:val=&quot;008F2D88&quot;/&gt;&lt;wsp:rsid wsp:val=&quot;008F357D&quot;/&gt;&lt;wsp:rsid wsp:val=&quot;008F37DB&quot;/&gt;&lt;wsp:rsid wsp:val=&quot;008F3CB2&quot;/&gt;&lt;wsp:rsid wsp:val=&quot;008F4775&quot;/&gt;&lt;wsp:rsid wsp:val=&quot;008F497D&quot;/&gt;&lt;wsp:rsid wsp:val=&quot;008F4ADF&quot;/&gt;&lt;wsp:rsid wsp:val=&quot;008F4C64&quot;/&gt;&lt;wsp:rsid wsp:val=&quot;008F522E&quot;/&gt;&lt;wsp:rsid wsp:val=&quot;008F57C7&quot;/&gt;&lt;wsp:rsid wsp:val=&quot;008F57DF&quot;/&gt;&lt;wsp:rsid wsp:val=&quot;008F590A&quot;/&gt;&lt;wsp:rsid wsp:val=&quot;008F5A90&quot;/&gt;&lt;wsp:rsid wsp:val=&quot;008F5CDE&quot;/&gt;&lt;wsp:rsid wsp:val=&quot;008F63BB&quot;/&gt;&lt;wsp:rsid wsp:val=&quot;008F65E2&quot;/&gt;&lt;wsp:rsid wsp:val=&quot;008F6916&quot;/&gt;&lt;wsp:rsid wsp:val=&quot;008F699E&quot;/&gt;&lt;wsp:rsid wsp:val=&quot;008F69CB&quot;/&gt;&lt;wsp:rsid wsp:val=&quot;008F6B62&quot;/&gt;&lt;wsp:rsid wsp:val=&quot;008F6C8C&quot;/&gt;&lt;wsp:rsid wsp:val=&quot;008F72F5&quot;/&gt;&lt;wsp:rsid wsp:val=&quot;008F7426&quot;/&gt;&lt;wsp:rsid wsp:val=&quot;008F76A1&quot;/&gt;&lt;wsp:rsid wsp:val=&quot;008F7A35&quot;/&gt;&lt;wsp:rsid wsp:val=&quot;008F7E25&quot;/&gt;&lt;wsp:rsid wsp:val=&quot;0090000F&quot;/&gt;&lt;wsp:rsid wsp:val=&quot;009000D7&quot;/&gt;&lt;wsp:rsid wsp:val=&quot;00900383&quot;/&gt;&lt;wsp:rsid wsp:val=&quot;009005D0&quot;/&gt;&lt;wsp:rsid wsp:val=&quot;00900663&quot;/&gt;&lt;wsp:rsid wsp:val=&quot;00900D54&quot;/&gt;&lt;wsp:rsid wsp:val=&quot;00901086&quot;/&gt;&lt;wsp:rsid wsp:val=&quot;00901860&quot;/&gt;&lt;wsp:rsid wsp:val=&quot;00901B58&quot;/&gt;&lt;wsp:rsid wsp:val=&quot;00902375&quot;/&gt;&lt;wsp:rsid wsp:val=&quot;00902685&quot;/&gt;&lt;wsp:rsid wsp:val=&quot;00903410&quot;/&gt;&lt;wsp:rsid wsp:val=&quot;009035B0&quot;/&gt;&lt;wsp:rsid wsp:val=&quot;00903741&quot;/&gt;&lt;wsp:rsid wsp:val=&quot;00903C12&quot;/&gt;&lt;wsp:rsid wsp:val=&quot;00903C45&quot;/&gt;&lt;wsp:rsid wsp:val=&quot;0090418E&quot;/&gt;&lt;wsp:rsid wsp:val=&quot;009041A3&quot;/&gt;&lt;wsp:rsid wsp:val=&quot;0090453B&quot;/&gt;&lt;wsp:rsid wsp:val=&quot;00904781&quot;/&gt;&lt;wsp:rsid wsp:val=&quot;0090495C&quot;/&gt;&lt;wsp:rsid wsp:val=&quot;00904FED&quot;/&gt;&lt;wsp:rsid wsp:val=&quot;009052E7&quot;/&gt;&lt;wsp:rsid wsp:val=&quot;009055C9&quot;/&gt;&lt;wsp:rsid wsp:val=&quot;009058EC&quot;/&gt;&lt;wsp:rsid wsp:val=&quot;009059B8&quot;/&gt;&lt;wsp:rsid wsp:val=&quot;00905B68&quot;/&gt;&lt;wsp:rsid wsp:val=&quot;00905B81&quot;/&gt;&lt;wsp:rsid wsp:val=&quot;00905CF2&quot;/&gt;&lt;wsp:rsid wsp:val=&quot;00905DEA&quot;/&gt;&lt;wsp:rsid wsp:val=&quot;00905E82&quot;/&gt;&lt;wsp:rsid wsp:val=&quot;009061C8&quot;/&gt;&lt;wsp:rsid wsp:val=&quot;00906340&quot;/&gt;&lt;wsp:rsid wsp:val=&quot;00906703&quot;/&gt;&lt;wsp:rsid wsp:val=&quot;00906B0D&quot;/&gt;&lt;wsp:rsid wsp:val=&quot;00906B3C&quot;/&gt;&lt;wsp:rsid wsp:val=&quot;00906BFE&quot;/&gt;&lt;wsp:rsid wsp:val=&quot;00906DE2&quot;/&gt;&lt;wsp:rsid wsp:val=&quot;00906F52&quot;/&gt;&lt;wsp:rsid wsp:val=&quot;00907FE6&quot;/&gt;&lt;wsp:rsid wsp:val=&quot;0091058D&quot;/&gt;&lt;wsp:rsid wsp:val=&quot;00910A1B&quot;/&gt;&lt;wsp:rsid wsp:val=&quot;00910E2B&quot;/&gt;&lt;wsp:rsid wsp:val=&quot;009118CB&quot;/&gt;&lt;wsp:rsid wsp:val=&quot;00911DD9&quot;/&gt;&lt;wsp:rsid wsp:val=&quot;00912020&quot;/&gt;&lt;wsp:rsid wsp:val=&quot;009121E1&quot;/&gt;&lt;wsp:rsid wsp:val=&quot;0091236B&quot;/&gt;&lt;wsp:rsid wsp:val=&quot;00912472&quot;/&gt;&lt;wsp:rsid wsp:val=&quot;009124A1&quot;/&gt;&lt;wsp:rsid wsp:val=&quot;00912899&quot;/&gt;&lt;wsp:rsid wsp:val=&quot;0091293F&quot;/&gt;&lt;wsp:rsid wsp:val=&quot;00912FBC&quot;/&gt;&lt;wsp:rsid wsp:val=&quot;009136DE&quot;/&gt;&lt;wsp:rsid wsp:val=&quot;00913B33&quot;/&gt;&lt;wsp:rsid wsp:val=&quot;00913FFA&quot;/&gt;&lt;wsp:rsid wsp:val=&quot;00914518&quot;/&gt;&lt;wsp:rsid wsp:val=&quot;00914CFC&quot;/&gt;&lt;wsp:rsid wsp:val=&quot;00914E6A&quot;/&gt;&lt;wsp:rsid wsp:val=&quot;00915508&quot;/&gt;&lt;wsp:rsid wsp:val=&quot;0091582A&quot;/&gt;&lt;wsp:rsid wsp:val=&quot;00915B7D&quot;/&gt;&lt;wsp:rsid wsp:val=&quot;00915E27&quot;/&gt;&lt;wsp:rsid wsp:val=&quot;009163D0&quot;/&gt;&lt;wsp:rsid wsp:val=&quot;00916BF2&quot;/&gt;&lt;wsp:rsid wsp:val=&quot;00917583&quot;/&gt;&lt;wsp:rsid wsp:val=&quot;0091788E&quot;/&gt;&lt;wsp:rsid wsp:val=&quot;00917A89&quot;/&gt;&lt;wsp:rsid wsp:val=&quot;00917AD4&quot;/&gt;&lt;wsp:rsid wsp:val=&quot;00917B7E&quot;/&gt;&lt;wsp:rsid wsp:val=&quot;00920F9F&quot;/&gt;&lt;wsp:rsid wsp:val=&quot;009217AE&quot;/&gt;&lt;wsp:rsid wsp:val=&quot;009222AE&quot;/&gt;&lt;wsp:rsid wsp:val=&quot;00922309&quot;/&gt;&lt;wsp:rsid wsp:val=&quot;00922517&quot;/&gt;&lt;wsp:rsid wsp:val=&quot;00922554&quot;/&gt;&lt;wsp:rsid wsp:val=&quot;00922C38&quot;/&gt;&lt;wsp:rsid wsp:val=&quot;00922F5B&quot;/&gt;&lt;wsp:rsid wsp:val=&quot;00923292&quot;/&gt;&lt;wsp:rsid wsp:val=&quot;00923334&quot;/&gt;&lt;wsp:rsid wsp:val=&quot;00923EB8&quot;/&gt;&lt;wsp:rsid wsp:val=&quot;0092410E&quot;/&gt;&lt;wsp:rsid wsp:val=&quot;0092430E&quot;/&gt;&lt;wsp:rsid wsp:val=&quot;0092450B&quot;/&gt;&lt;wsp:rsid wsp:val=&quot;00924B02&quot;/&gt;&lt;wsp:rsid wsp:val=&quot;00924E2E&quot;/&gt;&lt;wsp:rsid wsp:val=&quot;00925032&quot;/&gt;&lt;wsp:rsid wsp:val=&quot;009251B5&quot;/&gt;&lt;wsp:rsid wsp:val=&quot;009251BE&quot;/&gt;&lt;wsp:rsid wsp:val=&quot;0092521E&quot;/&gt;&lt;wsp:rsid wsp:val=&quot;0092529A&quot;/&gt;&lt;wsp:rsid wsp:val=&quot;00925744&quot;/&gt;&lt;wsp:rsid wsp:val=&quot;0092593E&quot;/&gt;&lt;wsp:rsid wsp:val=&quot;00926CAE&quot;/&gt;&lt;wsp:rsid wsp:val=&quot;00926E22&quot;/&gt;&lt;wsp:rsid wsp:val=&quot;009273C0&quot;/&gt;&lt;wsp:rsid wsp:val=&quot;00927492&quot;/&gt;&lt;wsp:rsid wsp:val=&quot;009278ED&quot;/&gt;&lt;wsp:rsid wsp:val=&quot;00927C17&quot;/&gt;&lt;wsp:rsid wsp:val=&quot;00927FF3&quot;/&gt;&lt;wsp:rsid wsp:val=&quot;00930111&quot;/&gt;&lt;wsp:rsid wsp:val=&quot;00930618&quot;/&gt;&lt;wsp:rsid wsp:val=&quot;00930949&quot;/&gt;&lt;wsp:rsid wsp:val=&quot;00930A4F&quot;/&gt;&lt;wsp:rsid wsp:val=&quot;009310E3&quot;/&gt;&lt;wsp:rsid wsp:val=&quot;00931226&quot;/&gt;&lt;wsp:rsid wsp:val=&quot;00931CF2&quot;/&gt;&lt;wsp:rsid wsp:val=&quot;0093215E&quot;/&gt;&lt;wsp:rsid wsp:val=&quot;00932635&quot;/&gt;&lt;wsp:rsid wsp:val=&quot;00932644&quot;/&gt;&lt;wsp:rsid wsp:val=&quot;0093298C&quot;/&gt;&lt;wsp:rsid wsp:val=&quot;009329D2&quot;/&gt;&lt;wsp:rsid wsp:val=&quot;0093334F&quot;/&gt;&lt;wsp:rsid wsp:val=&quot;0093343B&quot;/&gt;&lt;wsp:rsid wsp:val=&quot;0093359D&quot;/&gt;&lt;wsp:rsid wsp:val=&quot;0093379B&quot;/&gt;&lt;wsp:rsid wsp:val=&quot;00933954&quot;/&gt;&lt;wsp:rsid wsp:val=&quot;00933A6D&quot;/&gt;&lt;wsp:rsid wsp:val=&quot;00933DB6&quot;/&gt;&lt;wsp:rsid wsp:val=&quot;00933F7F&quot;/&gt;&lt;wsp:rsid wsp:val=&quot;009340B3&quot;/&gt;&lt;wsp:rsid wsp:val=&quot;009340C2&quot;/&gt;&lt;wsp:rsid wsp:val=&quot;00934270&quot;/&gt;&lt;wsp:rsid wsp:val=&quot;009342AC&quot;/&gt;&lt;wsp:rsid wsp:val=&quot;00934453&quot;/&gt;&lt;wsp:rsid wsp:val=&quot;0093450A&quot;/&gt;&lt;wsp:rsid wsp:val=&quot;00934658&quot;/&gt;&lt;wsp:rsid wsp:val=&quot;0093495C&quot;/&gt;&lt;wsp:rsid wsp:val=&quot;00934A37&quot;/&gt;&lt;wsp:rsid wsp:val=&quot;00934DE2&quot;/&gt;&lt;wsp:rsid wsp:val=&quot;00934FBB&quot;/&gt;&lt;wsp:rsid wsp:val=&quot;00935A87&quot;/&gt;&lt;wsp:rsid wsp:val=&quot;00935D48&quot;/&gt;&lt;wsp:rsid wsp:val=&quot;00936137&quot;/&gt;&lt;wsp:rsid wsp:val=&quot;00936AED&quot;/&gt;&lt;wsp:rsid wsp:val=&quot;00936E8C&quot;/&gt;&lt;wsp:rsid wsp:val=&quot;0093702D&quot;/&gt;&lt;wsp:rsid wsp:val=&quot;009371C2&quot;/&gt;&lt;wsp:rsid wsp:val=&quot;0093736E&quot;/&gt;&lt;wsp:rsid wsp:val=&quot;0093793E&quot;/&gt;&lt;wsp:rsid wsp:val=&quot;00937B43&quot;/&gt;&lt;wsp:rsid wsp:val=&quot;00940BD3&quot;/&gt;&lt;wsp:rsid wsp:val=&quot;00940EFC&quot;/&gt;&lt;wsp:rsid wsp:val=&quot;00940FEC&quot;/&gt;&lt;wsp:rsid wsp:val=&quot;0094102D&quot;/&gt;&lt;wsp:rsid wsp:val=&quot;00941238&quot;/&gt;&lt;wsp:rsid wsp:val=&quot;009415D8&quot;/&gt;&lt;wsp:rsid wsp:val=&quot;009417DD&quot;/&gt;&lt;wsp:rsid wsp:val=&quot;00941C2F&quot;/&gt;&lt;wsp:rsid wsp:val=&quot;00941F30&quot;/&gt;&lt;wsp:rsid wsp:val=&quot;00942592&quot;/&gt;&lt;wsp:rsid wsp:val=&quot;00942B07&quot;/&gt;&lt;wsp:rsid wsp:val=&quot;00942ED7&quot;/&gt;&lt;wsp:rsid wsp:val=&quot;00942F5D&quot;/&gt;&lt;wsp:rsid wsp:val=&quot;00943479&quot;/&gt;&lt;wsp:rsid wsp:val=&quot;00943788&quot;/&gt;&lt;wsp:rsid wsp:val=&quot;009438AB&quot;/&gt;&lt;wsp:rsid wsp:val=&quot;00943920&quot;/&gt;&lt;wsp:rsid wsp:val=&quot;009440CD&quot;/&gt;&lt;wsp:rsid wsp:val=&quot;00944432&quot;/&gt;&lt;wsp:rsid wsp:val=&quot;00944882&quot;/&gt;&lt;wsp:rsid wsp:val=&quot;00944C90&quot;/&gt;&lt;wsp:rsid wsp:val=&quot;00944CD2&quot;/&gt;&lt;wsp:rsid wsp:val=&quot;0094577C&quot;/&gt;&lt;wsp:rsid wsp:val=&quot;0094591D&quot;/&gt;&lt;wsp:rsid wsp:val=&quot;00945A3F&quot;/&gt;&lt;wsp:rsid wsp:val=&quot;00945A6C&quot;/&gt;&lt;wsp:rsid wsp:val=&quot;00945B00&quot;/&gt;&lt;wsp:rsid wsp:val=&quot;00945BE4&quot;/&gt;&lt;wsp:rsid wsp:val=&quot;00946193&quot;/&gt;&lt;wsp:rsid wsp:val=&quot;009463F2&quot;/&gt;&lt;wsp:rsid wsp:val=&quot;009466EB&quot;/&gt;&lt;wsp:rsid wsp:val=&quot;00946B54&quot;/&gt;&lt;wsp:rsid wsp:val=&quot;009470E8&quot;/&gt;&lt;wsp:rsid wsp:val=&quot;009475BF&quot;/&gt;&lt;wsp:rsid wsp:val=&quot;0094765D&quot;/&gt;&lt;wsp:rsid wsp:val=&quot;00947B5E&quot;/&gt;&lt;wsp:rsid wsp:val=&quot;0095127F&quot;/&gt;&lt;wsp:rsid wsp:val=&quot;00951340&quot;/&gt;&lt;wsp:rsid wsp:val=&quot;00951832&quot;/&gt;&lt;wsp:rsid wsp:val=&quot;00951BC7&quot;/&gt;&lt;wsp:rsid wsp:val=&quot;00951BFF&quot;/&gt;&lt;wsp:rsid wsp:val=&quot;00951E18&quot;/&gt;&lt;wsp:rsid wsp:val=&quot;00951F7A&quot;/&gt;&lt;wsp:rsid wsp:val=&quot;00952201&quot;/&gt;&lt;wsp:rsid wsp:val=&quot;009527A0&quot;/&gt;&lt;wsp:rsid wsp:val=&quot;00952999&quot;/&gt;&lt;wsp:rsid wsp:val=&quot;00952B97&quot;/&gt;&lt;wsp:rsid wsp:val=&quot;00952EDF&quot;/&gt;&lt;wsp:rsid wsp:val=&quot;0095402B&quot;/&gt;&lt;wsp:rsid wsp:val=&quot;009541AF&quot;/&gt;&lt;wsp:rsid wsp:val=&quot;00954D03&quot;/&gt;&lt;wsp:rsid wsp:val=&quot;009550AF&quot;/&gt;&lt;wsp:rsid wsp:val=&quot;0095520B&quot;/&gt;&lt;wsp:rsid wsp:val=&quot;00955379&quot;/&gt;&lt;wsp:rsid wsp:val=&quot;00955B8E&quot;/&gt;&lt;wsp:rsid wsp:val=&quot;0095613C&quot;/&gt;&lt;wsp:rsid wsp:val=&quot;009562A8&quot;/&gt;&lt;wsp:rsid wsp:val=&quot;00956451&quot;/&gt;&lt;wsp:rsid wsp:val=&quot;0095648D&quot;/&gt;&lt;wsp:rsid wsp:val=&quot;0095668C&quot;/&gt;&lt;wsp:rsid wsp:val=&quot;00956877&quot;/&gt;&lt;wsp:rsid wsp:val=&quot;00956A69&quot;/&gt;&lt;wsp:rsid wsp:val=&quot;00957675&quot;/&gt;&lt;wsp:rsid wsp:val=&quot;00957DFF&quot;/&gt;&lt;wsp:rsid wsp:val=&quot;00960086&quot;/&gt;&lt;wsp:rsid wsp:val=&quot;009603C9&quot;/&gt;&lt;wsp:rsid wsp:val=&quot;009606C1&quot;/&gt;&lt;wsp:rsid wsp:val=&quot;0096089C&quot;/&gt;&lt;wsp:rsid wsp:val=&quot;00960C57&quot;/&gt;&lt;wsp:rsid wsp:val=&quot;00960E02&quot;/&gt;&lt;wsp:rsid wsp:val=&quot;0096163B&quot;/&gt;&lt;wsp:rsid wsp:val=&quot;0096195D&quot;/&gt;&lt;wsp:rsid wsp:val=&quot;009621DC&quot;/&gt;&lt;wsp:rsid wsp:val=&quot;009626AB&quot;/&gt;&lt;wsp:rsid wsp:val=&quot;00962CD1&quot;/&gt;&lt;wsp:rsid wsp:val=&quot;00962E3A&quot;/&gt;&lt;wsp:rsid wsp:val=&quot;00962F3F&quot;/&gt;&lt;wsp:rsid wsp:val=&quot;00962F53&quot;/&gt;&lt;wsp:rsid wsp:val=&quot;00963021&quot;/&gt;&lt;wsp:rsid wsp:val=&quot;00963417&quot;/&gt;&lt;wsp:rsid wsp:val=&quot;009635F4&quot;/&gt;&lt;wsp:rsid wsp:val=&quot;00963733&quot;/&gt;&lt;wsp:rsid wsp:val=&quot;0096406C&quot;/&gt;&lt;wsp:rsid wsp:val=&quot;00964494&quot;/&gt;&lt;wsp:rsid wsp:val=&quot;009648D8&quot;/&gt;&lt;wsp:rsid wsp:val=&quot;0096544F&quot;/&gt;&lt;wsp:rsid wsp:val=&quot;00965476&quot;/&gt;&lt;wsp:rsid wsp:val=&quot;00965788&quot;/&gt;&lt;wsp:rsid wsp:val=&quot;00965A2B&quot;/&gt;&lt;wsp:rsid wsp:val=&quot;0096670B&quot;/&gt;&lt;wsp:rsid wsp:val=&quot;009669AF&quot;/&gt;&lt;wsp:rsid wsp:val=&quot;00966A70&quot;/&gt;&lt;wsp:rsid wsp:val=&quot;00966A81&quot;/&gt;&lt;wsp:rsid wsp:val=&quot;00966C34&quot;/&gt;&lt;wsp:rsid wsp:val=&quot;00966F81&quot;/&gt;&lt;wsp:rsid wsp:val=&quot;00967160&quot;/&gt;&lt;wsp:rsid wsp:val=&quot;009677AA&quot;/&gt;&lt;wsp:rsid wsp:val=&quot;0096780F&quot;/&gt;&lt;wsp:rsid wsp:val=&quot;00967838&quot;/&gt;&lt;wsp:rsid wsp:val=&quot;009678C0&quot;/&gt;&lt;wsp:rsid wsp:val=&quot;009707EE&quot;/&gt;&lt;wsp:rsid wsp:val=&quot;00970AB7&quot;/&gt;&lt;wsp:rsid wsp:val=&quot;0097106F&quot;/&gt;&lt;wsp:rsid wsp:val=&quot;0097110D&quot;/&gt;&lt;wsp:rsid wsp:val=&quot;009717BF&quot;/&gt;&lt;wsp:rsid wsp:val=&quot;00971C93&quot;/&gt;&lt;wsp:rsid wsp:val=&quot;00971D28&quot;/&gt;&lt;wsp:rsid wsp:val=&quot;00971EE9&quot;/&gt;&lt;wsp:rsid wsp:val=&quot;0097216F&quot;/&gt;&lt;wsp:rsid wsp:val=&quot;009726AD&quot;/&gt;&lt;wsp:rsid wsp:val=&quot;00972C1E&quot;/&gt;&lt;wsp:rsid wsp:val=&quot;00972D0F&quot;/&gt;&lt;wsp:rsid wsp:val=&quot;00972D53&quot;/&gt;&lt;wsp:rsid wsp:val=&quot;00972DC6&quot;/&gt;&lt;wsp:rsid wsp:val=&quot;009730DD&quot;/&gt;&lt;wsp:rsid wsp:val=&quot;00973198&quot;/&gt;&lt;wsp:rsid wsp:val=&quot;009731FB&quot;/&gt;&lt;wsp:rsid wsp:val=&quot;00973307&quot;/&gt;&lt;wsp:rsid wsp:val=&quot;00973396&quot;/&gt;&lt;wsp:rsid wsp:val=&quot;009737BE&quot;/&gt;&lt;wsp:rsid wsp:val=&quot;009738A4&quot;/&gt;&lt;wsp:rsid wsp:val=&quot;00973A1C&quot;/&gt;&lt;wsp:rsid wsp:val=&quot;00973C51&quot;/&gt;&lt;wsp:rsid wsp:val=&quot;00973D46&quot;/&gt;&lt;wsp:rsid wsp:val=&quot;0097471E&quot;/&gt;&lt;wsp:rsid wsp:val=&quot;00974B0C&quot;/&gt;&lt;wsp:rsid wsp:val=&quot;00974F5F&quot;/&gt;&lt;wsp:rsid wsp:val=&quot;009752C4&quot;/&gt;&lt;wsp:rsid wsp:val=&quot;009754C8&quot;/&gt;&lt;wsp:rsid wsp:val=&quot;009758C5&quot;/&gt;&lt;wsp:rsid wsp:val=&quot;0097590A&quot;/&gt;&lt;wsp:rsid wsp:val=&quot;00975936&quot;/&gt;&lt;wsp:rsid wsp:val=&quot;009759ED&quot;/&gt;&lt;wsp:rsid wsp:val=&quot;00975BBA&quot;/&gt;&lt;wsp:rsid wsp:val=&quot;00976BC9&quot;/&gt;&lt;wsp:rsid wsp:val=&quot;00977E0A&quot;/&gt;&lt;wsp:rsid wsp:val=&quot;00977EC6&quot;/&gt;&lt;wsp:rsid wsp:val=&quot;00977F8B&quot;/&gt;&lt;wsp:rsid wsp:val=&quot;00980BFE&quot;/&gt;&lt;wsp:rsid wsp:val=&quot;00980D11&quot;/&gt;&lt;wsp:rsid wsp:val=&quot;00980DBA&quot;/&gt;&lt;wsp:rsid wsp:val=&quot;00980F25&quot;/&gt;&lt;wsp:rsid wsp:val=&quot;0098214E&quot;/&gt;&lt;wsp:rsid wsp:val=&quot;009823E8&quot;/&gt;&lt;wsp:rsid wsp:val=&quot;009825EC&quot;/&gt;&lt;wsp:rsid wsp:val=&quot;009829EE&quot;/&gt;&lt;wsp:rsid wsp:val=&quot;00982C12&quot;/&gt;&lt;wsp:rsid wsp:val=&quot;00982DD8&quot;/&gt;&lt;wsp:rsid wsp:val=&quot;009830EE&quot;/&gt;&lt;wsp:rsid wsp:val=&quot;0098386D&quot;/&gt;&lt;wsp:rsid wsp:val=&quot;00983A7C&quot;/&gt;&lt;wsp:rsid wsp:val=&quot;00983A9E&quot;/&gt;&lt;wsp:rsid wsp:val=&quot;00983C3E&quot;/&gt;&lt;wsp:rsid wsp:val=&quot;00984088&quot;/&gt;&lt;wsp:rsid wsp:val=&quot;009841BE&quot;/&gt;&lt;wsp:rsid wsp:val=&quot;009841EC&quot;/&gt;&lt;wsp:rsid wsp:val=&quot;0098421A&quot;/&gt;&lt;wsp:rsid wsp:val=&quot;009845A8&quot;/&gt;&lt;wsp:rsid wsp:val=&quot;00984821&quot;/&gt;&lt;wsp:rsid wsp:val=&quot;00984B52&quot;/&gt;&lt;wsp:rsid wsp:val=&quot;0098537B&quot;/&gt;&lt;wsp:rsid wsp:val=&quot;009857DE&quot;/&gt;&lt;wsp:rsid wsp:val=&quot;009863F1&quot;/&gt;&lt;wsp:rsid wsp:val=&quot;0098642F&quot;/&gt;&lt;wsp:rsid wsp:val=&quot;0098661A&quot;/&gt;&lt;wsp:rsid wsp:val=&quot;00986823&quot;/&gt;&lt;wsp:rsid wsp:val=&quot;00986C87&quot;/&gt;&lt;wsp:rsid wsp:val=&quot;00987559&quot;/&gt;&lt;wsp:rsid wsp:val=&quot;009876A4&quot;/&gt;&lt;wsp:rsid wsp:val=&quot;00987FD1&quot;/&gt;&lt;wsp:rsid wsp:val=&quot;00990876&quot;/&gt;&lt;wsp:rsid wsp:val=&quot;00990893&quot;/&gt;&lt;wsp:rsid wsp:val=&quot;009908BD&quot;/&gt;&lt;wsp:rsid wsp:val=&quot;0099147D&quot;/&gt;&lt;wsp:rsid wsp:val=&quot;009915B8&quot;/&gt;&lt;wsp:rsid wsp:val=&quot;00991DCE&quot;/&gt;&lt;wsp:rsid wsp:val=&quot;009921CA&quot;/&gt;&lt;wsp:rsid wsp:val=&quot;00992334&quot;/&gt;&lt;wsp:rsid wsp:val=&quot;0099263D&quot;/&gt;&lt;wsp:rsid wsp:val=&quot;0099264A&quot;/&gt;&lt;wsp:rsid wsp:val=&quot;00992865&quot;/&gt;&lt;wsp:rsid wsp:val=&quot;00993674&quot;/&gt;&lt;wsp:rsid wsp:val=&quot;0099393E&quot;/&gt;&lt;wsp:rsid wsp:val=&quot;00993AC9&quot;/&gt;&lt;wsp:rsid wsp:val=&quot;00993C44&quot;/&gt;&lt;wsp:rsid wsp:val=&quot;00993CB8&quot;/&gt;&lt;wsp:rsid wsp:val=&quot;00993DB4&quot;/&gt;&lt;wsp:rsid wsp:val=&quot;00993F5B&quot;/&gt;&lt;wsp:rsid wsp:val=&quot;0099411D&quot;/&gt;&lt;wsp:rsid wsp:val=&quot;0099473B&quot;/&gt;&lt;wsp:rsid wsp:val=&quot;009952C2&quot;/&gt;&lt;wsp:rsid wsp:val=&quot;0099558E&quot;/&gt;&lt;wsp:rsid wsp:val=&quot;00995F7A&quot;/&gt;&lt;wsp:rsid wsp:val=&quot;009962F7&quot;/&gt;&lt;wsp:rsid wsp:val=&quot;00996367&quot;/&gt;&lt;wsp:rsid wsp:val=&quot;009969E9&quot;/&gt;&lt;wsp:rsid wsp:val=&quot;00996E77&quot;/&gt;&lt;wsp:rsid wsp:val=&quot;00996EAF&quot;/&gt;&lt;wsp:rsid wsp:val=&quot;009975D2&quot;/&gt;&lt;wsp:rsid wsp:val=&quot;009978BC&quot;/&gt;&lt;wsp:rsid wsp:val=&quot;009979E4&quot;/&gt;&lt;wsp:rsid wsp:val=&quot;00997A8F&quot;/&gt;&lt;wsp:rsid wsp:val=&quot;00997BB5&quot;/&gt;&lt;wsp:rsid wsp:val=&quot;00997E9B&quot;/&gt;&lt;wsp:rsid wsp:val=&quot;00997F60&quot;/&gt;&lt;wsp:rsid wsp:val=&quot;00997FB6&quot;/&gt;&lt;wsp:rsid wsp:val=&quot;009A0948&quot;/&gt;&lt;wsp:rsid wsp:val=&quot;009A114F&quot;/&gt;&lt;wsp:rsid wsp:val=&quot;009A11EC&quot;/&gt;&lt;wsp:rsid wsp:val=&quot;009A154B&quot;/&gt;&lt;wsp:rsid wsp:val=&quot;009A16B3&quot;/&gt;&lt;wsp:rsid wsp:val=&quot;009A1BC9&quot;/&gt;&lt;wsp:rsid wsp:val=&quot;009A1CAA&quot;/&gt;&lt;wsp:rsid wsp:val=&quot;009A2012&quot;/&gt;&lt;wsp:rsid wsp:val=&quot;009A2346&quot;/&gt;&lt;wsp:rsid wsp:val=&quot;009A2908&quot;/&gt;&lt;wsp:rsid wsp:val=&quot;009A2C13&quot;/&gt;&lt;wsp:rsid wsp:val=&quot;009A2CEF&quot;/&gt;&lt;wsp:rsid wsp:val=&quot;009A2D57&quot;/&gt;&lt;wsp:rsid wsp:val=&quot;009A2E23&quot;/&gt;&lt;wsp:rsid wsp:val=&quot;009A2EA9&quot;/&gt;&lt;wsp:rsid wsp:val=&quot;009A3066&quot;/&gt;&lt;wsp:rsid wsp:val=&quot;009A32C8&quot;/&gt;&lt;wsp:rsid wsp:val=&quot;009A340F&quot;/&gt;&lt;wsp:rsid wsp:val=&quot;009A418D&quot;/&gt;&lt;wsp:rsid wsp:val=&quot;009A44AA&quot;/&gt;&lt;wsp:rsid wsp:val=&quot;009A4C23&quot;/&gt;&lt;wsp:rsid wsp:val=&quot;009A53E5&quot;/&gt;&lt;wsp:rsid wsp:val=&quot;009A53E6&quot;/&gt;&lt;wsp:rsid wsp:val=&quot;009A5610&quot;/&gt;&lt;wsp:rsid wsp:val=&quot;009A5C03&quot;/&gt;&lt;wsp:rsid wsp:val=&quot;009A5C97&quot;/&gt;&lt;wsp:rsid wsp:val=&quot;009A5E81&quot;/&gt;&lt;wsp:rsid wsp:val=&quot;009A5EB8&quot;/&gt;&lt;wsp:rsid wsp:val=&quot;009A605C&quot;/&gt;&lt;wsp:rsid wsp:val=&quot;009A6271&quot;/&gt;&lt;wsp:rsid wsp:val=&quot;009A63E8&quot;/&gt;&lt;wsp:rsid wsp:val=&quot;009A6523&quot;/&gt;&lt;wsp:rsid wsp:val=&quot;009A66C2&quot;/&gt;&lt;wsp:rsid wsp:val=&quot;009A6999&quot;/&gt;&lt;wsp:rsid wsp:val=&quot;009A70B3&quot;/&gt;&lt;wsp:rsid wsp:val=&quot;009A7663&quot;/&gt;&lt;wsp:rsid wsp:val=&quot;009A7B2A&quot;/&gt;&lt;wsp:rsid wsp:val=&quot;009A7C6B&quot;/&gt;&lt;wsp:rsid wsp:val=&quot;009A7F5F&quot;/&gt;&lt;wsp:rsid wsp:val=&quot;009A7FC0&quot;/&gt;&lt;wsp:rsid wsp:val=&quot;009B0022&quot;/&gt;&lt;wsp:rsid wsp:val=&quot;009B0042&quot;/&gt;&lt;wsp:rsid wsp:val=&quot;009B014E&quot;/&gt;&lt;wsp:rsid wsp:val=&quot;009B19DB&quot;/&gt;&lt;wsp:rsid wsp:val=&quot;009B1DFE&quot;/&gt;&lt;wsp:rsid wsp:val=&quot;009B2128&quot;/&gt;&lt;wsp:rsid wsp:val=&quot;009B22E8&quot;/&gt;&lt;wsp:rsid wsp:val=&quot;009B25D9&quot;/&gt;&lt;wsp:rsid wsp:val=&quot;009B2677&quot;/&gt;&lt;wsp:rsid wsp:val=&quot;009B27BF&quot;/&gt;&lt;wsp:rsid wsp:val=&quot;009B2B5E&quot;/&gt;&lt;wsp:rsid wsp:val=&quot;009B2BA8&quot;/&gt;&lt;wsp:rsid wsp:val=&quot;009B2C1B&quot;/&gt;&lt;wsp:rsid wsp:val=&quot;009B3173&quot;/&gt;&lt;wsp:rsid wsp:val=&quot;009B3240&quot;/&gt;&lt;wsp:rsid wsp:val=&quot;009B3386&quot;/&gt;&lt;wsp:rsid wsp:val=&quot;009B34B6&quot;/&gt;&lt;wsp:rsid wsp:val=&quot;009B35E8&quot;/&gt;&lt;wsp:rsid wsp:val=&quot;009B38D7&quot;/&gt;&lt;wsp:rsid wsp:val=&quot;009B3F26&quot;/&gt;&lt;wsp:rsid wsp:val=&quot;009B41DE&quot;/&gt;&lt;wsp:rsid wsp:val=&quot;009B4346&quot;/&gt;&lt;wsp:rsid wsp:val=&quot;009B48D2&quot;/&gt;&lt;wsp:rsid wsp:val=&quot;009B4A4C&quot;/&gt;&lt;wsp:rsid wsp:val=&quot;009B4DE2&quot;/&gt;&lt;wsp:rsid wsp:val=&quot;009B4FCB&quot;/&gt;&lt;wsp:rsid wsp:val=&quot;009B4FDE&quot;/&gt;&lt;wsp:rsid wsp:val=&quot;009B5038&quot;/&gt;&lt;wsp:rsid wsp:val=&quot;009B5084&quot;/&gt;&lt;wsp:rsid wsp:val=&quot;009B51B7&quot;/&gt;&lt;wsp:rsid wsp:val=&quot;009B587B&quot;/&gt;&lt;wsp:rsid wsp:val=&quot;009B5C74&quot;/&gt;&lt;wsp:rsid wsp:val=&quot;009B5F03&quot;/&gt;&lt;wsp:rsid wsp:val=&quot;009B5F51&quot;/&gt;&lt;wsp:rsid wsp:val=&quot;009B6457&quot;/&gt;&lt;wsp:rsid wsp:val=&quot;009B65FA&quot;/&gt;&lt;wsp:rsid wsp:val=&quot;009B688D&quot;/&gt;&lt;wsp:rsid wsp:val=&quot;009B69CC&quot;/&gt;&lt;wsp:rsid wsp:val=&quot;009B6DF7&quot;/&gt;&lt;wsp:rsid wsp:val=&quot;009B7082&quot;/&gt;&lt;wsp:rsid wsp:val=&quot;009B726D&quot;/&gt;&lt;wsp:rsid wsp:val=&quot;009B73CA&quot;/&gt;&lt;wsp:rsid wsp:val=&quot;009B7A0C&quot;/&gt;&lt;wsp:rsid wsp:val=&quot;009C0584&quot;/&gt;&lt;wsp:rsid wsp:val=&quot;009C087F&quot;/&gt;&lt;wsp:rsid wsp:val=&quot;009C09B1&quot;/&gt;&lt;wsp:rsid wsp:val=&quot;009C11F6&quot;/&gt;&lt;wsp:rsid wsp:val=&quot;009C18C5&quot;/&gt;&lt;wsp:rsid wsp:val=&quot;009C193C&quot;/&gt;&lt;wsp:rsid wsp:val=&quot;009C2423&quot;/&gt;&lt;wsp:rsid wsp:val=&quot;009C246D&quot;/&gt;&lt;wsp:rsid wsp:val=&quot;009C2667&quot;/&gt;&lt;wsp:rsid wsp:val=&quot;009C27C5&quot;/&gt;&lt;wsp:rsid wsp:val=&quot;009C2A4A&quot;/&gt;&lt;wsp:rsid wsp:val=&quot;009C2AC7&quot;/&gt;&lt;wsp:rsid wsp:val=&quot;009C334B&quot;/&gt;&lt;wsp:rsid wsp:val=&quot;009C3406&quot;/&gt;&lt;wsp:rsid wsp:val=&quot;009C344E&quot;/&gt;&lt;wsp:rsid wsp:val=&quot;009C3691&quot;/&gt;&lt;wsp:rsid wsp:val=&quot;009C3983&quot;/&gt;&lt;wsp:rsid wsp:val=&quot;009C3BD8&quot;/&gt;&lt;wsp:rsid wsp:val=&quot;009C3C2E&quot;/&gt;&lt;wsp:rsid wsp:val=&quot;009C4187&quot;/&gt;&lt;wsp:rsid wsp:val=&quot;009C4246&quot;/&gt;&lt;wsp:rsid wsp:val=&quot;009C44D5&quot;/&gt;&lt;wsp:rsid wsp:val=&quot;009C4524&quot;/&gt;&lt;wsp:rsid wsp:val=&quot;009C465D&quot;/&gt;&lt;wsp:rsid wsp:val=&quot;009C47AA&quot;/&gt;&lt;wsp:rsid wsp:val=&quot;009C51E6&quot;/&gt;&lt;wsp:rsid wsp:val=&quot;009C524F&quot;/&gt;&lt;wsp:rsid wsp:val=&quot;009C53FD&quot;/&gt;&lt;wsp:rsid wsp:val=&quot;009C5756&quot;/&gt;&lt;wsp:rsid wsp:val=&quot;009C60B7&quot;/&gt;&lt;wsp:rsid wsp:val=&quot;009C691E&quot;/&gt;&lt;wsp:rsid wsp:val=&quot;009C6972&quot;/&gt;&lt;wsp:rsid wsp:val=&quot;009C6DCF&quot;/&gt;&lt;wsp:rsid wsp:val=&quot;009C6FFC&quot;/&gt;&lt;wsp:rsid wsp:val=&quot;009C70F0&quot;/&gt;&lt;wsp:rsid wsp:val=&quot;009C7554&quot;/&gt;&lt;wsp:rsid wsp:val=&quot;009C7BFD&quot;/&gt;&lt;wsp:rsid wsp:val=&quot;009C7C62&quot;/&gt;&lt;wsp:rsid wsp:val=&quot;009D031F&quot;/&gt;&lt;wsp:rsid wsp:val=&quot;009D0AFC&quot;/&gt;&lt;wsp:rsid wsp:val=&quot;009D107E&quot;/&gt;&lt;wsp:rsid wsp:val=&quot;009D1593&quot;/&gt;&lt;wsp:rsid wsp:val=&quot;009D17F4&quot;/&gt;&lt;wsp:rsid wsp:val=&quot;009D1C49&quot;/&gt;&lt;wsp:rsid wsp:val=&quot;009D25E3&quot;/&gt;&lt;wsp:rsid wsp:val=&quot;009D27DA&quot;/&gt;&lt;wsp:rsid wsp:val=&quot;009D2B44&quot;/&gt;&lt;wsp:rsid wsp:val=&quot;009D2BA2&quot;/&gt;&lt;wsp:rsid wsp:val=&quot;009D327A&quot;/&gt;&lt;wsp:rsid wsp:val=&quot;009D3573&quot;/&gt;&lt;wsp:rsid wsp:val=&quot;009D370B&quot;/&gt;&lt;wsp:rsid wsp:val=&quot;009D3B5D&quot;/&gt;&lt;wsp:rsid wsp:val=&quot;009D410A&quot;/&gt;&lt;wsp:rsid wsp:val=&quot;009D41F4&quot;/&gt;&lt;wsp:rsid wsp:val=&quot;009D436B&quot;/&gt;&lt;wsp:rsid wsp:val=&quot;009D44A7&quot;/&gt;&lt;wsp:rsid wsp:val=&quot;009D48F4&quot;/&gt;&lt;wsp:rsid wsp:val=&quot;009D4B68&quot;/&gt;&lt;wsp:rsid wsp:val=&quot;009D4BAC&quot;/&gt;&lt;wsp:rsid wsp:val=&quot;009D4DAB&quot;/&gt;&lt;wsp:rsid wsp:val=&quot;009D4E77&quot;/&gt;&lt;wsp:rsid wsp:val=&quot;009D515E&quot;/&gt;&lt;wsp:rsid wsp:val=&quot;009D5399&quot;/&gt;&lt;wsp:rsid wsp:val=&quot;009D5430&quot;/&gt;&lt;wsp:rsid wsp:val=&quot;009D55F5&quot;/&gt;&lt;wsp:rsid wsp:val=&quot;009D563E&quot;/&gt;&lt;wsp:rsid wsp:val=&quot;009D5698&quot;/&gt;&lt;wsp:rsid wsp:val=&quot;009D5699&quot;/&gt;&lt;wsp:rsid wsp:val=&quot;009D56DB&quot;/&gt;&lt;wsp:rsid wsp:val=&quot;009D588E&quot;/&gt;&lt;wsp:rsid wsp:val=&quot;009D59F6&quot;/&gt;&lt;wsp:rsid wsp:val=&quot;009D5DE0&quot;/&gt;&lt;wsp:rsid wsp:val=&quot;009D614B&quot;/&gt;&lt;wsp:rsid wsp:val=&quot;009D6362&quot;/&gt;&lt;wsp:rsid wsp:val=&quot;009D64FF&quot;/&gt;&lt;wsp:rsid wsp:val=&quot;009D657C&quot;/&gt;&lt;wsp:rsid wsp:val=&quot;009D6789&quot;/&gt;&lt;wsp:rsid wsp:val=&quot;009E0869&quot;/&gt;&lt;wsp:rsid wsp:val=&quot;009E08AF&quot;/&gt;&lt;wsp:rsid wsp:val=&quot;009E08B6&quot;/&gt;&lt;wsp:rsid wsp:val=&quot;009E0916&quot;/&gt;&lt;wsp:rsid wsp:val=&quot;009E09EB&quot;/&gt;&lt;wsp:rsid wsp:val=&quot;009E19CE&quot;/&gt;&lt;wsp:rsid wsp:val=&quot;009E1C87&quot;/&gt;&lt;wsp:rsid wsp:val=&quot;009E1EB4&quot;/&gt;&lt;wsp:rsid wsp:val=&quot;009E23FE&quot;/&gt;&lt;wsp:rsid wsp:val=&quot;009E24B2&quot;/&gt;&lt;wsp:rsid wsp:val=&quot;009E2535&quot;/&gt;&lt;wsp:rsid wsp:val=&quot;009E2952&quot;/&gt;&lt;wsp:rsid wsp:val=&quot;009E2F3B&quot;/&gt;&lt;wsp:rsid wsp:val=&quot;009E3489&quot;/&gt;&lt;wsp:rsid wsp:val=&quot;009E36FC&quot;/&gt;&lt;wsp:rsid wsp:val=&quot;009E3790&quot;/&gt;&lt;wsp:rsid wsp:val=&quot;009E37A4&quot;/&gt;&lt;wsp:rsid wsp:val=&quot;009E39BA&quot;/&gt;&lt;wsp:rsid wsp:val=&quot;009E3DA9&quot;/&gt;&lt;wsp:rsid wsp:val=&quot;009E4003&quot;/&gt;&lt;wsp:rsid wsp:val=&quot;009E44C7&quot;/&gt;&lt;wsp:rsid wsp:val=&quot;009E4755&quot;/&gt;&lt;wsp:rsid wsp:val=&quot;009E476A&quot;/&gt;&lt;wsp:rsid wsp:val=&quot;009E4C03&quot;/&gt;&lt;wsp:rsid wsp:val=&quot;009E4CBC&quot;/&gt;&lt;wsp:rsid wsp:val=&quot;009E4E0A&quot;/&gt;&lt;wsp:rsid wsp:val=&quot;009E4F5F&quot;/&gt;&lt;wsp:rsid wsp:val=&quot;009E5422&quot;/&gt;&lt;wsp:rsid wsp:val=&quot;009E5C5F&quot;/&gt;&lt;wsp:rsid wsp:val=&quot;009E5C63&quot;/&gt;&lt;wsp:rsid wsp:val=&quot;009E5F4E&quot;/&gt;&lt;wsp:rsid wsp:val=&quot;009E5F84&quot;/&gt;&lt;wsp:rsid wsp:val=&quot;009E60BB&quot;/&gt;&lt;wsp:rsid wsp:val=&quot;009E6E2A&quot;/&gt;&lt;wsp:rsid wsp:val=&quot;009E6FCB&quot;/&gt;&lt;wsp:rsid wsp:val=&quot;009E748F&quot;/&gt;&lt;wsp:rsid wsp:val=&quot;009E793B&quot;/&gt;&lt;wsp:rsid wsp:val=&quot;009F0068&quot;/&gt;&lt;wsp:rsid wsp:val=&quot;009F050D&quot;/&gt;&lt;wsp:rsid wsp:val=&quot;009F081E&quot;/&gt;&lt;wsp:rsid wsp:val=&quot;009F082A&quot;/&gt;&lt;wsp:rsid wsp:val=&quot;009F0AED&quot;/&gt;&lt;wsp:rsid wsp:val=&quot;009F0BEC&quot;/&gt;&lt;wsp:rsid wsp:val=&quot;009F0DB7&quot;/&gt;&lt;wsp:rsid wsp:val=&quot;009F1031&quot;/&gt;&lt;wsp:rsid wsp:val=&quot;009F11FF&quot;/&gt;&lt;wsp:rsid wsp:val=&quot;009F161A&quot;/&gt;&lt;wsp:rsid wsp:val=&quot;009F28D8&quot;/&gt;&lt;wsp:rsid wsp:val=&quot;009F2F21&quot;/&gt;&lt;wsp:rsid wsp:val=&quot;009F3125&quot;/&gt;&lt;wsp:rsid wsp:val=&quot;009F31B4&quot;/&gt;&lt;wsp:rsid wsp:val=&quot;009F3531&quot;/&gt;&lt;wsp:rsid wsp:val=&quot;009F359F&quot;/&gt;&lt;wsp:rsid wsp:val=&quot;009F40A7&quot;/&gt;&lt;wsp:rsid wsp:val=&quot;009F44B6&quot;/&gt;&lt;wsp:rsid wsp:val=&quot;009F4740&quot;/&gt;&lt;wsp:rsid wsp:val=&quot;009F543F&quot;/&gt;&lt;wsp:rsid wsp:val=&quot;009F5C36&quot;/&gt;&lt;wsp:rsid wsp:val=&quot;009F61A7&quot;/&gt;&lt;wsp:rsid wsp:val=&quot;009F645C&quot;/&gt;&lt;wsp:rsid wsp:val=&quot;009F710D&quot;/&gt;&lt;wsp:rsid wsp:val=&quot;009F7223&quot;/&gt;&lt;wsp:rsid wsp:val=&quot;009F7266&quot;/&gt;&lt;wsp:rsid wsp:val=&quot;009F7801&quot;/&gt;&lt;wsp:rsid wsp:val=&quot;009F79D5&quot;/&gt;&lt;wsp:rsid wsp:val=&quot;009F7ADA&quot;/&gt;&lt;wsp:rsid wsp:val=&quot;009F7AF1&quot;/&gt;&lt;wsp:rsid wsp:val=&quot;009F7C75&quot;/&gt;&lt;wsp:rsid wsp:val=&quot;00A0015F&quot;/&gt;&lt;wsp:rsid wsp:val=&quot;00A00164&quot;/&gt;&lt;wsp:rsid wsp:val=&quot;00A00A60&quot;/&gt;&lt;wsp:rsid wsp:val=&quot;00A00A6D&quot;/&gt;&lt;wsp:rsid wsp:val=&quot;00A00B83&quot;/&gt;&lt;wsp:rsid wsp:val=&quot;00A00CF3&quot;/&gt;&lt;wsp:rsid wsp:val=&quot;00A010A5&quot;/&gt;&lt;wsp:rsid wsp:val=&quot;00A014B8&quot;/&gt;&lt;wsp:rsid wsp:val=&quot;00A02150&quot;/&gt;&lt;wsp:rsid wsp:val=&quot;00A0276D&quot;/&gt;&lt;wsp:rsid wsp:val=&quot;00A02A8E&quot;/&gt;&lt;wsp:rsid wsp:val=&quot;00A02D00&quot;/&gt;&lt;wsp:rsid wsp:val=&quot;00A02D75&quot;/&gt;&lt;wsp:rsid wsp:val=&quot;00A0359A&quot;/&gt;&lt;wsp:rsid wsp:val=&quot;00A0370B&quot;/&gt;&lt;wsp:rsid wsp:val=&quot;00A037B6&quot;/&gt;&lt;wsp:rsid wsp:val=&quot;00A037E7&quot;/&gt;&lt;wsp:rsid wsp:val=&quot;00A03BB8&quot;/&gt;&lt;wsp:rsid wsp:val=&quot;00A03C50&quot;/&gt;&lt;wsp:rsid wsp:val=&quot;00A03D22&quot;/&gt;&lt;wsp:rsid wsp:val=&quot;00A0412A&quot;/&gt;&lt;wsp:rsid wsp:val=&quot;00A0436A&quot;/&gt;&lt;wsp:rsid wsp:val=&quot;00A0436F&quot;/&gt;&lt;wsp:rsid wsp:val=&quot;00A0459D&quot;/&gt;&lt;wsp:rsid wsp:val=&quot;00A04AEF&quot;/&gt;&lt;wsp:rsid wsp:val=&quot;00A04B39&quot;/&gt;&lt;wsp:rsid wsp:val=&quot;00A04E68&quot;/&gt;&lt;wsp:rsid wsp:val=&quot;00A04EB3&quot;/&gt;&lt;wsp:rsid wsp:val=&quot;00A050AF&quot;/&gt;&lt;wsp:rsid wsp:val=&quot;00A05951&quot;/&gt;&lt;wsp:rsid wsp:val=&quot;00A059A0&quot;/&gt;&lt;wsp:rsid wsp:val=&quot;00A05E6E&quot;/&gt;&lt;wsp:rsid wsp:val=&quot;00A061E1&quot;/&gt;&lt;wsp:rsid wsp:val=&quot;00A0670A&quot;/&gt;&lt;wsp:rsid wsp:val=&quot;00A06791&quot;/&gt;&lt;wsp:rsid wsp:val=&quot;00A06807&quot;/&gt;&lt;wsp:rsid wsp:val=&quot;00A068D1&quot;/&gt;&lt;wsp:rsid wsp:val=&quot;00A07420&quot;/&gt;&lt;wsp:rsid wsp:val=&quot;00A07458&quot;/&gt;&lt;wsp:rsid wsp:val=&quot;00A07785&quot;/&gt;&lt;wsp:rsid wsp:val=&quot;00A078ED&quot;/&gt;&lt;wsp:rsid wsp:val=&quot;00A07ACC&quot;/&gt;&lt;wsp:rsid wsp:val=&quot;00A07C90&quot;/&gt;&lt;wsp:rsid wsp:val=&quot;00A07E2E&quot;/&gt;&lt;wsp:rsid wsp:val=&quot;00A07EB9&quot;/&gt;&lt;wsp:rsid wsp:val=&quot;00A10C4A&quot;/&gt;&lt;wsp:rsid wsp:val=&quot;00A10D83&quot;/&gt;&lt;wsp:rsid wsp:val=&quot;00A11141&quot;/&gt;&lt;wsp:rsid wsp:val=&quot;00A11301&quot;/&gt;&lt;wsp:rsid wsp:val=&quot;00A1156A&quot;/&gt;&lt;wsp:rsid wsp:val=&quot;00A115E5&quot;/&gt;&lt;wsp:rsid wsp:val=&quot;00A11696&quot;/&gt;&lt;wsp:rsid wsp:val=&quot;00A11C22&quot;/&gt;&lt;wsp:rsid wsp:val=&quot;00A11D4B&quot;/&gt;&lt;wsp:rsid wsp:val=&quot;00A11EFB&quot;/&gt;&lt;wsp:rsid wsp:val=&quot;00A12097&quot;/&gt;&lt;wsp:rsid wsp:val=&quot;00A123F4&quot;/&gt;&lt;wsp:rsid wsp:val=&quot;00A12600&quot;/&gt;&lt;wsp:rsid wsp:val=&quot;00A12CE5&quot;/&gt;&lt;wsp:rsid wsp:val=&quot;00A13251&quot;/&gt;&lt;wsp:rsid wsp:val=&quot;00A1337A&quot;/&gt;&lt;wsp:rsid wsp:val=&quot;00A13517&quot;/&gt;&lt;wsp:rsid wsp:val=&quot;00A13605&quot;/&gt;&lt;wsp:rsid wsp:val=&quot;00A13BAB&quot;/&gt;&lt;wsp:rsid wsp:val=&quot;00A13F40&quot;/&gt;&lt;wsp:rsid wsp:val=&quot;00A14387&quot;/&gt;&lt;wsp:rsid wsp:val=&quot;00A147E7&quot;/&gt;&lt;wsp:rsid wsp:val=&quot;00A14915&quot;/&gt;&lt;wsp:rsid wsp:val=&quot;00A14B0D&quot;/&gt;&lt;wsp:rsid wsp:val=&quot;00A14BB7&quot;/&gt;&lt;wsp:rsid wsp:val=&quot;00A14BE0&quot;/&gt;&lt;wsp:rsid wsp:val=&quot;00A1502B&quot;/&gt;&lt;wsp:rsid wsp:val=&quot;00A1529E&quot;/&gt;&lt;wsp:rsid wsp:val=&quot;00A1546C&quot;/&gt;&lt;wsp:rsid wsp:val=&quot;00A15DDC&quot;/&gt;&lt;wsp:rsid wsp:val=&quot;00A15E3D&quot;/&gt;&lt;wsp:rsid wsp:val=&quot;00A15E97&quot;/&gt;&lt;wsp:rsid wsp:val=&quot;00A16237&quot;/&gt;&lt;wsp:rsid wsp:val=&quot;00A1639C&quot;/&gt;&lt;wsp:rsid wsp:val=&quot;00A16F02&quot;/&gt;&lt;wsp:rsid wsp:val=&quot;00A16F82&quot;/&gt;&lt;wsp:rsid wsp:val=&quot;00A201A5&quot;/&gt;&lt;wsp:rsid wsp:val=&quot;00A20A9A&quot;/&gt;&lt;wsp:rsid wsp:val=&quot;00A20AEF&quot;/&gt;&lt;wsp:rsid wsp:val=&quot;00A20BB5&quot;/&gt;&lt;wsp:rsid wsp:val=&quot;00A20FC0&quot;/&gt;&lt;wsp:rsid wsp:val=&quot;00A2143A&quot;/&gt;&lt;wsp:rsid wsp:val=&quot;00A21586&quot;/&gt;&lt;wsp:rsid wsp:val=&quot;00A2183A&quot;/&gt;&lt;wsp:rsid wsp:val=&quot;00A21C13&quot;/&gt;&lt;wsp:rsid wsp:val=&quot;00A21D2D&quot;/&gt;&lt;wsp:rsid wsp:val=&quot;00A22026&quot;/&gt;&lt;wsp:rsid wsp:val=&quot;00A221BE&quot;/&gt;&lt;wsp:rsid wsp:val=&quot;00A2252A&quot;/&gt;&lt;wsp:rsid wsp:val=&quot;00A22775&quot;/&gt;&lt;wsp:rsid wsp:val=&quot;00A22CDE&quot;/&gt;&lt;wsp:rsid wsp:val=&quot;00A22E09&quot;/&gt;&lt;wsp:rsid wsp:val=&quot;00A22E39&quot;/&gt;&lt;wsp:rsid wsp:val=&quot;00A23703&quot;/&gt;&lt;wsp:rsid wsp:val=&quot;00A23B5F&quot;/&gt;&lt;wsp:rsid wsp:val=&quot;00A23E00&quot;/&gt;&lt;wsp:rsid wsp:val=&quot;00A23FC2&quot;/&gt;&lt;wsp:rsid wsp:val=&quot;00A2452D&quot;/&gt;&lt;wsp:rsid wsp:val=&quot;00A245C6&quot;/&gt;&lt;wsp:rsid wsp:val=&quot;00A24688&quot;/&gt;&lt;wsp:rsid wsp:val=&quot;00A24C79&quot;/&gt;&lt;wsp:rsid wsp:val=&quot;00A24EDB&quot;/&gt;&lt;wsp:rsid wsp:val=&quot;00A250A2&quot;/&gt;&lt;wsp:rsid wsp:val=&quot;00A255AA&quot;/&gt;&lt;wsp:rsid wsp:val=&quot;00A262E6&quot;/&gt;&lt;wsp:rsid wsp:val=&quot;00A26390&quot;/&gt;&lt;wsp:rsid wsp:val=&quot;00A264DF&quot;/&gt;&lt;wsp:rsid wsp:val=&quot;00A2650C&quot;/&gt;&lt;wsp:rsid wsp:val=&quot;00A26786&quot;/&gt;&lt;wsp:rsid wsp:val=&quot;00A26C4A&quot;/&gt;&lt;wsp:rsid wsp:val=&quot;00A270DF&quot;/&gt;&lt;wsp:rsid wsp:val=&quot;00A301F0&quot;/&gt;&lt;wsp:rsid wsp:val=&quot;00A30BCF&quot;/&gt;&lt;wsp:rsid wsp:val=&quot;00A30FB2&quot;/&gt;&lt;wsp:rsid wsp:val=&quot;00A3108C&quot;/&gt;&lt;wsp:rsid wsp:val=&quot;00A31442&quot;/&gt;&lt;wsp:rsid wsp:val=&quot;00A31809&quot;/&gt;&lt;wsp:rsid wsp:val=&quot;00A31F89&quot;/&gt;&lt;wsp:rsid wsp:val=&quot;00A32115&quot;/&gt;&lt;wsp:rsid wsp:val=&quot;00A322EC&quot;/&gt;&lt;wsp:rsid wsp:val=&quot;00A324AE&quot;/&gt;&lt;wsp:rsid wsp:val=&quot;00A32841&quot;/&gt;&lt;wsp:rsid wsp:val=&quot;00A32A15&quot;/&gt;&lt;wsp:rsid wsp:val=&quot;00A32BE8&quot;/&gt;&lt;wsp:rsid wsp:val=&quot;00A32CAC&quot;/&gt;&lt;wsp:rsid wsp:val=&quot;00A3314C&quot;/&gt;&lt;wsp:rsid wsp:val=&quot;00A3324E&quot;/&gt;&lt;wsp:rsid wsp:val=&quot;00A332FD&quot;/&gt;&lt;wsp:rsid wsp:val=&quot;00A333B8&quot;/&gt;&lt;wsp:rsid wsp:val=&quot;00A337D7&quot;/&gt;&lt;wsp:rsid wsp:val=&quot;00A33C6E&quot;/&gt;&lt;wsp:rsid wsp:val=&quot;00A34811&quot;/&gt;&lt;wsp:rsid wsp:val=&quot;00A34BB4&quot;/&gt;&lt;wsp:rsid wsp:val=&quot;00A34F4A&quot;/&gt;&lt;wsp:rsid wsp:val=&quot;00A350C8&quot;/&gt;&lt;wsp:rsid wsp:val=&quot;00A3568C&quot;/&gt;&lt;wsp:rsid wsp:val=&quot;00A356E4&quot;/&gt;&lt;wsp:rsid wsp:val=&quot;00A35AB6&quot;/&gt;&lt;wsp:rsid wsp:val=&quot;00A35D03&quot;/&gt;&lt;wsp:rsid wsp:val=&quot;00A35EDA&quot;/&gt;&lt;wsp:rsid wsp:val=&quot;00A35F76&quot;/&gt;&lt;wsp:rsid wsp:val=&quot;00A360B4&quot;/&gt;&lt;wsp:rsid wsp:val=&quot;00A371A3&quot;/&gt;&lt;wsp:rsid wsp:val=&quot;00A3739B&quot;/&gt;&lt;wsp:rsid wsp:val=&quot;00A37572&quot;/&gt;&lt;wsp:rsid wsp:val=&quot;00A377E1&quot;/&gt;&lt;wsp:rsid wsp:val=&quot;00A378FC&quot;/&gt;&lt;wsp:rsid wsp:val=&quot;00A37A25&quot;/&gt;&lt;wsp:rsid wsp:val=&quot;00A37CC0&quot;/&gt;&lt;wsp:rsid wsp:val=&quot;00A37F0D&quot;/&gt;&lt;wsp:rsid wsp:val=&quot;00A40179&quot;/&gt;&lt;wsp:rsid wsp:val=&quot;00A40434&quot;/&gt;&lt;wsp:rsid wsp:val=&quot;00A4067B&quot;/&gt;&lt;wsp:rsid wsp:val=&quot;00A408C4&quot;/&gt;&lt;wsp:rsid wsp:val=&quot;00A40971&quot;/&gt;&lt;wsp:rsid wsp:val=&quot;00A40C5E&quot;/&gt;&lt;wsp:rsid wsp:val=&quot;00A412D1&quot;/&gt;&lt;wsp:rsid wsp:val=&quot;00A417D8&quot;/&gt;&lt;wsp:rsid wsp:val=&quot;00A421A1&quot;/&gt;&lt;wsp:rsid wsp:val=&quot;00A422F4&quot;/&gt;&lt;wsp:rsid wsp:val=&quot;00A424AD&quot;/&gt;&lt;wsp:rsid wsp:val=&quot;00A42986&quot;/&gt;&lt;wsp:rsid wsp:val=&quot;00A42990&quot;/&gt;&lt;wsp:rsid wsp:val=&quot;00A42D5A&quot;/&gt;&lt;wsp:rsid wsp:val=&quot;00A42D9C&quot;/&gt;&lt;wsp:rsid wsp:val=&quot;00A42ED6&quot;/&gt;&lt;wsp:rsid wsp:val=&quot;00A43250&quot;/&gt;&lt;wsp:rsid wsp:val=&quot;00A4359A&quot;/&gt;&lt;wsp:rsid wsp:val=&quot;00A43ADB&quot;/&gt;&lt;wsp:rsid wsp:val=&quot;00A43F1F&quot;/&gt;&lt;wsp:rsid wsp:val=&quot;00A4411D&quot;/&gt;&lt;wsp:rsid wsp:val=&quot;00A44251&quot;/&gt;&lt;wsp:rsid wsp:val=&quot;00A44413&quot;/&gt;&lt;wsp:rsid wsp:val=&quot;00A44464&quot;/&gt;&lt;wsp:rsid wsp:val=&quot;00A44498&quot;/&gt;&lt;wsp:rsid wsp:val=&quot;00A449BC&quot;/&gt;&lt;wsp:rsid wsp:val=&quot;00A44D4F&quot;/&gt;&lt;wsp:rsid wsp:val=&quot;00A454DE&quot;/&gt;&lt;wsp:rsid wsp:val=&quot;00A45595&quot;/&gt;&lt;wsp:rsid wsp:val=&quot;00A4641D&quot;/&gt;&lt;wsp:rsid wsp:val=&quot;00A46507&quot;/&gt;&lt;wsp:rsid wsp:val=&quot;00A46BD4&quot;/&gt;&lt;wsp:rsid wsp:val=&quot;00A46E2B&quot;/&gt;&lt;wsp:rsid wsp:val=&quot;00A477AB&quot;/&gt;&lt;wsp:rsid wsp:val=&quot;00A478F6&quot;/&gt;&lt;wsp:rsid wsp:val=&quot;00A4790F&quot;/&gt;&lt;wsp:rsid wsp:val=&quot;00A47B97&quot;/&gt;&lt;wsp:rsid wsp:val=&quot;00A47F48&quot;/&gt;&lt;wsp:rsid wsp:val=&quot;00A50537&quot;/&gt;&lt;wsp:rsid wsp:val=&quot;00A50D5A&quot;/&gt;&lt;wsp:rsid wsp:val=&quot;00A50DBF&quot;/&gt;&lt;wsp:rsid wsp:val=&quot;00A51714&quot;/&gt;&lt;wsp:rsid wsp:val=&quot;00A51CBE&quot;/&gt;&lt;wsp:rsid wsp:val=&quot;00A520F1&quot;/&gt;&lt;wsp:rsid wsp:val=&quot;00A52361&quot;/&gt;&lt;wsp:rsid wsp:val=&quot;00A524AC&quot;/&gt;&lt;wsp:rsid wsp:val=&quot;00A5272C&quot;/&gt;&lt;wsp:rsid wsp:val=&quot;00A537F3&quot;/&gt;&lt;wsp:rsid wsp:val=&quot;00A53827&quot;/&gt;&lt;wsp:rsid wsp:val=&quot;00A53E05&quot;/&gt;&lt;wsp:rsid wsp:val=&quot;00A5521C&quot;/&gt;&lt;wsp:rsid wsp:val=&quot;00A552DB&quot;/&gt;&lt;wsp:rsid wsp:val=&quot;00A5538C&quot;/&gt;&lt;wsp:rsid wsp:val=&quot;00A553D6&quot;/&gt;&lt;wsp:rsid wsp:val=&quot;00A55442&quot;/&gt;&lt;wsp:rsid wsp:val=&quot;00A55958&quot;/&gt;&lt;wsp:rsid wsp:val=&quot;00A55DB7&quot;/&gt;&lt;wsp:rsid wsp:val=&quot;00A55DFA&quot;/&gt;&lt;wsp:rsid wsp:val=&quot;00A560FB&quot;/&gt;&lt;wsp:rsid wsp:val=&quot;00A56330&quot;/&gt;&lt;wsp:rsid wsp:val=&quot;00A56B8C&quot;/&gt;&lt;wsp:rsid wsp:val=&quot;00A56CBE&quot;/&gt;&lt;wsp:rsid wsp:val=&quot;00A57500&quot;/&gt;&lt;wsp:rsid wsp:val=&quot;00A576A8&quot;/&gt;&lt;wsp:rsid wsp:val=&quot;00A57E26&quot;/&gt;&lt;wsp:rsid wsp:val=&quot;00A6007F&quot;/&gt;&lt;wsp:rsid wsp:val=&quot;00A60295&quot;/&gt;&lt;wsp:rsid wsp:val=&quot;00A6037F&quot;/&gt;&lt;wsp:rsid wsp:val=&quot;00A60502&quot;/&gt;&lt;wsp:rsid wsp:val=&quot;00A605FE&quot;/&gt;&lt;wsp:rsid wsp:val=&quot;00A608BC&quot;/&gt;&lt;wsp:rsid wsp:val=&quot;00A60AB0&quot;/&gt;&lt;wsp:rsid wsp:val=&quot;00A60AD1&quot;/&gt;&lt;wsp:rsid wsp:val=&quot;00A60C89&quot;/&gt;&lt;wsp:rsid wsp:val=&quot;00A60D27&quot;/&gt;&lt;wsp:rsid wsp:val=&quot;00A60EB9&quot;/&gt;&lt;wsp:rsid wsp:val=&quot;00A610C7&quot;/&gt;&lt;wsp:rsid wsp:val=&quot;00A619A8&quot;/&gt;&lt;wsp:rsid wsp:val=&quot;00A61C63&quot;/&gt;&lt;wsp:rsid wsp:val=&quot;00A61EBD&quot;/&gt;&lt;wsp:rsid wsp:val=&quot;00A6224D&quot;/&gt;&lt;wsp:rsid wsp:val=&quot;00A622D4&quot;/&gt;&lt;wsp:rsid wsp:val=&quot;00A62923&quot;/&gt;&lt;wsp:rsid wsp:val=&quot;00A62BB6&quot;/&gt;&lt;wsp:rsid wsp:val=&quot;00A62BE4&quot;/&gt;&lt;wsp:rsid wsp:val=&quot;00A62E08&quot;/&gt;&lt;wsp:rsid wsp:val=&quot;00A632FB&quot;/&gt;&lt;wsp:rsid wsp:val=&quot;00A639F9&quot;/&gt;&lt;wsp:rsid wsp:val=&quot;00A63D5A&quot;/&gt;&lt;wsp:rsid wsp:val=&quot;00A640A4&quot;/&gt;&lt;wsp:rsid wsp:val=&quot;00A64423&quot;/&gt;&lt;wsp:rsid wsp:val=&quot;00A644C9&quot;/&gt;&lt;wsp:rsid wsp:val=&quot;00A646A4&quot;/&gt;&lt;wsp:rsid wsp:val=&quot;00A64795&quot;/&gt;&lt;wsp:rsid wsp:val=&quot;00A647B3&quot;/&gt;&lt;wsp:rsid wsp:val=&quot;00A65234&quot;/&gt;&lt;wsp:rsid wsp:val=&quot;00A65390&quot;/&gt;&lt;wsp:rsid wsp:val=&quot;00A65748&quot;/&gt;&lt;wsp:rsid wsp:val=&quot;00A65A72&quot;/&gt;&lt;wsp:rsid wsp:val=&quot;00A65F15&quot;/&gt;&lt;wsp:rsid wsp:val=&quot;00A660B1&quot;/&gt;&lt;wsp:rsid wsp:val=&quot;00A66142&quot;/&gt;&lt;wsp:rsid wsp:val=&quot;00A662B4&quot;/&gt;&lt;wsp:rsid wsp:val=&quot;00A667D7&quot;/&gt;&lt;wsp:rsid wsp:val=&quot;00A667F1&quot;/&gt;&lt;wsp:rsid wsp:val=&quot;00A66F98&quot;/&gt;&lt;wsp:rsid wsp:val=&quot;00A67011&quot;/&gt;&lt;wsp:rsid wsp:val=&quot;00A673C4&quot;/&gt;&lt;wsp:rsid wsp:val=&quot;00A6759C&quot;/&gt;&lt;wsp:rsid wsp:val=&quot;00A67654&quot;/&gt;&lt;wsp:rsid wsp:val=&quot;00A705BB&quot;/&gt;&lt;wsp:rsid wsp:val=&quot;00A707E7&quot;/&gt;&lt;wsp:rsid wsp:val=&quot;00A70805&quot;/&gt;&lt;wsp:rsid wsp:val=&quot;00A70DD7&quot;/&gt;&lt;wsp:rsid wsp:val=&quot;00A70F3B&quot;/&gt;&lt;wsp:rsid wsp:val=&quot;00A71386&quot;/&gt;&lt;wsp:rsid wsp:val=&quot;00A7163D&quot;/&gt;&lt;wsp:rsid wsp:val=&quot;00A71D00&quot;/&gt;&lt;wsp:rsid wsp:val=&quot;00A72606&quot;/&gt;&lt;wsp:rsid wsp:val=&quot;00A72850&quot;/&gt;&lt;wsp:rsid wsp:val=&quot;00A72A4C&quot;/&gt;&lt;wsp:rsid wsp:val=&quot;00A72CDF&quot;/&gt;&lt;wsp:rsid wsp:val=&quot;00A733BE&quot;/&gt;&lt;wsp:rsid wsp:val=&quot;00A736E2&quot;/&gt;&lt;wsp:rsid wsp:val=&quot;00A7397C&quot;/&gt;&lt;wsp:rsid wsp:val=&quot;00A73DC1&quot;/&gt;&lt;wsp:rsid wsp:val=&quot;00A7499D&quot;/&gt;&lt;wsp:rsid wsp:val=&quot;00A74F71&quot;/&gt;&lt;wsp:rsid wsp:val=&quot;00A7542B&quot;/&gt;&lt;wsp:rsid wsp:val=&quot;00A75500&quot;/&gt;&lt;wsp:rsid wsp:val=&quot;00A7559E&quot;/&gt;&lt;wsp:rsid wsp:val=&quot;00A76B7F&quot;/&gt;&lt;wsp:rsid wsp:val=&quot;00A76D24&quot;/&gt;&lt;wsp:rsid wsp:val=&quot;00A76EC7&quot;/&gt;&lt;wsp:rsid wsp:val=&quot;00A772ED&quot;/&gt;&lt;wsp:rsid wsp:val=&quot;00A778A0&quot;/&gt;&lt;wsp:rsid wsp:val=&quot;00A77B70&quot;/&gt;&lt;wsp:rsid wsp:val=&quot;00A77C9D&quot;/&gt;&lt;wsp:rsid wsp:val=&quot;00A77CB3&quot;/&gt;&lt;wsp:rsid wsp:val=&quot;00A77F42&quot;/&gt;&lt;wsp:rsid wsp:val=&quot;00A8024D&quot;/&gt;&lt;wsp:rsid wsp:val=&quot;00A8057E&quot;/&gt;&lt;wsp:rsid wsp:val=&quot;00A8060D&quot;/&gt;&lt;wsp:rsid wsp:val=&quot;00A807F7&quot;/&gt;&lt;wsp:rsid wsp:val=&quot;00A80C0C&quot;/&gt;&lt;wsp:rsid wsp:val=&quot;00A814D1&quot;/&gt;&lt;wsp:rsid wsp:val=&quot;00A819BF&quot;/&gt;&lt;wsp:rsid wsp:val=&quot;00A81A03&quot;/&gt;&lt;wsp:rsid wsp:val=&quot;00A8254D&quot;/&gt;&lt;wsp:rsid wsp:val=&quot;00A82DE6&quot;/&gt;&lt;wsp:rsid wsp:val=&quot;00A82E80&quot;/&gt;&lt;wsp:rsid wsp:val=&quot;00A82F01&quot;/&gt;&lt;wsp:rsid wsp:val=&quot;00A83154&quot;/&gt;&lt;wsp:rsid wsp:val=&quot;00A83181&quot;/&gt;&lt;wsp:rsid wsp:val=&quot;00A834CF&quot;/&gt;&lt;wsp:rsid wsp:val=&quot;00A835B9&quot;/&gt;&lt;wsp:rsid wsp:val=&quot;00A8396E&quot;/&gt;&lt;wsp:rsid wsp:val=&quot;00A83A4C&quot;/&gt;&lt;wsp:rsid wsp:val=&quot;00A83B01&quot;/&gt;&lt;wsp:rsid wsp:val=&quot;00A83C9C&quot;/&gt;&lt;wsp:rsid wsp:val=&quot;00A83CE5&quot;/&gt;&lt;wsp:rsid wsp:val=&quot;00A848E7&quot;/&gt;&lt;wsp:rsid wsp:val=&quot;00A84A50&quot;/&gt;&lt;wsp:rsid wsp:val=&quot;00A84D4E&quot;/&gt;&lt;wsp:rsid wsp:val=&quot;00A84EA7&quot;/&gt;&lt;wsp:rsid wsp:val=&quot;00A84FBB&quot;/&gt;&lt;wsp:rsid wsp:val=&quot;00A857B0&quot;/&gt;&lt;wsp:rsid wsp:val=&quot;00A858B4&quot;/&gt;&lt;wsp:rsid wsp:val=&quot;00A858CE&quot;/&gt;&lt;wsp:rsid wsp:val=&quot;00A85A6B&quot;/&gt;&lt;wsp:rsid wsp:val=&quot;00A85C6D&quot;/&gt;&lt;wsp:rsid wsp:val=&quot;00A85CDB&quot;/&gt;&lt;wsp:rsid wsp:val=&quot;00A85CF8&quot;/&gt;&lt;wsp:rsid wsp:val=&quot;00A8612E&quot;/&gt;&lt;wsp:rsid wsp:val=&quot;00A861E0&quot;/&gt;&lt;wsp:rsid wsp:val=&quot;00A86753&quot;/&gt;&lt;wsp:rsid wsp:val=&quot;00A86A82&quot;/&gt;&lt;wsp:rsid wsp:val=&quot;00A87378&quot;/&gt;&lt;wsp:rsid wsp:val=&quot;00A873AF&quot;/&gt;&lt;wsp:rsid wsp:val=&quot;00A874D3&quot;/&gt;&lt;wsp:rsid wsp:val=&quot;00A875E2&quot;/&gt;&lt;wsp:rsid wsp:val=&quot;00A8794B&quot;/&gt;&lt;wsp:rsid wsp:val=&quot;00A90463&quot;/&gt;&lt;wsp:rsid wsp:val=&quot;00A905EE&quot;/&gt;&lt;wsp:rsid wsp:val=&quot;00A907B0&quot;/&gt;&lt;wsp:rsid wsp:val=&quot;00A90D1E&quot;/&gt;&lt;wsp:rsid wsp:val=&quot;00A90E71&quot;/&gt;&lt;wsp:rsid wsp:val=&quot;00A92000&quot;/&gt;&lt;wsp:rsid wsp:val=&quot;00A92327&quot;/&gt;&lt;wsp:rsid wsp:val=&quot;00A9244E&quot;/&gt;&lt;wsp:rsid wsp:val=&quot;00A9258B&quot;/&gt;&lt;wsp:rsid wsp:val=&quot;00A92C5A&quot;/&gt;&lt;wsp:rsid wsp:val=&quot;00A92DAC&quot;/&gt;&lt;wsp:rsid wsp:val=&quot;00A931B5&quot;/&gt;&lt;wsp:rsid wsp:val=&quot;00A93486&quot;/&gt;&lt;wsp:rsid wsp:val=&quot;00A934CE&quot;/&gt;&lt;wsp:rsid wsp:val=&quot;00A934FF&quot;/&gt;&lt;wsp:rsid wsp:val=&quot;00A93513&quot;/&gt;&lt;wsp:rsid wsp:val=&quot;00A938BA&quot;/&gt;&lt;wsp:rsid wsp:val=&quot;00A94201&quot;/&gt;&lt;wsp:rsid wsp:val=&quot;00A94818&quot;/&gt;&lt;wsp:rsid wsp:val=&quot;00A94A51&quot;/&gt;&lt;wsp:rsid wsp:val=&quot;00A94D69&quot;/&gt;&lt;wsp:rsid wsp:val=&quot;00A94E11&quot;/&gt;&lt;wsp:rsid wsp:val=&quot;00A95889&quot;/&gt;&lt;wsp:rsid wsp:val=&quot;00A958B6&quot;/&gt;&lt;wsp:rsid wsp:val=&quot;00A95B95&quot;/&gt;&lt;wsp:rsid wsp:val=&quot;00A95C67&quot;/&gt;&lt;wsp:rsid wsp:val=&quot;00A95D74&quot;/&gt;&lt;wsp:rsid wsp:val=&quot;00A95DB4&quot;/&gt;&lt;wsp:rsid wsp:val=&quot;00A962BC&quot;/&gt;&lt;wsp:rsid wsp:val=&quot;00A964F3&quot;/&gt;&lt;wsp:rsid wsp:val=&quot;00A96717&quot;/&gt;&lt;wsp:rsid wsp:val=&quot;00A96E11&quot;/&gt;&lt;wsp:rsid wsp:val=&quot;00A96E51&quot;/&gt;&lt;wsp:rsid wsp:val=&quot;00A96EFB&quot;/&gt;&lt;wsp:rsid wsp:val=&quot;00A96F2A&quot;/&gt;&lt;wsp:rsid wsp:val=&quot;00A96F69&quot;/&gt;&lt;wsp:rsid wsp:val=&quot;00A972F0&quot;/&gt;&lt;wsp:rsid wsp:val=&quot;00A974A9&quot;/&gt;&lt;wsp:rsid wsp:val=&quot;00A97685&quot;/&gt;&lt;wsp:rsid wsp:val=&quot;00A97755&quot;/&gt;&lt;wsp:rsid wsp:val=&quot;00A97F06&quot;/&gt;&lt;wsp:rsid wsp:val=&quot;00AA02D7&quot;/&gt;&lt;wsp:rsid wsp:val=&quot;00AA07DD&quot;/&gt;&lt;wsp:rsid wsp:val=&quot;00AA1111&quot;/&gt;&lt;wsp:rsid wsp:val=&quot;00AA1117&quot;/&gt;&lt;wsp:rsid wsp:val=&quot;00AA1439&quot;/&gt;&lt;wsp:rsid wsp:val=&quot;00AA16CE&quot;/&gt;&lt;wsp:rsid wsp:val=&quot;00AA1780&quot;/&gt;&lt;wsp:rsid wsp:val=&quot;00AA1CD8&quot;/&gt;&lt;wsp:rsid wsp:val=&quot;00AA238F&quot;/&gt;&lt;wsp:rsid wsp:val=&quot;00AA2DA8&quot;/&gt;&lt;wsp:rsid wsp:val=&quot;00AA3037&quot;/&gt;&lt;wsp:rsid wsp:val=&quot;00AA30D6&quot;/&gt;&lt;wsp:rsid wsp:val=&quot;00AA3552&quot;/&gt;&lt;wsp:rsid wsp:val=&quot;00AA3905&quot;/&gt;&lt;wsp:rsid wsp:val=&quot;00AA3C12&quot;/&gt;&lt;wsp:rsid wsp:val=&quot;00AA4E2A&quot;/&gt;&lt;wsp:rsid wsp:val=&quot;00AA5A90&quot;/&gt;&lt;wsp:rsid wsp:val=&quot;00AA69F4&quot;/&gt;&lt;wsp:rsid wsp:val=&quot;00AA69F6&quot;/&gt;&lt;wsp:rsid wsp:val=&quot;00AA6D97&quot;/&gt;&lt;wsp:rsid wsp:val=&quot;00AA710A&quot;/&gt;&lt;wsp:rsid wsp:val=&quot;00AA74F6&quot;/&gt;&lt;wsp:rsid wsp:val=&quot;00AA78BC&quot;/&gt;&lt;wsp:rsid wsp:val=&quot;00AB0325&quot;/&gt;&lt;wsp:rsid wsp:val=&quot;00AB0392&quot;/&gt;&lt;wsp:rsid wsp:val=&quot;00AB0838&quot;/&gt;&lt;wsp:rsid wsp:val=&quot;00AB0BDC&quot;/&gt;&lt;wsp:rsid wsp:val=&quot;00AB0DAE&quot;/&gt;&lt;wsp:rsid wsp:val=&quot;00AB0E9F&quot;/&gt;&lt;wsp:rsid wsp:val=&quot;00AB119E&quot;/&gt;&lt;wsp:rsid wsp:val=&quot;00AB159B&quot;/&gt;&lt;wsp:rsid wsp:val=&quot;00AB15F8&quot;/&gt;&lt;wsp:rsid wsp:val=&quot;00AB1745&quot;/&gt;&lt;wsp:rsid wsp:val=&quot;00AB2AD3&quot;/&gt;&lt;wsp:rsid wsp:val=&quot;00AB2CFC&quot;/&gt;&lt;wsp:rsid wsp:val=&quot;00AB31CC&quot;/&gt;&lt;wsp:rsid wsp:val=&quot;00AB3470&quot;/&gt;&lt;wsp:rsid wsp:val=&quot;00AB3511&quot;/&gt;&lt;wsp:rsid wsp:val=&quot;00AB396E&quot;/&gt;&lt;wsp:rsid wsp:val=&quot;00AB39DC&quot;/&gt;&lt;wsp:rsid wsp:val=&quot;00AB3D12&quot;/&gt;&lt;wsp:rsid wsp:val=&quot;00AB41D2&quot;/&gt;&lt;wsp:rsid wsp:val=&quot;00AB423A&quot;/&gt;&lt;wsp:rsid wsp:val=&quot;00AB4264&quot;/&gt;&lt;wsp:rsid wsp:val=&quot;00AB42E1&quot;/&gt;&lt;wsp:rsid wsp:val=&quot;00AB4C94&quot;/&gt;&lt;wsp:rsid wsp:val=&quot;00AB5175&quot;/&gt;&lt;wsp:rsid wsp:val=&quot;00AB5802&quot;/&gt;&lt;wsp:rsid wsp:val=&quot;00AB5921&quot;/&gt;&lt;wsp:rsid wsp:val=&quot;00AB60FE&quot;/&gt;&lt;wsp:rsid wsp:val=&quot;00AB6366&quot;/&gt;&lt;wsp:rsid wsp:val=&quot;00AB6415&quot;/&gt;&lt;wsp:rsid wsp:val=&quot;00AB6C21&quot;/&gt;&lt;wsp:rsid wsp:val=&quot;00AB6E89&quot;/&gt;&lt;wsp:rsid wsp:val=&quot;00AB6EC1&quot;/&gt;&lt;wsp:rsid wsp:val=&quot;00AB7713&quot;/&gt;&lt;wsp:rsid wsp:val=&quot;00AB7BB5&quot;/&gt;&lt;wsp:rsid wsp:val=&quot;00AB7C12&quot;/&gt;&lt;wsp:rsid wsp:val=&quot;00AB7F7B&quot;/&gt;&lt;wsp:rsid wsp:val=&quot;00AB7F7E&quot;/&gt;&lt;wsp:rsid wsp:val=&quot;00AC10C2&quot;/&gt;&lt;wsp:rsid wsp:val=&quot;00AC155A&quot;/&gt;&lt;wsp:rsid wsp:val=&quot;00AC1683&quot;/&gt;&lt;wsp:rsid wsp:val=&quot;00AC16F7&quot;/&gt;&lt;wsp:rsid wsp:val=&quot;00AC17A1&quot;/&gt;&lt;wsp:rsid wsp:val=&quot;00AC1B5C&quot;/&gt;&lt;wsp:rsid wsp:val=&quot;00AC1CC2&quot;/&gt;&lt;wsp:rsid wsp:val=&quot;00AC1F45&quot;/&gt;&lt;wsp:rsid wsp:val=&quot;00AC2587&quot;/&gt;&lt;wsp:rsid wsp:val=&quot;00AC277F&quot;/&gt;&lt;wsp:rsid wsp:val=&quot;00AC2900&quot;/&gt;&lt;wsp:rsid wsp:val=&quot;00AC2BD1&quot;/&gt;&lt;wsp:rsid wsp:val=&quot;00AC311F&quot;/&gt;&lt;wsp:rsid wsp:val=&quot;00AC31CF&quot;/&gt;&lt;wsp:rsid wsp:val=&quot;00AC3360&quot;/&gt;&lt;wsp:rsid wsp:val=&quot;00AC34D5&quot;/&gt;&lt;wsp:rsid wsp:val=&quot;00AC3639&quot;/&gt;&lt;wsp:rsid wsp:val=&quot;00AC37A9&quot;/&gt;&lt;wsp:rsid wsp:val=&quot;00AC3BCF&quot;/&gt;&lt;wsp:rsid wsp:val=&quot;00AC44CF&quot;/&gt;&lt;wsp:rsid wsp:val=&quot;00AC470C&quot;/&gt;&lt;wsp:rsid wsp:val=&quot;00AC477F&quot;/&gt;&lt;wsp:rsid wsp:val=&quot;00AC4B48&quot;/&gt;&lt;wsp:rsid wsp:val=&quot;00AC5228&quot;/&gt;&lt;wsp:rsid wsp:val=&quot;00AC538B&quot;/&gt;&lt;wsp:rsid wsp:val=&quot;00AC5614&quot;/&gt;&lt;wsp:rsid wsp:val=&quot;00AC5948&quot;/&gt;&lt;wsp:rsid wsp:val=&quot;00AC6000&quot;/&gt;&lt;wsp:rsid wsp:val=&quot;00AC614E&quot;/&gt;&lt;wsp:rsid wsp:val=&quot;00AC64A7&quot;/&gt;&lt;wsp:rsid wsp:val=&quot;00AC64A8&quot;/&gt;&lt;wsp:rsid wsp:val=&quot;00AC6A43&quot;/&gt;&lt;wsp:rsid wsp:val=&quot;00AC7298&quot;/&gt;&lt;wsp:rsid wsp:val=&quot;00AC7DEA&quot;/&gt;&lt;wsp:rsid wsp:val=&quot;00AC7EBE&quot;/&gt;&lt;wsp:rsid wsp:val=&quot;00AC7FA8&quot;/&gt;&lt;wsp:rsid wsp:val=&quot;00AD0737&quot;/&gt;&lt;wsp:rsid wsp:val=&quot;00AD0CAE&quot;/&gt;&lt;wsp:rsid wsp:val=&quot;00AD0D2E&quot;/&gt;&lt;wsp:rsid wsp:val=&quot;00AD0D6A&quot;/&gt;&lt;wsp:rsid wsp:val=&quot;00AD11E3&quot;/&gt;&lt;wsp:rsid wsp:val=&quot;00AD1A22&quot;/&gt;&lt;wsp:rsid wsp:val=&quot;00AD1EF8&quot;/&gt;&lt;wsp:rsid wsp:val=&quot;00AD2478&quot;/&gt;&lt;wsp:rsid wsp:val=&quot;00AD2585&quot;/&gt;&lt;wsp:rsid wsp:val=&quot;00AD2A93&quot;/&gt;&lt;wsp:rsid wsp:val=&quot;00AD2CA4&quot;/&gt;&lt;wsp:rsid wsp:val=&quot;00AD2D8D&quot;/&gt;&lt;wsp:rsid wsp:val=&quot;00AD315A&quot;/&gt;&lt;wsp:rsid wsp:val=&quot;00AD31E7&quot;/&gt;&lt;wsp:rsid wsp:val=&quot;00AD3A61&quot;/&gt;&lt;wsp:rsid wsp:val=&quot;00AD3C6B&quot;/&gt;&lt;wsp:rsid wsp:val=&quot;00AD4059&quot;/&gt;&lt;wsp:rsid wsp:val=&quot;00AD4584&quot;/&gt;&lt;wsp:rsid wsp:val=&quot;00AD4671&quot;/&gt;&lt;wsp:rsid wsp:val=&quot;00AD49B0&quot;/&gt;&lt;wsp:rsid wsp:val=&quot;00AD4D0D&quot;/&gt;&lt;wsp:rsid wsp:val=&quot;00AD5248&quot;/&gt;&lt;wsp:rsid wsp:val=&quot;00AD596A&quot;/&gt;&lt;wsp:rsid wsp:val=&quot;00AD659D&quot;/&gt;&lt;wsp:rsid wsp:val=&quot;00AD7350&quot;/&gt;&lt;wsp:rsid wsp:val=&quot;00AD74FD&quot;/&gt;&lt;wsp:rsid wsp:val=&quot;00AE004E&quot;/&gt;&lt;wsp:rsid wsp:val=&quot;00AE063B&quot;/&gt;&lt;wsp:rsid wsp:val=&quot;00AE0C85&quot;/&gt;&lt;wsp:rsid wsp:val=&quot;00AE0E08&quot;/&gt;&lt;wsp:rsid wsp:val=&quot;00AE0FD9&quot;/&gt;&lt;wsp:rsid wsp:val=&quot;00AE106C&quot;/&gt;&lt;wsp:rsid wsp:val=&quot;00AE18CB&quot;/&gt;&lt;wsp:rsid wsp:val=&quot;00AE1D2B&quot;/&gt;&lt;wsp:rsid wsp:val=&quot;00AE1F2D&quot;/&gt;&lt;wsp:rsid wsp:val=&quot;00AE2D52&quot;/&gt;&lt;wsp:rsid wsp:val=&quot;00AE3073&quot;/&gt;&lt;wsp:rsid wsp:val=&quot;00AE364F&quot;/&gt;&lt;wsp:rsid wsp:val=&quot;00AE3805&quot;/&gt;&lt;wsp:rsid wsp:val=&quot;00AE3AD8&quot;/&gt;&lt;wsp:rsid wsp:val=&quot;00AE3C5F&quot;/&gt;&lt;wsp:rsid wsp:val=&quot;00AE3EDB&quot;/&gt;&lt;wsp:rsid wsp:val=&quot;00AE431A&quot;/&gt;&lt;wsp:rsid wsp:val=&quot;00AE4593&quot;/&gt;&lt;wsp:rsid wsp:val=&quot;00AE4BC8&quot;/&gt;&lt;wsp:rsid wsp:val=&quot;00AE50F3&quot;/&gt;&lt;wsp:rsid wsp:val=&quot;00AE53A4&quot;/&gt;&lt;wsp:rsid wsp:val=&quot;00AE5869&quot;/&gt;&lt;wsp:rsid wsp:val=&quot;00AE5892&quot;/&gt;&lt;wsp:rsid wsp:val=&quot;00AE5C86&quot;/&gt;&lt;wsp:rsid wsp:val=&quot;00AE5EBB&quot;/&gt;&lt;wsp:rsid wsp:val=&quot;00AE6507&quot;/&gt;&lt;wsp:rsid wsp:val=&quot;00AE650A&quot;/&gt;&lt;wsp:rsid wsp:val=&quot;00AE6A0C&quot;/&gt;&lt;wsp:rsid wsp:val=&quot;00AE6CF7&quot;/&gt;&lt;wsp:rsid wsp:val=&quot;00AE6EF1&quot;/&gt;&lt;wsp:rsid wsp:val=&quot;00AE7076&quot;/&gt;&lt;wsp:rsid wsp:val=&quot;00AE740D&quot;/&gt;&lt;wsp:rsid wsp:val=&quot;00AE7468&quot;/&gt;&lt;wsp:rsid wsp:val=&quot;00AE7A36&quot;/&gt;&lt;wsp:rsid wsp:val=&quot;00AF006B&quot;/&gt;&lt;wsp:rsid wsp:val=&quot;00AF0407&quot;/&gt;&lt;wsp:rsid wsp:val=&quot;00AF0B39&quot;/&gt;&lt;wsp:rsid wsp:val=&quot;00AF0B6B&quot;/&gt;&lt;wsp:rsid wsp:val=&quot;00AF0C28&quot;/&gt;&lt;wsp:rsid wsp:val=&quot;00AF179D&quot;/&gt;&lt;wsp:rsid wsp:val=&quot;00AF1942&quot;/&gt;&lt;wsp:rsid wsp:val=&quot;00AF1C34&quot;/&gt;&lt;wsp:rsid wsp:val=&quot;00AF200E&quot;/&gt;&lt;wsp:rsid wsp:val=&quot;00AF2333&quot;/&gt;&lt;wsp:rsid wsp:val=&quot;00AF2465&quot;/&gt;&lt;wsp:rsid wsp:val=&quot;00AF2467&quot;/&gt;&lt;wsp:rsid wsp:val=&quot;00AF28B0&quot;/&gt;&lt;wsp:rsid wsp:val=&quot;00AF2C26&quot;/&gt;&lt;wsp:rsid wsp:val=&quot;00AF3B5A&quot;/&gt;&lt;wsp:rsid wsp:val=&quot;00AF3F43&quot;/&gt;&lt;wsp:rsid wsp:val=&quot;00AF3F47&quot;/&gt;&lt;wsp:rsid wsp:val=&quot;00AF44F3&quot;/&gt;&lt;wsp:rsid wsp:val=&quot;00AF4F86&quot;/&gt;&lt;wsp:rsid wsp:val=&quot;00AF585A&quot;/&gt;&lt;wsp:rsid wsp:val=&quot;00AF5E93&quot;/&gt;&lt;wsp:rsid wsp:val=&quot;00AF5EBF&quot;/&gt;&lt;wsp:rsid wsp:val=&quot;00AF5F7E&quot;/&gt;&lt;wsp:rsid wsp:val=&quot;00AF5FE3&quot;/&gt;&lt;wsp:rsid wsp:val=&quot;00AF61A6&quot;/&gt;&lt;wsp:rsid wsp:val=&quot;00AF61D1&quot;/&gt;&lt;wsp:rsid wsp:val=&quot;00AF632A&quot;/&gt;&lt;wsp:rsid wsp:val=&quot;00AF64D4&quot;/&gt;&lt;wsp:rsid wsp:val=&quot;00AF6699&quot;/&gt;&lt;wsp:rsid wsp:val=&quot;00AF6711&quot;/&gt;&lt;wsp:rsid wsp:val=&quot;00AF69F1&quot;/&gt;&lt;wsp:rsid wsp:val=&quot;00AF6A53&quot;/&gt;&lt;wsp:rsid wsp:val=&quot;00AF6AC5&quot;/&gt;&lt;wsp:rsid wsp:val=&quot;00AF6BF5&quot;/&gt;&lt;wsp:rsid wsp:val=&quot;00AF72DA&quot;/&gt;&lt;wsp:rsid wsp:val=&quot;00AF760D&quot;/&gt;&lt;wsp:rsid wsp:val=&quot;00AF77A1&quot;/&gt;&lt;wsp:rsid wsp:val=&quot;00AF7A53&quot;/&gt;&lt;wsp:rsid wsp:val=&quot;00AF7BD5&quot;/&gt;&lt;wsp:rsid wsp:val=&quot;00B00241&quot;/&gt;&lt;wsp:rsid wsp:val=&quot;00B007AB&quot;/&gt;&lt;wsp:rsid wsp:val=&quot;00B00960&quot;/&gt;&lt;wsp:rsid wsp:val=&quot;00B01A83&quot;/&gt;&lt;wsp:rsid wsp:val=&quot;00B01E12&quot;/&gt;&lt;wsp:rsid wsp:val=&quot;00B022A9&quot;/&gt;&lt;wsp:rsid wsp:val=&quot;00B022DF&quot;/&gt;&lt;wsp:rsid wsp:val=&quot;00B0232D&quot;/&gt;&lt;wsp:rsid wsp:val=&quot;00B0253B&quot;/&gt;&lt;wsp:rsid wsp:val=&quot;00B02660&quot;/&gt;&lt;wsp:rsid wsp:val=&quot;00B02A9B&quot;/&gt;&lt;wsp:rsid wsp:val=&quot;00B02FD4&quot;/&gt;&lt;wsp:rsid wsp:val=&quot;00B030BE&quot;/&gt;&lt;wsp:rsid wsp:val=&quot;00B030E8&quot;/&gt;&lt;wsp:rsid wsp:val=&quot;00B03151&quot;/&gt;&lt;wsp:rsid wsp:val=&quot;00B03307&quot;/&gt;&lt;wsp:rsid wsp:val=&quot;00B042DE&quot;/&gt;&lt;wsp:rsid wsp:val=&quot;00B0466E&quot;/&gt;&lt;wsp:rsid wsp:val=&quot;00B04A02&quot;/&gt;&lt;wsp:rsid wsp:val=&quot;00B04B59&quot;/&gt;&lt;wsp:rsid wsp:val=&quot;00B04B89&quot;/&gt;&lt;wsp:rsid wsp:val=&quot;00B04F51&quot;/&gt;&lt;wsp:rsid wsp:val=&quot;00B0503D&quot;/&gt;&lt;wsp:rsid wsp:val=&quot;00B0522A&quot;/&gt;&lt;wsp:rsid wsp:val=&quot;00B056A6&quot;/&gt;&lt;wsp:rsid wsp:val=&quot;00B0591F&quot;/&gt;&lt;wsp:rsid wsp:val=&quot;00B05B34&quot;/&gt;&lt;wsp:rsid wsp:val=&quot;00B05C0B&quot;/&gt;&lt;wsp:rsid wsp:val=&quot;00B05EDB&quot;/&gt;&lt;wsp:rsid wsp:val=&quot;00B0654B&quot;/&gt;&lt;wsp:rsid wsp:val=&quot;00B06608&quot;/&gt;&lt;wsp:rsid wsp:val=&quot;00B06A19&quot;/&gt;&lt;wsp:rsid wsp:val=&quot;00B06B16&quot;/&gt;&lt;wsp:rsid wsp:val=&quot;00B074C8&quot;/&gt;&lt;wsp:rsid wsp:val=&quot;00B07852&quot;/&gt;&lt;wsp:rsid wsp:val=&quot;00B10230&quot;/&gt;&lt;wsp:rsid wsp:val=&quot;00B10414&quot;/&gt;&lt;wsp:rsid wsp:val=&quot;00B10667&quot;/&gt;&lt;wsp:rsid wsp:val=&quot;00B10753&quot;/&gt;&lt;wsp:rsid wsp:val=&quot;00B10A39&quot;/&gt;&lt;wsp:rsid wsp:val=&quot;00B10F06&quot;/&gt;&lt;wsp:rsid wsp:val=&quot;00B11031&quot;/&gt;&lt;wsp:rsid wsp:val=&quot;00B112B6&quot;/&gt;&lt;wsp:rsid wsp:val=&quot;00B11F2A&quot;/&gt;&lt;wsp:rsid wsp:val=&quot;00B1218E&quot;/&gt;&lt;wsp:rsid wsp:val=&quot;00B12276&quot;/&gt;&lt;wsp:rsid wsp:val=&quot;00B123FB&quot;/&gt;&lt;wsp:rsid wsp:val=&quot;00B12432&quot;/&gt;&lt;wsp:rsid wsp:val=&quot;00B125E8&quot;/&gt;&lt;wsp:rsid wsp:val=&quot;00B1317F&quot;/&gt;&lt;wsp:rsid wsp:val=&quot;00B13473&quot;/&gt;&lt;wsp:rsid wsp:val=&quot;00B134AC&quot;/&gt;&lt;wsp:rsid wsp:val=&quot;00B13891&quot;/&gt;&lt;wsp:rsid wsp:val=&quot;00B13DCD&quot;/&gt;&lt;wsp:rsid wsp:val=&quot;00B13DFC&quot;/&gt;&lt;wsp:rsid wsp:val=&quot;00B143FA&quot;/&gt;&lt;wsp:rsid wsp:val=&quot;00B1449A&quot;/&gt;&lt;wsp:rsid wsp:val=&quot;00B145B4&quot;/&gt;&lt;wsp:rsid wsp:val=&quot;00B1462B&quot;/&gt;&lt;wsp:rsid wsp:val=&quot;00B14959&quot;/&gt;&lt;wsp:rsid wsp:val=&quot;00B14D4D&quot;/&gt;&lt;wsp:rsid wsp:val=&quot;00B14E3A&quot;/&gt;&lt;wsp:rsid wsp:val=&quot;00B14E77&quot;/&gt;&lt;wsp:rsid wsp:val=&quot;00B152BF&quot;/&gt;&lt;wsp:rsid wsp:val=&quot;00B15332&quot;/&gt;&lt;wsp:rsid wsp:val=&quot;00B15491&quot;/&gt;&lt;wsp:rsid wsp:val=&quot;00B159F7&quot;/&gt;&lt;wsp:rsid wsp:val=&quot;00B15A9A&quot;/&gt;&lt;wsp:rsid wsp:val=&quot;00B16053&quot;/&gt;&lt;wsp:rsid wsp:val=&quot;00B163F0&quot;/&gt;&lt;wsp:rsid wsp:val=&quot;00B1682B&quot;/&gt;&lt;wsp:rsid wsp:val=&quot;00B16AE9&quot;/&gt;&lt;wsp:rsid wsp:val=&quot;00B16EF8&quot;/&gt;&lt;wsp:rsid wsp:val=&quot;00B16F20&quot;/&gt;&lt;wsp:rsid wsp:val=&quot;00B1705A&quot;/&gt;&lt;wsp:rsid wsp:val=&quot;00B17308&quot;/&gt;&lt;wsp:rsid wsp:val=&quot;00B17366&quot;/&gt;&lt;wsp:rsid wsp:val=&quot;00B2008F&quot;/&gt;&lt;wsp:rsid wsp:val=&quot;00B201A3&quot;/&gt;&lt;wsp:rsid wsp:val=&quot;00B20239&quot;/&gt;&lt;wsp:rsid wsp:val=&quot;00B2079D&quot;/&gt;&lt;wsp:rsid wsp:val=&quot;00B20912&quot;/&gt;&lt;wsp:rsid wsp:val=&quot;00B20AFC&quot;/&gt;&lt;wsp:rsid wsp:val=&quot;00B20E80&quot;/&gt;&lt;wsp:rsid wsp:val=&quot;00B20F4E&quot;/&gt;&lt;wsp:rsid wsp:val=&quot;00B21345&quot;/&gt;&lt;wsp:rsid wsp:val=&quot;00B21803&quot;/&gt;&lt;wsp:rsid wsp:val=&quot;00B21E59&quot;/&gt;&lt;wsp:rsid wsp:val=&quot;00B21FA2&quot;/&gt;&lt;wsp:rsid wsp:val=&quot;00B2248A&quot;/&gt;&lt;wsp:rsid wsp:val=&quot;00B2269D&quot;/&gt;&lt;wsp:rsid wsp:val=&quot;00B228F9&quot;/&gt;&lt;wsp:rsid wsp:val=&quot;00B22DCB&quot;/&gt;&lt;wsp:rsid wsp:val=&quot;00B232CE&quot;/&gt;&lt;wsp:rsid wsp:val=&quot;00B23883&quot;/&gt;&lt;wsp:rsid wsp:val=&quot;00B23AC1&quot;/&gt;&lt;wsp:rsid wsp:val=&quot;00B23B62&quot;/&gt;&lt;wsp:rsid wsp:val=&quot;00B241D6&quot;/&gt;&lt;wsp:rsid wsp:val=&quot;00B243B5&quot;/&gt;&lt;wsp:rsid wsp:val=&quot;00B2485D&quot;/&gt;&lt;wsp:rsid wsp:val=&quot;00B24871&quot;/&gt;&lt;wsp:rsid wsp:val=&quot;00B24A2D&quot;/&gt;&lt;wsp:rsid wsp:val=&quot;00B24ED5&quot;/&gt;&lt;wsp:rsid wsp:val=&quot;00B25597&quot;/&gt;&lt;wsp:rsid wsp:val=&quot;00B25814&quot;/&gt;&lt;wsp:rsid wsp:val=&quot;00B259E3&quot;/&gt;&lt;wsp:rsid wsp:val=&quot;00B25B2F&quot;/&gt;&lt;wsp:rsid wsp:val=&quot;00B260A5&quot;/&gt;&lt;wsp:rsid wsp:val=&quot;00B2672F&quot;/&gt;&lt;wsp:rsid wsp:val=&quot;00B26864&quot;/&gt;&lt;wsp:rsid wsp:val=&quot;00B268F8&quot;/&gt;&lt;wsp:rsid wsp:val=&quot;00B268FD&quot;/&gt;&lt;wsp:rsid wsp:val=&quot;00B2693A&quot;/&gt;&lt;wsp:rsid wsp:val=&quot;00B2695F&quot;/&gt;&lt;wsp:rsid wsp:val=&quot;00B269A9&quot;/&gt;&lt;wsp:rsid wsp:val=&quot;00B26C60&quot;/&gt;&lt;wsp:rsid wsp:val=&quot;00B26CE2&quot;/&gt;&lt;wsp:rsid wsp:val=&quot;00B26DD6&quot;/&gt;&lt;wsp:rsid wsp:val=&quot;00B26E72&quot;/&gt;&lt;wsp:rsid wsp:val=&quot;00B26EAF&quot;/&gt;&lt;wsp:rsid wsp:val=&quot;00B26FBF&quot;/&gt;&lt;wsp:rsid wsp:val=&quot;00B2714A&quot;/&gt;&lt;wsp:rsid wsp:val=&quot;00B27692&quot;/&gt;&lt;wsp:rsid wsp:val=&quot;00B27941&quot;/&gt;&lt;wsp:rsid wsp:val=&quot;00B30105&quot;/&gt;&lt;wsp:rsid wsp:val=&quot;00B30CE2&quot;/&gt;&lt;wsp:rsid wsp:val=&quot;00B3103F&quot;/&gt;&lt;wsp:rsid wsp:val=&quot;00B316A7&quot;/&gt;&lt;wsp:rsid wsp:val=&quot;00B31975&quot;/&gt;&lt;wsp:rsid wsp:val=&quot;00B324A3&quot;/&gt;&lt;wsp:rsid wsp:val=&quot;00B32D7D&quot;/&gt;&lt;wsp:rsid wsp:val=&quot;00B32ED6&quot;/&gt;&lt;wsp:rsid wsp:val=&quot;00B3314B&quot;/&gt;&lt;wsp:rsid wsp:val=&quot;00B332CF&quot;/&gt;&lt;wsp:rsid wsp:val=&quot;00B33B44&quot;/&gt;&lt;wsp:rsid wsp:val=&quot;00B33C0A&quot;/&gt;&lt;wsp:rsid wsp:val=&quot;00B34032&quot;/&gt;&lt;wsp:rsid wsp:val=&quot;00B34F8F&quot;/&gt;&lt;wsp:rsid wsp:val=&quot;00B351CC&quot;/&gt;&lt;wsp:rsid wsp:val=&quot;00B35705&quot;/&gt;&lt;wsp:rsid wsp:val=&quot;00B35AB5&quot;/&gt;&lt;wsp:rsid wsp:val=&quot;00B361BD&quot;/&gt;&lt;wsp:rsid wsp:val=&quot;00B364BB&quot;/&gt;&lt;wsp:rsid wsp:val=&quot;00B368FB&quot;/&gt;&lt;wsp:rsid wsp:val=&quot;00B36F44&quot;/&gt;&lt;wsp:rsid wsp:val=&quot;00B3702B&quot;/&gt;&lt;wsp:rsid wsp:val=&quot;00B3715A&quot;/&gt;&lt;wsp:rsid wsp:val=&quot;00B3755C&quot;/&gt;&lt;wsp:rsid wsp:val=&quot;00B37936&quot;/&gt;&lt;wsp:rsid wsp:val=&quot;00B37D9E&quot;/&gt;&lt;wsp:rsid wsp:val=&quot;00B37DA1&quot;/&gt;&lt;wsp:rsid wsp:val=&quot;00B37E94&quot;/&gt;&lt;wsp:rsid wsp:val=&quot;00B40155&quot;/&gt;&lt;wsp:rsid wsp:val=&quot;00B40412&quot;/&gt;&lt;wsp:rsid wsp:val=&quot;00B40A4A&quot;/&gt;&lt;wsp:rsid wsp:val=&quot;00B40AB5&quot;/&gt;&lt;wsp:rsid wsp:val=&quot;00B40F89&quot;/&gt;&lt;wsp:rsid wsp:val=&quot;00B413C7&quot;/&gt;&lt;wsp:rsid wsp:val=&quot;00B41E99&quot;/&gt;&lt;wsp:rsid wsp:val=&quot;00B42177&quot;/&gt;&lt;wsp:rsid wsp:val=&quot;00B42FC0&quot;/&gt;&lt;wsp:rsid wsp:val=&quot;00B431FD&quot;/&gt;&lt;wsp:rsid wsp:val=&quot;00B434B7&quot;/&gt;&lt;wsp:rsid wsp:val=&quot;00B43BFF&quot;/&gt;&lt;wsp:rsid wsp:val=&quot;00B43D61&quot;/&gt;&lt;wsp:rsid wsp:val=&quot;00B43F7D&quot;/&gt;&lt;wsp:rsid wsp:val=&quot;00B44299&quot;/&gt;&lt;wsp:rsid wsp:val=&quot;00B443C4&quot;/&gt;&lt;wsp:rsid wsp:val=&quot;00B44855&quot;/&gt;&lt;wsp:rsid wsp:val=&quot;00B44B6A&quot;/&gt;&lt;wsp:rsid wsp:val=&quot;00B451D2&quot;/&gt;&lt;wsp:rsid wsp:val=&quot;00B454BF&quot;/&gt;&lt;wsp:rsid wsp:val=&quot;00B4577C&quot;/&gt;&lt;wsp:rsid wsp:val=&quot;00B459FE&quot;/&gt;&lt;wsp:rsid wsp:val=&quot;00B45A6A&quot;/&gt;&lt;wsp:rsid wsp:val=&quot;00B45B7A&quot;/&gt;&lt;wsp:rsid wsp:val=&quot;00B45DB0&quot;/&gt;&lt;wsp:rsid wsp:val=&quot;00B45F8E&quot;/&gt;&lt;wsp:rsid wsp:val=&quot;00B4624A&quot;/&gt;&lt;wsp:rsid wsp:val=&quot;00B4630D&quot;/&gt;&lt;wsp:rsid wsp:val=&quot;00B463B6&quot;/&gt;&lt;wsp:rsid wsp:val=&quot;00B467D5&quot;/&gt;&lt;wsp:rsid wsp:val=&quot;00B46894&quot;/&gt;&lt;wsp:rsid wsp:val=&quot;00B47B72&quot;/&gt;&lt;wsp:rsid wsp:val=&quot;00B47C6D&quot;/&gt;&lt;wsp:rsid wsp:val=&quot;00B47CA4&quot;/&gt;&lt;wsp:rsid wsp:val=&quot;00B47E6F&quot;/&gt;&lt;wsp:rsid wsp:val=&quot;00B50710&quot;/&gt;&lt;wsp:rsid wsp:val=&quot;00B50B12&quot;/&gt;&lt;wsp:rsid wsp:val=&quot;00B50B35&quot;/&gt;&lt;wsp:rsid wsp:val=&quot;00B50C03&quot;/&gt;&lt;wsp:rsid wsp:val=&quot;00B51B38&quot;/&gt;&lt;wsp:rsid wsp:val=&quot;00B51B58&quot;/&gt;&lt;wsp:rsid wsp:val=&quot;00B51FF6&quot;/&gt;&lt;wsp:rsid wsp:val=&quot;00B521AE&quot;/&gt;&lt;wsp:rsid wsp:val=&quot;00B52447&quot;/&gt;&lt;wsp:rsid wsp:val=&quot;00B52689&quot;/&gt;&lt;wsp:rsid wsp:val=&quot;00B52803&quot;/&gt;&lt;wsp:rsid wsp:val=&quot;00B528CC&quot;/&gt;&lt;wsp:rsid wsp:val=&quot;00B52A65&quot;/&gt;&lt;wsp:rsid wsp:val=&quot;00B52AE5&quot;/&gt;&lt;wsp:rsid wsp:val=&quot;00B531AC&quot;/&gt;&lt;wsp:rsid wsp:val=&quot;00B533C0&quot;/&gt;&lt;wsp:rsid wsp:val=&quot;00B535CF&quot;/&gt;&lt;wsp:rsid wsp:val=&quot;00B53737&quot;/&gt;&lt;wsp:rsid wsp:val=&quot;00B53DBA&quot;/&gt;&lt;wsp:rsid wsp:val=&quot;00B547CB&quot;/&gt;&lt;wsp:rsid wsp:val=&quot;00B5481E&quot;/&gt;&lt;wsp:rsid wsp:val=&quot;00B548F6&quot;/&gt;&lt;wsp:rsid wsp:val=&quot;00B54927&quot;/&gt;&lt;wsp:rsid wsp:val=&quot;00B549EC&quot;/&gt;&lt;wsp:rsid wsp:val=&quot;00B552F7&quot;/&gt;&lt;wsp:rsid wsp:val=&quot;00B56C32&quot;/&gt;&lt;wsp:rsid wsp:val=&quot;00B56E79&quot;/&gt;&lt;wsp:rsid wsp:val=&quot;00B57068&quot;/&gt;&lt;wsp:rsid wsp:val=&quot;00B572E7&quot;/&gt;&lt;wsp:rsid wsp:val=&quot;00B5743D&quot;/&gt;&lt;wsp:rsid wsp:val=&quot;00B57485&quot;/&gt;&lt;wsp:rsid wsp:val=&quot;00B578C2&quot;/&gt;&lt;wsp:rsid wsp:val=&quot;00B57997&quot;/&gt;&lt;wsp:rsid wsp:val=&quot;00B57C15&quot;/&gt;&lt;wsp:rsid wsp:val=&quot;00B60055&quot;/&gt;&lt;wsp:rsid wsp:val=&quot;00B603A6&quot;/&gt;&lt;wsp:rsid wsp:val=&quot;00B605D8&quot;/&gt;&lt;wsp:rsid wsp:val=&quot;00B6079D&quot;/&gt;&lt;wsp:rsid wsp:val=&quot;00B60AA8&quot;/&gt;&lt;wsp:rsid wsp:val=&quot;00B61321&quot;/&gt;&lt;wsp:rsid wsp:val=&quot;00B6178C&quot;/&gt;&lt;wsp:rsid wsp:val=&quot;00B61C2F&quot;/&gt;&lt;wsp:rsid wsp:val=&quot;00B61C88&quot;/&gt;&lt;wsp:rsid wsp:val=&quot;00B6217D&quot;/&gt;&lt;wsp:rsid wsp:val=&quot;00B6226D&quot;/&gt;&lt;wsp:rsid wsp:val=&quot;00B6283F&quot;/&gt;&lt;wsp:rsid wsp:val=&quot;00B62919&quot;/&gt;&lt;wsp:rsid wsp:val=&quot;00B633A2&quot;/&gt;&lt;wsp:rsid wsp:val=&quot;00B64083&quot;/&gt;&lt;wsp:rsid wsp:val=&quot;00B64157&quot;/&gt;&lt;wsp:rsid wsp:val=&quot;00B64375&quot;/&gt;&lt;wsp:rsid wsp:val=&quot;00B6493B&quot;/&gt;&lt;wsp:rsid wsp:val=&quot;00B64A92&quot;/&gt;&lt;wsp:rsid wsp:val=&quot;00B64BF1&quot;/&gt;&lt;wsp:rsid wsp:val=&quot;00B65267&quot;/&gt;&lt;wsp:rsid wsp:val=&quot;00B658FF&quot;/&gt;&lt;wsp:rsid wsp:val=&quot;00B65D83&quot;/&gt;&lt;wsp:rsid wsp:val=&quot;00B65FB5&quot;/&gt;&lt;wsp:rsid wsp:val=&quot;00B6609A&quot;/&gt;&lt;wsp:rsid wsp:val=&quot;00B6682A&quot;/&gt;&lt;wsp:rsid wsp:val=&quot;00B66D40&quot;/&gt;&lt;wsp:rsid wsp:val=&quot;00B66EE1&quot;/&gt;&lt;wsp:rsid wsp:val=&quot;00B67516&quot;/&gt;&lt;wsp:rsid wsp:val=&quot;00B70805&quot;/&gt;&lt;wsp:rsid wsp:val=&quot;00B7084E&quot;/&gt;&lt;wsp:rsid wsp:val=&quot;00B7095C&quot;/&gt;&lt;wsp:rsid wsp:val=&quot;00B70B06&quot;/&gt;&lt;wsp:rsid wsp:val=&quot;00B70B6D&quot;/&gt;&lt;wsp:rsid wsp:val=&quot;00B714C3&quot;/&gt;&lt;wsp:rsid wsp:val=&quot;00B714ED&quot;/&gt;&lt;wsp:rsid wsp:val=&quot;00B71508&quot;/&gt;&lt;wsp:rsid wsp:val=&quot;00B71607&quot;/&gt;&lt;wsp:rsid wsp:val=&quot;00B7189B&quot;/&gt;&lt;wsp:rsid wsp:val=&quot;00B71B9A&quot;/&gt;&lt;wsp:rsid wsp:val=&quot;00B71D75&quot;/&gt;&lt;wsp:rsid wsp:val=&quot;00B727C3&quot;/&gt;&lt;wsp:rsid wsp:val=&quot;00B729F0&quot;/&gt;&lt;wsp:rsid wsp:val=&quot;00B731C2&quot;/&gt;&lt;wsp:rsid wsp:val=&quot;00B73288&quot;/&gt;&lt;wsp:rsid wsp:val=&quot;00B736E7&quot;/&gt;&lt;wsp:rsid wsp:val=&quot;00B736F5&quot;/&gt;&lt;wsp:rsid wsp:val=&quot;00B738A1&quot;/&gt;&lt;wsp:rsid wsp:val=&quot;00B74FE9&quot;/&gt;&lt;wsp:rsid wsp:val=&quot;00B750D2&quot;/&gt;&lt;wsp:rsid wsp:val=&quot;00B7534B&quot;/&gt;&lt;wsp:rsid wsp:val=&quot;00B75FCF&quot;/&gt;&lt;wsp:rsid wsp:val=&quot;00B760B0&quot;/&gt;&lt;wsp:rsid wsp:val=&quot;00B764FC&quot;/&gt;&lt;wsp:rsid wsp:val=&quot;00B76683&quot;/&gt;&lt;wsp:rsid wsp:val=&quot;00B7678C&quot;/&gt;&lt;wsp:rsid wsp:val=&quot;00B76C0C&quot;/&gt;&lt;wsp:rsid wsp:val=&quot;00B76D57&quot;/&gt;&lt;wsp:rsid wsp:val=&quot;00B76DC9&quot;/&gt;&lt;wsp:rsid wsp:val=&quot;00B76FB8&quot;/&gt;&lt;wsp:rsid wsp:val=&quot;00B77044&quot;/&gt;&lt;wsp:rsid wsp:val=&quot;00B77216&quot;/&gt;&lt;wsp:rsid wsp:val=&quot;00B7728F&quot;/&gt;&lt;wsp:rsid wsp:val=&quot;00B77438&quot;/&gt;&lt;wsp:rsid wsp:val=&quot;00B8007C&quot;/&gt;&lt;wsp:rsid wsp:val=&quot;00B80223&quot;/&gt;&lt;wsp:rsid wsp:val=&quot;00B80368&quot;/&gt;&lt;wsp:rsid wsp:val=&quot;00B80DCA&quot;/&gt;&lt;wsp:rsid wsp:val=&quot;00B8209F&quot;/&gt;&lt;wsp:rsid wsp:val=&quot;00B821B5&quot;/&gt;&lt;wsp:rsid wsp:val=&quot;00B8244C&quot;/&gt;&lt;wsp:rsid wsp:val=&quot;00B82498&quot;/&gt;&lt;wsp:rsid wsp:val=&quot;00B826B0&quot;/&gt;&lt;wsp:rsid wsp:val=&quot;00B827DE&quot;/&gt;&lt;wsp:rsid wsp:val=&quot;00B82C03&quot;/&gt;&lt;wsp:rsid wsp:val=&quot;00B83198&quot;/&gt;&lt;wsp:rsid wsp:val=&quot;00B8372A&quot;/&gt;&lt;wsp:rsid wsp:val=&quot;00B83943&quot;/&gt;&lt;wsp:rsid wsp:val=&quot;00B83D0E&quot;/&gt;&lt;wsp:rsid wsp:val=&quot;00B8410B&quot;/&gt;&lt;wsp:rsid wsp:val=&quot;00B847C9&quot;/&gt;&lt;wsp:rsid wsp:val=&quot;00B848D9&quot;/&gt;&lt;wsp:rsid wsp:val=&quot;00B84AFF&quot;/&gt;&lt;wsp:rsid wsp:val=&quot;00B853C6&quot;/&gt;&lt;wsp:rsid wsp:val=&quot;00B85840&quot;/&gt;&lt;wsp:rsid wsp:val=&quot;00B85BC9&quot;/&gt;&lt;wsp:rsid wsp:val=&quot;00B85F15&quot;/&gt;&lt;wsp:rsid wsp:val=&quot;00B86A33&quot;/&gt;&lt;wsp:rsid wsp:val=&quot;00B86BCA&quot;/&gt;&lt;wsp:rsid wsp:val=&quot;00B86C1F&quot;/&gt;&lt;wsp:rsid wsp:val=&quot;00B86CAE&quot;/&gt;&lt;wsp:rsid wsp:val=&quot;00B86F33&quot;/&gt;&lt;wsp:rsid wsp:val=&quot;00B87210&quot;/&gt;&lt;wsp:rsid wsp:val=&quot;00B87407&quot;/&gt;&lt;wsp:rsid wsp:val=&quot;00B87B18&quot;/&gt;&lt;wsp:rsid wsp:val=&quot;00B90213&quot;/&gt;&lt;wsp:rsid wsp:val=&quot;00B905FF&quot;/&gt;&lt;wsp:rsid wsp:val=&quot;00B90E94&quot;/&gt;&lt;wsp:rsid wsp:val=&quot;00B91283&quot;/&gt;&lt;wsp:rsid wsp:val=&quot;00B91448&quot;/&gt;&lt;wsp:rsid wsp:val=&quot;00B918E3&quot;/&gt;&lt;wsp:rsid wsp:val=&quot;00B91E74&quot;/&gt;&lt;wsp:rsid wsp:val=&quot;00B91F87&quot;/&gt;&lt;wsp:rsid wsp:val=&quot;00B92031&quot;/&gt;&lt;wsp:rsid wsp:val=&quot;00B92614&quot;/&gt;&lt;wsp:rsid wsp:val=&quot;00B9296A&quot;/&gt;&lt;wsp:rsid wsp:val=&quot;00B929BF&quot;/&gt;&lt;wsp:rsid wsp:val=&quot;00B92E4D&quot;/&gt;&lt;wsp:rsid wsp:val=&quot;00B93103&quot;/&gt;&lt;wsp:rsid wsp:val=&quot;00B933F4&quot;/&gt;&lt;wsp:rsid wsp:val=&quot;00B93704&quot;/&gt;&lt;wsp:rsid wsp:val=&quot;00B94604&quot;/&gt;&lt;wsp:rsid wsp:val=&quot;00B94C3D&quot;/&gt;&lt;wsp:rsid wsp:val=&quot;00B94E21&quot;/&gt;&lt;wsp:rsid wsp:val=&quot;00B94ED8&quot;/&gt;&lt;wsp:rsid wsp:val=&quot;00B94F0C&quot;/&gt;&lt;wsp:rsid wsp:val=&quot;00B95120&quot;/&gt;&lt;wsp:rsid wsp:val=&quot;00B953CD&quot;/&gt;&lt;wsp:rsid wsp:val=&quot;00B95828&quot;/&gt;&lt;wsp:rsid wsp:val=&quot;00B95D4B&quot;/&gt;&lt;wsp:rsid wsp:val=&quot;00B9627D&quot;/&gt;&lt;wsp:rsid wsp:val=&quot;00B968C0&quot;/&gt;&lt;wsp:rsid wsp:val=&quot;00B975E7&quot;/&gt;&lt;wsp:rsid wsp:val=&quot;00B977C9&quot;/&gt;&lt;wsp:rsid wsp:val=&quot;00B977DA&quot;/&gt;&lt;wsp:rsid wsp:val=&quot;00B97AA4&quot;/&gt;&lt;wsp:rsid wsp:val=&quot;00B97CCB&quot;/&gt;&lt;wsp:rsid wsp:val=&quot;00BA05FA&quot;/&gt;&lt;wsp:rsid wsp:val=&quot;00BA07AD&quot;/&gt;&lt;wsp:rsid wsp:val=&quot;00BA08D3&quot;/&gt;&lt;wsp:rsid wsp:val=&quot;00BA095B&quot;/&gt;&lt;wsp:rsid wsp:val=&quot;00BA0C58&quot;/&gt;&lt;wsp:rsid wsp:val=&quot;00BA0CCF&quot;/&gt;&lt;wsp:rsid wsp:val=&quot;00BA1089&quot;/&gt;&lt;wsp:rsid wsp:val=&quot;00BA12DC&quot;/&gt;&lt;wsp:rsid wsp:val=&quot;00BA14DB&quot;/&gt;&lt;wsp:rsid wsp:val=&quot;00BA2346&quot;/&gt;&lt;wsp:rsid wsp:val=&quot;00BA2537&quot;/&gt;&lt;wsp:rsid wsp:val=&quot;00BA2565&quot;/&gt;&lt;wsp:rsid wsp:val=&quot;00BA2DFA&quot;/&gt;&lt;wsp:rsid wsp:val=&quot;00BA32FA&quot;/&gt;&lt;wsp:rsid wsp:val=&quot;00BA34EC&quot;/&gt;&lt;wsp:rsid wsp:val=&quot;00BA3DA2&quot;/&gt;&lt;wsp:rsid wsp:val=&quot;00BA402D&quot;/&gt;&lt;wsp:rsid wsp:val=&quot;00BA41F9&quot;/&gt;&lt;wsp:rsid wsp:val=&quot;00BA4305&quot;/&gt;&lt;wsp:rsid wsp:val=&quot;00BA46FB&quot;/&gt;&lt;wsp:rsid wsp:val=&quot;00BA4856&quot;/&gt;&lt;wsp:rsid wsp:val=&quot;00BA4942&quot;/&gt;&lt;wsp:rsid wsp:val=&quot;00BA4CB4&quot;/&gt;&lt;wsp:rsid wsp:val=&quot;00BA4D3F&quot;/&gt;&lt;wsp:rsid wsp:val=&quot;00BA4E45&quot;/&gt;&lt;wsp:rsid wsp:val=&quot;00BA50A8&quot;/&gt;&lt;wsp:rsid wsp:val=&quot;00BA51BF&quot;/&gt;&lt;wsp:rsid wsp:val=&quot;00BA521B&quot;/&gt;&lt;wsp:rsid wsp:val=&quot;00BA5A6C&quot;/&gt;&lt;wsp:rsid wsp:val=&quot;00BA667D&quot;/&gt;&lt;wsp:rsid wsp:val=&quot;00BA6A83&quot;/&gt;&lt;wsp:rsid wsp:val=&quot;00BA6C47&quot;/&gt;&lt;wsp:rsid wsp:val=&quot;00BA730C&quot;/&gt;&lt;wsp:rsid wsp:val=&quot;00BA741C&quot;/&gt;&lt;wsp:rsid wsp:val=&quot;00BA7CD7&quot;/&gt;&lt;wsp:rsid wsp:val=&quot;00BB0783&quot;/&gt;&lt;wsp:rsid wsp:val=&quot;00BB094B&quot;/&gt;&lt;wsp:rsid wsp:val=&quot;00BB0D38&quot;/&gt;&lt;wsp:rsid wsp:val=&quot;00BB10AB&quot;/&gt;&lt;wsp:rsid wsp:val=&quot;00BB1200&quot;/&gt;&lt;wsp:rsid wsp:val=&quot;00BB1329&quot;/&gt;&lt;wsp:rsid wsp:val=&quot;00BB13A4&quot;/&gt;&lt;wsp:rsid wsp:val=&quot;00BB140F&quot;/&gt;&lt;wsp:rsid wsp:val=&quot;00BB1A9E&quot;/&gt;&lt;wsp:rsid wsp:val=&quot;00BB1B3C&quot;/&gt;&lt;wsp:rsid wsp:val=&quot;00BB1D0D&quot;/&gt;&lt;wsp:rsid wsp:val=&quot;00BB1F27&quot;/&gt;&lt;wsp:rsid wsp:val=&quot;00BB1F53&quot;/&gt;&lt;wsp:rsid wsp:val=&quot;00BB27A2&quot;/&gt;&lt;wsp:rsid wsp:val=&quot;00BB2BF1&quot;/&gt;&lt;wsp:rsid wsp:val=&quot;00BB311A&quot;/&gt;&lt;wsp:rsid wsp:val=&quot;00BB3276&quot;/&gt;&lt;wsp:rsid wsp:val=&quot;00BB3620&quot;/&gt;&lt;wsp:rsid wsp:val=&quot;00BB36AB&quot;/&gt;&lt;wsp:rsid wsp:val=&quot;00BB3796&quot;/&gt;&lt;wsp:rsid wsp:val=&quot;00BB3B2F&quot;/&gt;&lt;wsp:rsid wsp:val=&quot;00BB3B53&quot;/&gt;&lt;wsp:rsid wsp:val=&quot;00BB4640&quot;/&gt;&lt;wsp:rsid wsp:val=&quot;00BB471A&quot;/&gt;&lt;wsp:rsid wsp:val=&quot;00BB49CD&quot;/&gt;&lt;wsp:rsid wsp:val=&quot;00BB5262&quot;/&gt;&lt;wsp:rsid wsp:val=&quot;00BB5500&quot;/&gt;&lt;wsp:rsid wsp:val=&quot;00BB55FA&quot;/&gt;&lt;wsp:rsid wsp:val=&quot;00BB571F&quot;/&gt;&lt;wsp:rsid wsp:val=&quot;00BB572D&quot;/&gt;&lt;wsp:rsid wsp:val=&quot;00BB5A30&quot;/&gt;&lt;wsp:rsid wsp:val=&quot;00BB5B01&quot;/&gt;&lt;wsp:rsid wsp:val=&quot;00BB6678&quot;/&gt;&lt;wsp:rsid wsp:val=&quot;00BB6872&quot;/&gt;&lt;wsp:rsid wsp:val=&quot;00BB6AF6&quot;/&gt;&lt;wsp:rsid wsp:val=&quot;00BB7092&quot;/&gt;&lt;wsp:rsid wsp:val=&quot;00BB70C0&quot;/&gt;&lt;wsp:rsid wsp:val=&quot;00BB7254&quot;/&gt;&lt;wsp:rsid wsp:val=&quot;00BB72E2&quot;/&gt;&lt;wsp:rsid wsp:val=&quot;00BB7758&quot;/&gt;&lt;wsp:rsid wsp:val=&quot;00BC04DC&quot;/&gt;&lt;wsp:rsid wsp:val=&quot;00BC055D&quot;/&gt;&lt;wsp:rsid wsp:val=&quot;00BC0867&quot;/&gt;&lt;wsp:rsid wsp:val=&quot;00BC0E2B&quot;/&gt;&lt;wsp:rsid wsp:val=&quot;00BC15F7&quot;/&gt;&lt;wsp:rsid wsp:val=&quot;00BC1AC5&quot;/&gt;&lt;wsp:rsid wsp:val=&quot;00BC1C9B&quot;/&gt;&lt;wsp:rsid wsp:val=&quot;00BC1E27&quot;/&gt;&lt;wsp:rsid wsp:val=&quot;00BC2B5B&quot;/&gt;&lt;wsp:rsid wsp:val=&quot;00BC316A&quot;/&gt;&lt;wsp:rsid wsp:val=&quot;00BC38D4&quot;/&gt;&lt;wsp:rsid wsp:val=&quot;00BC3CA7&quot;/&gt;&lt;wsp:rsid wsp:val=&quot;00BC4116&quot;/&gt;&lt;wsp:rsid wsp:val=&quot;00BC46AD&quot;/&gt;&lt;wsp:rsid wsp:val=&quot;00BC4BAD&quot;/&gt;&lt;wsp:rsid wsp:val=&quot;00BC500B&quot;/&gt;&lt;wsp:rsid wsp:val=&quot;00BC5BD7&quot;/&gt;&lt;wsp:rsid wsp:val=&quot;00BC5BF0&quot;/&gt;&lt;wsp:rsid wsp:val=&quot;00BC65B6&quot;/&gt;&lt;wsp:rsid wsp:val=&quot;00BC6B41&quot;/&gt;&lt;wsp:rsid wsp:val=&quot;00BC6B74&quot;/&gt;&lt;wsp:rsid wsp:val=&quot;00BC6EF1&quot;/&gt;&lt;wsp:rsid wsp:val=&quot;00BC7793&quot;/&gt;&lt;wsp:rsid wsp:val=&quot;00BC7DC1&quot;/&gt;&lt;wsp:rsid wsp:val=&quot;00BD002D&quot;/&gt;&lt;wsp:rsid wsp:val=&quot;00BD03BF&quot;/&gt;&lt;wsp:rsid wsp:val=&quot;00BD0483&quot;/&gt;&lt;wsp:rsid wsp:val=&quot;00BD0516&quot;/&gt;&lt;wsp:rsid wsp:val=&quot;00BD06F3&quot;/&gt;&lt;wsp:rsid wsp:val=&quot;00BD0879&quot;/&gt;&lt;wsp:rsid wsp:val=&quot;00BD08F7&quot;/&gt;&lt;wsp:rsid wsp:val=&quot;00BD0AF8&quot;/&gt;&lt;wsp:rsid wsp:val=&quot;00BD0D25&quot;/&gt;&lt;wsp:rsid wsp:val=&quot;00BD0FCA&quot;/&gt;&lt;wsp:rsid wsp:val=&quot;00BD1071&quot;/&gt;&lt;wsp:rsid wsp:val=&quot;00BD1771&quot;/&gt;&lt;wsp:rsid wsp:val=&quot;00BD1E27&quot;/&gt;&lt;wsp:rsid wsp:val=&quot;00BD1EEB&quot;/&gt;&lt;wsp:rsid wsp:val=&quot;00BD1FBC&quot;/&gt;&lt;wsp:rsid wsp:val=&quot;00BD2133&quot;/&gt;&lt;wsp:rsid wsp:val=&quot;00BD242C&quot;/&gt;&lt;wsp:rsid wsp:val=&quot;00BD2B5B&quot;/&gt;&lt;wsp:rsid wsp:val=&quot;00BD2E64&quot;/&gt;&lt;wsp:rsid wsp:val=&quot;00BD2FFC&quot;/&gt;&lt;wsp:rsid wsp:val=&quot;00BD33CF&quot;/&gt;&lt;wsp:rsid wsp:val=&quot;00BD33D4&quot;/&gt;&lt;wsp:rsid wsp:val=&quot;00BD35B0&quot;/&gt;&lt;wsp:rsid wsp:val=&quot;00BD36F8&quot;/&gt;&lt;wsp:rsid wsp:val=&quot;00BD3A45&quot;/&gt;&lt;wsp:rsid wsp:val=&quot;00BD3E8B&quot;/&gt;&lt;wsp:rsid wsp:val=&quot;00BD3ECE&quot;/&gt;&lt;wsp:rsid wsp:val=&quot;00BD4170&quot;/&gt;&lt;wsp:rsid wsp:val=&quot;00BD41C7&quot;/&gt;&lt;wsp:rsid wsp:val=&quot;00BD45CA&quot;/&gt;&lt;wsp:rsid wsp:val=&quot;00BD4869&quot;/&gt;&lt;wsp:rsid wsp:val=&quot;00BD4935&quot;/&gt;&lt;wsp:rsid wsp:val=&quot;00BD4CA8&quot;/&gt;&lt;wsp:rsid wsp:val=&quot;00BD4E1A&quot;/&gt;&lt;wsp:rsid wsp:val=&quot;00BD4F08&quot;/&gt;&lt;wsp:rsid wsp:val=&quot;00BD62E8&quot;/&gt;&lt;wsp:rsid wsp:val=&quot;00BD64CC&quot;/&gt;&lt;wsp:rsid wsp:val=&quot;00BD66AF&quot;/&gt;&lt;wsp:rsid wsp:val=&quot;00BD67F8&quot;/&gt;&lt;wsp:rsid wsp:val=&quot;00BD6A55&quot;/&gt;&lt;wsp:rsid wsp:val=&quot;00BD7034&quot;/&gt;&lt;wsp:rsid wsp:val=&quot;00BD734F&quot;/&gt;&lt;wsp:rsid wsp:val=&quot;00BD7FAC&quot;/&gt;&lt;wsp:rsid wsp:val=&quot;00BE00CE&quot;/&gt;&lt;wsp:rsid wsp:val=&quot;00BE0389&quot;/&gt;&lt;wsp:rsid wsp:val=&quot;00BE0800&quot;/&gt;&lt;wsp:rsid wsp:val=&quot;00BE0875&quot;/&gt;&lt;wsp:rsid wsp:val=&quot;00BE0D3E&quot;/&gt;&lt;wsp:rsid wsp:val=&quot;00BE1999&quot;/&gt;&lt;wsp:rsid wsp:val=&quot;00BE2076&quot;/&gt;&lt;wsp:rsid wsp:val=&quot;00BE2D90&quot;/&gt;&lt;wsp:rsid wsp:val=&quot;00BE2EDE&quot;/&gt;&lt;wsp:rsid wsp:val=&quot;00BE30F8&quot;/&gt;&lt;wsp:rsid wsp:val=&quot;00BE334B&quot;/&gt;&lt;wsp:rsid wsp:val=&quot;00BE3C03&quot;/&gt;&lt;wsp:rsid wsp:val=&quot;00BE3E66&quot;/&gt;&lt;wsp:rsid wsp:val=&quot;00BE4389&quot;/&gt;&lt;wsp:rsid wsp:val=&quot;00BE4431&quot;/&gt;&lt;wsp:rsid wsp:val=&quot;00BE48CE&quot;/&gt;&lt;wsp:rsid wsp:val=&quot;00BE4B4B&quot;/&gt;&lt;wsp:rsid wsp:val=&quot;00BE4EB4&quot;/&gt;&lt;wsp:rsid wsp:val=&quot;00BE56AB&quot;/&gt;&lt;wsp:rsid wsp:val=&quot;00BE57BC&quot;/&gt;&lt;wsp:rsid wsp:val=&quot;00BE58C7&quot;/&gt;&lt;wsp:rsid wsp:val=&quot;00BE637B&quot;/&gt;&lt;wsp:rsid wsp:val=&quot;00BE6896&quot;/&gt;&lt;wsp:rsid wsp:val=&quot;00BE68C4&quot;/&gt;&lt;wsp:rsid wsp:val=&quot;00BE6C31&quot;/&gt;&lt;wsp:rsid wsp:val=&quot;00BE7A13&quot;/&gt;&lt;wsp:rsid wsp:val=&quot;00BE7A34&quot;/&gt;&lt;wsp:rsid wsp:val=&quot;00BF013F&quot;/&gt;&lt;wsp:rsid wsp:val=&quot;00BF032A&quot;/&gt;&lt;wsp:rsid wsp:val=&quot;00BF04E1&quot;/&gt;&lt;wsp:rsid wsp:val=&quot;00BF0A66&quot;/&gt;&lt;wsp:rsid wsp:val=&quot;00BF0F69&quot;/&gt;&lt;wsp:rsid wsp:val=&quot;00BF11A7&quot;/&gt;&lt;wsp:rsid wsp:val=&quot;00BF1C61&quot;/&gt;&lt;wsp:rsid wsp:val=&quot;00BF1CC1&quot;/&gt;&lt;wsp:rsid wsp:val=&quot;00BF1F43&quot;/&gt;&lt;wsp:rsid wsp:val=&quot;00BF2338&quot;/&gt;&lt;wsp:rsid wsp:val=&quot;00BF248A&quot;/&gt;&lt;wsp:rsid wsp:val=&quot;00BF2635&quot;/&gt;&lt;wsp:rsid wsp:val=&quot;00BF2FC7&quot;/&gt;&lt;wsp:rsid wsp:val=&quot;00BF315A&quot;/&gt;&lt;wsp:rsid wsp:val=&quot;00BF36F8&quot;/&gt;&lt;wsp:rsid wsp:val=&quot;00BF42D7&quot;/&gt;&lt;wsp:rsid wsp:val=&quot;00BF475E&quot;/&gt;&lt;wsp:rsid wsp:val=&quot;00BF4B03&quot;/&gt;&lt;wsp:rsid wsp:val=&quot;00BF522B&quot;/&gt;&lt;wsp:rsid wsp:val=&quot;00BF5A2B&quot;/&gt;&lt;wsp:rsid wsp:val=&quot;00BF662C&quot;/&gt;&lt;wsp:rsid wsp:val=&quot;00BF6875&quot;/&gt;&lt;wsp:rsid wsp:val=&quot;00BF691F&quot;/&gt;&lt;wsp:rsid wsp:val=&quot;00BF6A62&quot;/&gt;&lt;wsp:rsid wsp:val=&quot;00BF6F36&quot;/&gt;&lt;wsp:rsid wsp:val=&quot;00BF7620&quot;/&gt;&lt;wsp:rsid wsp:val=&quot;00BF774B&quot;/&gt;&lt;wsp:rsid wsp:val=&quot;00BF79CE&quot;/&gt;&lt;wsp:rsid wsp:val=&quot;00BF7B66&quot;/&gt;&lt;wsp:rsid wsp:val=&quot;00BF7C12&quot;/&gt;&lt;wsp:rsid wsp:val=&quot;00C00040&quot;/&gt;&lt;wsp:rsid wsp:val=&quot;00C00500&quot;/&gt;&lt;wsp:rsid wsp:val=&quot;00C0054B&quot;/&gt;&lt;wsp:rsid wsp:val=&quot;00C00791&quot;/&gt;&lt;wsp:rsid wsp:val=&quot;00C00872&quot;/&gt;&lt;wsp:rsid wsp:val=&quot;00C00F89&quot;/&gt;&lt;wsp:rsid wsp:val=&quot;00C015CC&quot;/&gt;&lt;wsp:rsid wsp:val=&quot;00C0184F&quot;/&gt;&lt;wsp:rsid wsp:val=&quot;00C01B50&quot;/&gt;&lt;wsp:rsid wsp:val=&quot;00C01DB8&quot;/&gt;&lt;wsp:rsid wsp:val=&quot;00C01DF3&quot;/&gt;&lt;wsp:rsid wsp:val=&quot;00C02271&quot;/&gt;&lt;wsp:rsid wsp:val=&quot;00C0244F&quot;/&gt;&lt;wsp:rsid wsp:val=&quot;00C0257F&quot;/&gt;&lt;wsp:rsid wsp:val=&quot;00C02768&quot;/&gt;&lt;wsp:rsid wsp:val=&quot;00C02861&quot;/&gt;&lt;wsp:rsid wsp:val=&quot;00C02B04&quot;/&gt;&lt;wsp:rsid wsp:val=&quot;00C02DD7&quot;/&gt;&lt;wsp:rsid wsp:val=&quot;00C03035&quot;/&gt;&lt;wsp:rsid wsp:val=&quot;00C03285&quot;/&gt;&lt;wsp:rsid wsp:val=&quot;00C03464&quot;/&gt;&lt;wsp:rsid wsp:val=&quot;00C03873&quot;/&gt;&lt;wsp:rsid wsp:val=&quot;00C03928&quot;/&gt;&lt;wsp:rsid wsp:val=&quot;00C03AD5&quot;/&gt;&lt;wsp:rsid wsp:val=&quot;00C03DF0&quot;/&gt;&lt;wsp:rsid wsp:val=&quot;00C04C21&quot;/&gt;&lt;wsp:rsid wsp:val=&quot;00C0505B&quot;/&gt;&lt;wsp:rsid wsp:val=&quot;00C0548B&quot;/&gt;&lt;wsp:rsid wsp:val=&quot;00C055AB&quot;/&gt;&lt;wsp:rsid wsp:val=&quot;00C057DB&quot;/&gt;&lt;wsp:rsid wsp:val=&quot;00C05A56&quot;/&gt;&lt;wsp:rsid wsp:val=&quot;00C05B90&quot;/&gt;&lt;wsp:rsid wsp:val=&quot;00C05D4A&quot;/&gt;&lt;wsp:rsid wsp:val=&quot;00C05EB2&quot;/&gt;&lt;wsp:rsid wsp:val=&quot;00C064F0&quot;/&gt;&lt;wsp:rsid wsp:val=&quot;00C06F91&quot;/&gt;&lt;wsp:rsid wsp:val=&quot;00C070FC&quot;/&gt;&lt;wsp:rsid wsp:val=&quot;00C07452&quot;/&gt;&lt;wsp:rsid wsp:val=&quot;00C07C34&quot;/&gt;&lt;wsp:rsid wsp:val=&quot;00C1012B&quot;/&gt;&lt;wsp:rsid wsp:val=&quot;00C11C03&quot;/&gt;&lt;wsp:rsid wsp:val=&quot;00C11CA4&quot;/&gt;&lt;wsp:rsid wsp:val=&quot;00C11D15&quot;/&gt;&lt;wsp:rsid wsp:val=&quot;00C11FB8&quot;/&gt;&lt;wsp:rsid wsp:val=&quot;00C127D4&quot;/&gt;&lt;wsp:rsid wsp:val=&quot;00C12811&quot;/&gt;&lt;wsp:rsid wsp:val=&quot;00C12C4A&quot;/&gt;&lt;wsp:rsid wsp:val=&quot;00C130BC&quot;/&gt;&lt;wsp:rsid wsp:val=&quot;00C131D1&quot;/&gt;&lt;wsp:rsid wsp:val=&quot;00C13377&quot;/&gt;&lt;wsp:rsid wsp:val=&quot;00C13783&quot;/&gt;&lt;wsp:rsid wsp:val=&quot;00C13855&quot;/&gt;&lt;wsp:rsid wsp:val=&quot;00C13D78&quot;/&gt;&lt;wsp:rsid wsp:val=&quot;00C13F12&quot;/&gt;&lt;wsp:rsid wsp:val=&quot;00C1454A&quot;/&gt;&lt;wsp:rsid wsp:val=&quot;00C148F0&quot;/&gt;&lt;wsp:rsid wsp:val=&quot;00C14AF9&quot;/&gt;&lt;wsp:rsid wsp:val=&quot;00C14C72&quot;/&gt;&lt;wsp:rsid wsp:val=&quot;00C152D9&quot;/&gt;&lt;wsp:rsid wsp:val=&quot;00C155BB&quot;/&gt;&lt;wsp:rsid wsp:val=&quot;00C1562E&quot;/&gt;&lt;wsp:rsid wsp:val=&quot;00C1586E&quot;/&gt;&lt;wsp:rsid wsp:val=&quot;00C1593B&quot;/&gt;&lt;wsp:rsid wsp:val=&quot;00C15EEF&quot;/&gt;&lt;wsp:rsid wsp:val=&quot;00C16040&quot;/&gt;&lt;wsp:rsid wsp:val=&quot;00C16454&quot;/&gt;&lt;wsp:rsid wsp:val=&quot;00C166AF&quot;/&gt;&lt;wsp:rsid wsp:val=&quot;00C167B4&quot;/&gt;&lt;wsp:rsid wsp:val=&quot;00C168FB&quot;/&gt;&lt;wsp:rsid wsp:val=&quot;00C16AD2&quot;/&gt;&lt;wsp:rsid wsp:val=&quot;00C16B33&quot;/&gt;&lt;wsp:rsid wsp:val=&quot;00C16BC9&quot;/&gt;&lt;wsp:rsid wsp:val=&quot;00C16BCF&quot;/&gt;&lt;wsp:rsid wsp:val=&quot;00C16D99&quot;/&gt;&lt;wsp:rsid wsp:val=&quot;00C176CA&quot;/&gt;&lt;wsp:rsid wsp:val=&quot;00C176E2&quot;/&gt;&lt;wsp:rsid wsp:val=&quot;00C17E16&quot;/&gt;&lt;wsp:rsid wsp:val=&quot;00C20130&quot;/&gt;&lt;wsp:rsid wsp:val=&quot;00C20FDA&quot;/&gt;&lt;wsp:rsid wsp:val=&quot;00C211BE&quot;/&gt;&lt;wsp:rsid wsp:val=&quot;00C2183E&quot;/&gt;&lt;wsp:rsid wsp:val=&quot;00C21937&quot;/&gt;&lt;wsp:rsid wsp:val=&quot;00C219BD&quot;/&gt;&lt;wsp:rsid wsp:val=&quot;00C22719&quot;/&gt;&lt;wsp:rsid wsp:val=&quot;00C229CE&quot;/&gt;&lt;wsp:rsid wsp:val=&quot;00C22EF1&quot;/&gt;&lt;wsp:rsid wsp:val=&quot;00C2336F&quot;/&gt;&lt;wsp:rsid wsp:val=&quot;00C237A5&quot;/&gt;&lt;wsp:rsid wsp:val=&quot;00C23CA7&quot;/&gt;&lt;wsp:rsid wsp:val=&quot;00C248D6&quot;/&gt;&lt;wsp:rsid wsp:val=&quot;00C24977&quot;/&gt;&lt;wsp:rsid wsp:val=&quot;00C249E2&quot;/&gt;&lt;wsp:rsid wsp:val=&quot;00C24A1E&quot;/&gt;&lt;wsp:rsid wsp:val=&quot;00C24D09&quot;/&gt;&lt;wsp:rsid wsp:val=&quot;00C24FD3&quot;/&gt;&lt;wsp:rsid wsp:val=&quot;00C250CB&quot;/&gt;&lt;wsp:rsid wsp:val=&quot;00C257A8&quot;/&gt;&lt;wsp:rsid wsp:val=&quot;00C25BCF&quot;/&gt;&lt;wsp:rsid wsp:val=&quot;00C262AF&quot;/&gt;&lt;wsp:rsid wsp:val=&quot;00C26325&quot;/&gt;&lt;wsp:rsid wsp:val=&quot;00C264D0&quot;/&gt;&lt;wsp:rsid wsp:val=&quot;00C26B97&quot;/&gt;&lt;wsp:rsid wsp:val=&quot;00C273BB&quot;/&gt;&lt;wsp:rsid wsp:val=&quot;00C27A28&quot;/&gt;&lt;wsp:rsid wsp:val=&quot;00C27D16&quot;/&gt;&lt;wsp:rsid wsp:val=&quot;00C27E16&quot;/&gt;&lt;wsp:rsid wsp:val=&quot;00C27E65&quot;/&gt;&lt;wsp:rsid wsp:val=&quot;00C27EF3&quot;/&gt;&lt;wsp:rsid wsp:val=&quot;00C3073B&quot;/&gt;&lt;wsp:rsid wsp:val=&quot;00C3086D&quot;/&gt;&lt;wsp:rsid wsp:val=&quot;00C30D9D&quot;/&gt;&lt;wsp:rsid wsp:val=&quot;00C30F45&quot;/&gt;&lt;wsp:rsid wsp:val=&quot;00C30FE3&quot;/&gt;&lt;wsp:rsid wsp:val=&quot;00C31041&quot;/&gt;&lt;wsp:rsid wsp:val=&quot;00C312C3&quot;/&gt;&lt;wsp:rsid wsp:val=&quot;00C31337&quot;/&gt;&lt;wsp:rsid wsp:val=&quot;00C316BC&quot;/&gt;&lt;wsp:rsid wsp:val=&quot;00C318E1&quot;/&gt;&lt;wsp:rsid wsp:val=&quot;00C31A60&quot;/&gt;&lt;wsp:rsid wsp:val=&quot;00C31AA3&quot;/&gt;&lt;wsp:rsid wsp:val=&quot;00C31B0B&quot;/&gt;&lt;wsp:rsid wsp:val=&quot;00C31B34&quot;/&gt;&lt;wsp:rsid wsp:val=&quot;00C31E42&quot;/&gt;&lt;wsp:rsid wsp:val=&quot;00C3201D&quot;/&gt;&lt;wsp:rsid wsp:val=&quot;00C322EB&quot;/&gt;&lt;wsp:rsid wsp:val=&quot;00C328E4&quot;/&gt;&lt;wsp:rsid wsp:val=&quot;00C32EF6&quot;/&gt;&lt;wsp:rsid wsp:val=&quot;00C3306E&quot;/&gt;&lt;wsp:rsid wsp:val=&quot;00C330B0&quot;/&gt;&lt;wsp:rsid wsp:val=&quot;00C330E4&quot;/&gt;&lt;wsp:rsid wsp:val=&quot;00C335D5&quot;/&gt;&lt;wsp:rsid wsp:val=&quot;00C337E8&quot;/&gt;&lt;wsp:rsid wsp:val=&quot;00C33989&quot;/&gt;&lt;wsp:rsid wsp:val=&quot;00C33A35&quot;/&gt;&lt;wsp:rsid wsp:val=&quot;00C3410B&quot;/&gt;&lt;wsp:rsid wsp:val=&quot;00C3410F&quot;/&gt;&lt;wsp:rsid wsp:val=&quot;00C34309&quot;/&gt;&lt;wsp:rsid wsp:val=&quot;00C34426&quot;/&gt;&lt;wsp:rsid wsp:val=&quot;00C34440&quot;/&gt;&lt;wsp:rsid wsp:val=&quot;00C34F97&quot;/&gt;&lt;wsp:rsid wsp:val=&quot;00C35878&quot;/&gt;&lt;wsp:rsid wsp:val=&quot;00C358C8&quot;/&gt;&lt;wsp:rsid wsp:val=&quot;00C35DE2&quot;/&gt;&lt;wsp:rsid wsp:val=&quot;00C36179&quot;/&gt;&lt;wsp:rsid wsp:val=&quot;00C36412&quot;/&gt;&lt;wsp:rsid wsp:val=&quot;00C36564&quot;/&gt;&lt;wsp:rsid wsp:val=&quot;00C3678D&quot;/&gt;&lt;wsp:rsid wsp:val=&quot;00C36FEA&quot;/&gt;&lt;wsp:rsid wsp:val=&quot;00C3719C&quot;/&gt;&lt;wsp:rsid wsp:val=&quot;00C37336&quot;/&gt;&lt;wsp:rsid wsp:val=&quot;00C3794B&quot;/&gt;&lt;wsp:rsid wsp:val=&quot;00C3796C&quot;/&gt;&lt;wsp:rsid wsp:val=&quot;00C37A6F&quot;/&gt;&lt;wsp:rsid wsp:val=&quot;00C37AA6&quot;/&gt;&lt;wsp:rsid wsp:val=&quot;00C37B47&quot;/&gt;&lt;wsp:rsid wsp:val=&quot;00C37E7E&quot;/&gt;&lt;wsp:rsid wsp:val=&quot;00C403B4&quot;/&gt;&lt;wsp:rsid wsp:val=&quot;00C40489&quot;/&gt;&lt;wsp:rsid wsp:val=&quot;00C40741&quot;/&gt;&lt;wsp:rsid wsp:val=&quot;00C40792&quot;/&gt;&lt;wsp:rsid wsp:val=&quot;00C40839&quot;/&gt;&lt;wsp:rsid wsp:val=&quot;00C40A32&quot;/&gt;&lt;wsp:rsid wsp:val=&quot;00C40ADB&quot;/&gt;&lt;wsp:rsid wsp:val=&quot;00C411B8&quot;/&gt;&lt;wsp:rsid wsp:val=&quot;00C41523&quot;/&gt;&lt;wsp:rsid wsp:val=&quot;00C416E1&quot;/&gt;&lt;wsp:rsid wsp:val=&quot;00C4186F&quot;/&gt;&lt;wsp:rsid wsp:val=&quot;00C419BE&quot;/&gt;&lt;wsp:rsid wsp:val=&quot;00C41C18&quot;/&gt;&lt;wsp:rsid wsp:val=&quot;00C41C48&quot;/&gt;&lt;wsp:rsid wsp:val=&quot;00C424DE&quot;/&gt;&lt;wsp:rsid wsp:val=&quot;00C426F6&quot;/&gt;&lt;wsp:rsid wsp:val=&quot;00C42C34&quot;/&gt;&lt;wsp:rsid wsp:val=&quot;00C43030&quot;/&gt;&lt;wsp:rsid wsp:val=&quot;00C433A8&quot;/&gt;&lt;wsp:rsid wsp:val=&quot;00C436D2&quot;/&gt;&lt;wsp:rsid wsp:val=&quot;00C438DD&quot;/&gt;&lt;wsp:rsid wsp:val=&quot;00C439FB&quot;/&gt;&lt;wsp:rsid wsp:val=&quot;00C43F01&quot;/&gt;&lt;wsp:rsid wsp:val=&quot;00C446A8&quot;/&gt;&lt;wsp:rsid wsp:val=&quot;00C44858&quot;/&gt;&lt;wsp:rsid wsp:val=&quot;00C44EB2&quot;/&gt;&lt;wsp:rsid wsp:val=&quot;00C450A1&quot;/&gt;&lt;wsp:rsid wsp:val=&quot;00C451CA&quot;/&gt;&lt;wsp:rsid wsp:val=&quot;00C462C8&quot;/&gt;&lt;wsp:rsid wsp:val=&quot;00C472E8&quot;/&gt;&lt;wsp:rsid wsp:val=&quot;00C47584&quot;/&gt;&lt;wsp:rsid wsp:val=&quot;00C4782E&quot;/&gt;&lt;wsp:rsid wsp:val=&quot;00C47A6E&quot;/&gt;&lt;wsp:rsid wsp:val=&quot;00C5022D&quot;/&gt;&lt;wsp:rsid wsp:val=&quot;00C502C0&quot;/&gt;&lt;wsp:rsid wsp:val=&quot;00C5098D&quot;/&gt;&lt;wsp:rsid wsp:val=&quot;00C50C54&quot;/&gt;&lt;wsp:rsid wsp:val=&quot;00C50D77&quot;/&gt;&lt;wsp:rsid wsp:val=&quot;00C51305&quot;/&gt;&lt;wsp:rsid wsp:val=&quot;00C513A1&quot;/&gt;&lt;wsp:rsid wsp:val=&quot;00C5146A&quot;/&gt;&lt;wsp:rsid wsp:val=&quot;00C5159C&quot;/&gt;&lt;wsp:rsid wsp:val=&quot;00C51B4F&quot;/&gt;&lt;wsp:rsid wsp:val=&quot;00C5246C&quot;/&gt;&lt;wsp:rsid wsp:val=&quot;00C53732&quot;/&gt;&lt;wsp:rsid wsp:val=&quot;00C53847&quot;/&gt;&lt;wsp:rsid wsp:val=&quot;00C5384F&quot;/&gt;&lt;wsp:rsid wsp:val=&quot;00C5412F&quot;/&gt;&lt;wsp:rsid wsp:val=&quot;00C54130&quot;/&gt;&lt;wsp:rsid wsp:val=&quot;00C5423B&quot;/&gt;&lt;wsp:rsid wsp:val=&quot;00C542A1&quot;/&gt;&lt;wsp:rsid wsp:val=&quot;00C549C4&quot;/&gt;&lt;wsp:rsid wsp:val=&quot;00C549DE&quot;/&gt;&lt;wsp:rsid wsp:val=&quot;00C54BC7&quot;/&gt;&lt;wsp:rsid wsp:val=&quot;00C54ED7&quot;/&gt;&lt;wsp:rsid wsp:val=&quot;00C556E5&quot;/&gt;&lt;wsp:rsid wsp:val=&quot;00C55765&quot;/&gt;&lt;wsp:rsid wsp:val=&quot;00C55FE6&quot;/&gt;&lt;wsp:rsid wsp:val=&quot;00C56184&quot;/&gt;&lt;wsp:rsid wsp:val=&quot;00C5641D&quot;/&gt;&lt;wsp:rsid wsp:val=&quot;00C569CE&quot;/&gt;&lt;wsp:rsid wsp:val=&quot;00C57054&quot;/&gt;&lt;wsp:rsid wsp:val=&quot;00C574D9&quot;/&gt;&lt;wsp:rsid wsp:val=&quot;00C576AE&quot;/&gt;&lt;wsp:rsid wsp:val=&quot;00C57EAE&quot;/&gt;&lt;wsp:rsid wsp:val=&quot;00C57EBF&quot;/&gt;&lt;wsp:rsid wsp:val=&quot;00C57F97&quot;/&gt;&lt;wsp:rsid wsp:val=&quot;00C60061&quot;/&gt;&lt;wsp:rsid wsp:val=&quot;00C600FC&quot;/&gt;&lt;wsp:rsid wsp:val=&quot;00C602D6&quot;/&gt;&lt;wsp:rsid wsp:val=&quot;00C60F37&quot;/&gt;&lt;wsp:rsid wsp:val=&quot;00C6107B&quot;/&gt;&lt;wsp:rsid wsp:val=&quot;00C614DF&quot;/&gt;&lt;wsp:rsid wsp:val=&quot;00C6167F&quot;/&gt;&lt;wsp:rsid wsp:val=&quot;00C618F0&quot;/&gt;&lt;wsp:rsid wsp:val=&quot;00C61AC1&quot;/&gt;&lt;wsp:rsid wsp:val=&quot;00C61B47&quot;/&gt;&lt;wsp:rsid wsp:val=&quot;00C61DFC&quot;/&gt;&lt;wsp:rsid wsp:val=&quot;00C61EAD&quot;/&gt;&lt;wsp:rsid wsp:val=&quot;00C6201B&quot;/&gt;&lt;wsp:rsid wsp:val=&quot;00C621D2&quot;/&gt;&lt;wsp:rsid wsp:val=&quot;00C6255C&quot;/&gt;&lt;wsp:rsid wsp:val=&quot;00C62843&quot;/&gt;&lt;wsp:rsid wsp:val=&quot;00C63930&quot;/&gt;&lt;wsp:rsid wsp:val=&quot;00C63A79&quot;/&gt;&lt;wsp:rsid wsp:val=&quot;00C63EC0&quot;/&gt;&lt;wsp:rsid wsp:val=&quot;00C6413D&quot;/&gt;&lt;wsp:rsid wsp:val=&quot;00C642F2&quot;/&gt;&lt;wsp:rsid wsp:val=&quot;00C647BB&quot;/&gt;&lt;wsp:rsid wsp:val=&quot;00C6497F&quot;/&gt;&lt;wsp:rsid wsp:val=&quot;00C64AC5&quot;/&gt;&lt;wsp:rsid wsp:val=&quot;00C64B61&quot;/&gt;&lt;wsp:rsid wsp:val=&quot;00C64BB1&quot;/&gt;&lt;wsp:rsid wsp:val=&quot;00C64FFC&quot;/&gt;&lt;wsp:rsid wsp:val=&quot;00C65344&quot;/&gt;&lt;wsp:rsid wsp:val=&quot;00C65602&quot;/&gt;&lt;wsp:rsid wsp:val=&quot;00C65606&quot;/&gt;&lt;wsp:rsid wsp:val=&quot;00C65830&quot;/&gt;&lt;wsp:rsid wsp:val=&quot;00C65998&quot;/&gt;&lt;wsp:rsid wsp:val=&quot;00C65F67&quot;/&gt;&lt;wsp:rsid wsp:val=&quot;00C6658D&quot;/&gt;&lt;wsp:rsid wsp:val=&quot;00C66956&quot;/&gt;&lt;wsp:rsid wsp:val=&quot;00C66B87&quot;/&gt;&lt;wsp:rsid wsp:val=&quot;00C66C74&quot;/&gt;&lt;wsp:rsid wsp:val=&quot;00C670EB&quot;/&gt;&lt;wsp:rsid wsp:val=&quot;00C6720D&quot;/&gt;&lt;wsp:rsid wsp:val=&quot;00C674ED&quot;/&gt;&lt;wsp:rsid wsp:val=&quot;00C67A51&quot;/&gt;&lt;wsp:rsid wsp:val=&quot;00C67D97&quot;/&gt;&lt;wsp:rsid wsp:val=&quot;00C67EC1&quot;/&gt;&lt;wsp:rsid wsp:val=&quot;00C67F40&quot;/&gt;&lt;wsp:rsid wsp:val=&quot;00C7017F&quot;/&gt;&lt;wsp:rsid wsp:val=&quot;00C7027B&quot;/&gt;&lt;wsp:rsid wsp:val=&quot;00C705FE&quot;/&gt;&lt;wsp:rsid wsp:val=&quot;00C70991&quot;/&gt;&lt;wsp:rsid wsp:val=&quot;00C70CA8&quot;/&gt;&lt;wsp:rsid wsp:val=&quot;00C712CB&quot;/&gt;&lt;wsp:rsid wsp:val=&quot;00C7156C&quot;/&gt;&lt;wsp:rsid wsp:val=&quot;00C715BA&quot;/&gt;&lt;wsp:rsid wsp:val=&quot;00C71941&quot;/&gt;&lt;wsp:rsid wsp:val=&quot;00C719D0&quot;/&gt;&lt;wsp:rsid wsp:val=&quot;00C71D80&quot;/&gt;&lt;wsp:rsid wsp:val=&quot;00C71F79&quot;/&gt;&lt;wsp:rsid wsp:val=&quot;00C726D5&quot;/&gt;&lt;wsp:rsid wsp:val=&quot;00C7270A&quot;/&gt;&lt;wsp:rsid wsp:val=&quot;00C72879&quot;/&gt;&lt;wsp:rsid wsp:val=&quot;00C72AA2&quot;/&gt;&lt;wsp:rsid wsp:val=&quot;00C72B25&quot;/&gt;&lt;wsp:rsid wsp:val=&quot;00C72C66&quot;/&gt;&lt;wsp:rsid wsp:val=&quot;00C72FD8&quot;/&gt;&lt;wsp:rsid wsp:val=&quot;00C7378D&quot;/&gt;&lt;wsp:rsid wsp:val=&quot;00C73889&quot;/&gt;&lt;wsp:rsid wsp:val=&quot;00C74898&quot;/&gt;&lt;wsp:rsid wsp:val=&quot;00C75098&quot;/&gt;&lt;wsp:rsid wsp:val=&quot;00C75839&quot;/&gt;&lt;wsp:rsid wsp:val=&quot;00C75CA9&quot;/&gt;&lt;wsp:rsid wsp:val=&quot;00C75F02&quot;/&gt;&lt;wsp:rsid wsp:val=&quot;00C764F6&quot;/&gt;&lt;wsp:rsid wsp:val=&quot;00C76F3E&quot;/&gt;&lt;wsp:rsid wsp:val=&quot;00C76F9A&quot;/&gt;&lt;wsp:rsid wsp:val=&quot;00C77430&quot;/&gt;&lt;wsp:rsid wsp:val=&quot;00C77751&quot;/&gt;&lt;wsp:rsid wsp:val=&quot;00C77868&quot;/&gt;&lt;wsp:rsid wsp:val=&quot;00C80218&quot;/&gt;&lt;wsp:rsid wsp:val=&quot;00C802EE&quot;/&gt;&lt;wsp:rsid wsp:val=&quot;00C804BF&quot;/&gt;&lt;wsp:rsid wsp:val=&quot;00C80740&quot;/&gt;&lt;wsp:rsid wsp:val=&quot;00C80B24&quot;/&gt;&lt;wsp:rsid wsp:val=&quot;00C812BE&quot;/&gt;&lt;wsp:rsid wsp:val=&quot;00C81422&quot;/&gt;&lt;wsp:rsid wsp:val=&quot;00C81882&quot;/&gt;&lt;wsp:rsid wsp:val=&quot;00C81A1F&quot;/&gt;&lt;wsp:rsid wsp:val=&quot;00C81E69&quot;/&gt;&lt;wsp:rsid wsp:val=&quot;00C824F6&quot;/&gt;&lt;wsp:rsid wsp:val=&quot;00C82B84&quot;/&gt;&lt;wsp:rsid wsp:val=&quot;00C82C6F&quot;/&gt;&lt;wsp:rsid wsp:val=&quot;00C83251&quot;/&gt;&lt;wsp:rsid wsp:val=&quot;00C832D4&quot;/&gt;&lt;wsp:rsid wsp:val=&quot;00C837DC&quot;/&gt;&lt;wsp:rsid wsp:val=&quot;00C839E2&quot;/&gt;&lt;wsp:rsid wsp:val=&quot;00C83C53&quot;/&gt;&lt;wsp:rsid wsp:val=&quot;00C83F91&quot;/&gt;&lt;wsp:rsid wsp:val=&quot;00C83FD1&quot;/&gt;&lt;wsp:rsid wsp:val=&quot;00C84201&quot;/&gt;&lt;wsp:rsid wsp:val=&quot;00C843DA&quot;/&gt;&lt;wsp:rsid wsp:val=&quot;00C8452C&quot;/&gt;&lt;wsp:rsid wsp:val=&quot;00C857B7&quot;/&gt;&lt;wsp:rsid wsp:val=&quot;00C85996&quot;/&gt;&lt;wsp:rsid wsp:val=&quot;00C86202&quot;/&gt;&lt;wsp:rsid wsp:val=&quot;00C86215&quot;/&gt;&lt;wsp:rsid wsp:val=&quot;00C8630D&quot;/&gt;&lt;wsp:rsid wsp:val=&quot;00C86947&quot;/&gt;&lt;wsp:rsid wsp:val=&quot;00C869E1&quot;/&gt;&lt;wsp:rsid wsp:val=&quot;00C86CD3&quot;/&gt;&lt;wsp:rsid wsp:val=&quot;00C86FBF&quot;/&gt;&lt;wsp:rsid wsp:val=&quot;00C871D9&quot;/&gt;&lt;wsp:rsid wsp:val=&quot;00C8775E&quot;/&gt;&lt;wsp:rsid wsp:val=&quot;00C87FEC&quot;/&gt;&lt;wsp:rsid wsp:val=&quot;00C90730&quot;/&gt;&lt;wsp:rsid wsp:val=&quot;00C90AC3&quot;/&gt;&lt;wsp:rsid wsp:val=&quot;00C90CE1&quot;/&gt;&lt;wsp:rsid wsp:val=&quot;00C91094&quot;/&gt;&lt;wsp:rsid wsp:val=&quot;00C910C9&quot;/&gt;&lt;wsp:rsid wsp:val=&quot;00C9147D&quot;/&gt;&lt;wsp:rsid wsp:val=&quot;00C91E4B&quot;/&gt;&lt;wsp:rsid wsp:val=&quot;00C92002&quot;/&gt;&lt;wsp:rsid wsp:val=&quot;00C92205&quot;/&gt;&lt;wsp:rsid wsp:val=&quot;00C922B8&quot;/&gt;&lt;wsp:rsid wsp:val=&quot;00C92677&quot;/&gt;&lt;wsp:rsid wsp:val=&quot;00C9275D&quot;/&gt;&lt;wsp:rsid wsp:val=&quot;00C928D7&quot;/&gt;&lt;wsp:rsid wsp:val=&quot;00C92B2A&quot;/&gt;&lt;wsp:rsid wsp:val=&quot;00C92DEE&quot;/&gt;&lt;wsp:rsid wsp:val=&quot;00C930EC&quot;/&gt;&lt;wsp:rsid wsp:val=&quot;00C931A4&quot;/&gt;&lt;wsp:rsid wsp:val=&quot;00C935F8&quot;/&gt;&lt;wsp:rsid wsp:val=&quot;00C93E2A&quot;/&gt;&lt;wsp:rsid wsp:val=&quot;00C93EC3&quot;/&gt;&lt;wsp:rsid wsp:val=&quot;00C9426F&quot;/&gt;&lt;wsp:rsid wsp:val=&quot;00C94979&quot;/&gt;&lt;wsp:rsid wsp:val=&quot;00C949E7&quot;/&gt;&lt;wsp:rsid wsp:val=&quot;00C94A55&quot;/&gt;&lt;wsp:rsid wsp:val=&quot;00C94B01&quot;/&gt;&lt;wsp:rsid wsp:val=&quot;00C95341&quot;/&gt;&lt;wsp:rsid wsp:val=&quot;00C95582&quot;/&gt;&lt;wsp:rsid wsp:val=&quot;00C95B43&quot;/&gt;&lt;wsp:rsid wsp:val=&quot;00C95BD2&quot;/&gt;&lt;wsp:rsid wsp:val=&quot;00C95BD4&quot;/&gt;&lt;wsp:rsid wsp:val=&quot;00C95C82&quot;/&gt;&lt;wsp:rsid wsp:val=&quot;00C95D8C&quot;/&gt;&lt;wsp:rsid wsp:val=&quot;00C9661E&quot;/&gt;&lt;wsp:rsid wsp:val=&quot;00C96A52&quot;/&gt;&lt;wsp:rsid wsp:val=&quot;00C96EEF&quot;/&gt;&lt;wsp:rsid wsp:val=&quot;00C97016&quot;/&gt;&lt;wsp:rsid wsp:val=&quot;00C9751C&quot;/&gt;&lt;wsp:rsid wsp:val=&quot;00C9752D&quot;/&gt;&lt;wsp:rsid wsp:val=&quot;00C97569&quot;/&gt;&lt;wsp:rsid wsp:val=&quot;00C97C6D&quot;/&gt;&lt;wsp:rsid wsp:val=&quot;00CA01CE&quot;/&gt;&lt;wsp:rsid wsp:val=&quot;00CA01D2&quot;/&gt;&lt;wsp:rsid wsp:val=&quot;00CA04FB&quot;/&gt;&lt;wsp:rsid wsp:val=&quot;00CA07BF&quot;/&gt;&lt;wsp:rsid wsp:val=&quot;00CA0801&quot;/&gt;&lt;wsp:rsid wsp:val=&quot;00CA162B&quot;/&gt;&lt;wsp:rsid wsp:val=&quot;00CA1F81&quot;/&gt;&lt;wsp:rsid wsp:val=&quot;00CA1FA6&quot;/&gt;&lt;wsp:rsid wsp:val=&quot;00CA211D&quot;/&gt;&lt;wsp:rsid wsp:val=&quot;00CA2179&quot;/&gt;&lt;wsp:rsid wsp:val=&quot;00CA248C&quot;/&gt;&lt;wsp:rsid wsp:val=&quot;00CA2679&quot;/&gt;&lt;wsp:rsid wsp:val=&quot;00CA2B97&quot;/&gt;&lt;wsp:rsid wsp:val=&quot;00CA36FE&quot;/&gt;&lt;wsp:rsid wsp:val=&quot;00CA3F7F&quot;/&gt;&lt;wsp:rsid wsp:val=&quot;00CA3FD3&quot;/&gt;&lt;wsp:rsid wsp:val=&quot;00CA3FFB&quot;/&gt;&lt;wsp:rsid wsp:val=&quot;00CA4038&quot;/&gt;&lt;wsp:rsid wsp:val=&quot;00CA4085&quot;/&gt;&lt;wsp:rsid wsp:val=&quot;00CA4579&quot;/&gt;&lt;wsp:rsid wsp:val=&quot;00CA4869&quot;/&gt;&lt;wsp:rsid wsp:val=&quot;00CA4ABE&quot;/&gt;&lt;wsp:rsid wsp:val=&quot;00CA4D91&quot;/&gt;&lt;wsp:rsid wsp:val=&quot;00CA4F97&quot;/&gt;&lt;wsp:rsid wsp:val=&quot;00CA5411&quot;/&gt;&lt;wsp:rsid wsp:val=&quot;00CA566E&quot;/&gt;&lt;wsp:rsid wsp:val=&quot;00CA5785&quot;/&gt;&lt;wsp:rsid wsp:val=&quot;00CA5995&quot;/&gt;&lt;wsp:rsid wsp:val=&quot;00CA59BD&quot;/&gt;&lt;wsp:rsid wsp:val=&quot;00CA59CE&quot;/&gt;&lt;wsp:rsid wsp:val=&quot;00CA5A03&quot;/&gt;&lt;wsp:rsid wsp:val=&quot;00CA5E9D&quot;/&gt;&lt;wsp:rsid wsp:val=&quot;00CA5F9D&quot;/&gt;&lt;wsp:rsid wsp:val=&quot;00CA6226&quot;/&gt;&lt;wsp:rsid wsp:val=&quot;00CA6DD1&quot;/&gt;&lt;wsp:rsid wsp:val=&quot;00CA6F17&quot;/&gt;&lt;wsp:rsid wsp:val=&quot;00CA710D&quot;/&gt;&lt;wsp:rsid wsp:val=&quot;00CA75DC&quot;/&gt;&lt;wsp:rsid wsp:val=&quot;00CA77C5&quot;/&gt;&lt;wsp:rsid wsp:val=&quot;00CA7B22&quot;/&gt;&lt;wsp:rsid wsp:val=&quot;00CA7B5B&quot;/&gt;&lt;wsp:rsid wsp:val=&quot;00CB003B&quot;/&gt;&lt;wsp:rsid wsp:val=&quot;00CB0156&quot;/&gt;&lt;wsp:rsid wsp:val=&quot;00CB0202&quot;/&gt;&lt;wsp:rsid wsp:val=&quot;00CB0573&quot;/&gt;&lt;wsp:rsid wsp:val=&quot;00CB0D41&quot;/&gt;&lt;wsp:rsid wsp:val=&quot;00CB1083&quot;/&gt;&lt;wsp:rsid wsp:val=&quot;00CB1320&quot;/&gt;&lt;wsp:rsid wsp:val=&quot;00CB132D&quot;/&gt;&lt;wsp:rsid wsp:val=&quot;00CB151F&quot;/&gt;&lt;wsp:rsid wsp:val=&quot;00CB1689&quot;/&gt;&lt;wsp:rsid wsp:val=&quot;00CB172E&quot;/&gt;&lt;wsp:rsid wsp:val=&quot;00CB199D&quot;/&gt;&lt;wsp:rsid wsp:val=&quot;00CB1A7B&quot;/&gt;&lt;wsp:rsid wsp:val=&quot;00CB1B1D&quot;/&gt;&lt;wsp:rsid wsp:val=&quot;00CB1B82&quot;/&gt;&lt;wsp:rsid wsp:val=&quot;00CB202C&quot;/&gt;&lt;wsp:rsid wsp:val=&quot;00CB2516&quot;/&gt;&lt;wsp:rsid wsp:val=&quot;00CB27B5&quot;/&gt;&lt;wsp:rsid wsp:val=&quot;00CB2B89&quot;/&gt;&lt;wsp:rsid wsp:val=&quot;00CB328F&quot;/&gt;&lt;wsp:rsid wsp:val=&quot;00CB329C&quot;/&gt;&lt;wsp:rsid wsp:val=&quot;00CB3909&quot;/&gt;&lt;wsp:rsid wsp:val=&quot;00CB4593&quot;/&gt;&lt;wsp:rsid wsp:val=&quot;00CB483B&quot;/&gt;&lt;wsp:rsid wsp:val=&quot;00CB4AFB&quot;/&gt;&lt;wsp:rsid wsp:val=&quot;00CB4CD8&quot;/&gt;&lt;wsp:rsid wsp:val=&quot;00CB4D49&quot;/&gt;&lt;wsp:rsid wsp:val=&quot;00CB4FA1&quot;/&gt;&lt;wsp:rsid wsp:val=&quot;00CB5103&quot;/&gt;&lt;wsp:rsid wsp:val=&quot;00CB5152&quot;/&gt;&lt;wsp:rsid wsp:val=&quot;00CB546D&quot;/&gt;&lt;wsp:rsid wsp:val=&quot;00CB5929&quot;/&gt;&lt;wsp:rsid wsp:val=&quot;00CB5C42&quot;/&gt;&lt;wsp:rsid wsp:val=&quot;00CB5F5C&quot;/&gt;&lt;wsp:rsid wsp:val=&quot;00CB6043&quot;/&gt;&lt;wsp:rsid wsp:val=&quot;00CB6682&quot;/&gt;&lt;wsp:rsid wsp:val=&quot;00CB6751&quot;/&gt;&lt;wsp:rsid wsp:val=&quot;00CB6E9C&quot;/&gt;&lt;wsp:rsid wsp:val=&quot;00CB6F1A&quot;/&gt;&lt;wsp:rsid wsp:val=&quot;00CB72FE&quot;/&gt;&lt;wsp:rsid wsp:val=&quot;00CB74E2&quot;/&gt;&lt;wsp:rsid wsp:val=&quot;00CB7B92&quot;/&gt;&lt;wsp:rsid wsp:val=&quot;00CC0AC6&quot;/&gt;&lt;wsp:rsid wsp:val=&quot;00CC0BEE&quot;/&gt;&lt;wsp:rsid wsp:val=&quot;00CC0DEA&quot;/&gt;&lt;wsp:rsid wsp:val=&quot;00CC11F2&quot;/&gt;&lt;wsp:rsid wsp:val=&quot;00CC1C55&quot;/&gt;&lt;wsp:rsid wsp:val=&quot;00CC2005&quot;/&gt;&lt;wsp:rsid wsp:val=&quot;00CC209D&quot;/&gt;&lt;wsp:rsid wsp:val=&quot;00CC20AB&quot;/&gt;&lt;wsp:rsid wsp:val=&quot;00CC2728&quot;/&gt;&lt;wsp:rsid wsp:val=&quot;00CC2F68&quot;/&gt;&lt;wsp:rsid wsp:val=&quot;00CC34AF&quot;/&gt;&lt;wsp:rsid wsp:val=&quot;00CC3542&quot;/&gt;&lt;wsp:rsid wsp:val=&quot;00CC38F1&quot;/&gt;&lt;wsp:rsid wsp:val=&quot;00CC3DF6&quot;/&gt;&lt;wsp:rsid wsp:val=&quot;00CC4085&quot;/&gt;&lt;wsp:rsid wsp:val=&quot;00CC4262&quot;/&gt;&lt;wsp:rsid wsp:val=&quot;00CC4441&quot;/&gt;&lt;wsp:rsid wsp:val=&quot;00CC467E&quot;/&gt;&lt;wsp:rsid wsp:val=&quot;00CC471B&quot;/&gt;&lt;wsp:rsid wsp:val=&quot;00CC47EC&quot;/&gt;&lt;wsp:rsid wsp:val=&quot;00CC498E&quot;/&gt;&lt;wsp:rsid wsp:val=&quot;00CC4A83&quot;/&gt;&lt;wsp:rsid wsp:val=&quot;00CC4BB8&quot;/&gt;&lt;wsp:rsid wsp:val=&quot;00CC4BCF&quot;/&gt;&lt;wsp:rsid wsp:val=&quot;00CC4D1E&quot;/&gt;&lt;wsp:rsid wsp:val=&quot;00CC5463&quot;/&gt;&lt;wsp:rsid wsp:val=&quot;00CC5C7C&quot;/&gt;&lt;wsp:rsid wsp:val=&quot;00CC5CCC&quot;/&gt;&lt;wsp:rsid wsp:val=&quot;00CC5ED7&quot;/&gt;&lt;wsp:rsid wsp:val=&quot;00CC6171&quot;/&gt;&lt;wsp:rsid wsp:val=&quot;00CC6272&quot;/&gt;&lt;wsp:rsid wsp:val=&quot;00CC6688&quot;/&gt;&lt;wsp:rsid wsp:val=&quot;00CC699F&quot;/&gt;&lt;wsp:rsid wsp:val=&quot;00CC6FE8&quot;/&gt;&lt;wsp:rsid wsp:val=&quot;00CC726C&quot;/&gt;&lt;wsp:rsid wsp:val=&quot;00CC727D&quot;/&gt;&lt;wsp:rsid wsp:val=&quot;00CC742A&quot;/&gt;&lt;wsp:rsid wsp:val=&quot;00CC7468&quot;/&gt;&lt;wsp:rsid wsp:val=&quot;00CC785A&quot;/&gt;&lt;wsp:rsid wsp:val=&quot;00CC78B3&quot;/&gt;&lt;wsp:rsid wsp:val=&quot;00CC797D&quot;/&gt;&lt;wsp:rsid wsp:val=&quot;00CD01C7&quot;/&gt;&lt;wsp:rsid wsp:val=&quot;00CD045F&quot;/&gt;&lt;wsp:rsid wsp:val=&quot;00CD061A&quot;/&gt;&lt;wsp:rsid wsp:val=&quot;00CD08BC&quot;/&gt;&lt;wsp:rsid wsp:val=&quot;00CD0FAA&quot;/&gt;&lt;wsp:rsid wsp:val=&quot;00CD12C9&quot;/&gt;&lt;wsp:rsid wsp:val=&quot;00CD1393&quot;/&gt;&lt;wsp:rsid wsp:val=&quot;00CD1C3A&quot;/&gt;&lt;wsp:rsid wsp:val=&quot;00CD26F4&quot;/&gt;&lt;wsp:rsid wsp:val=&quot;00CD2867&quot;/&gt;&lt;wsp:rsid wsp:val=&quot;00CD2B4B&quot;/&gt;&lt;wsp:rsid wsp:val=&quot;00CD2BAE&quot;/&gt;&lt;wsp:rsid wsp:val=&quot;00CD2EB1&quot;/&gt;&lt;wsp:rsid wsp:val=&quot;00CD3520&quot;/&gt;&lt;wsp:rsid wsp:val=&quot;00CD355B&quot;/&gt;&lt;wsp:rsid wsp:val=&quot;00CD404A&quot;/&gt;&lt;wsp:rsid wsp:val=&quot;00CD430B&quot;/&gt;&lt;wsp:rsid wsp:val=&quot;00CD48FF&quot;/&gt;&lt;wsp:rsid wsp:val=&quot;00CD4C7F&quot;/&gt;&lt;wsp:rsid wsp:val=&quot;00CD5C81&quot;/&gt;&lt;wsp:rsid wsp:val=&quot;00CD6220&quot;/&gt;&lt;wsp:rsid wsp:val=&quot;00CD6441&quot;/&gt;&lt;wsp:rsid wsp:val=&quot;00CD6504&quot;/&gt;&lt;wsp:rsid wsp:val=&quot;00CD6E20&quot;/&gt;&lt;wsp:rsid wsp:val=&quot;00CD7198&quot;/&gt;&lt;wsp:rsid wsp:val=&quot;00CD7668&quot;/&gt;&lt;wsp:rsid wsp:val=&quot;00CD7804&quot;/&gt;&lt;wsp:rsid wsp:val=&quot;00CD7AC7&quot;/&gt;&lt;wsp:rsid wsp:val=&quot;00CD7ACE&quot;/&gt;&lt;wsp:rsid wsp:val=&quot;00CD7B2C&quot;/&gt;&lt;wsp:rsid wsp:val=&quot;00CD7B44&quot;/&gt;&lt;wsp:rsid wsp:val=&quot;00CE0081&quot;/&gt;&lt;wsp:rsid wsp:val=&quot;00CE058A&quot;/&gt;&lt;wsp:rsid wsp:val=&quot;00CE0631&quot;/&gt;&lt;wsp:rsid wsp:val=&quot;00CE129C&quot;/&gt;&lt;wsp:rsid wsp:val=&quot;00CE12A5&quot;/&gt;&lt;wsp:rsid wsp:val=&quot;00CE155F&quot;/&gt;&lt;wsp:rsid wsp:val=&quot;00CE1A5E&quot;/&gt;&lt;wsp:rsid wsp:val=&quot;00CE26A0&quot;/&gt;&lt;wsp:rsid wsp:val=&quot;00CE28BA&quot;/&gt;&lt;wsp:rsid wsp:val=&quot;00CE2D73&quot;/&gt;&lt;wsp:rsid wsp:val=&quot;00CE3AC2&quot;/&gt;&lt;wsp:rsid wsp:val=&quot;00CE3FD4&quot;/&gt;&lt;wsp:rsid wsp:val=&quot;00CE41C2&quot;/&gt;&lt;wsp:rsid wsp:val=&quot;00CE4428&quot;/&gt;&lt;wsp:rsid wsp:val=&quot;00CE44C9&quot;/&gt;&lt;wsp:rsid wsp:val=&quot;00CE476C&quot;/&gt;&lt;wsp:rsid wsp:val=&quot;00CE4CBD&quot;/&gt;&lt;wsp:rsid wsp:val=&quot;00CE4DBB&quot;/&gt;&lt;wsp:rsid wsp:val=&quot;00CE5383&quot;/&gt;&lt;wsp:rsid wsp:val=&quot;00CE5797&quot;/&gt;&lt;wsp:rsid wsp:val=&quot;00CE593C&quot;/&gt;&lt;wsp:rsid wsp:val=&quot;00CE5C31&quot;/&gt;&lt;wsp:rsid wsp:val=&quot;00CE60FB&quot;/&gt;&lt;wsp:rsid wsp:val=&quot;00CE629A&quot;/&gt;&lt;wsp:rsid wsp:val=&quot;00CE64A0&quot;/&gt;&lt;wsp:rsid wsp:val=&quot;00CE6BF3&quot;/&gt;&lt;wsp:rsid wsp:val=&quot;00CE6BFC&quot;/&gt;&lt;wsp:rsid wsp:val=&quot;00CE6C66&quot;/&gt;&lt;wsp:rsid wsp:val=&quot;00CE6F6E&quot;/&gt;&lt;wsp:rsid wsp:val=&quot;00CE6FE1&quot;/&gt;&lt;wsp:rsid wsp:val=&quot;00CE727C&quot;/&gt;&lt;wsp:rsid wsp:val=&quot;00CE72DB&quot;/&gt;&lt;wsp:rsid wsp:val=&quot;00CE7640&quot;/&gt;&lt;wsp:rsid wsp:val=&quot;00CE784A&quot;/&gt;&lt;wsp:rsid wsp:val=&quot;00CE786B&quot;/&gt;&lt;wsp:rsid wsp:val=&quot;00CE7AFA&quot;/&gt;&lt;wsp:rsid wsp:val=&quot;00CF05C5&quot;/&gt;&lt;wsp:rsid wsp:val=&quot;00CF0B15&quot;/&gt;&lt;wsp:rsid wsp:val=&quot;00CF0B87&quot;/&gt;&lt;wsp:rsid wsp:val=&quot;00CF0E09&quot;/&gt;&lt;wsp:rsid wsp:val=&quot;00CF1211&quot;/&gt;&lt;wsp:rsid wsp:val=&quot;00CF1532&quot;/&gt;&lt;wsp:rsid wsp:val=&quot;00CF194C&quot;/&gt;&lt;wsp:rsid wsp:val=&quot;00CF1B1D&quot;/&gt;&lt;wsp:rsid wsp:val=&quot;00CF1B33&quot;/&gt;&lt;wsp:rsid wsp:val=&quot;00CF1BAA&quot;/&gt;&lt;wsp:rsid wsp:val=&quot;00CF25D4&quot;/&gt;&lt;wsp:rsid wsp:val=&quot;00CF26E8&quot;/&gt;&lt;wsp:rsid wsp:val=&quot;00CF274C&quot;/&gt;&lt;wsp:rsid wsp:val=&quot;00CF29C2&quot;/&gt;&lt;wsp:rsid wsp:val=&quot;00CF2D6F&quot;/&gt;&lt;wsp:rsid wsp:val=&quot;00CF2DF1&quot;/&gt;&lt;wsp:rsid wsp:val=&quot;00CF302F&quot;/&gt;&lt;wsp:rsid wsp:val=&quot;00CF3EA1&quot;/&gt;&lt;wsp:rsid wsp:val=&quot;00CF41C1&quot;/&gt;&lt;wsp:rsid wsp:val=&quot;00CF46F7&quot;/&gt;&lt;wsp:rsid wsp:val=&quot;00CF4FF9&quot;/&gt;&lt;wsp:rsid wsp:val=&quot;00CF523B&quot;/&gt;&lt;wsp:rsid wsp:val=&quot;00CF59C8&quot;/&gt;&lt;wsp:rsid wsp:val=&quot;00CF6182&quot;/&gt;&lt;wsp:rsid wsp:val=&quot;00CF65C2&quot;/&gt;&lt;wsp:rsid wsp:val=&quot;00CF6972&quot;/&gt;&lt;wsp:rsid wsp:val=&quot;00CF7501&quot;/&gt;&lt;wsp:rsid wsp:val=&quot;00CF7B8A&quot;/&gt;&lt;wsp:rsid wsp:val=&quot;00CF7D29&quot;/&gt;&lt;wsp:rsid wsp:val=&quot;00D0020A&quot;/&gt;&lt;wsp:rsid wsp:val=&quot;00D00667&quot;/&gt;&lt;wsp:rsid wsp:val=&quot;00D00EBD&quot;/&gt;&lt;wsp:rsid wsp:val=&quot;00D01230&quot;/&gt;&lt;wsp:rsid wsp:val=&quot;00D01265&quot;/&gt;&lt;wsp:rsid wsp:val=&quot;00D01332&quot;/&gt;&lt;wsp:rsid wsp:val=&quot;00D016B2&quot;/&gt;&lt;wsp:rsid wsp:val=&quot;00D016DA&quot;/&gt;&lt;wsp:rsid wsp:val=&quot;00D017F8&quot;/&gt;&lt;wsp:rsid wsp:val=&quot;00D0190A&quot;/&gt;&lt;wsp:rsid wsp:val=&quot;00D01E63&quot;/&gt;&lt;wsp:rsid wsp:val=&quot;00D01F91&quot;/&gt;&lt;wsp:rsid wsp:val=&quot;00D022EC&quot;/&gt;&lt;wsp:rsid wsp:val=&quot;00D02351&quot;/&gt;&lt;wsp:rsid wsp:val=&quot;00D029B2&quot;/&gt;&lt;wsp:rsid wsp:val=&quot;00D02A42&quot;/&gt;&lt;wsp:rsid wsp:val=&quot;00D02CF2&quot;/&gt;&lt;wsp:rsid wsp:val=&quot;00D02D0B&quot;/&gt;&lt;wsp:rsid wsp:val=&quot;00D03088&quot;/&gt;&lt;wsp:rsid wsp:val=&quot;00D0319C&quot;/&gt;&lt;wsp:rsid wsp:val=&quot;00D03DBF&quot;/&gt;&lt;wsp:rsid wsp:val=&quot;00D05685&quot;/&gt;&lt;wsp:rsid wsp:val=&quot;00D05748&quot;/&gt;&lt;wsp:rsid wsp:val=&quot;00D058C3&quot;/&gt;&lt;wsp:rsid wsp:val=&quot;00D05A7A&quot;/&gt;&lt;wsp:rsid wsp:val=&quot;00D05BFC&quot;/&gt;&lt;wsp:rsid wsp:val=&quot;00D05E04&quot;/&gt;&lt;wsp:rsid wsp:val=&quot;00D06AA5&quot;/&gt;&lt;wsp:rsid wsp:val=&quot;00D06AB9&quot;/&gt;&lt;wsp:rsid wsp:val=&quot;00D06C5F&quot;/&gt;&lt;wsp:rsid wsp:val=&quot;00D073D3&quot;/&gt;&lt;wsp:rsid wsp:val=&quot;00D07537&quot;/&gt;&lt;wsp:rsid wsp:val=&quot;00D07572&quot;/&gt;&lt;wsp:rsid wsp:val=&quot;00D076EE&quot;/&gt;&lt;wsp:rsid wsp:val=&quot;00D0775A&quot;/&gt;&lt;wsp:rsid wsp:val=&quot;00D0795C&quot;/&gt;&lt;wsp:rsid wsp:val=&quot;00D07C74&quot;/&gt;&lt;wsp:rsid wsp:val=&quot;00D07C7F&quot;/&gt;&lt;wsp:rsid wsp:val=&quot;00D07D01&quot;/&gt;&lt;wsp:rsid wsp:val=&quot;00D07DB6&quot;/&gt;&lt;wsp:rsid wsp:val=&quot;00D07DEF&quot;/&gt;&lt;wsp:rsid wsp:val=&quot;00D07FE7&quot;/&gt;&lt;wsp:rsid wsp:val=&quot;00D10430&quot;/&gt;&lt;wsp:rsid wsp:val=&quot;00D10910&quot;/&gt;&lt;wsp:rsid wsp:val=&quot;00D109BF&quot;/&gt;&lt;wsp:rsid wsp:val=&quot;00D10D11&quot;/&gt;&lt;wsp:rsid wsp:val=&quot;00D10D61&quot;/&gt;&lt;wsp:rsid wsp:val=&quot;00D111D1&quot;/&gt;&lt;wsp:rsid wsp:val=&quot;00D11589&quot;/&gt;&lt;wsp:rsid wsp:val=&quot;00D115E9&quot;/&gt;&lt;wsp:rsid wsp:val=&quot;00D116F1&quot;/&gt;&lt;wsp:rsid wsp:val=&quot;00D1188F&quot;/&gt;&lt;wsp:rsid wsp:val=&quot;00D11C23&quot;/&gt;&lt;wsp:rsid wsp:val=&quot;00D11EAC&quot;/&gt;&lt;wsp:rsid wsp:val=&quot;00D129DD&quot;/&gt;&lt;wsp:rsid wsp:val=&quot;00D12A82&quot;/&gt;&lt;wsp:rsid wsp:val=&quot;00D13744&quot;/&gt;&lt;wsp:rsid wsp:val=&quot;00D1408A&quot;/&gt;&lt;wsp:rsid wsp:val=&quot;00D1431E&quot;/&gt;&lt;wsp:rsid wsp:val=&quot;00D143B4&quot;/&gt;&lt;wsp:rsid wsp:val=&quot;00D143BE&quot;/&gt;&lt;wsp:rsid wsp:val=&quot;00D14435&quot;/&gt;&lt;wsp:rsid wsp:val=&quot;00D14E71&quot;/&gt;&lt;wsp:rsid wsp:val=&quot;00D1523A&quot;/&gt;&lt;wsp:rsid wsp:val=&quot;00D155A9&quot;/&gt;&lt;wsp:rsid wsp:val=&quot;00D15A67&quot;/&gt;&lt;wsp:rsid wsp:val=&quot;00D15F4F&quot;/&gt;&lt;wsp:rsid wsp:val=&quot;00D1600F&quot;/&gt;&lt;wsp:rsid wsp:val=&quot;00D160D9&quot;/&gt;&lt;wsp:rsid wsp:val=&quot;00D1650A&quot;/&gt;&lt;wsp:rsid wsp:val=&quot;00D16FE4&quot;/&gt;&lt;wsp:rsid wsp:val=&quot;00D17024&quot;/&gt;&lt;wsp:rsid wsp:val=&quot;00D17222&quot;/&gt;&lt;wsp:rsid wsp:val=&quot;00D17560&quot;/&gt;&lt;wsp:rsid wsp:val=&quot;00D17821&quot;/&gt;&lt;wsp:rsid wsp:val=&quot;00D17A67&quot;/&gt;&lt;wsp:rsid wsp:val=&quot;00D17B73&quot;/&gt;&lt;wsp:rsid wsp:val=&quot;00D17BA2&quot;/&gt;&lt;wsp:rsid wsp:val=&quot;00D17CF4&quot;/&gt;&lt;wsp:rsid wsp:val=&quot;00D20B61&quot;/&gt;&lt;wsp:rsid wsp:val=&quot;00D218E0&quot;/&gt;&lt;wsp:rsid wsp:val=&quot;00D21CB4&quot;/&gt;&lt;wsp:rsid wsp:val=&quot;00D21D30&quot;/&gt;&lt;wsp:rsid wsp:val=&quot;00D22121&quot;/&gt;&lt;wsp:rsid wsp:val=&quot;00D222EF&quot;/&gt;&lt;wsp:rsid wsp:val=&quot;00D22652&quot;/&gt;&lt;wsp:rsid wsp:val=&quot;00D22C6A&quot;/&gt;&lt;wsp:rsid wsp:val=&quot;00D22D7C&quot;/&gt;&lt;wsp:rsid wsp:val=&quot;00D22E98&quot;/&gt;&lt;wsp:rsid wsp:val=&quot;00D2313D&quot;/&gt;&lt;wsp:rsid wsp:val=&quot;00D23C9E&quot;/&gt;&lt;wsp:rsid wsp:val=&quot;00D23E27&quot;/&gt;&lt;wsp:rsid wsp:val=&quot;00D23E33&quot;/&gt;&lt;wsp:rsid wsp:val=&quot;00D24612&quot;/&gt;&lt;wsp:rsid wsp:val=&quot;00D24A52&quot;/&gt;&lt;wsp:rsid wsp:val=&quot;00D24A93&quot;/&gt;&lt;wsp:rsid wsp:val=&quot;00D24D8E&quot;/&gt;&lt;wsp:rsid wsp:val=&quot;00D24E19&quot;/&gt;&lt;wsp:rsid wsp:val=&quot;00D24FEB&quot;/&gt;&lt;wsp:rsid wsp:val=&quot;00D2516A&quot;/&gt;&lt;wsp:rsid wsp:val=&quot;00D255E5&quot;/&gt;&lt;wsp:rsid wsp:val=&quot;00D25B70&quot;/&gt;&lt;wsp:rsid wsp:val=&quot;00D262FD&quot;/&gt;&lt;wsp:rsid wsp:val=&quot;00D26377&quot;/&gt;&lt;wsp:rsid wsp:val=&quot;00D26398&quot;/&gt;&lt;wsp:rsid wsp:val=&quot;00D266A1&quot;/&gt;&lt;wsp:rsid wsp:val=&quot;00D268E1&quot;/&gt;&lt;wsp:rsid wsp:val=&quot;00D269E2&quot;/&gt;&lt;wsp:rsid wsp:val=&quot;00D26FB1&quot;/&gt;&lt;wsp:rsid wsp:val=&quot;00D272AE&quot;/&gt;&lt;wsp:rsid wsp:val=&quot;00D27C40&quot;/&gt;&lt;wsp:rsid wsp:val=&quot;00D302C4&quot;/&gt;&lt;wsp:rsid wsp:val=&quot;00D30340&quot;/&gt;&lt;wsp:rsid wsp:val=&quot;00D305D7&quot;/&gt;&lt;wsp:rsid wsp:val=&quot;00D30B22&quot;/&gt;&lt;wsp:rsid wsp:val=&quot;00D30B9B&quot;/&gt;&lt;wsp:rsid wsp:val=&quot;00D311C3&quot;/&gt;&lt;wsp:rsid wsp:val=&quot;00D31281&quot;/&gt;&lt;wsp:rsid wsp:val=&quot;00D31345&quot;/&gt;&lt;wsp:rsid wsp:val=&quot;00D31357&quot;/&gt;&lt;wsp:rsid wsp:val=&quot;00D313CF&quot;/&gt;&lt;wsp:rsid wsp:val=&quot;00D31845&quot;/&gt;&lt;wsp:rsid wsp:val=&quot;00D3184D&quot;/&gt;&lt;wsp:rsid wsp:val=&quot;00D31E30&quot;/&gt;&lt;wsp:rsid wsp:val=&quot;00D32084&quot;/&gt;&lt;wsp:rsid wsp:val=&quot;00D321B5&quot;/&gt;&lt;wsp:rsid wsp:val=&quot;00D322BE&quot;/&gt;&lt;wsp:rsid wsp:val=&quot;00D32A27&quot;/&gt;&lt;wsp:rsid wsp:val=&quot;00D32A29&quot;/&gt;&lt;wsp:rsid wsp:val=&quot;00D339E8&quot;/&gt;&lt;wsp:rsid wsp:val=&quot;00D33E24&quot;/&gt;&lt;wsp:rsid wsp:val=&quot;00D33ECF&quot;/&gt;&lt;wsp:rsid wsp:val=&quot;00D33EE7&quot;/&gt;&lt;wsp:rsid wsp:val=&quot;00D34053&quot;/&gt;&lt;wsp:rsid wsp:val=&quot;00D34338&quot;/&gt;&lt;wsp:rsid wsp:val=&quot;00D3434B&quot;/&gt;&lt;wsp:rsid wsp:val=&quot;00D34394&quot;/&gt;&lt;wsp:rsid wsp:val=&quot;00D34685&quot;/&gt;&lt;wsp:rsid wsp:val=&quot;00D347F9&quot;/&gt;&lt;wsp:rsid wsp:val=&quot;00D34913&quot;/&gt;&lt;wsp:rsid wsp:val=&quot;00D353AB&quot;/&gt;&lt;wsp:rsid wsp:val=&quot;00D353E7&quot;/&gt;&lt;wsp:rsid wsp:val=&quot;00D3540C&quot;/&gt;&lt;wsp:rsid wsp:val=&quot;00D3573F&quot;/&gt;&lt;wsp:rsid wsp:val=&quot;00D35BBE&quot;/&gt;&lt;wsp:rsid wsp:val=&quot;00D3641D&quot;/&gt;&lt;wsp:rsid wsp:val=&quot;00D366FF&quot;/&gt;&lt;wsp:rsid wsp:val=&quot;00D3682E&quot;/&gt;&lt;wsp:rsid wsp:val=&quot;00D36A97&quot;/&gt;&lt;wsp:rsid wsp:val=&quot;00D36F18&quot;/&gt;&lt;wsp:rsid wsp:val=&quot;00D37446&quot;/&gt;&lt;wsp:rsid wsp:val=&quot;00D374BC&quot;/&gt;&lt;wsp:rsid wsp:val=&quot;00D3787C&quot;/&gt;&lt;wsp:rsid wsp:val=&quot;00D37A50&quot;/&gt;&lt;wsp:rsid wsp:val=&quot;00D37BE2&quot;/&gt;&lt;wsp:rsid wsp:val=&quot;00D37BF0&quot;/&gt;&lt;wsp:rsid wsp:val=&quot;00D37E4B&quot;/&gt;&lt;wsp:rsid wsp:val=&quot;00D407DA&quot;/&gt;&lt;wsp:rsid wsp:val=&quot;00D40ABF&quot;/&gt;&lt;wsp:rsid wsp:val=&quot;00D40C3E&quot;/&gt;&lt;wsp:rsid wsp:val=&quot;00D40E65&quot;/&gt;&lt;wsp:rsid wsp:val=&quot;00D40FE9&quot;/&gt;&lt;wsp:rsid wsp:val=&quot;00D416C7&quot;/&gt;&lt;wsp:rsid wsp:val=&quot;00D41C2B&quot;/&gt;&lt;wsp:rsid wsp:val=&quot;00D41E6E&quot;/&gt;&lt;wsp:rsid wsp:val=&quot;00D4221C&quot;/&gt;&lt;wsp:rsid wsp:val=&quot;00D4245B&quot;/&gt;&lt;wsp:rsid wsp:val=&quot;00D424FA&quot;/&gt;&lt;wsp:rsid wsp:val=&quot;00D426A7&quot;/&gt;&lt;wsp:rsid wsp:val=&quot;00D42A7B&quot;/&gt;&lt;wsp:rsid wsp:val=&quot;00D42D3A&quot;/&gt;&lt;wsp:rsid wsp:val=&quot;00D42E16&quot;/&gt;&lt;wsp:rsid wsp:val=&quot;00D430CD&quot;/&gt;&lt;wsp:rsid wsp:val=&quot;00D431F0&quot;/&gt;&lt;wsp:rsid wsp:val=&quot;00D432F8&quot;/&gt;&lt;wsp:rsid wsp:val=&quot;00D4410D&quot;/&gt;&lt;wsp:rsid wsp:val=&quot;00D44206&quot;/&gt;&lt;wsp:rsid wsp:val=&quot;00D445BB&quot;/&gt;&lt;wsp:rsid wsp:val=&quot;00D445FD&quot;/&gt;&lt;wsp:rsid wsp:val=&quot;00D45140&quot;/&gt;&lt;wsp:rsid wsp:val=&quot;00D45359&quot;/&gt;&lt;wsp:rsid wsp:val=&quot;00D4539F&quot;/&gt;&lt;wsp:rsid wsp:val=&quot;00D454EE&quot;/&gt;&lt;wsp:rsid wsp:val=&quot;00D457AA&quot;/&gt;&lt;wsp:rsid wsp:val=&quot;00D45803&quot;/&gt;&lt;wsp:rsid wsp:val=&quot;00D45B5D&quot;/&gt;&lt;wsp:rsid wsp:val=&quot;00D45D7D&quot;/&gt;&lt;wsp:rsid wsp:val=&quot;00D461B7&quot;/&gt;&lt;wsp:rsid wsp:val=&quot;00D464C3&quot;/&gt;&lt;wsp:rsid wsp:val=&quot;00D46B60&quot;/&gt;&lt;wsp:rsid wsp:val=&quot;00D46C68&quot;/&gt;&lt;wsp:rsid wsp:val=&quot;00D47092&quot;/&gt;&lt;wsp:rsid wsp:val=&quot;00D47156&quot;/&gt;&lt;wsp:rsid wsp:val=&quot;00D4717C&quot;/&gt;&lt;wsp:rsid wsp:val=&quot;00D474EB&quot;/&gt;&lt;wsp:rsid wsp:val=&quot;00D478EC&quot;/&gt;&lt;wsp:rsid wsp:val=&quot;00D479C1&quot;/&gt;&lt;wsp:rsid wsp:val=&quot;00D47BEC&quot;/&gt;&lt;wsp:rsid wsp:val=&quot;00D47D77&quot;/&gt;&lt;wsp:rsid wsp:val=&quot;00D47E1C&quot;/&gt;&lt;wsp:rsid wsp:val=&quot;00D506B5&quot;/&gt;&lt;wsp:rsid wsp:val=&quot;00D50A59&quot;/&gt;&lt;wsp:rsid wsp:val=&quot;00D50C38&quot;/&gt;&lt;wsp:rsid wsp:val=&quot;00D50CE0&quot;/&gt;&lt;wsp:rsid wsp:val=&quot;00D50DEF&quot;/&gt;&lt;wsp:rsid wsp:val=&quot;00D5119A&quot;/&gt;&lt;wsp:rsid wsp:val=&quot;00D514F8&quot;/&gt;&lt;wsp:rsid wsp:val=&quot;00D51684&quot;/&gt;&lt;wsp:rsid wsp:val=&quot;00D519D2&quot;/&gt;&lt;wsp:rsid wsp:val=&quot;00D52201&quot;/&gt;&lt;wsp:rsid wsp:val=&quot;00D52C29&quot;/&gt;&lt;wsp:rsid wsp:val=&quot;00D52C40&quot;/&gt;&lt;wsp:rsid wsp:val=&quot;00D52D99&quot;/&gt;&lt;wsp:rsid wsp:val=&quot;00D53A9D&quot;/&gt;&lt;wsp:rsid wsp:val=&quot;00D53C3D&quot;/&gt;&lt;wsp:rsid wsp:val=&quot;00D540A9&quot;/&gt;&lt;wsp:rsid wsp:val=&quot;00D54222&quot;/&gt;&lt;wsp:rsid wsp:val=&quot;00D54784&quot;/&gt;&lt;wsp:rsid wsp:val=&quot;00D54889&quot;/&gt;&lt;wsp:rsid wsp:val=&quot;00D554CF&quot;/&gt;&lt;wsp:rsid wsp:val=&quot;00D554E7&quot;/&gt;&lt;wsp:rsid wsp:val=&quot;00D558A6&quot;/&gt;&lt;wsp:rsid wsp:val=&quot;00D55B1E&quot;/&gt;&lt;wsp:rsid wsp:val=&quot;00D55B7B&quot;/&gt;&lt;wsp:rsid wsp:val=&quot;00D55DDA&quot;/&gt;&lt;wsp:rsid wsp:val=&quot;00D55EA8&quot;/&gt;&lt;wsp:rsid wsp:val=&quot;00D5603A&quot;/&gt;&lt;wsp:rsid wsp:val=&quot;00D5614C&quot;/&gt;&lt;wsp:rsid wsp:val=&quot;00D561AA&quot;/&gt;&lt;wsp:rsid wsp:val=&quot;00D5639B&quot;/&gt;&lt;wsp:rsid wsp:val=&quot;00D5655C&quot;/&gt;&lt;wsp:rsid wsp:val=&quot;00D568D7&quot;/&gt;&lt;wsp:rsid wsp:val=&quot;00D56927&quot;/&gt;&lt;wsp:rsid wsp:val=&quot;00D56B30&quot;/&gt;&lt;wsp:rsid wsp:val=&quot;00D56E9A&quot;/&gt;&lt;wsp:rsid wsp:val=&quot;00D56F33&quot;/&gt;&lt;wsp:rsid wsp:val=&quot;00D57369&quot;/&gt;&lt;wsp:rsid wsp:val=&quot;00D57444&quot;/&gt;&lt;wsp:rsid wsp:val=&quot;00D57D29&quot;/&gt;&lt;wsp:rsid wsp:val=&quot;00D57D89&quot;/&gt;&lt;wsp:rsid wsp:val=&quot;00D6083B&quot;/&gt;&lt;wsp:rsid wsp:val=&quot;00D60BE2&quot;/&gt;&lt;wsp:rsid wsp:val=&quot;00D60C02&quot;/&gt;&lt;wsp:rsid wsp:val=&quot;00D60F96&quot;/&gt;&lt;wsp:rsid wsp:val=&quot;00D61008&quot;/&gt;&lt;wsp:rsid wsp:val=&quot;00D61164&quot;/&gt;&lt;wsp:rsid wsp:val=&quot;00D6129C&quot;/&gt;&lt;wsp:rsid wsp:val=&quot;00D6147C&quot;/&gt;&lt;wsp:rsid wsp:val=&quot;00D618D5&quot;/&gt;&lt;wsp:rsid wsp:val=&quot;00D61BEC&quot;/&gt;&lt;wsp:rsid wsp:val=&quot;00D6218C&quot;/&gt;&lt;wsp:rsid wsp:val=&quot;00D622E0&quot;/&gt;&lt;wsp:rsid wsp:val=&quot;00D62D55&quot;/&gt;&lt;wsp:rsid wsp:val=&quot;00D63071&quot;/&gt;&lt;wsp:rsid wsp:val=&quot;00D63913&quot;/&gt;&lt;wsp:rsid wsp:val=&quot;00D648A8&quot;/&gt;&lt;wsp:rsid wsp:val=&quot;00D64DA8&quot;/&gt;&lt;wsp:rsid wsp:val=&quot;00D64F3C&quot;/&gt;&lt;wsp:rsid wsp:val=&quot;00D6548B&quot;/&gt;&lt;wsp:rsid wsp:val=&quot;00D65B4E&quot;/&gt;&lt;wsp:rsid wsp:val=&quot;00D65FF0&quot;/&gt;&lt;wsp:rsid wsp:val=&quot;00D660C5&quot;/&gt;&lt;wsp:rsid wsp:val=&quot;00D66231&quot;/&gt;&lt;wsp:rsid wsp:val=&quot;00D6624D&quot;/&gt;&lt;wsp:rsid wsp:val=&quot;00D662B3&quot;/&gt;&lt;wsp:rsid wsp:val=&quot;00D66756&quot;/&gt;&lt;wsp:rsid wsp:val=&quot;00D6685E&quot;/&gt;&lt;wsp:rsid wsp:val=&quot;00D66C63&quot;/&gt;&lt;wsp:rsid wsp:val=&quot;00D67184&quot;/&gt;&lt;wsp:rsid wsp:val=&quot;00D672C0&quot;/&gt;&lt;wsp:rsid wsp:val=&quot;00D67A6E&quot;/&gt;&lt;wsp:rsid wsp:val=&quot;00D67DE9&quot;/&gt;&lt;wsp:rsid wsp:val=&quot;00D7013B&quot;/&gt;&lt;wsp:rsid wsp:val=&quot;00D7076D&quot;/&gt;&lt;wsp:rsid wsp:val=&quot;00D707E1&quot;/&gt;&lt;wsp:rsid wsp:val=&quot;00D70823&quot;/&gt;&lt;wsp:rsid wsp:val=&quot;00D716C4&quot;/&gt;&lt;wsp:rsid wsp:val=&quot;00D721EA&quot;/&gt;&lt;wsp:rsid wsp:val=&quot;00D72373&quot;/&gt;&lt;wsp:rsid wsp:val=&quot;00D723EB&quot;/&gt;&lt;wsp:rsid wsp:val=&quot;00D72681&quot;/&gt;&lt;wsp:rsid wsp:val=&quot;00D72769&quot;/&gt;&lt;wsp:rsid wsp:val=&quot;00D72BCD&quot;/&gt;&lt;wsp:rsid wsp:val=&quot;00D72E56&quot;/&gt;&lt;wsp:rsid wsp:val=&quot;00D72F53&quot;/&gt;&lt;wsp:rsid wsp:val=&quot;00D730E8&quot;/&gt;&lt;wsp:rsid wsp:val=&quot;00D7370C&quot;/&gt;&lt;wsp:rsid wsp:val=&quot;00D73D53&quot;/&gt;&lt;wsp:rsid wsp:val=&quot;00D73F86&quot;/&gt;&lt;wsp:rsid wsp:val=&quot;00D74094&quot;/&gt;&lt;wsp:rsid wsp:val=&quot;00D74481&quot;/&gt;&lt;wsp:rsid wsp:val=&quot;00D74527&quot;/&gt;&lt;wsp:rsid wsp:val=&quot;00D7481B&quot;/&gt;&lt;wsp:rsid wsp:val=&quot;00D749FC&quot;/&gt;&lt;wsp:rsid wsp:val=&quot;00D74C11&quot;/&gt;&lt;wsp:rsid wsp:val=&quot;00D74D3F&quot;/&gt;&lt;wsp:rsid wsp:val=&quot;00D751DB&quot;/&gt;&lt;wsp:rsid wsp:val=&quot;00D7528F&quot;/&gt;&lt;wsp:rsid wsp:val=&quot;00D75433&quot;/&gt;&lt;wsp:rsid wsp:val=&quot;00D755AD&quot;/&gt;&lt;wsp:rsid wsp:val=&quot;00D75A80&quot;/&gt;&lt;wsp:rsid wsp:val=&quot;00D75AA0&quot;/&gt;&lt;wsp:rsid wsp:val=&quot;00D75B77&quot;/&gt;&lt;wsp:rsid wsp:val=&quot;00D75EAE&quot;/&gt;&lt;wsp:rsid wsp:val=&quot;00D760E9&quot;/&gt;&lt;wsp:rsid wsp:val=&quot;00D763BB&quot;/&gt;&lt;wsp:rsid wsp:val=&quot;00D7658D&quot;/&gt;&lt;wsp:rsid wsp:val=&quot;00D76CEC&quot;/&gt;&lt;wsp:rsid wsp:val=&quot;00D76EDF&quot;/&gt;&lt;wsp:rsid wsp:val=&quot;00D77616&quot;/&gt;&lt;wsp:rsid wsp:val=&quot;00D77691&quot;/&gt;&lt;wsp:rsid wsp:val=&quot;00D778A2&quot;/&gt;&lt;wsp:rsid wsp:val=&quot;00D779C4&quot;/&gt;&lt;wsp:rsid wsp:val=&quot;00D77E2B&quot;/&gt;&lt;wsp:rsid wsp:val=&quot;00D77E95&quot;/&gt;&lt;wsp:rsid wsp:val=&quot;00D77F70&quot;/&gt;&lt;wsp:rsid wsp:val=&quot;00D80520&quot;/&gt;&lt;wsp:rsid wsp:val=&quot;00D8058C&quot;/&gt;&lt;wsp:rsid wsp:val=&quot;00D806FA&quot;/&gt;&lt;wsp:rsid wsp:val=&quot;00D807EF&quot;/&gt;&lt;wsp:rsid wsp:val=&quot;00D80938&quot;/&gt;&lt;wsp:rsid wsp:val=&quot;00D80ACF&quot;/&gt;&lt;wsp:rsid wsp:val=&quot;00D80CDC&quot;/&gt;&lt;wsp:rsid wsp:val=&quot;00D80FB9&quot;/&gt;&lt;wsp:rsid wsp:val=&quot;00D81494&quot;/&gt;&lt;wsp:rsid wsp:val=&quot;00D8149E&quot;/&gt;&lt;wsp:rsid wsp:val=&quot;00D814F1&quot;/&gt;&lt;wsp:rsid wsp:val=&quot;00D816B7&quot;/&gt;&lt;wsp:rsid wsp:val=&quot;00D81E90&quot;/&gt;&lt;wsp:rsid wsp:val=&quot;00D81EAF&quot;/&gt;&lt;wsp:rsid wsp:val=&quot;00D81FC4&quot;/&gt;&lt;wsp:rsid wsp:val=&quot;00D82BD0&quot;/&gt;&lt;wsp:rsid wsp:val=&quot;00D830D9&quot;/&gt;&lt;wsp:rsid wsp:val=&quot;00D831CE&quot;/&gt;&lt;wsp:rsid wsp:val=&quot;00D8322F&quot;/&gt;&lt;wsp:rsid wsp:val=&quot;00D839DB&quot;/&gt;&lt;wsp:rsid wsp:val=&quot;00D83BAE&quot;/&gt;&lt;wsp:rsid wsp:val=&quot;00D84562&quot;/&gt;&lt;wsp:rsid wsp:val=&quot;00D8475F&quot;/&gt;&lt;wsp:rsid wsp:val=&quot;00D84BB3&quot;/&gt;&lt;wsp:rsid wsp:val=&quot;00D857FC&quot;/&gt;&lt;wsp:rsid wsp:val=&quot;00D85809&quot;/&gt;&lt;wsp:rsid wsp:val=&quot;00D85D20&quot;/&gt;&lt;wsp:rsid wsp:val=&quot;00D85D5B&quot;/&gt;&lt;wsp:rsid wsp:val=&quot;00D85DA6&quot;/&gt;&lt;wsp:rsid wsp:val=&quot;00D85EB2&quot;/&gt;&lt;wsp:rsid wsp:val=&quot;00D85FA7&quot;/&gt;&lt;wsp:rsid wsp:val=&quot;00D865C4&quot;/&gt;&lt;wsp:rsid wsp:val=&quot;00D866FE&quot;/&gt;&lt;wsp:rsid wsp:val=&quot;00D87019&quot;/&gt;&lt;wsp:rsid wsp:val=&quot;00D90090&quot;/&gt;&lt;wsp:rsid wsp:val=&quot;00D90246&quot;/&gt;&lt;wsp:rsid wsp:val=&quot;00D90342&quot;/&gt;&lt;wsp:rsid wsp:val=&quot;00D908AD&quot;/&gt;&lt;wsp:rsid wsp:val=&quot;00D91043&quot;/&gt;&lt;wsp:rsid wsp:val=&quot;00D912C9&quot;/&gt;&lt;wsp:rsid wsp:val=&quot;00D912E2&quot;/&gt;&lt;wsp:rsid wsp:val=&quot;00D91952&quot;/&gt;&lt;wsp:rsid wsp:val=&quot;00D91F67&quot;/&gt;&lt;wsp:rsid wsp:val=&quot;00D9213D&quot;/&gt;&lt;wsp:rsid wsp:val=&quot;00D92144&quot;/&gt;&lt;wsp:rsid wsp:val=&quot;00D92415&quot;/&gt;&lt;wsp:rsid wsp:val=&quot;00D927CC&quot;/&gt;&lt;wsp:rsid wsp:val=&quot;00D9305D&quot;/&gt;&lt;wsp:rsid wsp:val=&quot;00D935D7&quot;/&gt;&lt;wsp:rsid wsp:val=&quot;00D93760&quot;/&gt;&lt;wsp:rsid wsp:val=&quot;00D93C85&quot;/&gt;&lt;wsp:rsid wsp:val=&quot;00D93DF8&quot;/&gt;&lt;wsp:rsid wsp:val=&quot;00D94218&quot;/&gt;&lt;wsp:rsid wsp:val=&quot;00D94519&quot;/&gt;&lt;wsp:rsid wsp:val=&quot;00D94ECC&quot;/&gt;&lt;wsp:rsid wsp:val=&quot;00D95096&quot;/&gt;&lt;wsp:rsid wsp:val=&quot;00D95B00&quot;/&gt;&lt;wsp:rsid wsp:val=&quot;00D95D66&quot;/&gt;&lt;wsp:rsid wsp:val=&quot;00D95DA7&quot;/&gt;&lt;wsp:rsid wsp:val=&quot;00D95E0B&quot;/&gt;&lt;wsp:rsid wsp:val=&quot;00D9629F&quot;/&gt;&lt;wsp:rsid wsp:val=&quot;00D9646A&quot;/&gt;&lt;wsp:rsid wsp:val=&quot;00D96549&quot;/&gt;&lt;wsp:rsid wsp:val=&quot;00D966E7&quot;/&gt;&lt;wsp:rsid wsp:val=&quot;00D97049&quot;/&gt;&lt;wsp:rsid wsp:val=&quot;00D97138&quot;/&gt;&lt;wsp:rsid wsp:val=&quot;00D972AC&quot;/&gt;&lt;wsp:rsid wsp:val=&quot;00D9734F&quot;/&gt;&lt;wsp:rsid wsp:val=&quot;00D97D4F&quot;/&gt;&lt;wsp:rsid wsp:val=&quot;00D97D96&quot;/&gt;&lt;wsp:rsid wsp:val=&quot;00DA016B&quot;/&gt;&lt;wsp:rsid wsp:val=&quot;00DA05F1&quot;/&gt;&lt;wsp:rsid wsp:val=&quot;00DA1068&quot;/&gt;&lt;wsp:rsid wsp:val=&quot;00DA1272&quot;/&gt;&lt;wsp:rsid wsp:val=&quot;00DA1B0B&quot;/&gt;&lt;wsp:rsid wsp:val=&quot;00DA205E&quot;/&gt;&lt;wsp:rsid wsp:val=&quot;00DA2380&quot;/&gt;&lt;wsp:rsid wsp:val=&quot;00DA23F4&quot;/&gt;&lt;wsp:rsid wsp:val=&quot;00DA252E&quot;/&gt;&lt;wsp:rsid wsp:val=&quot;00DA259B&quot;/&gt;&lt;wsp:rsid wsp:val=&quot;00DA291C&quot;/&gt;&lt;wsp:rsid wsp:val=&quot;00DA3002&quot;/&gt;&lt;wsp:rsid wsp:val=&quot;00DA3287&quot;/&gt;&lt;wsp:rsid wsp:val=&quot;00DA3439&quot;/&gt;&lt;wsp:rsid wsp:val=&quot;00DA375D&quot;/&gt;&lt;wsp:rsid wsp:val=&quot;00DA3BA7&quot;/&gt;&lt;wsp:rsid wsp:val=&quot;00DA45ED&quot;/&gt;&lt;wsp:rsid wsp:val=&quot;00DA4797&quot;/&gt;&lt;wsp:rsid wsp:val=&quot;00DA4920&quot;/&gt;&lt;wsp:rsid wsp:val=&quot;00DA49C9&quot;/&gt;&lt;wsp:rsid wsp:val=&quot;00DA4B18&quot;/&gt;&lt;wsp:rsid wsp:val=&quot;00DA4E56&quot;/&gt;&lt;wsp:rsid wsp:val=&quot;00DA5182&quot;/&gt;&lt;wsp:rsid wsp:val=&quot;00DA5399&quot;/&gt;&lt;wsp:rsid wsp:val=&quot;00DA559B&quot;/&gt;&lt;wsp:rsid wsp:val=&quot;00DA57C5&quot;/&gt;&lt;wsp:rsid wsp:val=&quot;00DA6183&quot;/&gt;&lt;wsp:rsid wsp:val=&quot;00DA63FB&quot;/&gt;&lt;wsp:rsid wsp:val=&quot;00DA64BB&quot;/&gt;&lt;wsp:rsid wsp:val=&quot;00DA6535&quot;/&gt;&lt;wsp:rsid wsp:val=&quot;00DA71E6&quot;/&gt;&lt;wsp:rsid wsp:val=&quot;00DA734B&quot;/&gt;&lt;wsp:rsid wsp:val=&quot;00DA78AD&quot;/&gt;&lt;wsp:rsid wsp:val=&quot;00DA79B8&quot;/&gt;&lt;wsp:rsid wsp:val=&quot;00DA7B0C&quot;/&gt;&lt;wsp:rsid wsp:val=&quot;00DA7F6F&quot;/&gt;&lt;wsp:rsid wsp:val=&quot;00DB0C4C&quot;/&gt;&lt;wsp:rsid wsp:val=&quot;00DB0CD3&quot;/&gt;&lt;wsp:rsid wsp:val=&quot;00DB0DFC&quot;/&gt;&lt;wsp:rsid wsp:val=&quot;00DB0F63&quot;/&gt;&lt;wsp:rsid wsp:val=&quot;00DB1097&quot;/&gt;&lt;wsp:rsid wsp:val=&quot;00DB1198&quot;/&gt;&lt;wsp:rsid wsp:val=&quot;00DB192E&quot;/&gt;&lt;wsp:rsid wsp:val=&quot;00DB1D5D&quot;/&gt;&lt;wsp:rsid wsp:val=&quot;00DB2083&quot;/&gt;&lt;wsp:rsid wsp:val=&quot;00DB220D&quot;/&gt;&lt;wsp:rsid wsp:val=&quot;00DB2738&quot;/&gt;&lt;wsp:rsid wsp:val=&quot;00DB2AC5&quot;/&gt;&lt;wsp:rsid wsp:val=&quot;00DB2BCA&quot;/&gt;&lt;wsp:rsid wsp:val=&quot;00DB2D22&quot;/&gt;&lt;wsp:rsid wsp:val=&quot;00DB2FFB&quot;/&gt;&lt;wsp:rsid wsp:val=&quot;00DB3079&quot;/&gt;&lt;wsp:rsid wsp:val=&quot;00DB369C&quot;/&gt;&lt;wsp:rsid wsp:val=&quot;00DB3954&quot;/&gt;&lt;wsp:rsid wsp:val=&quot;00DB3A69&quot;/&gt;&lt;wsp:rsid wsp:val=&quot;00DB4050&quot;/&gt;&lt;wsp:rsid wsp:val=&quot;00DB43F5&quot;/&gt;&lt;wsp:rsid wsp:val=&quot;00DB4985&quot;/&gt;&lt;wsp:rsid wsp:val=&quot;00DB4A25&quot;/&gt;&lt;wsp:rsid wsp:val=&quot;00DB4D39&quot;/&gt;&lt;wsp:rsid wsp:val=&quot;00DB4DF8&quot;/&gt;&lt;wsp:rsid wsp:val=&quot;00DB4EAD&quot;/&gt;&lt;wsp:rsid wsp:val=&quot;00DB52A9&quot;/&gt;&lt;wsp:rsid wsp:val=&quot;00DB567B&quot;/&gt;&lt;wsp:rsid wsp:val=&quot;00DB5889&quot;/&gt;&lt;wsp:rsid wsp:val=&quot;00DB5A45&quot;/&gt;&lt;wsp:rsid wsp:val=&quot;00DB5C64&quot;/&gt;&lt;wsp:rsid wsp:val=&quot;00DB5C79&quot;/&gt;&lt;wsp:rsid wsp:val=&quot;00DB61E7&quot;/&gt;&lt;wsp:rsid wsp:val=&quot;00DB6580&quot;/&gt;&lt;wsp:rsid wsp:val=&quot;00DB66BF&quot;/&gt;&lt;wsp:rsid wsp:val=&quot;00DB670F&quot;/&gt;&lt;wsp:rsid wsp:val=&quot;00DB6C4F&quot;/&gt;&lt;wsp:rsid wsp:val=&quot;00DB6EC6&quot;/&gt;&lt;wsp:rsid wsp:val=&quot;00DB73DD&quot;/&gt;&lt;wsp:rsid wsp:val=&quot;00DB7844&quot;/&gt;&lt;wsp:rsid wsp:val=&quot;00DC0061&quot;/&gt;&lt;wsp:rsid wsp:val=&quot;00DC02BE&quot;/&gt;&lt;wsp:rsid wsp:val=&quot;00DC0547&quot;/&gt;&lt;wsp:rsid wsp:val=&quot;00DC054E&quot;/&gt;&lt;wsp:rsid wsp:val=&quot;00DC06A0&quot;/&gt;&lt;wsp:rsid wsp:val=&quot;00DC08EF&quot;/&gt;&lt;wsp:rsid wsp:val=&quot;00DC0B00&quot;/&gt;&lt;wsp:rsid wsp:val=&quot;00DC0C84&quot;/&gt;&lt;wsp:rsid wsp:val=&quot;00DC12E5&quot;/&gt;&lt;wsp:rsid wsp:val=&quot;00DC12E7&quot;/&gt;&lt;wsp:rsid wsp:val=&quot;00DC1682&quot;/&gt;&lt;wsp:rsid wsp:val=&quot;00DC194E&quot;/&gt;&lt;wsp:rsid wsp:val=&quot;00DC1BF7&quot;/&gt;&lt;wsp:rsid wsp:val=&quot;00DC23B6&quot;/&gt;&lt;wsp:rsid wsp:val=&quot;00DC299C&quot;/&gt;&lt;wsp:rsid wsp:val=&quot;00DC2FA9&quot;/&gt;&lt;wsp:rsid wsp:val=&quot;00DC30D5&quot;/&gt;&lt;wsp:rsid wsp:val=&quot;00DC310E&quot;/&gt;&lt;wsp:rsid wsp:val=&quot;00DC33F6&quot;/&gt;&lt;wsp:rsid wsp:val=&quot;00DC396F&quot;/&gt;&lt;wsp:rsid wsp:val=&quot;00DC4406&quot;/&gt;&lt;wsp:rsid wsp:val=&quot;00DC4547&quot;/&gt;&lt;wsp:rsid wsp:val=&quot;00DC4CAB&quot;/&gt;&lt;wsp:rsid wsp:val=&quot;00DC4DE3&quot;/&gt;&lt;wsp:rsid wsp:val=&quot;00DC54B2&quot;/&gt;&lt;wsp:rsid wsp:val=&quot;00DC55C0&quot;/&gt;&lt;wsp:rsid wsp:val=&quot;00DC5982&quot;/&gt;&lt;wsp:rsid wsp:val=&quot;00DC59AF&quot;/&gt;&lt;wsp:rsid wsp:val=&quot;00DC5B31&quot;/&gt;&lt;wsp:rsid wsp:val=&quot;00DC5C7D&quot;/&gt;&lt;wsp:rsid wsp:val=&quot;00DC5F54&quot;/&gt;&lt;wsp:rsid wsp:val=&quot;00DC62F0&quot;/&gt;&lt;wsp:rsid wsp:val=&quot;00DC64EF&quot;/&gt;&lt;wsp:rsid wsp:val=&quot;00DC660C&quot;/&gt;&lt;wsp:rsid wsp:val=&quot;00DC66EE&quot;/&gt;&lt;wsp:rsid wsp:val=&quot;00DC6993&quot;/&gt;&lt;wsp:rsid wsp:val=&quot;00DC704C&quot;/&gt;&lt;wsp:rsid wsp:val=&quot;00DC75EF&quot;/&gt;&lt;wsp:rsid wsp:val=&quot;00DC7650&quot;/&gt;&lt;wsp:rsid wsp:val=&quot;00DC79B3&quot;/&gt;&lt;wsp:rsid wsp:val=&quot;00DC7D2A&quot;/&gt;&lt;wsp:rsid wsp:val=&quot;00DC7D71&quot;/&gt;&lt;wsp:rsid wsp:val=&quot;00DC7FB6&quot;/&gt;&lt;wsp:rsid wsp:val=&quot;00DD002F&quot;/&gt;&lt;wsp:rsid wsp:val=&quot;00DD04CB&quot;/&gt;&lt;wsp:rsid wsp:val=&quot;00DD0836&quot;/&gt;&lt;wsp:rsid wsp:val=&quot;00DD11A2&quot;/&gt;&lt;wsp:rsid wsp:val=&quot;00DD139C&quot;/&gt;&lt;wsp:rsid wsp:val=&quot;00DD16BE&quot;/&gt;&lt;wsp:rsid wsp:val=&quot;00DD1868&quot;/&gt;&lt;wsp:rsid wsp:val=&quot;00DD1DF7&quot;/&gt;&lt;wsp:rsid wsp:val=&quot;00DD1F0E&quot;/&gt;&lt;wsp:rsid wsp:val=&quot;00DD251A&quot;/&gt;&lt;wsp:rsid wsp:val=&quot;00DD26AB&quot;/&gt;&lt;wsp:rsid wsp:val=&quot;00DD2867&quot;/&gt;&lt;wsp:rsid wsp:val=&quot;00DD2FB8&quot;/&gt;&lt;wsp:rsid wsp:val=&quot;00DD3877&quot;/&gt;&lt;wsp:rsid wsp:val=&quot;00DD3AC3&quot;/&gt;&lt;wsp:rsid wsp:val=&quot;00DD3D26&quot;/&gt;&lt;wsp:rsid wsp:val=&quot;00DD3E5E&quot;/&gt;&lt;wsp:rsid wsp:val=&quot;00DD50BB&quot;/&gt;&lt;wsp:rsid wsp:val=&quot;00DD5418&quot;/&gt;&lt;wsp:rsid wsp:val=&quot;00DD59F6&quot;/&gt;&lt;wsp:rsid wsp:val=&quot;00DD5A44&quot;/&gt;&lt;wsp:rsid wsp:val=&quot;00DD5C4D&quot;/&gt;&lt;wsp:rsid wsp:val=&quot;00DD5DB7&quot;/&gt;&lt;wsp:rsid wsp:val=&quot;00DD6197&quot;/&gt;&lt;wsp:rsid wsp:val=&quot;00DD6683&quot;/&gt;&lt;wsp:rsid wsp:val=&quot;00DD6B21&quot;/&gt;&lt;wsp:rsid wsp:val=&quot;00DD76C4&quot;/&gt;&lt;wsp:rsid wsp:val=&quot;00DD7735&quot;/&gt;&lt;wsp:rsid wsp:val=&quot;00DD77AE&quot;/&gt;&lt;wsp:rsid wsp:val=&quot;00DD78D1&quot;/&gt;&lt;wsp:rsid wsp:val=&quot;00DD7D19&quot;/&gt;&lt;wsp:rsid wsp:val=&quot;00DD7E87&quot;/&gt;&lt;wsp:rsid wsp:val=&quot;00DE049A&quot;/&gt;&lt;wsp:rsid wsp:val=&quot;00DE0BA7&quot;/&gt;&lt;wsp:rsid wsp:val=&quot;00DE0D6C&quot;/&gt;&lt;wsp:rsid wsp:val=&quot;00DE0FB7&quot;/&gt;&lt;wsp:rsid wsp:val=&quot;00DE1421&quot;/&gt;&lt;wsp:rsid wsp:val=&quot;00DE167B&quot;/&gt;&lt;wsp:rsid wsp:val=&quot;00DE1B14&quot;/&gt;&lt;wsp:rsid wsp:val=&quot;00DE1D34&quot;/&gt;&lt;wsp:rsid wsp:val=&quot;00DE2300&quot;/&gt;&lt;wsp:rsid wsp:val=&quot;00DE261A&quot;/&gt;&lt;wsp:rsid wsp:val=&quot;00DE2668&quot;/&gt;&lt;wsp:rsid wsp:val=&quot;00DE2871&quot;/&gt;&lt;wsp:rsid wsp:val=&quot;00DE2A8D&quot;/&gt;&lt;wsp:rsid wsp:val=&quot;00DE3711&quot;/&gt;&lt;wsp:rsid wsp:val=&quot;00DE3864&quot;/&gt;&lt;wsp:rsid wsp:val=&quot;00DE3AEA&quot;/&gt;&lt;wsp:rsid wsp:val=&quot;00DE4083&quot;/&gt;&lt;wsp:rsid wsp:val=&quot;00DE419B&quot;/&gt;&lt;wsp:rsid wsp:val=&quot;00DE4673&quot;/&gt;&lt;wsp:rsid wsp:val=&quot;00DE47FA&quot;/&gt;&lt;wsp:rsid wsp:val=&quot;00DE48BA&quot;/&gt;&lt;wsp:rsid wsp:val=&quot;00DE48E8&quot;/&gt;&lt;wsp:rsid wsp:val=&quot;00DE49FC&quot;/&gt;&lt;wsp:rsid wsp:val=&quot;00DE501C&quot;/&gt;&lt;wsp:rsid wsp:val=&quot;00DE50E7&quot;/&gt;&lt;wsp:rsid wsp:val=&quot;00DE5769&quot;/&gt;&lt;wsp:rsid wsp:val=&quot;00DE5A39&quot;/&gt;&lt;wsp:rsid wsp:val=&quot;00DE6137&quot;/&gt;&lt;wsp:rsid wsp:val=&quot;00DE6AB8&quot;/&gt;&lt;wsp:rsid wsp:val=&quot;00DE7265&quot;/&gt;&lt;wsp:rsid wsp:val=&quot;00DE7275&quot;/&gt;&lt;wsp:rsid wsp:val=&quot;00DE73CF&quot;/&gt;&lt;wsp:rsid wsp:val=&quot;00DE73DF&quot;/&gt;&lt;wsp:rsid wsp:val=&quot;00DE79D5&quot;/&gt;&lt;wsp:rsid wsp:val=&quot;00DF038C&quot;/&gt;&lt;wsp:rsid wsp:val=&quot;00DF04F2&quot;/&gt;&lt;wsp:rsid wsp:val=&quot;00DF0946&quot;/&gt;&lt;wsp:rsid wsp:val=&quot;00DF0959&quot;/&gt;&lt;wsp:rsid wsp:val=&quot;00DF0A81&quot;/&gt;&lt;wsp:rsid wsp:val=&quot;00DF0C80&quot;/&gt;&lt;wsp:rsid wsp:val=&quot;00DF0E3F&quot;/&gt;&lt;wsp:rsid wsp:val=&quot;00DF0E9C&quot;/&gt;&lt;wsp:rsid wsp:val=&quot;00DF0EDF&quot;/&gt;&lt;wsp:rsid wsp:val=&quot;00DF12EB&quot;/&gt;&lt;wsp:rsid wsp:val=&quot;00DF135F&quot;/&gt;&lt;wsp:rsid wsp:val=&quot;00DF1553&quot;/&gt;&lt;wsp:rsid wsp:val=&quot;00DF1638&quot;/&gt;&lt;wsp:rsid wsp:val=&quot;00DF1ACC&quot;/&gt;&lt;wsp:rsid wsp:val=&quot;00DF1BFA&quot;/&gt;&lt;wsp:rsid wsp:val=&quot;00DF1D1B&quot;/&gt;&lt;wsp:rsid wsp:val=&quot;00DF1ECB&quot;/&gt;&lt;wsp:rsid wsp:val=&quot;00DF1F1F&quot;/&gt;&lt;wsp:rsid wsp:val=&quot;00DF2128&quot;/&gt;&lt;wsp:rsid wsp:val=&quot;00DF22D8&quot;/&gt;&lt;wsp:rsid wsp:val=&quot;00DF23DF&quot;/&gt;&lt;wsp:rsid wsp:val=&quot;00DF2672&quot;/&gt;&lt;wsp:rsid wsp:val=&quot;00DF297B&quot;/&gt;&lt;wsp:rsid wsp:val=&quot;00DF2ADB&quot;/&gt;&lt;wsp:rsid wsp:val=&quot;00DF2D7D&quot;/&gt;&lt;wsp:rsid wsp:val=&quot;00DF2DA5&quot;/&gt;&lt;wsp:rsid wsp:val=&quot;00DF2E4F&quot;/&gt;&lt;wsp:rsid wsp:val=&quot;00DF2E6B&quot;/&gt;&lt;wsp:rsid wsp:val=&quot;00DF30FD&quot;/&gt;&lt;wsp:rsid wsp:val=&quot;00DF35E5&quot;/&gt;&lt;wsp:rsid wsp:val=&quot;00DF38FD&quot;/&gt;&lt;wsp:rsid wsp:val=&quot;00DF3B3C&quot;/&gt;&lt;wsp:rsid wsp:val=&quot;00DF3D5A&quot;/&gt;&lt;wsp:rsid wsp:val=&quot;00DF462C&quot;/&gt;&lt;wsp:rsid wsp:val=&quot;00DF468B&quot;/&gt;&lt;wsp:rsid wsp:val=&quot;00DF4758&quot;/&gt;&lt;wsp:rsid wsp:val=&quot;00DF5967&quot;/&gt;&lt;wsp:rsid wsp:val=&quot;00DF5F05&quot;/&gt;&lt;wsp:rsid wsp:val=&quot;00DF618D&quot;/&gt;&lt;wsp:rsid wsp:val=&quot;00DF63FA&quot;/&gt;&lt;wsp:rsid wsp:val=&quot;00DF6533&quot;/&gt;&lt;wsp:rsid wsp:val=&quot;00DF65EF&quot;/&gt;&lt;wsp:rsid wsp:val=&quot;00DF6F16&quot;/&gt;&lt;wsp:rsid wsp:val=&quot;00DF70A9&quot;/&gt;&lt;wsp:rsid wsp:val=&quot;00DF712C&quot;/&gt;&lt;wsp:rsid wsp:val=&quot;00DF75C0&quot;/&gt;&lt;wsp:rsid wsp:val=&quot;00DF78BF&quot;/&gt;&lt;wsp:rsid wsp:val=&quot;00DF7E18&quot;/&gt;&lt;wsp:rsid wsp:val=&quot;00DF7F5A&quot;/&gt;&lt;wsp:rsid wsp:val=&quot;00E00C7E&quot;/&gt;&lt;wsp:rsid wsp:val=&quot;00E00D20&quot;/&gt;&lt;wsp:rsid wsp:val=&quot;00E00DC8&quot;/&gt;&lt;wsp:rsid wsp:val=&quot;00E01334&quot;/&gt;&lt;wsp:rsid wsp:val=&quot;00E01886&quot;/&gt;&lt;wsp:rsid wsp:val=&quot;00E01D8E&quot;/&gt;&lt;wsp:rsid wsp:val=&quot;00E0232D&quot;/&gt;&lt;wsp:rsid wsp:val=&quot;00E02AD2&quot;/&gt;&lt;wsp:rsid wsp:val=&quot;00E030A7&quot;/&gt;&lt;wsp:rsid wsp:val=&quot;00E03662&quot;/&gt;&lt;wsp:rsid wsp:val=&quot;00E0374A&quot;/&gt;&lt;wsp:rsid wsp:val=&quot;00E03767&quot;/&gt;&lt;wsp:rsid wsp:val=&quot;00E03843&quot;/&gt;&lt;wsp:rsid wsp:val=&quot;00E03CF1&quot;/&gt;&lt;wsp:rsid wsp:val=&quot;00E0468D&quot;/&gt;&lt;wsp:rsid wsp:val=&quot;00E04A82&quot;/&gt;&lt;wsp:rsid wsp:val=&quot;00E04BB6&quot;/&gt;&lt;wsp:rsid wsp:val=&quot;00E05773&quot;/&gt;&lt;wsp:rsid wsp:val=&quot;00E057C5&quot;/&gt;&lt;wsp:rsid wsp:val=&quot;00E05AA1&quot;/&gt;&lt;wsp:rsid wsp:val=&quot;00E06033&quot;/&gt;&lt;wsp:rsid wsp:val=&quot;00E06263&quot;/&gt;&lt;wsp:rsid wsp:val=&quot;00E06317&quot;/&gt;&lt;wsp:rsid wsp:val=&quot;00E06571&quot;/&gt;&lt;wsp:rsid wsp:val=&quot;00E0670D&quot;/&gt;&lt;wsp:rsid wsp:val=&quot;00E06756&quot;/&gt;&lt;wsp:rsid wsp:val=&quot;00E06BCE&quot;/&gt;&lt;wsp:rsid wsp:val=&quot;00E06BEA&quot;/&gt;&lt;wsp:rsid wsp:val=&quot;00E0744F&quot;/&gt;&lt;wsp:rsid wsp:val=&quot;00E07787&quot;/&gt;&lt;wsp:rsid wsp:val=&quot;00E07C9F&quot;/&gt;&lt;wsp:rsid wsp:val=&quot;00E10362&quot;/&gt;&lt;wsp:rsid wsp:val=&quot;00E1059A&quot;/&gt;&lt;wsp:rsid wsp:val=&quot;00E1085C&quot;/&gt;&lt;wsp:rsid wsp:val=&quot;00E10A20&quot;/&gt;&lt;wsp:rsid wsp:val=&quot;00E10EA4&quot;/&gt;&lt;wsp:rsid wsp:val=&quot;00E10F5D&quot;/&gt;&lt;wsp:rsid wsp:val=&quot;00E1194D&quot;/&gt;&lt;wsp:rsid wsp:val=&quot;00E1194F&quot;/&gt;&lt;wsp:rsid wsp:val=&quot;00E11B33&quot;/&gt;&lt;wsp:rsid wsp:val=&quot;00E11F6A&quot;/&gt;&lt;wsp:rsid wsp:val=&quot;00E1236C&quot;/&gt;&lt;wsp:rsid wsp:val=&quot;00E12838&quot;/&gt;&lt;wsp:rsid wsp:val=&quot;00E12C71&quot;/&gt;&lt;wsp:rsid wsp:val=&quot;00E12FC2&quot;/&gt;&lt;wsp:rsid wsp:val=&quot;00E12FF0&quot;/&gt;&lt;wsp:rsid wsp:val=&quot;00E13055&quot;/&gt;&lt;wsp:rsid wsp:val=&quot;00E131F7&quot;/&gt;&lt;wsp:rsid wsp:val=&quot;00E137C7&quot;/&gt;&lt;wsp:rsid wsp:val=&quot;00E137D4&quot;/&gt;&lt;wsp:rsid wsp:val=&quot;00E13B43&quot;/&gt;&lt;wsp:rsid wsp:val=&quot;00E13D44&quot;/&gt;&lt;wsp:rsid wsp:val=&quot;00E13D5B&quot;/&gt;&lt;wsp:rsid wsp:val=&quot;00E13F9D&quot;/&gt;&lt;wsp:rsid wsp:val=&quot;00E1432D&quot;/&gt;&lt;wsp:rsid wsp:val=&quot;00E14498&quot;/&gt;&lt;wsp:rsid wsp:val=&quot;00E1485E&quot;/&gt;&lt;wsp:rsid wsp:val=&quot;00E14DB8&quot;/&gt;&lt;wsp:rsid wsp:val=&quot;00E154FD&quot;/&gt;&lt;wsp:rsid wsp:val=&quot;00E1590C&quot;/&gt;&lt;wsp:rsid wsp:val=&quot;00E15B4B&quot;/&gt;&lt;wsp:rsid wsp:val=&quot;00E15D92&quot;/&gt;&lt;wsp:rsid wsp:val=&quot;00E15F59&quot;/&gt;&lt;wsp:rsid wsp:val=&quot;00E16385&quot;/&gt;&lt;wsp:rsid wsp:val=&quot;00E1661A&quot;/&gt;&lt;wsp:rsid wsp:val=&quot;00E1661F&quot;/&gt;&lt;wsp:rsid wsp:val=&quot;00E16D2F&quot;/&gt;&lt;wsp:rsid wsp:val=&quot;00E16DAC&quot;/&gt;&lt;wsp:rsid wsp:val=&quot;00E16F47&quot;/&gt;&lt;wsp:rsid wsp:val=&quot;00E17546&quot;/&gt;&lt;wsp:rsid wsp:val=&quot;00E1781A&quot;/&gt;&lt;wsp:rsid wsp:val=&quot;00E17B6C&quot;/&gt;&lt;wsp:rsid wsp:val=&quot;00E17DA5&quot;/&gt;&lt;wsp:rsid wsp:val=&quot;00E202B1&quot;/&gt;&lt;wsp:rsid wsp:val=&quot;00E203C2&quot;/&gt;&lt;wsp:rsid wsp:val=&quot;00E21731&quot;/&gt;&lt;wsp:rsid wsp:val=&quot;00E21B8A&quot;/&gt;&lt;wsp:rsid wsp:val=&quot;00E21D79&quot;/&gt;&lt;wsp:rsid wsp:val=&quot;00E21ECE&quot;/&gt;&lt;wsp:rsid wsp:val=&quot;00E220AC&quot;/&gt;&lt;wsp:rsid wsp:val=&quot;00E224E9&quot;/&gt;&lt;wsp:rsid wsp:val=&quot;00E2265F&quot;/&gt;&lt;wsp:rsid wsp:val=&quot;00E227AA&quot;/&gt;&lt;wsp:rsid wsp:val=&quot;00E22C67&quot;/&gt;&lt;wsp:rsid wsp:val=&quot;00E23089&quot;/&gt;&lt;wsp:rsid wsp:val=&quot;00E231BD&quot;/&gt;&lt;wsp:rsid wsp:val=&quot;00E233E1&quot;/&gt;&lt;wsp:rsid wsp:val=&quot;00E23579&quot;/&gt;&lt;wsp:rsid wsp:val=&quot;00E237AF&quot;/&gt;&lt;wsp:rsid wsp:val=&quot;00E23C04&quot;/&gt;&lt;wsp:rsid wsp:val=&quot;00E242D5&quot;/&gt;&lt;wsp:rsid wsp:val=&quot;00E24457&quot;/&gt;&lt;wsp:rsid wsp:val=&quot;00E24708&quot;/&gt;&lt;wsp:rsid wsp:val=&quot;00E247E8&quot;/&gt;&lt;wsp:rsid wsp:val=&quot;00E24C17&quot;/&gt;&lt;wsp:rsid wsp:val=&quot;00E24CD0&quot;/&gt;&lt;wsp:rsid wsp:val=&quot;00E24FC3&quot;/&gt;&lt;wsp:rsid wsp:val=&quot;00E25606&quot;/&gt;&lt;wsp:rsid wsp:val=&quot;00E25B74&quot;/&gt;&lt;wsp:rsid wsp:val=&quot;00E25BFC&quot;/&gt;&lt;wsp:rsid wsp:val=&quot;00E2617C&quot;/&gt;&lt;wsp:rsid wsp:val=&quot;00E263A7&quot;/&gt;&lt;wsp:rsid wsp:val=&quot;00E272CC&quot;/&gt;&lt;wsp:rsid wsp:val=&quot;00E273B4&quot;/&gt;&lt;wsp:rsid wsp:val=&quot;00E273FD&quot;/&gt;&lt;wsp:rsid wsp:val=&quot;00E27BD3&quot;/&gt;&lt;wsp:rsid wsp:val=&quot;00E27FB8&quot;/&gt;&lt;wsp:rsid wsp:val=&quot;00E300FB&quot;/&gt;&lt;wsp:rsid wsp:val=&quot;00E30255&quot;/&gt;&lt;wsp:rsid wsp:val=&quot;00E311C9&quot;/&gt;&lt;wsp:rsid wsp:val=&quot;00E31214&quot;/&gt;&lt;wsp:rsid wsp:val=&quot;00E31411&quot;/&gt;&lt;wsp:rsid wsp:val=&quot;00E3145C&quot;/&gt;&lt;wsp:rsid wsp:val=&quot;00E316A5&quot;/&gt;&lt;wsp:rsid wsp:val=&quot;00E31938&quot;/&gt;&lt;wsp:rsid wsp:val=&quot;00E31960&quot;/&gt;&lt;wsp:rsid wsp:val=&quot;00E31CC8&quot;/&gt;&lt;wsp:rsid wsp:val=&quot;00E32305&quot;/&gt;&lt;wsp:rsid wsp:val=&quot;00E323A2&quot;/&gt;&lt;wsp:rsid wsp:val=&quot;00E3286B&quot;/&gt;&lt;wsp:rsid wsp:val=&quot;00E3304E&quot;/&gt;&lt;wsp:rsid wsp:val=&quot;00E33413&quot;/&gt;&lt;wsp:rsid wsp:val=&quot;00E33928&quot;/&gt;&lt;wsp:rsid wsp:val=&quot;00E33AC7&quot;/&gt;&lt;wsp:rsid wsp:val=&quot;00E346DA&quot;/&gt;&lt;wsp:rsid wsp:val=&quot;00E34C1A&quot;/&gt;&lt;wsp:rsid wsp:val=&quot;00E35091&quot;/&gt;&lt;wsp:rsid wsp:val=&quot;00E354FE&quot;/&gt;&lt;wsp:rsid wsp:val=&quot;00E35538&quot;/&gt;&lt;wsp:rsid wsp:val=&quot;00E357DD&quot;/&gt;&lt;wsp:rsid wsp:val=&quot;00E36118&quot;/&gt;&lt;wsp:rsid wsp:val=&quot;00E3615F&quot;/&gt;&lt;wsp:rsid wsp:val=&quot;00E3623E&quot;/&gt;&lt;wsp:rsid wsp:val=&quot;00E36AB8&quot;/&gt;&lt;wsp:rsid wsp:val=&quot;00E36B96&quot;/&gt;&lt;wsp:rsid wsp:val=&quot;00E36C75&quot;/&gt;&lt;wsp:rsid wsp:val=&quot;00E36D5C&quot;/&gt;&lt;wsp:rsid wsp:val=&quot;00E37094&quot;/&gt;&lt;wsp:rsid wsp:val=&quot;00E377FA&quot;/&gt;&lt;wsp:rsid wsp:val=&quot;00E37AB4&quot;/&gt;&lt;wsp:rsid wsp:val=&quot;00E37B2E&quot;/&gt;&lt;wsp:rsid wsp:val=&quot;00E37C83&quot;/&gt;&lt;wsp:rsid wsp:val=&quot;00E37DE2&quot;/&gt;&lt;wsp:rsid wsp:val=&quot;00E403F7&quot;/&gt;&lt;wsp:rsid wsp:val=&quot;00E40C26&quot;/&gt;&lt;wsp:rsid wsp:val=&quot;00E40EDF&quot;/&gt;&lt;wsp:rsid wsp:val=&quot;00E40F09&quot;/&gt;&lt;wsp:rsid wsp:val=&quot;00E419D1&quot;/&gt;&lt;wsp:rsid wsp:val=&quot;00E41A31&quot;/&gt;&lt;wsp:rsid wsp:val=&quot;00E41D57&quot;/&gt;&lt;wsp:rsid wsp:val=&quot;00E42254&quot;/&gt;&lt;wsp:rsid wsp:val=&quot;00E4229F&quot;/&gt;&lt;wsp:rsid wsp:val=&quot;00E42529&quot;/&gt;&lt;wsp:rsid wsp:val=&quot;00E42680&quot;/&gt;&lt;wsp:rsid wsp:val=&quot;00E42AEB&quot;/&gt;&lt;wsp:rsid wsp:val=&quot;00E42E5B&quot;/&gt;&lt;wsp:rsid wsp:val=&quot;00E42FD7&quot;/&gt;&lt;wsp:rsid wsp:val=&quot;00E4327F&quot;/&gt;&lt;wsp:rsid wsp:val=&quot;00E433D2&quot;/&gt;&lt;wsp:rsid wsp:val=&quot;00E4367E&quot;/&gt;&lt;wsp:rsid wsp:val=&quot;00E43703&quot;/&gt;&lt;wsp:rsid wsp:val=&quot;00E4390D&quot;/&gt;&lt;wsp:rsid wsp:val=&quot;00E4393A&quot;/&gt;&lt;wsp:rsid wsp:val=&quot;00E43DDC&quot;/&gt;&lt;wsp:rsid wsp:val=&quot;00E43FA8&quot;/&gt;&lt;wsp:rsid wsp:val=&quot;00E44189&quot;/&gt;&lt;wsp:rsid wsp:val=&quot;00E4476D&quot;/&gt;&lt;wsp:rsid wsp:val=&quot;00E44818&quot;/&gt;&lt;wsp:rsid wsp:val=&quot;00E44A12&quot;/&gt;&lt;wsp:rsid wsp:val=&quot;00E44BBC&quot;/&gt;&lt;wsp:rsid wsp:val=&quot;00E44F26&quot;/&gt;&lt;wsp:rsid wsp:val=&quot;00E4509C&quot;/&gt;&lt;wsp:rsid wsp:val=&quot;00E450B5&quot;/&gt;&lt;wsp:rsid wsp:val=&quot;00E458EC&quot;/&gt;&lt;wsp:rsid wsp:val=&quot;00E45AEE&quot;/&gt;&lt;wsp:rsid wsp:val=&quot;00E45E95&quot;/&gt;&lt;wsp:rsid wsp:val=&quot;00E45EEC&quot;/&gt;&lt;wsp:rsid wsp:val=&quot;00E46178&quot;/&gt;&lt;wsp:rsid wsp:val=&quot;00E46265&quot;/&gt;&lt;wsp:rsid wsp:val=&quot;00E466B6&quot;/&gt;&lt;wsp:rsid wsp:val=&quot;00E46CCF&quot;/&gt;&lt;wsp:rsid wsp:val=&quot;00E4745D&quot;/&gt;&lt;wsp:rsid wsp:val=&quot;00E474EA&quot;/&gt;&lt;wsp:rsid wsp:val=&quot;00E47D28&quot;/&gt;&lt;wsp:rsid wsp:val=&quot;00E47E28&quot;/&gt;&lt;wsp:rsid wsp:val=&quot;00E50248&quot;/&gt;&lt;wsp:rsid wsp:val=&quot;00E503CB&quot;/&gt;&lt;wsp:rsid wsp:val=&quot;00E50456&quot;/&gt;&lt;wsp:rsid wsp:val=&quot;00E50872&quot;/&gt;&lt;wsp:rsid wsp:val=&quot;00E5099C&quot;/&gt;&lt;wsp:rsid wsp:val=&quot;00E5101E&quot;/&gt;&lt;wsp:rsid wsp:val=&quot;00E51A46&quot;/&gt;&lt;wsp:rsid wsp:val=&quot;00E51F9F&quot;/&gt;&lt;wsp:rsid wsp:val=&quot;00E52187&quot;/&gt;&lt;wsp:rsid wsp:val=&quot;00E5245F&quot;/&gt;&lt;wsp:rsid wsp:val=&quot;00E52558&quot;/&gt;&lt;wsp:rsid wsp:val=&quot;00E52674&quot;/&gt;&lt;wsp:rsid wsp:val=&quot;00E52B41&quot;/&gt;&lt;wsp:rsid wsp:val=&quot;00E52C32&quot;/&gt;&lt;wsp:rsid wsp:val=&quot;00E5303F&quot;/&gt;&lt;wsp:rsid wsp:val=&quot;00E53A2C&quot;/&gt;&lt;wsp:rsid wsp:val=&quot;00E53A80&quot;/&gt;&lt;wsp:rsid wsp:val=&quot;00E53D13&quot;/&gt;&lt;wsp:rsid wsp:val=&quot;00E53E48&quot;/&gt;&lt;wsp:rsid wsp:val=&quot;00E54202&quot;/&gt;&lt;wsp:rsid wsp:val=&quot;00E54297&quot;/&gt;&lt;wsp:rsid wsp:val=&quot;00E542D6&quot;/&gt;&lt;wsp:rsid wsp:val=&quot;00E543C8&quot;/&gt;&lt;wsp:rsid wsp:val=&quot;00E54477&quot;/&gt;&lt;wsp:rsid wsp:val=&quot;00E54A78&quot;/&gt;&lt;wsp:rsid wsp:val=&quot;00E551FD&quot;/&gt;&lt;wsp:rsid wsp:val=&quot;00E5524C&quot;/&gt;&lt;wsp:rsid wsp:val=&quot;00E5549B&quot;/&gt;&lt;wsp:rsid wsp:val=&quot;00E55AB0&quot;/&gt;&lt;wsp:rsid wsp:val=&quot;00E55BCE&quot;/&gt;&lt;wsp:rsid wsp:val=&quot;00E5609B&quot;/&gt;&lt;wsp:rsid wsp:val=&quot;00E5644E&quot;/&gt;&lt;wsp:rsid wsp:val=&quot;00E565AF&quot;/&gt;&lt;wsp:rsid wsp:val=&quot;00E56891&quot;/&gt;&lt;wsp:rsid wsp:val=&quot;00E56AB2&quot;/&gt;&lt;wsp:rsid wsp:val=&quot;00E56D46&quot;/&gt;&lt;wsp:rsid wsp:val=&quot;00E57712&quot;/&gt;&lt;wsp:rsid wsp:val=&quot;00E57AF9&quot;/&gt;&lt;wsp:rsid wsp:val=&quot;00E57BEE&quot;/&gt;&lt;wsp:rsid wsp:val=&quot;00E6001F&quot;/&gt;&lt;wsp:rsid wsp:val=&quot;00E6015A&quot;/&gt;&lt;wsp:rsid wsp:val=&quot;00E60400&quot;/&gt;&lt;wsp:rsid wsp:val=&quot;00E60B18&quot;/&gt;&lt;wsp:rsid wsp:val=&quot;00E60E0A&quot;/&gt;&lt;wsp:rsid wsp:val=&quot;00E61403&quot;/&gt;&lt;wsp:rsid wsp:val=&quot;00E61485&quot;/&gt;&lt;wsp:rsid wsp:val=&quot;00E61488&quot;/&gt;&lt;wsp:rsid wsp:val=&quot;00E6170B&quot;/&gt;&lt;wsp:rsid wsp:val=&quot;00E619A0&quot;/&gt;&lt;wsp:rsid wsp:val=&quot;00E61AF2&quot;/&gt;&lt;wsp:rsid wsp:val=&quot;00E61D0E&quot;/&gt;&lt;wsp:rsid wsp:val=&quot;00E61EAC&quot;/&gt;&lt;wsp:rsid wsp:val=&quot;00E62305&quot;/&gt;&lt;wsp:rsid wsp:val=&quot;00E62309&quot;/&gt;&lt;wsp:rsid wsp:val=&quot;00E623C6&quot;/&gt;&lt;wsp:rsid wsp:val=&quot;00E62459&quot;/&gt;&lt;wsp:rsid wsp:val=&quot;00E62562&quot;/&gt;&lt;wsp:rsid wsp:val=&quot;00E629E1&quot;/&gt;&lt;wsp:rsid wsp:val=&quot;00E62CF2&quot;/&gt;&lt;wsp:rsid wsp:val=&quot;00E62E47&quot;/&gt;&lt;wsp:rsid wsp:val=&quot;00E62FBF&quot;/&gt;&lt;wsp:rsid wsp:val=&quot;00E634F4&quot;/&gt;&lt;wsp:rsid wsp:val=&quot;00E639F9&quot;/&gt;&lt;wsp:rsid wsp:val=&quot;00E63A27&quot;/&gt;&lt;wsp:rsid wsp:val=&quot;00E643A5&quot;/&gt;&lt;wsp:rsid wsp:val=&quot;00E64884&quot;/&gt;&lt;wsp:rsid wsp:val=&quot;00E64AD0&quot;/&gt;&lt;wsp:rsid wsp:val=&quot;00E64E2C&quot;/&gt;&lt;wsp:rsid wsp:val=&quot;00E64F45&quot;/&gt;&lt;wsp:rsid wsp:val=&quot;00E6540A&quot;/&gt;&lt;wsp:rsid wsp:val=&quot;00E65754&quot;/&gt;&lt;wsp:rsid wsp:val=&quot;00E6586C&quot;/&gt;&lt;wsp:rsid wsp:val=&quot;00E658A0&quot;/&gt;&lt;wsp:rsid wsp:val=&quot;00E658DB&quot;/&gt;&lt;wsp:rsid wsp:val=&quot;00E6614A&quot;/&gt;&lt;wsp:rsid wsp:val=&quot;00E66237&quot;/&gt;&lt;wsp:rsid wsp:val=&quot;00E66587&quot;/&gt;&lt;wsp:rsid wsp:val=&quot;00E666BD&quot;/&gt;&lt;wsp:rsid wsp:val=&quot;00E669F6&quot;/&gt;&lt;wsp:rsid wsp:val=&quot;00E66A9F&quot;/&gt;&lt;wsp:rsid wsp:val=&quot;00E66B09&quot;/&gt;&lt;wsp:rsid wsp:val=&quot;00E670E9&quot;/&gt;&lt;wsp:rsid wsp:val=&quot;00E671C0&quot;/&gt;&lt;wsp:rsid wsp:val=&quot;00E67228&quot;/&gt;&lt;wsp:rsid wsp:val=&quot;00E67336&quot;/&gt;&lt;wsp:rsid wsp:val=&quot;00E6737E&quot;/&gt;&lt;wsp:rsid wsp:val=&quot;00E67A8D&quot;/&gt;&lt;wsp:rsid wsp:val=&quot;00E67CCB&quot;/&gt;&lt;wsp:rsid wsp:val=&quot;00E700AF&quot;/&gt;&lt;wsp:rsid wsp:val=&quot;00E70409&quot;/&gt;&lt;wsp:rsid wsp:val=&quot;00E70D80&quot;/&gt;&lt;wsp:rsid wsp:val=&quot;00E70FC0&quot;/&gt;&lt;wsp:rsid wsp:val=&quot;00E7122E&quot;/&gt;&lt;wsp:rsid wsp:val=&quot;00E71B27&quot;/&gt;&lt;wsp:rsid wsp:val=&quot;00E71B8B&quot;/&gt;&lt;wsp:rsid wsp:val=&quot;00E71D0F&quot;/&gt;&lt;wsp:rsid wsp:val=&quot;00E7220A&quot;/&gt;&lt;wsp:rsid wsp:val=&quot;00E72428&quot;/&gt;&lt;wsp:rsid wsp:val=&quot;00E72DB4&quot;/&gt;&lt;wsp:rsid wsp:val=&quot;00E73015&quot;/&gt;&lt;wsp:rsid wsp:val=&quot;00E73061&quot;/&gt;&lt;wsp:rsid wsp:val=&quot;00E73414&quot;/&gt;&lt;wsp:rsid wsp:val=&quot;00E73574&quot;/&gt;&lt;wsp:rsid wsp:val=&quot;00E73686&quot;/&gt;&lt;wsp:rsid wsp:val=&quot;00E73EC3&quot;/&gt;&lt;wsp:rsid wsp:val=&quot;00E7428E&quot;/&gt;&lt;wsp:rsid wsp:val=&quot;00E74F2E&quot;/&gt;&lt;wsp:rsid wsp:val=&quot;00E75158&quot;/&gt;&lt;wsp:rsid wsp:val=&quot;00E7522A&quot;/&gt;&lt;wsp:rsid wsp:val=&quot;00E75544&quot;/&gt;&lt;wsp:rsid wsp:val=&quot;00E75579&quot;/&gt;&lt;wsp:rsid wsp:val=&quot;00E7579B&quot;/&gt;&lt;wsp:rsid wsp:val=&quot;00E757A5&quot;/&gt;&lt;wsp:rsid wsp:val=&quot;00E75F96&quot;/&gt;&lt;wsp:rsid wsp:val=&quot;00E75FF8&quot;/&gt;&lt;wsp:rsid wsp:val=&quot;00E76412&quot;/&gt;&lt;wsp:rsid wsp:val=&quot;00E7680C&quot;/&gt;&lt;wsp:rsid wsp:val=&quot;00E76A72&quot;/&gt;&lt;wsp:rsid wsp:val=&quot;00E76A7F&quot;/&gt;&lt;wsp:rsid wsp:val=&quot;00E76DAC&quot;/&gt;&lt;wsp:rsid wsp:val=&quot;00E76F6D&quot;/&gt;&lt;wsp:rsid wsp:val=&quot;00E775BB&quot;/&gt;&lt;wsp:rsid wsp:val=&quot;00E77A7A&quot;/&gt;&lt;wsp:rsid wsp:val=&quot;00E80082&quot;/&gt;&lt;wsp:rsid wsp:val=&quot;00E80255&quot;/&gt;&lt;wsp:rsid wsp:val=&quot;00E8041E&quot;/&gt;&lt;wsp:rsid wsp:val=&quot;00E807CA&quot;/&gt;&lt;wsp:rsid wsp:val=&quot;00E809A2&quot;/&gt;&lt;wsp:rsid wsp:val=&quot;00E809CF&quot;/&gt;&lt;wsp:rsid wsp:val=&quot;00E80C7C&quot;/&gt;&lt;wsp:rsid wsp:val=&quot;00E811D8&quot;/&gt;&lt;wsp:rsid wsp:val=&quot;00E812C4&quot;/&gt;&lt;wsp:rsid wsp:val=&quot;00E8158C&quot;/&gt;&lt;wsp:rsid wsp:val=&quot;00E81ACD&quot;/&gt;&lt;wsp:rsid wsp:val=&quot;00E81BB9&quot;/&gt;&lt;wsp:rsid wsp:val=&quot;00E82093&quot;/&gt;&lt;wsp:rsid wsp:val=&quot;00E820C9&quot;/&gt;&lt;wsp:rsid wsp:val=&quot;00E820DC&quot;/&gt;&lt;wsp:rsid wsp:val=&quot;00E8279E&quot;/&gt;&lt;wsp:rsid wsp:val=&quot;00E82E09&quot;/&gt;&lt;wsp:rsid wsp:val=&quot;00E82E6D&quot;/&gt;&lt;wsp:rsid wsp:val=&quot;00E82FC3&quot;/&gt;&lt;wsp:rsid wsp:val=&quot;00E830F6&quot;/&gt;&lt;wsp:rsid wsp:val=&quot;00E83132&quot;/&gt;&lt;wsp:rsid wsp:val=&quot;00E8319B&quot;/&gt;&lt;wsp:rsid wsp:val=&quot;00E83385&quot;/&gt;&lt;wsp:rsid wsp:val=&quot;00E8366D&quot;/&gt;&lt;wsp:rsid wsp:val=&quot;00E836C6&quot;/&gt;&lt;wsp:rsid wsp:val=&quot;00E8381E&quot;/&gt;&lt;wsp:rsid wsp:val=&quot;00E83DAD&quot;/&gt;&lt;wsp:rsid wsp:val=&quot;00E8418F&quot;/&gt;&lt;wsp:rsid wsp:val=&quot;00E8419C&quot;/&gt;&lt;wsp:rsid wsp:val=&quot;00E843DB&quot;/&gt;&lt;wsp:rsid wsp:val=&quot;00E8463B&quot;/&gt;&lt;wsp:rsid wsp:val=&quot;00E846EE&quot;/&gt;&lt;wsp:rsid wsp:val=&quot;00E84AA9&quot;/&gt;&lt;wsp:rsid wsp:val=&quot;00E84CAD&quot;/&gt;&lt;wsp:rsid wsp:val=&quot;00E85421&quot;/&gt;&lt;wsp:rsid wsp:val=&quot;00E859C3&quot;/&gt;&lt;wsp:rsid wsp:val=&quot;00E85B27&quot;/&gt;&lt;wsp:rsid wsp:val=&quot;00E85D46&quot;/&gt;&lt;wsp:rsid wsp:val=&quot;00E85EB2&quot;/&gt;&lt;wsp:rsid wsp:val=&quot;00E85EBE&quot;/&gt;&lt;wsp:rsid wsp:val=&quot;00E86060&quot;/&gt;&lt;wsp:rsid wsp:val=&quot;00E862EB&quot;/&gt;&lt;wsp:rsid wsp:val=&quot;00E862F8&quot;/&gt;&lt;wsp:rsid wsp:val=&quot;00E8695A&quot;/&gt;&lt;wsp:rsid wsp:val=&quot;00E87060&quot;/&gt;&lt;wsp:rsid wsp:val=&quot;00E87397&quot;/&gt;&lt;wsp:rsid wsp:val=&quot;00E8751A&quot;/&gt;&lt;wsp:rsid wsp:val=&quot;00E87776&quot;/&gt;&lt;wsp:rsid wsp:val=&quot;00E87C97&quot;/&gt;&lt;wsp:rsid wsp:val=&quot;00E90192&quot;/&gt;&lt;wsp:rsid wsp:val=&quot;00E9022A&quot;/&gt;&lt;wsp:rsid wsp:val=&quot;00E902B5&quot;/&gt;&lt;wsp:rsid wsp:val=&quot;00E902D6&quot;/&gt;&lt;wsp:rsid wsp:val=&quot;00E90538&quot;/&gt;&lt;wsp:rsid wsp:val=&quot;00E9055C&quot;/&gt;&lt;wsp:rsid wsp:val=&quot;00E90FAA&quot;/&gt;&lt;wsp:rsid wsp:val=&quot;00E916DE&quot;/&gt;&lt;wsp:rsid wsp:val=&quot;00E91A6B&quot;/&gt;&lt;wsp:rsid wsp:val=&quot;00E91BAD&quot;/&gt;&lt;wsp:rsid wsp:val=&quot;00E92059&quot;/&gt;&lt;wsp:rsid wsp:val=&quot;00E92485&quot;/&gt;&lt;wsp:rsid wsp:val=&quot;00E92A27&quot;/&gt;&lt;wsp:rsid wsp:val=&quot;00E92EB2&quot;/&gt;&lt;wsp:rsid wsp:val=&quot;00E93511&quot;/&gt;&lt;wsp:rsid wsp:val=&quot;00E938AF&quot;/&gt;&lt;wsp:rsid wsp:val=&quot;00E93EF8&quot;/&gt;&lt;wsp:rsid wsp:val=&quot;00E94256&quot;/&gt;&lt;wsp:rsid wsp:val=&quot;00E94373&quot;/&gt;&lt;wsp:rsid wsp:val=&quot;00E947C4&quot;/&gt;&lt;wsp:rsid wsp:val=&quot;00E9489D&quot;/&gt;&lt;wsp:rsid wsp:val=&quot;00E94DE2&quot;/&gt;&lt;wsp:rsid wsp:val=&quot;00E95594&quot;/&gt;&lt;wsp:rsid wsp:val=&quot;00E955D2&quot;/&gt;&lt;wsp:rsid wsp:val=&quot;00E95D36&quot;/&gt;&lt;wsp:rsid wsp:val=&quot;00E95E82&quot;/&gt;&lt;wsp:rsid wsp:val=&quot;00E95FEF&quot;/&gt;&lt;wsp:rsid wsp:val=&quot;00E9601B&quot;/&gt;&lt;wsp:rsid wsp:val=&quot;00E96142&quot;/&gt;&lt;wsp:rsid wsp:val=&quot;00E961DB&quot;/&gt;&lt;wsp:rsid wsp:val=&quot;00E968C8&quot;/&gt;&lt;wsp:rsid wsp:val=&quot;00E96944&quot;/&gt;&lt;wsp:rsid wsp:val=&quot;00E96B1B&quot;/&gt;&lt;wsp:rsid wsp:val=&quot;00E96B20&quot;/&gt;&lt;wsp:rsid wsp:val=&quot;00E972CC&quot;/&gt;&lt;wsp:rsid wsp:val=&quot;00E97600&quot;/&gt;&lt;wsp:rsid wsp:val=&quot;00E977DF&quot;/&gt;&lt;wsp:rsid wsp:val=&quot;00E979C1&quot;/&gt;&lt;wsp:rsid wsp:val=&quot;00E97B85&quot;/&gt;&lt;wsp:rsid wsp:val=&quot;00E97C28&quot;/&gt;&lt;wsp:rsid wsp:val=&quot;00E97CA4&quot;/&gt;&lt;wsp:rsid wsp:val=&quot;00E97CE2&quot;/&gt;&lt;wsp:rsid wsp:val=&quot;00EA03F5&quot;/&gt;&lt;wsp:rsid wsp:val=&quot;00EA048C&quot;/&gt;&lt;wsp:rsid wsp:val=&quot;00EA0E87&quot;/&gt;&lt;wsp:rsid wsp:val=&quot;00EA0F0F&quot;/&gt;&lt;wsp:rsid wsp:val=&quot;00EA17EB&quot;/&gt;&lt;wsp:rsid wsp:val=&quot;00EA189D&quot;/&gt;&lt;wsp:rsid wsp:val=&quot;00EA1B03&quot;/&gt;&lt;wsp:rsid wsp:val=&quot;00EA2485&quot;/&gt;&lt;wsp:rsid wsp:val=&quot;00EA25AB&quot;/&gt;&lt;wsp:rsid wsp:val=&quot;00EA2B80&quot;/&gt;&lt;wsp:rsid wsp:val=&quot;00EA30E3&quot;/&gt;&lt;wsp:rsid wsp:val=&quot;00EA3403&quot;/&gt;&lt;wsp:rsid wsp:val=&quot;00EA3C7E&quot;/&gt;&lt;wsp:rsid wsp:val=&quot;00EA3E9A&quot;/&gt;&lt;wsp:rsid wsp:val=&quot;00EA4064&quot;/&gt;&lt;wsp:rsid wsp:val=&quot;00EA4156&quot;/&gt;&lt;wsp:rsid wsp:val=&quot;00EA4312&quot;/&gt;&lt;wsp:rsid wsp:val=&quot;00EA4468&quot;/&gt;&lt;wsp:rsid wsp:val=&quot;00EA4AD1&quot;/&gt;&lt;wsp:rsid wsp:val=&quot;00EA4ADA&quot;/&gt;&lt;wsp:rsid wsp:val=&quot;00EA4B8D&quot;/&gt;&lt;wsp:rsid wsp:val=&quot;00EA5462&quot;/&gt;&lt;wsp:rsid wsp:val=&quot;00EA57B5&quot;/&gt;&lt;wsp:rsid wsp:val=&quot;00EA594E&quot;/&gt;&lt;wsp:rsid wsp:val=&quot;00EA59B2&quot;/&gt;&lt;wsp:rsid wsp:val=&quot;00EA6B7E&quot;/&gt;&lt;wsp:rsid wsp:val=&quot;00EA6C8E&quot;/&gt;&lt;wsp:rsid wsp:val=&quot;00EA71BC&quot;/&gt;&lt;wsp:rsid wsp:val=&quot;00EA741F&quot;/&gt;&lt;wsp:rsid wsp:val=&quot;00EA7872&quot;/&gt;&lt;wsp:rsid wsp:val=&quot;00EA7CD1&quot;/&gt;&lt;wsp:rsid wsp:val=&quot;00EA7E6F&quot;/&gt;&lt;wsp:rsid wsp:val=&quot;00EB0067&quot;/&gt;&lt;wsp:rsid wsp:val=&quot;00EB02EC&quot;/&gt;&lt;wsp:rsid wsp:val=&quot;00EB0554&quot;/&gt;&lt;wsp:rsid wsp:val=&quot;00EB0A8E&quot;/&gt;&lt;wsp:rsid wsp:val=&quot;00EB1715&quot;/&gt;&lt;wsp:rsid wsp:val=&quot;00EB19DD&quot;/&gt;&lt;wsp:rsid wsp:val=&quot;00EB1AA2&quot;/&gt;&lt;wsp:rsid wsp:val=&quot;00EB264F&quot;/&gt;&lt;wsp:rsid wsp:val=&quot;00EB3080&quot;/&gt;&lt;wsp:rsid wsp:val=&quot;00EB3579&quot;/&gt;&lt;wsp:rsid wsp:val=&quot;00EB3634&quot;/&gt;&lt;wsp:rsid wsp:val=&quot;00EB38C5&quot;/&gt;&lt;wsp:rsid wsp:val=&quot;00EB3A0D&quot;/&gt;&lt;wsp:rsid wsp:val=&quot;00EB4165&quot;/&gt;&lt;wsp:rsid wsp:val=&quot;00EB418C&quot;/&gt;&lt;wsp:rsid wsp:val=&quot;00EB4AE9&quot;/&gt;&lt;wsp:rsid wsp:val=&quot;00EB4B76&quot;/&gt;&lt;wsp:rsid wsp:val=&quot;00EB4C2F&quot;/&gt;&lt;wsp:rsid wsp:val=&quot;00EB4EFC&quot;/&gt;&lt;wsp:rsid wsp:val=&quot;00EB50F2&quot;/&gt;&lt;wsp:rsid wsp:val=&quot;00EB521D&quot;/&gt;&lt;wsp:rsid wsp:val=&quot;00EB5426&quot;/&gt;&lt;wsp:rsid wsp:val=&quot;00EB5447&quot;/&gt;&lt;wsp:rsid wsp:val=&quot;00EB5707&quot;/&gt;&lt;wsp:rsid wsp:val=&quot;00EB6240&quot;/&gt;&lt;wsp:rsid wsp:val=&quot;00EB647C&quot;/&gt;&lt;wsp:rsid wsp:val=&quot;00EB6907&quot;/&gt;&lt;wsp:rsid wsp:val=&quot;00EB6B0C&quot;/&gt;&lt;wsp:rsid wsp:val=&quot;00EB738F&quot;/&gt;&lt;wsp:rsid wsp:val=&quot;00EB78D1&quot;/&gt;&lt;wsp:rsid wsp:val=&quot;00EB7B3D&quot;/&gt;&lt;wsp:rsid wsp:val=&quot;00EB7DBC&quot;/&gt;&lt;wsp:rsid wsp:val=&quot;00EC0155&quot;/&gt;&lt;wsp:rsid wsp:val=&quot;00EC020C&quot;/&gt;&lt;wsp:rsid wsp:val=&quot;00EC04EC&quot;/&gt;&lt;wsp:rsid wsp:val=&quot;00EC0767&quot;/&gt;&lt;wsp:rsid wsp:val=&quot;00EC08C0&quot;/&gt;&lt;wsp:rsid wsp:val=&quot;00EC0C57&quot;/&gt;&lt;wsp:rsid wsp:val=&quot;00EC0FF1&quot;/&gt;&lt;wsp:rsid wsp:val=&quot;00EC1030&quot;/&gt;&lt;wsp:rsid wsp:val=&quot;00EC122A&quot;/&gt;&lt;wsp:rsid wsp:val=&quot;00EC1315&quot;/&gt;&lt;wsp:rsid wsp:val=&quot;00EC1373&quot;/&gt;&lt;wsp:rsid wsp:val=&quot;00EC15AB&quot;/&gt;&lt;wsp:rsid wsp:val=&quot;00EC1B54&quot;/&gt;&lt;wsp:rsid wsp:val=&quot;00EC1DDD&quot;/&gt;&lt;wsp:rsid wsp:val=&quot;00EC1EA4&quot;/&gt;&lt;wsp:rsid wsp:val=&quot;00EC284A&quot;/&gt;&lt;wsp:rsid wsp:val=&quot;00EC2A72&quot;/&gt;&lt;wsp:rsid wsp:val=&quot;00EC2ACB&quot;/&gt;&lt;wsp:rsid wsp:val=&quot;00EC2BE0&quot;/&gt;&lt;wsp:rsid wsp:val=&quot;00EC3075&quot;/&gt;&lt;wsp:rsid wsp:val=&quot;00EC30EC&quot;/&gt;&lt;wsp:rsid wsp:val=&quot;00EC3262&quot;/&gt;&lt;wsp:rsid wsp:val=&quot;00EC3815&quot;/&gt;&lt;wsp:rsid wsp:val=&quot;00EC4A79&quot;/&gt;&lt;wsp:rsid wsp:val=&quot;00EC4B36&quot;/&gt;&lt;wsp:rsid wsp:val=&quot;00EC4B5D&quot;/&gt;&lt;wsp:rsid wsp:val=&quot;00EC4D55&quot;/&gt;&lt;wsp:rsid wsp:val=&quot;00EC4E32&quot;/&gt;&lt;wsp:rsid wsp:val=&quot;00EC5043&quot;/&gt;&lt;wsp:rsid wsp:val=&quot;00EC5658&quot;/&gt;&lt;wsp:rsid wsp:val=&quot;00EC5B98&quot;/&gt;&lt;wsp:rsid wsp:val=&quot;00EC67D3&quot;/&gt;&lt;wsp:rsid wsp:val=&quot;00EC681A&quot;/&gt;&lt;wsp:rsid wsp:val=&quot;00EC69C0&quot;/&gt;&lt;wsp:rsid wsp:val=&quot;00EC7571&quot;/&gt;&lt;wsp:rsid wsp:val=&quot;00EC7CFA&quot;/&gt;&lt;wsp:rsid wsp:val=&quot;00EC7FB7&quot;/&gt;&lt;wsp:rsid wsp:val=&quot;00EC7FC7&quot;/&gt;&lt;wsp:rsid wsp:val=&quot;00ED004A&quot;/&gt;&lt;wsp:rsid wsp:val=&quot;00ED02B3&quot;/&gt;&lt;wsp:rsid wsp:val=&quot;00ED0704&quot;/&gt;&lt;wsp:rsid wsp:val=&quot;00ED09B1&quot;/&gt;&lt;wsp:rsid wsp:val=&quot;00ED0ADB&quot;/&gt;&lt;wsp:rsid wsp:val=&quot;00ED0F1C&quot;/&gt;&lt;wsp:rsid wsp:val=&quot;00ED1091&quot;/&gt;&lt;wsp:rsid wsp:val=&quot;00ED1180&quot;/&gt;&lt;wsp:rsid wsp:val=&quot;00ED11BF&quot;/&gt;&lt;wsp:rsid wsp:val=&quot;00ED12F6&quot;/&gt;&lt;wsp:rsid wsp:val=&quot;00ED154A&quot;/&gt;&lt;wsp:rsid wsp:val=&quot;00ED1B9C&quot;/&gt;&lt;wsp:rsid wsp:val=&quot;00ED2505&quot;/&gt;&lt;wsp:rsid wsp:val=&quot;00ED25C4&quot;/&gt;&lt;wsp:rsid wsp:val=&quot;00ED2963&quot;/&gt;&lt;wsp:rsid wsp:val=&quot;00ED2BDB&quot;/&gt;&lt;wsp:rsid wsp:val=&quot;00ED2DAC&quot;/&gt;&lt;wsp:rsid wsp:val=&quot;00ED2DB6&quot;/&gt;&lt;wsp:rsid wsp:val=&quot;00ED2F97&quot;/&gt;&lt;wsp:rsid wsp:val=&quot;00ED3491&quot;/&gt;&lt;wsp:rsid wsp:val=&quot;00ED3506&quot;/&gt;&lt;wsp:rsid wsp:val=&quot;00ED35A0&quot;/&gt;&lt;wsp:rsid wsp:val=&quot;00ED37C6&quot;/&gt;&lt;wsp:rsid wsp:val=&quot;00ED3FC8&quot;/&gt;&lt;wsp:rsid wsp:val=&quot;00ED44E2&quot;/&gt;&lt;wsp:rsid wsp:val=&quot;00ED4555&quot;/&gt;&lt;wsp:rsid wsp:val=&quot;00ED4CD8&quot;/&gt;&lt;wsp:rsid wsp:val=&quot;00ED512D&quot;/&gt;&lt;wsp:rsid wsp:val=&quot;00ED5240&quot;/&gt;&lt;wsp:rsid wsp:val=&quot;00ED53FB&quot;/&gt;&lt;wsp:rsid wsp:val=&quot;00ED564E&quot;/&gt;&lt;wsp:rsid wsp:val=&quot;00ED59C0&quot;/&gt;&lt;wsp:rsid wsp:val=&quot;00ED5B51&quot;/&gt;&lt;wsp:rsid wsp:val=&quot;00ED5C59&quot;/&gt;&lt;wsp:rsid wsp:val=&quot;00ED6050&quot;/&gt;&lt;wsp:rsid wsp:val=&quot;00ED64C6&quot;/&gt;&lt;wsp:rsid wsp:val=&quot;00ED6B3A&quot;/&gt;&lt;wsp:rsid wsp:val=&quot;00ED6CF5&quot;/&gt;&lt;wsp:rsid wsp:val=&quot;00ED6E42&quot;/&gt;&lt;wsp:rsid wsp:val=&quot;00ED7B20&quot;/&gt;&lt;wsp:rsid wsp:val=&quot;00ED7B36&quot;/&gt;&lt;wsp:rsid wsp:val=&quot;00ED7BA7&quot;/&gt;&lt;wsp:rsid wsp:val=&quot;00EE0058&quot;/&gt;&lt;wsp:rsid wsp:val=&quot;00EE05B8&quot;/&gt;&lt;wsp:rsid wsp:val=&quot;00EE1DA1&quot;/&gt;&lt;wsp:rsid wsp:val=&quot;00EE210A&quot;/&gt;&lt;wsp:rsid wsp:val=&quot;00EE23DD&quot;/&gt;&lt;wsp:rsid wsp:val=&quot;00EE25DD&quot;/&gt;&lt;wsp:rsid wsp:val=&quot;00EE2748&quot;/&gt;&lt;wsp:rsid wsp:val=&quot;00EE2836&quot;/&gt;&lt;wsp:rsid wsp:val=&quot;00EE28B9&quot;/&gt;&lt;wsp:rsid wsp:val=&quot;00EE2BC6&quot;/&gt;&lt;wsp:rsid wsp:val=&quot;00EE2C04&quot;/&gt;&lt;wsp:rsid wsp:val=&quot;00EE32F0&quot;/&gt;&lt;wsp:rsid wsp:val=&quot;00EE40E6&quot;/&gt;&lt;wsp:rsid wsp:val=&quot;00EE4394&quot;/&gt;&lt;wsp:rsid wsp:val=&quot;00EE4598&quot;/&gt;&lt;wsp:rsid wsp:val=&quot;00EE4740&quot;/&gt;&lt;wsp:rsid wsp:val=&quot;00EE49E8&quot;/&gt;&lt;wsp:rsid wsp:val=&quot;00EE4D92&quot;/&gt;&lt;wsp:rsid wsp:val=&quot;00EE4DDF&quot;/&gt;&lt;wsp:rsid wsp:val=&quot;00EE502A&quot;/&gt;&lt;wsp:rsid wsp:val=&quot;00EE53E1&quot;/&gt;&lt;wsp:rsid wsp:val=&quot;00EE5422&quot;/&gt;&lt;wsp:rsid wsp:val=&quot;00EE5876&quot;/&gt;&lt;wsp:rsid wsp:val=&quot;00EE5F38&quot;/&gt;&lt;wsp:rsid wsp:val=&quot;00EE5F73&quot;/&gt;&lt;wsp:rsid wsp:val=&quot;00EE5FDA&quot;/&gt;&lt;wsp:rsid wsp:val=&quot;00EE60AD&quot;/&gt;&lt;wsp:rsid wsp:val=&quot;00EE7168&quot;/&gt;&lt;wsp:rsid wsp:val=&quot;00EE719F&quot;/&gt;&lt;wsp:rsid wsp:val=&quot;00EE71B8&quot;/&gt;&lt;wsp:rsid wsp:val=&quot;00EE71F1&quot;/&gt;&lt;wsp:rsid wsp:val=&quot;00EE7703&quot;/&gt;&lt;wsp:rsid wsp:val=&quot;00EE7811&quot;/&gt;&lt;wsp:rsid wsp:val=&quot;00EE7BE4&quot;/&gt;&lt;wsp:rsid wsp:val=&quot;00EE7F1B&quot;/&gt;&lt;wsp:rsid wsp:val=&quot;00EE7F55&quot;/&gt;&lt;wsp:rsid wsp:val=&quot;00EF0191&quot;/&gt;&lt;wsp:rsid wsp:val=&quot;00EF0624&quot;/&gt;&lt;wsp:rsid wsp:val=&quot;00EF0B82&quot;/&gt;&lt;wsp:rsid wsp:val=&quot;00EF0EB9&quot;/&gt;&lt;wsp:rsid wsp:val=&quot;00EF106F&quot;/&gt;&lt;wsp:rsid wsp:val=&quot;00EF1414&quot;/&gt;&lt;wsp:rsid wsp:val=&quot;00EF1923&quot;/&gt;&lt;wsp:rsid wsp:val=&quot;00EF19E1&quot;/&gt;&lt;wsp:rsid wsp:val=&quot;00EF2EB3&quot;/&gt;&lt;wsp:rsid wsp:val=&quot;00EF30AA&quot;/&gt;&lt;wsp:rsid wsp:val=&quot;00EF31C9&quot;/&gt;&lt;wsp:rsid wsp:val=&quot;00EF3408&quot;/&gt;&lt;wsp:rsid wsp:val=&quot;00EF341C&quot;/&gt;&lt;wsp:rsid wsp:val=&quot;00EF344C&quot;/&gt;&lt;wsp:rsid wsp:val=&quot;00EF3D24&quot;/&gt;&lt;wsp:rsid wsp:val=&quot;00EF4476&quot;/&gt;&lt;wsp:rsid wsp:val=&quot;00EF47D5&quot;/&gt;&lt;wsp:rsid wsp:val=&quot;00EF4DBD&quot;/&gt;&lt;wsp:rsid wsp:val=&quot;00EF4E47&quot;/&gt;&lt;wsp:rsid wsp:val=&quot;00EF5259&quot;/&gt;&lt;wsp:rsid wsp:val=&quot;00EF5761&quot;/&gt;&lt;wsp:rsid wsp:val=&quot;00EF5D66&quot;/&gt;&lt;wsp:rsid wsp:val=&quot;00EF5DB5&quot;/&gt;&lt;wsp:rsid wsp:val=&quot;00EF62DF&quot;/&gt;&lt;wsp:rsid wsp:val=&quot;00EF6409&quot;/&gt;&lt;wsp:rsid wsp:val=&quot;00EF68E9&quot;/&gt;&lt;wsp:rsid wsp:val=&quot;00EF69B1&quot;/&gt;&lt;wsp:rsid wsp:val=&quot;00EF6AF0&quot;/&gt;&lt;wsp:rsid wsp:val=&quot;00EF6BCE&quot;/&gt;&lt;wsp:rsid wsp:val=&quot;00EF6F94&quot;/&gt;&lt;wsp:rsid wsp:val=&quot;00EF73A8&quot;/&gt;&lt;wsp:rsid wsp:val=&quot;00EF790C&quot;/&gt;&lt;wsp:rsid wsp:val=&quot;00F000B4&quot;/&gt;&lt;wsp:rsid wsp:val=&quot;00F006B9&quot;/&gt;&lt;wsp:rsid wsp:val=&quot;00F00929&quot;/&gt;&lt;wsp:rsid wsp:val=&quot;00F00959&quot;/&gt;&lt;wsp:rsid wsp:val=&quot;00F00A82&quot;/&gt;&lt;wsp:rsid wsp:val=&quot;00F01263&quot;/&gt;&lt;wsp:rsid wsp:val=&quot;00F01762&quot;/&gt;&lt;wsp:rsid wsp:val=&quot;00F01D7D&quot;/&gt;&lt;wsp:rsid wsp:val=&quot;00F01F74&quot;/&gt;&lt;wsp:rsid wsp:val=&quot;00F024B8&quot;/&gt;&lt;wsp:rsid wsp:val=&quot;00F02748&quot;/&gt;&lt;wsp:rsid wsp:val=&quot;00F02B35&quot;/&gt;&lt;wsp:rsid wsp:val=&quot;00F02C52&quot;/&gt;&lt;wsp:rsid wsp:val=&quot;00F02EF5&quot;/&gt;&lt;wsp:rsid wsp:val=&quot;00F02F19&quot;/&gt;&lt;wsp:rsid wsp:val=&quot;00F0305F&quot;/&gt;&lt;wsp:rsid wsp:val=&quot;00F030CF&quot;/&gt;&lt;wsp:rsid wsp:val=&quot;00F03161&quot;/&gt;&lt;wsp:rsid wsp:val=&quot;00F03168&quot;/&gt;&lt;wsp:rsid wsp:val=&quot;00F037AA&quot;/&gt;&lt;wsp:rsid wsp:val=&quot;00F03BE3&quot;/&gt;&lt;wsp:rsid wsp:val=&quot;00F03EBA&quot;/&gt;&lt;wsp:rsid wsp:val=&quot;00F03F06&quot;/&gt;&lt;wsp:rsid wsp:val=&quot;00F04041&quot;/&gt;&lt;wsp:rsid wsp:val=&quot;00F042FB&quot;/&gt;&lt;wsp:rsid wsp:val=&quot;00F0447F&quot;/&gt;&lt;wsp:rsid wsp:val=&quot;00F044E5&quot;/&gt;&lt;wsp:rsid wsp:val=&quot;00F0465C&quot;/&gt;&lt;wsp:rsid wsp:val=&quot;00F04AD9&quot;/&gt;&lt;wsp:rsid wsp:val=&quot;00F04B01&quot;/&gt;&lt;wsp:rsid wsp:val=&quot;00F04CD3&quot;/&gt;&lt;wsp:rsid wsp:val=&quot;00F05813&quot;/&gt;&lt;wsp:rsid wsp:val=&quot;00F05881&quot;/&gt;&lt;wsp:rsid wsp:val=&quot;00F058BE&quot;/&gt;&lt;wsp:rsid wsp:val=&quot;00F05A72&quot;/&gt;&lt;wsp:rsid wsp:val=&quot;00F05CC8&quot;/&gt;&lt;wsp:rsid wsp:val=&quot;00F06008&quot;/&gt;&lt;wsp:rsid wsp:val=&quot;00F060D7&quot;/&gt;&lt;wsp:rsid wsp:val=&quot;00F06386&quot;/&gt;&lt;wsp:rsid wsp:val=&quot;00F0679F&quot;/&gt;&lt;wsp:rsid wsp:val=&quot;00F067AA&quot;/&gt;&lt;wsp:rsid wsp:val=&quot;00F067EB&quot;/&gt;&lt;wsp:rsid wsp:val=&quot;00F06833&quot;/&gt;&lt;wsp:rsid wsp:val=&quot;00F068B0&quot;/&gt;&lt;wsp:rsid wsp:val=&quot;00F06944&quot;/&gt;&lt;wsp:rsid wsp:val=&quot;00F06A4E&quot;/&gt;&lt;wsp:rsid wsp:val=&quot;00F06CBF&quot;/&gt;&lt;wsp:rsid wsp:val=&quot;00F06F05&quot;/&gt;&lt;wsp:rsid wsp:val=&quot;00F07DDE&quot;/&gt;&lt;wsp:rsid wsp:val=&quot;00F1013C&quot;/&gt;&lt;wsp:rsid wsp:val=&quot;00F1015C&quot;/&gt;&lt;wsp:rsid wsp:val=&quot;00F10381&quot;/&gt;&lt;wsp:rsid wsp:val=&quot;00F10871&quot;/&gt;&lt;wsp:rsid wsp:val=&quot;00F10AB5&quot;/&gt;&lt;wsp:rsid wsp:val=&quot;00F10CF3&quot;/&gt;&lt;wsp:rsid wsp:val=&quot;00F10E97&quot;/&gt;&lt;wsp:rsid wsp:val=&quot;00F11985&quot;/&gt;&lt;wsp:rsid wsp:val=&quot;00F11B41&quot;/&gt;&lt;wsp:rsid wsp:val=&quot;00F11E43&quot;/&gt;&lt;wsp:rsid wsp:val=&quot;00F11FAB&quot;/&gt;&lt;wsp:rsid wsp:val=&quot;00F12272&quot;/&gt;&lt;wsp:rsid wsp:val=&quot;00F1288F&quot;/&gt;&lt;wsp:rsid wsp:val=&quot;00F12B77&quot;/&gt;&lt;wsp:rsid wsp:val=&quot;00F12F3B&quot;/&gt;&lt;wsp:rsid wsp:val=&quot;00F13066&quot;/&gt;&lt;wsp:rsid wsp:val=&quot;00F131AC&quot;/&gt;&lt;wsp:rsid wsp:val=&quot;00F131CE&quot;/&gt;&lt;wsp:rsid wsp:val=&quot;00F136EA&quot;/&gt;&lt;wsp:rsid wsp:val=&quot;00F14D59&quot;/&gt;&lt;wsp:rsid wsp:val=&quot;00F15451&quot;/&gt;&lt;wsp:rsid wsp:val=&quot;00F161F7&quot;/&gt;&lt;wsp:rsid wsp:val=&quot;00F16578&quot;/&gt;&lt;wsp:rsid wsp:val=&quot;00F1664F&quot;/&gt;&lt;wsp:rsid wsp:val=&quot;00F16684&quot;/&gt;&lt;wsp:rsid wsp:val=&quot;00F16D36&quot;/&gt;&lt;wsp:rsid wsp:val=&quot;00F16D5C&quot;/&gt;&lt;wsp:rsid wsp:val=&quot;00F17001&quot;/&gt;&lt;wsp:rsid wsp:val=&quot;00F1722A&quot;/&gt;&lt;wsp:rsid wsp:val=&quot;00F175C9&quot;/&gt;&lt;wsp:rsid wsp:val=&quot;00F1795C&quot;/&gt;&lt;wsp:rsid wsp:val=&quot;00F201A8&quot;/&gt;&lt;wsp:rsid wsp:val=&quot;00F20320&quot;/&gt;&lt;wsp:rsid wsp:val=&quot;00F2091B&quot;/&gt;&lt;wsp:rsid wsp:val=&quot;00F20932&quot;/&gt;&lt;wsp:rsid wsp:val=&quot;00F20B24&quot;/&gt;&lt;wsp:rsid wsp:val=&quot;00F20B56&quot;/&gt;&lt;wsp:rsid wsp:val=&quot;00F20B9A&quot;/&gt;&lt;wsp:rsid wsp:val=&quot;00F21730&quot;/&gt;&lt;wsp:rsid wsp:val=&quot;00F21765&quot;/&gt;&lt;wsp:rsid wsp:val=&quot;00F21862&quot;/&gt;&lt;wsp:rsid wsp:val=&quot;00F220C1&quot;/&gt;&lt;wsp:rsid wsp:val=&quot;00F222D8&quot;/&gt;&lt;wsp:rsid wsp:val=&quot;00F22360&quot;/&gt;&lt;wsp:rsid wsp:val=&quot;00F228AF&quot;/&gt;&lt;wsp:rsid wsp:val=&quot;00F232D0&quot;/&gt;&lt;wsp:rsid wsp:val=&quot;00F2336A&quot;/&gt;&lt;wsp:rsid wsp:val=&quot;00F23755&quot;/&gt;&lt;wsp:rsid wsp:val=&quot;00F24079&quot;/&gt;&lt;wsp:rsid wsp:val=&quot;00F2443A&quot;/&gt;&lt;wsp:rsid wsp:val=&quot;00F2460B&quot;/&gt;&lt;wsp:rsid wsp:val=&quot;00F247F2&quot;/&gt;&lt;wsp:rsid wsp:val=&quot;00F2485F&quot;/&gt;&lt;wsp:rsid wsp:val=&quot;00F250A5&quot;/&gt;&lt;wsp:rsid wsp:val=&quot;00F25235&quot;/&gt;&lt;wsp:rsid wsp:val=&quot;00F2539E&quot;/&gt;&lt;wsp:rsid wsp:val=&quot;00F255EF&quot;/&gt;&lt;wsp:rsid wsp:val=&quot;00F25711&quot;/&gt;&lt;wsp:rsid wsp:val=&quot;00F25945&quot;/&gt;&lt;wsp:rsid wsp:val=&quot;00F25B91&quot;/&gt;&lt;wsp:rsid wsp:val=&quot;00F2698E&quot;/&gt;&lt;wsp:rsid wsp:val=&quot;00F26999&quot;/&gt;&lt;wsp:rsid wsp:val=&quot;00F26A34&quot;/&gt;&lt;wsp:rsid wsp:val=&quot;00F26B4E&quot;/&gt;&lt;wsp:rsid wsp:val=&quot;00F26B91&quot;/&gt;&lt;wsp:rsid wsp:val=&quot;00F27326&quot;/&gt;&lt;wsp:rsid wsp:val=&quot;00F276FA&quot;/&gt;&lt;wsp:rsid wsp:val=&quot;00F27702&quot;/&gt;&lt;wsp:rsid wsp:val=&quot;00F2795C&quot;/&gt;&lt;wsp:rsid wsp:val=&quot;00F30669&quot;/&gt;&lt;wsp:rsid wsp:val=&quot;00F30A4C&quot;/&gt;&lt;wsp:rsid wsp:val=&quot;00F31395&quot;/&gt;&lt;wsp:rsid wsp:val=&quot;00F316F5&quot;/&gt;&lt;wsp:rsid wsp:val=&quot;00F31A8C&quot;/&gt;&lt;wsp:rsid wsp:val=&quot;00F32059&quot;/&gt;&lt;wsp:rsid wsp:val=&quot;00F32626&quot;/&gt;&lt;wsp:rsid wsp:val=&quot;00F33035&quot;/&gt;&lt;wsp:rsid wsp:val=&quot;00F33097&quot;/&gt;&lt;wsp:rsid wsp:val=&quot;00F33BFA&quot;/&gt;&lt;wsp:rsid wsp:val=&quot;00F33C51&quot;/&gt;&lt;wsp:rsid wsp:val=&quot;00F345BA&quot;/&gt;&lt;wsp:rsid wsp:val=&quot;00F34F1E&quot;/&gt;&lt;wsp:rsid wsp:val=&quot;00F353D0&quot;/&gt;&lt;wsp:rsid wsp:val=&quot;00F35B81&quot;/&gt;&lt;wsp:rsid wsp:val=&quot;00F35BCC&quot;/&gt;&lt;wsp:rsid wsp:val=&quot;00F35F1A&quot;/&gt;&lt;wsp:rsid wsp:val=&quot;00F36337&quot;/&gt;&lt;wsp:rsid wsp:val=&quot;00F365B0&quot;/&gt;&lt;wsp:rsid wsp:val=&quot;00F366C9&quot;/&gt;&lt;wsp:rsid wsp:val=&quot;00F36CFD&quot;/&gt;&lt;wsp:rsid wsp:val=&quot;00F36E07&quot;/&gt;&lt;wsp:rsid wsp:val=&quot;00F374D0&quot;/&gt;&lt;wsp:rsid wsp:val=&quot;00F37821&quot;/&gt;&lt;wsp:rsid wsp:val=&quot;00F378FA&quot;/&gt;&lt;wsp:rsid wsp:val=&quot;00F37953&quot;/&gt;&lt;wsp:rsid wsp:val=&quot;00F37B61&quot;/&gt;&lt;wsp:rsid wsp:val=&quot;00F37CB4&quot;/&gt;&lt;wsp:rsid wsp:val=&quot;00F4023D&quot;/&gt;&lt;wsp:rsid wsp:val=&quot;00F40B1C&quot;/&gt;&lt;wsp:rsid wsp:val=&quot;00F40FDE&quot;/&gt;&lt;wsp:rsid wsp:val=&quot;00F40FE1&quot;/&gt;&lt;wsp:rsid wsp:val=&quot;00F41601&quot;/&gt;&lt;wsp:rsid wsp:val=&quot;00F416FC&quot;/&gt;&lt;wsp:rsid wsp:val=&quot;00F41854&quot;/&gt;&lt;wsp:rsid wsp:val=&quot;00F41E4F&quot;/&gt;&lt;wsp:rsid wsp:val=&quot;00F43215&quot;/&gt;&lt;wsp:rsid wsp:val=&quot;00F43240&quot;/&gt;&lt;wsp:rsid wsp:val=&quot;00F433AE&quot;/&gt;&lt;wsp:rsid wsp:val=&quot;00F435D3&quot;/&gt;&lt;wsp:rsid wsp:val=&quot;00F43765&quot;/&gt;&lt;wsp:rsid wsp:val=&quot;00F4384F&quot;/&gt;&lt;wsp:rsid wsp:val=&quot;00F43A2E&quot;/&gt;&lt;wsp:rsid wsp:val=&quot;00F43D50&quot;/&gt;&lt;wsp:rsid wsp:val=&quot;00F44325&quot;/&gt;&lt;wsp:rsid wsp:val=&quot;00F443CE&quot;/&gt;&lt;wsp:rsid wsp:val=&quot;00F4475C&quot;/&gt;&lt;wsp:rsid wsp:val=&quot;00F44921&quot;/&gt;&lt;wsp:rsid wsp:val=&quot;00F44A39&quot;/&gt;&lt;wsp:rsid wsp:val=&quot;00F453EC&quot;/&gt;&lt;wsp:rsid wsp:val=&quot;00F45CE5&quot;/&gt;&lt;wsp:rsid wsp:val=&quot;00F460FC&quot;/&gt;&lt;wsp:rsid wsp:val=&quot;00F46386&quot;/&gt;&lt;wsp:rsid wsp:val=&quot;00F463B8&quot;/&gt;&lt;wsp:rsid wsp:val=&quot;00F46612&quot;/&gt;&lt;wsp:rsid wsp:val=&quot;00F467EA&quot;/&gt;&lt;wsp:rsid wsp:val=&quot;00F469C6&quot;/&gt;&lt;wsp:rsid wsp:val=&quot;00F46C3D&quot;/&gt;&lt;wsp:rsid wsp:val=&quot;00F471A7&quot;/&gt;&lt;wsp:rsid wsp:val=&quot;00F47231&quot;/&gt;&lt;wsp:rsid wsp:val=&quot;00F474DD&quot;/&gt;&lt;wsp:rsid wsp:val=&quot;00F5029E&quot;/&gt;&lt;wsp:rsid wsp:val=&quot;00F504EF&quot;/&gt;&lt;wsp:rsid wsp:val=&quot;00F50641&quot;/&gt;&lt;wsp:rsid wsp:val=&quot;00F50CBC&quot;/&gt;&lt;wsp:rsid wsp:val=&quot;00F5109D&quot;/&gt;&lt;wsp:rsid wsp:val=&quot;00F512C4&quot;/&gt;&lt;wsp:rsid wsp:val=&quot;00F51661&quot;/&gt;&lt;wsp:rsid wsp:val=&quot;00F51DE9&quot;/&gt;&lt;wsp:rsid wsp:val=&quot;00F51E6A&quot;/&gt;&lt;wsp:rsid wsp:val=&quot;00F5255F&quot;/&gt;&lt;wsp:rsid wsp:val=&quot;00F5300C&quot;/&gt;&lt;wsp:rsid wsp:val=&quot;00F5332D&quot;/&gt;&lt;wsp:rsid wsp:val=&quot;00F5333A&quot;/&gt;&lt;wsp:rsid wsp:val=&quot;00F53D35&quot;/&gt;&lt;wsp:rsid wsp:val=&quot;00F54586&quot;/&gt;&lt;wsp:rsid wsp:val=&quot;00F547C7&quot;/&gt;&lt;wsp:rsid wsp:val=&quot;00F54860&quot;/&gt;&lt;wsp:rsid wsp:val=&quot;00F549C0&quot;/&gt;&lt;wsp:rsid wsp:val=&quot;00F54FC3&quot;/&gt;&lt;wsp:rsid wsp:val=&quot;00F553A1&quot;/&gt;&lt;wsp:rsid wsp:val=&quot;00F55457&quot;/&gt;&lt;wsp:rsid wsp:val=&quot;00F558F2&quot;/&gt;&lt;wsp:rsid wsp:val=&quot;00F55C5F&quot;/&gt;&lt;wsp:rsid wsp:val=&quot;00F55D80&quot;/&gt;&lt;wsp:rsid wsp:val=&quot;00F55FFC&quot;/&gt;&lt;wsp:rsid wsp:val=&quot;00F56A9D&quot;/&gt;&lt;wsp:rsid wsp:val=&quot;00F56F1B&quot;/&gt;&lt;wsp:rsid wsp:val=&quot;00F5726E&quot;/&gt;&lt;wsp:rsid wsp:val=&quot;00F57384&quot;/&gt;&lt;wsp:rsid wsp:val=&quot;00F573C4&quot;/&gt;&lt;wsp:rsid wsp:val=&quot;00F575B7&quot;/&gt;&lt;wsp:rsid wsp:val=&quot;00F577A1&quot;/&gt;&lt;wsp:rsid wsp:val=&quot;00F579A7&quot;/&gt;&lt;wsp:rsid wsp:val=&quot;00F57B96&quot;/&gt;&lt;wsp:rsid wsp:val=&quot;00F600C7&quot;/&gt;&lt;wsp:rsid wsp:val=&quot;00F601C7&quot;/&gt;&lt;wsp:rsid wsp:val=&quot;00F603F5&quot;/&gt;&lt;wsp:rsid wsp:val=&quot;00F6049B&quot;/&gt;&lt;wsp:rsid wsp:val=&quot;00F606C0&quot;/&gt;&lt;wsp:rsid wsp:val=&quot;00F60E71&quot;/&gt;&lt;wsp:rsid wsp:val=&quot;00F61074&quot;/&gt;&lt;wsp:rsid wsp:val=&quot;00F613AA&quot;/&gt;&lt;wsp:rsid wsp:val=&quot;00F61549&quot;/&gt;&lt;wsp:rsid wsp:val=&quot;00F62582&quot;/&gt;&lt;wsp:rsid wsp:val=&quot;00F62895&quot;/&gt;&lt;wsp:rsid wsp:val=&quot;00F6292E&quot;/&gt;&lt;wsp:rsid wsp:val=&quot;00F62E90&quot;/&gt;&lt;wsp:rsid wsp:val=&quot;00F63479&quot;/&gt;&lt;wsp:rsid wsp:val=&quot;00F63651&quot;/&gt;&lt;wsp:rsid wsp:val=&quot;00F638F6&quot;/&gt;&lt;wsp:rsid wsp:val=&quot;00F63D2F&quot;/&gt;&lt;wsp:rsid wsp:val=&quot;00F63E24&quot;/&gt;&lt;wsp:rsid wsp:val=&quot;00F63F27&quot;/&gt;&lt;wsp:rsid wsp:val=&quot;00F6530D&quot;/&gt;&lt;wsp:rsid wsp:val=&quot;00F65378&quot;/&gt;&lt;wsp:rsid wsp:val=&quot;00F6538F&quot;/&gt;&lt;wsp:rsid wsp:val=&quot;00F65B7B&quot;/&gt;&lt;wsp:rsid wsp:val=&quot;00F65C78&quot;/&gt;&lt;wsp:rsid wsp:val=&quot;00F65F32&quot;/&gt;&lt;wsp:rsid wsp:val=&quot;00F66075&quot;/&gt;&lt;wsp:rsid wsp:val=&quot;00F66844&quot;/&gt;&lt;wsp:rsid wsp:val=&quot;00F66B04&quot;/&gt;&lt;wsp:rsid wsp:val=&quot;00F671F0&quot;/&gt;&lt;wsp:rsid wsp:val=&quot;00F677B3&quot;/&gt;&lt;wsp:rsid wsp:val=&quot;00F67813&quot;/&gt;&lt;wsp:rsid wsp:val=&quot;00F67868&quot;/&gt;&lt;wsp:rsid wsp:val=&quot;00F67A4E&quot;/&gt;&lt;wsp:rsid wsp:val=&quot;00F70198&quot;/&gt;&lt;wsp:rsid wsp:val=&quot;00F7021F&quot;/&gt;&lt;wsp:rsid wsp:val=&quot;00F70550&quot;/&gt;&lt;wsp:rsid wsp:val=&quot;00F707D6&quot;/&gt;&lt;wsp:rsid wsp:val=&quot;00F708CD&quot;/&gt;&lt;wsp:rsid wsp:val=&quot;00F70A2C&quot;/&gt;&lt;wsp:rsid wsp:val=&quot;00F7102B&quot;/&gt;&lt;wsp:rsid wsp:val=&quot;00F716C5&quot;/&gt;&lt;wsp:rsid wsp:val=&quot;00F72211&quot;/&gt;&lt;wsp:rsid wsp:val=&quot;00F723E9&quot;/&gt;&lt;wsp:rsid wsp:val=&quot;00F72D29&quot;/&gt;&lt;wsp:rsid wsp:val=&quot;00F732AE&quot;/&gt;&lt;wsp:rsid wsp:val=&quot;00F734C0&quot;/&gt;&lt;wsp:rsid wsp:val=&quot;00F7350F&quot;/&gt;&lt;wsp:rsid wsp:val=&quot;00F73541&quot;/&gt;&lt;wsp:rsid wsp:val=&quot;00F73603&quot;/&gt;&lt;wsp:rsid wsp:val=&quot;00F73656&quot;/&gt;&lt;wsp:rsid wsp:val=&quot;00F7374D&quot;/&gt;&lt;wsp:rsid wsp:val=&quot;00F73DAC&quot;/&gt;&lt;wsp:rsid wsp:val=&quot;00F73DEC&quot;/&gt;&lt;wsp:rsid wsp:val=&quot;00F740A8&quot;/&gt;&lt;wsp:rsid wsp:val=&quot;00F741E7&quot;/&gt;&lt;wsp:rsid wsp:val=&quot;00F74334&quot;/&gt;&lt;wsp:rsid wsp:val=&quot;00F74A0F&quot;/&gt;&lt;wsp:rsid wsp:val=&quot;00F74B0D&quot;/&gt;&lt;wsp:rsid wsp:val=&quot;00F74E22&quot;/&gt;&lt;wsp:rsid wsp:val=&quot;00F74E25&quot;/&gt;&lt;wsp:rsid wsp:val=&quot;00F7553D&quot;/&gt;&lt;wsp:rsid wsp:val=&quot;00F75608&quot;/&gt;&lt;wsp:rsid wsp:val=&quot;00F75679&quot;/&gt;&lt;wsp:rsid wsp:val=&quot;00F75707&quot;/&gt;&lt;wsp:rsid wsp:val=&quot;00F758F8&quot;/&gt;&lt;wsp:rsid wsp:val=&quot;00F75E46&quot;/&gt;&lt;wsp:rsid wsp:val=&quot;00F76E5F&quot;/&gt;&lt;wsp:rsid wsp:val=&quot;00F77FE4&quot;/&gt;&lt;wsp:rsid wsp:val=&quot;00F80179&quot;/&gt;&lt;wsp:rsid wsp:val=&quot;00F80BC3&quot;/&gt;&lt;wsp:rsid wsp:val=&quot;00F80BD0&quot;/&gt;&lt;wsp:rsid wsp:val=&quot;00F80F71&quot;/&gt;&lt;wsp:rsid wsp:val=&quot;00F81565&quot;/&gt;&lt;wsp:rsid wsp:val=&quot;00F81A3B&quot;/&gt;&lt;wsp:rsid wsp:val=&quot;00F81AAF&quot;/&gt;&lt;wsp:rsid wsp:val=&quot;00F8234A&quot;/&gt;&lt;wsp:rsid wsp:val=&quot;00F82B4B&quot;/&gt;&lt;wsp:rsid wsp:val=&quot;00F82B66&quot;/&gt;&lt;wsp:rsid wsp:val=&quot;00F82D30&quot;/&gt;&lt;wsp:rsid wsp:val=&quot;00F8331F&quot;/&gt;&lt;wsp:rsid wsp:val=&quot;00F8453E&quot;/&gt;&lt;wsp:rsid wsp:val=&quot;00F8459F&quot;/&gt;&lt;wsp:rsid wsp:val=&quot;00F845D1&quot;/&gt;&lt;wsp:rsid wsp:val=&quot;00F84A06&quot;/&gt;&lt;wsp:rsid wsp:val=&quot;00F84DC9&quot;/&gt;&lt;wsp:rsid wsp:val=&quot;00F84E6B&quot;/&gt;&lt;wsp:rsid wsp:val=&quot;00F84E7C&quot;/&gt;&lt;wsp:rsid wsp:val=&quot;00F85370&quot;/&gt;&lt;wsp:rsid wsp:val=&quot;00F85453&quot;/&gt;&lt;wsp:rsid wsp:val=&quot;00F8554E&quot;/&gt;&lt;wsp:rsid wsp:val=&quot;00F8581B&quot;/&gt;&lt;wsp:rsid wsp:val=&quot;00F85844&quot;/&gt;&lt;wsp:rsid wsp:val=&quot;00F85DBD&quot;/&gt;&lt;wsp:rsid wsp:val=&quot;00F8650D&quot;/&gt;&lt;wsp:rsid wsp:val=&quot;00F86AF1&quot;/&gt;&lt;wsp:rsid wsp:val=&quot;00F876C9&quot;/&gt;&lt;wsp:rsid wsp:val=&quot;00F87774&quot;/&gt;&lt;wsp:rsid wsp:val=&quot;00F8793A&quot;/&gt;&lt;wsp:rsid wsp:val=&quot;00F87F4C&quot;/&gt;&lt;wsp:rsid wsp:val=&quot;00F90110&quot;/&gt;&lt;wsp:rsid wsp:val=&quot;00F90590&quot;/&gt;&lt;wsp:rsid wsp:val=&quot;00F905D3&quot;/&gt;&lt;wsp:rsid wsp:val=&quot;00F9068F&quot;/&gt;&lt;wsp:rsid wsp:val=&quot;00F90792&quot;/&gt;&lt;wsp:rsid wsp:val=&quot;00F9084B&quot;/&gt;&lt;wsp:rsid wsp:val=&quot;00F91314&quot;/&gt;&lt;wsp:rsid wsp:val=&quot;00F9146E&quot;/&gt;&lt;wsp:rsid wsp:val=&quot;00F91585&quot;/&gt;&lt;wsp:rsid wsp:val=&quot;00F91591&quot;/&gt;&lt;wsp:rsid wsp:val=&quot;00F91A53&quot;/&gt;&lt;wsp:rsid wsp:val=&quot;00F91B6A&quot;/&gt;&lt;wsp:rsid wsp:val=&quot;00F91BB1&quot;/&gt;&lt;wsp:rsid wsp:val=&quot;00F91DF7&quot;/&gt;&lt;wsp:rsid wsp:val=&quot;00F9210F&quot;/&gt;&lt;wsp:rsid wsp:val=&quot;00F9214A&quot;/&gt;&lt;wsp:rsid wsp:val=&quot;00F924E4&quot;/&gt;&lt;wsp:rsid wsp:val=&quot;00F92524&quot;/&gt;&lt;wsp:rsid wsp:val=&quot;00F92977&quot;/&gt;&lt;wsp:rsid wsp:val=&quot;00F9344A&quot;/&gt;&lt;wsp:rsid wsp:val=&quot;00F93A87&quot;/&gt;&lt;wsp:rsid wsp:val=&quot;00F93E4E&quot;/&gt;&lt;wsp:rsid wsp:val=&quot;00F93FE4&quot;/&gt;&lt;wsp:rsid wsp:val=&quot;00F93FF4&quot;/&gt;&lt;wsp:rsid wsp:val=&quot;00F94238&quot;/&gt;&lt;wsp:rsid wsp:val=&quot;00F942EB&quot;/&gt;&lt;wsp:rsid wsp:val=&quot;00F94362&quot;/&gt;&lt;wsp:rsid wsp:val=&quot;00F944C1&quot;/&gt;&lt;wsp:rsid wsp:val=&quot;00F94685&quot;/&gt;&lt;wsp:rsid wsp:val=&quot;00F946C2&quot;/&gt;&lt;wsp:rsid wsp:val=&quot;00F948C3&quot;/&gt;&lt;wsp:rsid wsp:val=&quot;00F9494D&quot;/&gt;&lt;wsp:rsid wsp:val=&quot;00F94DE8&quot;/&gt;&lt;wsp:rsid wsp:val=&quot;00F95941&quot;/&gt;&lt;wsp:rsid wsp:val=&quot;00F95ABF&quot;/&gt;&lt;wsp:rsid wsp:val=&quot;00F9613F&quot;/&gt;&lt;wsp:rsid wsp:val=&quot;00F96D8B&quot;/&gt;&lt;wsp:rsid wsp:val=&quot;00F96DE6&quot;/&gt;&lt;wsp:rsid wsp:val=&quot;00F96F19&quot;/&gt;&lt;wsp:rsid wsp:val=&quot;00F975A1&quot;/&gt;&lt;wsp:rsid wsp:val=&quot;00F977BC&quot;/&gt;&lt;wsp:rsid wsp:val=&quot;00FA0314&quot;/&gt;&lt;wsp:rsid wsp:val=&quot;00FA0C64&quot;/&gt;&lt;wsp:rsid wsp:val=&quot;00FA1131&quot;/&gt;&lt;wsp:rsid wsp:val=&quot;00FA17EC&quot;/&gt;&lt;wsp:rsid wsp:val=&quot;00FA1A45&quot;/&gt;&lt;wsp:rsid wsp:val=&quot;00FA1D7F&quot;/&gt;&lt;wsp:rsid wsp:val=&quot;00FA1DCC&quot;/&gt;&lt;wsp:rsid wsp:val=&quot;00FA2970&quot;/&gt;&lt;wsp:rsid wsp:val=&quot;00FA2E02&quot;/&gt;&lt;wsp:rsid wsp:val=&quot;00FA2F56&quot;/&gt;&lt;wsp:rsid wsp:val=&quot;00FA36E1&quot;/&gt;&lt;wsp:rsid wsp:val=&quot;00FA3B87&quot;/&gt;&lt;wsp:rsid wsp:val=&quot;00FA3C42&quot;/&gt;&lt;wsp:rsid wsp:val=&quot;00FA3EAE&quot;/&gt;&lt;wsp:rsid wsp:val=&quot;00FA408C&quot;/&gt;&lt;wsp:rsid wsp:val=&quot;00FA478F&quot;/&gt;&lt;wsp:rsid wsp:val=&quot;00FA4DED&quot;/&gt;&lt;wsp:rsid wsp:val=&quot;00FA4FA9&quot;/&gt;&lt;wsp:rsid wsp:val=&quot;00FA554D&quot;/&gt;&lt;wsp:rsid wsp:val=&quot;00FA5C92&quot;/&gt;&lt;wsp:rsid wsp:val=&quot;00FA5FA5&quot;/&gt;&lt;wsp:rsid wsp:val=&quot;00FA623D&quot;/&gt;&lt;wsp:rsid wsp:val=&quot;00FA6287&quot;/&gt;&lt;wsp:rsid wsp:val=&quot;00FA642B&quot;/&gt;&lt;wsp:rsid wsp:val=&quot;00FA6B9F&quot;/&gt;&lt;wsp:rsid wsp:val=&quot;00FA6DD6&quot;/&gt;&lt;wsp:rsid wsp:val=&quot;00FA7091&quot;/&gt;&lt;wsp:rsid wsp:val=&quot;00FA71E7&quot;/&gt;&lt;wsp:rsid wsp:val=&quot;00FA78F6&quot;/&gt;&lt;wsp:rsid wsp:val=&quot;00FA7EAE&quot;/&gt;&lt;wsp:rsid wsp:val=&quot;00FB0041&quot;/&gt;&lt;wsp:rsid wsp:val=&quot;00FB009D&quot;/&gt;&lt;wsp:rsid wsp:val=&quot;00FB016A&quot;/&gt;&lt;wsp:rsid wsp:val=&quot;00FB0174&quot;/&gt;&lt;wsp:rsid wsp:val=&quot;00FB0257&quot;/&gt;&lt;wsp:rsid wsp:val=&quot;00FB0507&quot;/&gt;&lt;wsp:rsid wsp:val=&quot;00FB06C8&quot;/&gt;&lt;wsp:rsid wsp:val=&quot;00FB0705&quot;/&gt;&lt;wsp:rsid wsp:val=&quot;00FB0843&quot;/&gt;&lt;wsp:rsid wsp:val=&quot;00FB0CB7&quot;/&gt;&lt;wsp:rsid wsp:val=&quot;00FB0F2E&quot;/&gt;&lt;wsp:rsid wsp:val=&quot;00FB0F91&quot;/&gt;&lt;wsp:rsid wsp:val=&quot;00FB102D&quot;/&gt;&lt;wsp:rsid wsp:val=&quot;00FB125C&quot;/&gt;&lt;wsp:rsid wsp:val=&quot;00FB136C&quot;/&gt;&lt;wsp:rsid wsp:val=&quot;00FB1651&quot;/&gt;&lt;wsp:rsid wsp:val=&quot;00FB1729&quot;/&gt;&lt;wsp:rsid wsp:val=&quot;00FB19EB&quot;/&gt;&lt;wsp:rsid wsp:val=&quot;00FB1A28&quot;/&gt;&lt;wsp:rsid wsp:val=&quot;00FB1B84&quot;/&gt;&lt;wsp:rsid wsp:val=&quot;00FB222E&quot;/&gt;&lt;wsp:rsid wsp:val=&quot;00FB2395&quot;/&gt;&lt;wsp:rsid wsp:val=&quot;00FB2501&quot;/&gt;&lt;wsp:rsid wsp:val=&quot;00FB26F6&quot;/&gt;&lt;wsp:rsid wsp:val=&quot;00FB2A99&quot;/&gt;&lt;wsp:rsid wsp:val=&quot;00FB2B4B&quot;/&gt;&lt;wsp:rsid wsp:val=&quot;00FB2C6B&quot;/&gt;&lt;wsp:rsid wsp:val=&quot;00FB2CCB&quot;/&gt;&lt;wsp:rsid wsp:val=&quot;00FB2D94&quot;/&gt;&lt;wsp:rsid wsp:val=&quot;00FB2E4D&quot;/&gt;&lt;wsp:rsid wsp:val=&quot;00FB34E0&quot;/&gt;&lt;wsp:rsid wsp:val=&quot;00FB34F2&quot;/&gt;&lt;wsp:rsid wsp:val=&quot;00FB3697&quot;/&gt;&lt;wsp:rsid wsp:val=&quot;00FB38EA&quot;/&gt;&lt;wsp:rsid wsp:val=&quot;00FB38F8&quot;/&gt;&lt;wsp:rsid wsp:val=&quot;00FB3B96&quot;/&gt;&lt;wsp:rsid wsp:val=&quot;00FB3E47&quot;/&gt;&lt;wsp:rsid wsp:val=&quot;00FB4326&quot;/&gt;&lt;wsp:rsid wsp:val=&quot;00FB4657&quot;/&gt;&lt;wsp:rsid wsp:val=&quot;00FB5072&quot;/&gt;&lt;wsp:rsid wsp:val=&quot;00FB59BC&quot;/&gt;&lt;wsp:rsid wsp:val=&quot;00FB5AC8&quot;/&gt;&lt;wsp:rsid wsp:val=&quot;00FB6255&quot;/&gt;&lt;wsp:rsid wsp:val=&quot;00FB6329&quot;/&gt;&lt;wsp:rsid wsp:val=&quot;00FB643C&quot;/&gt;&lt;wsp:rsid wsp:val=&quot;00FB658F&quot;/&gt;&lt;wsp:rsid wsp:val=&quot;00FB6BEB&quot;/&gt;&lt;wsp:rsid wsp:val=&quot;00FB6C44&quot;/&gt;&lt;wsp:rsid wsp:val=&quot;00FB714E&quot;/&gt;&lt;wsp:rsid wsp:val=&quot;00FB7850&quot;/&gt;&lt;wsp:rsid wsp:val=&quot;00FB7AD8&quot;/&gt;&lt;wsp:rsid wsp:val=&quot;00FC08A0&quot;/&gt;&lt;wsp:rsid wsp:val=&quot;00FC0DBF&quot;/&gt;&lt;wsp:rsid wsp:val=&quot;00FC0E18&quot;/&gt;&lt;wsp:rsid wsp:val=&quot;00FC16EB&quot;/&gt;&lt;wsp:rsid wsp:val=&quot;00FC17A1&quot;/&gt;&lt;wsp:rsid wsp:val=&quot;00FC1B3F&quot;/&gt;&lt;wsp:rsid wsp:val=&quot;00FC1D9C&quot;/&gt;&lt;wsp:rsid wsp:val=&quot;00FC219A&quot;/&gt;&lt;wsp:rsid wsp:val=&quot;00FC2216&quot;/&gt;&lt;wsp:rsid wsp:val=&quot;00FC26F6&quot;/&gt;&lt;wsp:rsid wsp:val=&quot;00FC2844&quot;/&gt;&lt;wsp:rsid wsp:val=&quot;00FC2EBC&quot;/&gt;&lt;wsp:rsid wsp:val=&quot;00FC3062&quot;/&gt;&lt;wsp:rsid wsp:val=&quot;00FC316B&quot;/&gt;&lt;wsp:rsid wsp:val=&quot;00FC32FC&quot;/&gt;&lt;wsp:rsid wsp:val=&quot;00FC36CB&quot;/&gt;&lt;wsp:rsid wsp:val=&quot;00FC383E&quot;/&gt;&lt;wsp:rsid wsp:val=&quot;00FC3D4F&quot;/&gt;&lt;wsp:rsid wsp:val=&quot;00FC3F6C&quot;/&gt;&lt;wsp:rsid wsp:val=&quot;00FC45F9&quot;/&gt;&lt;wsp:rsid wsp:val=&quot;00FC47F6&quot;/&gt;&lt;wsp:rsid wsp:val=&quot;00FC4D35&quot;/&gt;&lt;wsp:rsid wsp:val=&quot;00FC5080&quot;/&gt;&lt;wsp:rsid wsp:val=&quot;00FC55F6&quot;/&gt;&lt;wsp:rsid wsp:val=&quot;00FC5C83&quot;/&gt;&lt;wsp:rsid wsp:val=&quot;00FC616C&quot;/&gt;&lt;wsp:rsid wsp:val=&quot;00FC61F9&quot;/&gt;&lt;wsp:rsid wsp:val=&quot;00FC6886&quot;/&gt;&lt;wsp:rsid wsp:val=&quot;00FC71BA&quot;/&gt;&lt;wsp:rsid wsp:val=&quot;00FC75B2&quot;/&gt;&lt;wsp:rsid wsp:val=&quot;00FC78F5&quot;/&gt;&lt;wsp:rsid wsp:val=&quot;00FC7930&quot;/&gt;&lt;wsp:rsid wsp:val=&quot;00FC7AD2&quot;/&gt;&lt;wsp:rsid wsp:val=&quot;00FD02D9&quot;/&gt;&lt;wsp:rsid wsp:val=&quot;00FD0910&quot;/&gt;&lt;wsp:rsid wsp:val=&quot;00FD0AF0&quot;/&gt;&lt;wsp:rsid wsp:val=&quot;00FD0D54&quot;/&gt;&lt;wsp:rsid wsp:val=&quot;00FD11B3&quot;/&gt;&lt;wsp:rsid wsp:val=&quot;00FD1473&quot;/&gt;&lt;wsp:rsid wsp:val=&quot;00FD1758&quot;/&gt;&lt;wsp:rsid wsp:val=&quot;00FD179F&quot;/&gt;&lt;wsp:rsid wsp:val=&quot;00FD1A7D&quot;/&gt;&lt;wsp:rsid wsp:val=&quot;00FD20BC&quot;/&gt;&lt;wsp:rsid wsp:val=&quot;00FD26FE&quot;/&gt;&lt;wsp:rsid wsp:val=&quot;00FD2A01&quot;/&gt;&lt;wsp:rsid wsp:val=&quot;00FD314D&quot;/&gt;&lt;wsp:rsid wsp:val=&quot;00FD3403&quot;/&gt;&lt;wsp:rsid wsp:val=&quot;00FD36A2&quot;/&gt;&lt;wsp:rsid wsp:val=&quot;00FD3A5A&quot;/&gt;&lt;wsp:rsid wsp:val=&quot;00FD4EE0&quot;/&gt;&lt;wsp:rsid wsp:val=&quot;00FD5347&quot;/&gt;&lt;wsp:rsid wsp:val=&quot;00FD5B91&quot;/&gt;&lt;wsp:rsid wsp:val=&quot;00FD60E5&quot;/&gt;&lt;wsp:rsid wsp:val=&quot;00FD6246&quot;/&gt;&lt;wsp:rsid wsp:val=&quot;00FD63A2&quot;/&gt;&lt;wsp:rsid wsp:val=&quot;00FD63F4&quot;/&gt;&lt;wsp:rsid wsp:val=&quot;00FD6474&quot;/&gt;&lt;wsp:rsid wsp:val=&quot;00FD685C&quot;/&gt;&lt;wsp:rsid wsp:val=&quot;00FD7590&quot;/&gt;&lt;wsp:rsid wsp:val=&quot;00FD792C&quot;/&gt;&lt;wsp:rsid wsp:val=&quot;00FD79B0&quot;/&gt;&lt;wsp:rsid wsp:val=&quot;00FD7AAA&quot;/&gt;&lt;wsp:rsid wsp:val=&quot;00FD7DD4&quot;/&gt;&lt;wsp:rsid wsp:val=&quot;00FE03AB&quot;/&gt;&lt;wsp:rsid wsp:val=&quot;00FE054A&quot;/&gt;&lt;wsp:rsid wsp:val=&quot;00FE0846&quot;/&gt;&lt;wsp:rsid wsp:val=&quot;00FE0EA5&quot;/&gt;&lt;wsp:rsid wsp:val=&quot;00FE1047&quot;/&gt;&lt;wsp:rsid wsp:val=&quot;00FE1C7D&quot;/&gt;&lt;wsp:rsid wsp:val=&quot;00FE1DF0&quot;/&gt;&lt;wsp:rsid wsp:val=&quot;00FE1F5A&quot;/&gt;&lt;wsp:rsid wsp:val=&quot;00FE2B12&quot;/&gt;&lt;wsp:rsid wsp:val=&quot;00FE2C8D&quot;/&gt;&lt;wsp:rsid wsp:val=&quot;00FE2D7B&quot;/&gt;&lt;wsp:rsid wsp:val=&quot;00FE2E36&quot;/&gt;&lt;wsp:rsid wsp:val=&quot;00FE2F07&quot;/&gt;&lt;wsp:rsid wsp:val=&quot;00FE2F27&quot;/&gt;&lt;wsp:rsid wsp:val=&quot;00FE3778&quot;/&gt;&lt;wsp:rsid wsp:val=&quot;00FE3833&quot;/&gt;&lt;wsp:rsid wsp:val=&quot;00FE42A9&quot;/&gt;&lt;wsp:rsid wsp:val=&quot;00FE4804&quot;/&gt;&lt;wsp:rsid wsp:val=&quot;00FE4A98&quot;/&gt;&lt;wsp:rsid wsp:val=&quot;00FE4D7F&quot;/&gt;&lt;wsp:rsid wsp:val=&quot;00FE4FDC&quot;/&gt;&lt;wsp:rsid wsp:val=&quot;00FE50D8&quot;/&gt;&lt;wsp:rsid wsp:val=&quot;00FE5DF8&quot;/&gt;&lt;wsp:rsid wsp:val=&quot;00FE5FCB&quot;/&gt;&lt;wsp:rsid wsp:val=&quot;00FE66EC&quot;/&gt;&lt;wsp:rsid wsp:val=&quot;00FE681C&quot;/&gt;&lt;wsp:rsid wsp:val=&quot;00FE6836&quot;/&gt;&lt;wsp:rsid wsp:val=&quot;00FE68B9&quot;/&gt;&lt;wsp:rsid wsp:val=&quot;00FE6C42&quot;/&gt;&lt;wsp:rsid wsp:val=&quot;00FE6D43&quot;/&gt;&lt;wsp:rsid wsp:val=&quot;00FE6E65&quot;/&gt;&lt;wsp:rsid wsp:val=&quot;00FE6F04&quot;/&gt;&lt;wsp:rsid wsp:val=&quot;00FE77B3&quot;/&gt;&lt;wsp:rsid wsp:val=&quot;00FE7B91&quot;/&gt;&lt;wsp:rsid wsp:val=&quot;00FE7B9F&quot;/&gt;&lt;wsp:rsid wsp:val=&quot;00FE7F98&quot;/&gt;&lt;wsp:rsid wsp:val=&quot;00FF0133&quot;/&gt;&lt;wsp:rsid wsp:val=&quot;00FF08C1&quot;/&gt;&lt;wsp:rsid wsp:val=&quot;00FF115A&quot;/&gt;&lt;wsp:rsid wsp:val=&quot;00FF14A0&quot;/&gt;&lt;wsp:rsid wsp:val=&quot;00FF163A&quot;/&gt;&lt;wsp:rsid wsp:val=&quot;00FF1D9E&quot;/&gt;&lt;wsp:rsid wsp:val=&quot;00FF1E38&quot;/&gt;&lt;wsp:rsid wsp:val=&quot;00FF21CA&quot;/&gt;&lt;wsp:rsid wsp:val=&quot;00FF32DE&quot;/&gt;&lt;wsp:rsid wsp:val=&quot;00FF3504&quot;/&gt;&lt;wsp:rsid wsp:val=&quot;00FF38D7&quot;/&gt;&lt;wsp:rsid wsp:val=&quot;00FF3B7D&quot;/&gt;&lt;wsp:rsid wsp:val=&quot;00FF4011&quot;/&gt;&lt;wsp:rsid wsp:val=&quot;00FF4813&quot;/&gt;&lt;wsp:rsid wsp:val=&quot;00FF48C1&quot;/&gt;&lt;wsp:rsid wsp:val=&quot;00FF4964&quot;/&gt;&lt;wsp:rsid wsp:val=&quot;00FF4C59&quot;/&gt;&lt;wsp:rsid wsp:val=&quot;00FF4C69&quot;/&gt;&lt;wsp:rsid wsp:val=&quot;00FF58D0&quot;/&gt;&lt;wsp:rsid wsp:val=&quot;00FF6229&quot;/&gt;&lt;wsp:rsid wsp:val=&quot;00FF6947&quot;/&gt;&lt;wsp:rsid wsp:val=&quot;00FF6973&quot;/&gt;&lt;wsp:rsid wsp:val=&quot;00FF6A0D&quot;/&gt;&lt;wsp:rsid wsp:val=&quot;00FF6ADE&quot;/&gt;&lt;wsp:rsid wsp:val=&quot;00FF6BA2&quot;/&gt;&lt;wsp:rsid wsp:val=&quot;00FF6C31&quot;/&gt;&lt;wsp:rsid wsp:val=&quot;00FF7428&quot;/&gt;&lt;wsp:rsid wsp:val=&quot;00FF77A8&quot;/&gt;&lt;wsp:rsid wsp:val=&quot;00FF7AE3&quot;/&gt;&lt;wsp:rsid wsp:val=&quot;07BB1E2B&quot;/&gt;&lt;wsp:rsid wsp:val=&quot;11367B4D&quot;/&gt;&lt;wsp:rsid wsp:val=&quot;127C65E7&quot;/&gt;&lt;wsp:rsid wsp:val=&quot;311A20BE&quot;/&gt;&lt;wsp:rsid wsp:val=&quot;5FAE1C4A&quot;/&gt;&lt;wsp:rsid wsp:val=&quot;70A13097&quot;/&gt;&lt;/wsp:rsids&gt;&lt;/w:docPr&gt;&lt;w:body&gt;&lt;wx:sect&gt;&lt;w:p wsp:rsidR=&quot;00000000&quot; wsp:rsidRDefault=&quot;00E33928&quot; wsp:rsidP=&quot;00E33928&quot;&gt;&lt;m:oMathPara&gt;&lt;m:oMath&gt;&lt;m:r&gt;&lt;w:rPr&gt;&lt;w:rFonts w:ascii=&quot;Cambria Math&quot; w:h-ansi=&quot;Cambria Math&quot;/&gt;&lt;wx:font wx:val=&quot;Cambria Math&quot;/&gt;&lt;w:i/&gt;&lt;w:sz w:val=&quot;28&quot;/&gt;&lt;w:sz-cs w:val=&quot;28&quot;/&gt;&lt;/w:rPr&gt;&lt;m:t&gt;Q=φ∙K∙I∙A&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78" chromakey="#FFFFFF" o:title=""/>
            <o:lock v:ext="edit" aspectratio="t"/>
            <w10:wrap type="none"/>
            <w10:anchorlock/>
          </v:shape>
        </w:pict>
      </w:r>
      <w:r>
        <w:rPr>
          <w:rFonts w:ascii="Times New Roman" w:hAnsi="Times New Roman"/>
          <w:color w:val="auto"/>
          <w:sz w:val="28"/>
          <w:szCs w:val="28"/>
          <w:highlight w:val="none"/>
        </w:rPr>
        <w:instrText xml:space="preserve"> </w:instrText>
      </w:r>
      <w:r>
        <w:rPr>
          <w:rFonts w:ascii="Times New Roman" w:hAnsi="Times New Roman"/>
          <w:color w:val="auto"/>
          <w:sz w:val="28"/>
          <w:szCs w:val="28"/>
          <w:highlight w:val="none"/>
        </w:rPr>
        <w:fldChar w:fldCharType="separate"/>
      </w:r>
      <w:r>
        <w:rPr>
          <w:color w:val="auto"/>
          <w:position w:val="-6"/>
          <w:highlight w:val="none"/>
        </w:rPr>
        <w:pict>
          <v:shape id="_x0000_i1038" o:spt="75" type="#_x0000_t75" style="height:16.5pt;width:92.2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oNotEmbedSystemFonts/&gt;&lt;w:bordersDontSurroundHeader/&gt;&lt;w:bordersDontSurroundFooter/&gt;&lt;w:defaultTabStop w:val=&quot;420&quot;/&gt;&lt;w:drawingGridHorizontalSpacing w:val=&quot;120&quot;/&gt;&lt;w:drawingGridVerticalSpacing w:val=&quot;163&quot;/&gt;&lt;w:displayHorizontalDrawingGridEvery w:val=&quot;2&quot;/&gt;&lt;w:displayVerticalDrawingGridEvery w:val=&quot;2&quot;/&gt;&lt;w:punctuationKerning/&gt;&lt;w:characterSpacingControl w:val=&quot;DontCompress&quot;/&gt;&lt;w:webPageEncoding w:val=&quot;x-cp20936&quot;/&gt;&lt;w:optimizeForBrowser/&gt;&lt;w:allowPNG/&gt;&lt;w:pixelsPerInch w:val=&quot;120&quot;/&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docVars&gt;&lt;w:docVar w:name=&quot;commondata&quot; w:val=&quot;eyJoZGlkIjoiMDEyY2M0NTcwYzBiYThkNWRiNmEzMzNlNWFhNWE2ZmUifQ==&quot;/&gt;&lt;/w:docVars&gt;&lt;wsp:rsids&gt;&lt;wsp:rsidRoot wsp:val=&quot;004849F8&quot;/&gt;&lt;wsp:rsid wsp:val=&quot;000007A3&quot;/&gt;&lt;wsp:rsid wsp:val=&quot;0000088D&quot;/&gt;&lt;wsp:rsid wsp:val=&quot;00000E9B&quot;/&gt;&lt;wsp:rsid wsp:val=&quot;00000EF5&quot;/&gt;&lt;wsp:rsid wsp:val=&quot;000013F4&quot;/&gt;&lt;wsp:rsid wsp:val=&quot;000016A1&quot;/&gt;&lt;wsp:rsid wsp:val=&quot;000018D0&quot;/&gt;&lt;wsp:rsid wsp:val=&quot;00001FF0&quot;/&gt;&lt;wsp:rsid wsp:val=&quot;000023E6&quot;/&gt;&lt;wsp:rsid wsp:val=&quot;000024A5&quot;/&gt;&lt;wsp:rsid wsp:val=&quot;00002583&quot;/&gt;&lt;wsp:rsid wsp:val=&quot;00002679&quot;/&gt;&lt;wsp:rsid wsp:val=&quot;0000297C&quot;/&gt;&lt;wsp:rsid wsp:val=&quot;00002A53&quot;/&gt;&lt;wsp:rsid wsp:val=&quot;0000352A&quot;/&gt;&lt;wsp:rsid wsp:val=&quot;0000357A&quot;/&gt;&lt;wsp:rsid wsp:val=&quot;0000358B&quot;/&gt;&lt;wsp:rsid wsp:val=&quot;00003620&quot;/&gt;&lt;wsp:rsid wsp:val=&quot;0000388A&quot;/&gt;&lt;wsp:rsid wsp:val=&quot;00003C9F&quot;/&gt;&lt;wsp:rsid wsp:val=&quot;00004195&quot;/&gt;&lt;wsp:rsid wsp:val=&quot;00004760&quot;/&gt;&lt;wsp:rsid wsp:val=&quot;00004A98&quot;/&gt;&lt;wsp:rsid wsp:val=&quot;00004ACC&quot;/&gt;&lt;wsp:rsid wsp:val=&quot;00004C05&quot;/&gt;&lt;wsp:rsid wsp:val=&quot;00004D4D&quot;/&gt;&lt;wsp:rsid wsp:val=&quot;000053C7&quot;/&gt;&lt;wsp:rsid wsp:val=&quot;000054C6&quot;/&gt;&lt;wsp:rsid wsp:val=&quot;00005DF0&quot;/&gt;&lt;wsp:rsid wsp:val=&quot;00005E1D&quot;/&gt;&lt;wsp:rsid wsp:val=&quot;00005ED1&quot;/&gt;&lt;wsp:rsid wsp:val=&quot;00006309&quot;/&gt;&lt;wsp:rsid wsp:val=&quot;0000646F&quot;/&gt;&lt;wsp:rsid wsp:val=&quot;00006567&quot;/&gt;&lt;wsp:rsid wsp:val=&quot;00006A27&quot;/&gt;&lt;wsp:rsid wsp:val=&quot;00006EF3&quot;/&gt;&lt;wsp:rsid wsp:val=&quot;0000701C&quot;/&gt;&lt;wsp:rsid wsp:val=&quot;000073EB&quot;/&gt;&lt;wsp:rsid wsp:val=&quot;00007ED9&quot;/&gt;&lt;wsp:rsid wsp:val=&quot;00007F35&quot;/&gt;&lt;wsp:rsid wsp:val=&quot;000102F4&quot;/&gt;&lt;wsp:rsid wsp:val=&quot;00010919&quot;/&gt;&lt;wsp:rsid wsp:val=&quot;00010DB2&quot;/&gt;&lt;wsp:rsid wsp:val=&quot;00010DC9&quot;/&gt;&lt;wsp:rsid wsp:val=&quot;000114EA&quot;/&gt;&lt;wsp:rsid wsp:val=&quot;000115D9&quot;/&gt;&lt;wsp:rsid wsp:val=&quot;00011B2A&quot;/&gt;&lt;wsp:rsid wsp:val=&quot;0001208A&quot;/&gt;&lt;wsp:rsid wsp:val=&quot;0001209F&quot;/&gt;&lt;wsp:rsid wsp:val=&quot;000123B2&quot;/&gt;&lt;wsp:rsid wsp:val=&quot;000128CE&quot;/&gt;&lt;wsp:rsid wsp:val=&quot;00012EF9&quot;/&gt;&lt;wsp:rsid wsp:val=&quot;000134A4&quot;/&gt;&lt;wsp:rsid wsp:val=&quot;00013600&quot;/&gt;&lt;wsp:rsid wsp:val=&quot;00014032&quot;/&gt;&lt;wsp:rsid wsp:val=&quot;000140CB&quot;/&gt;&lt;wsp:rsid wsp:val=&quot;0001491E&quot;/&gt;&lt;wsp:rsid wsp:val=&quot;00014A38&quot;/&gt;&lt;wsp:rsid wsp:val=&quot;00014BBE&quot;/&gt;&lt;wsp:rsid wsp:val=&quot;0001591C&quot;/&gt;&lt;wsp:rsid wsp:val=&quot;00015A10&quot;/&gt;&lt;wsp:rsid wsp:val=&quot;00015B5A&quot;/&gt;&lt;wsp:rsid wsp:val=&quot;00015F57&quot;/&gt;&lt;wsp:rsid wsp:val=&quot;00016964&quot;/&gt;&lt;wsp:rsid wsp:val=&quot;00016E3B&quot;/&gt;&lt;wsp:rsid wsp:val=&quot;00016EAF&quot;/&gt;&lt;wsp:rsid wsp:val=&quot;0001717C&quot;/&gt;&lt;wsp:rsid wsp:val=&quot;000176F1&quot;/&gt;&lt;wsp:rsid wsp:val=&quot;00017751&quot;/&gt;&lt;wsp:rsid wsp:val=&quot;00017D6A&quot;/&gt;&lt;wsp:rsid wsp:val=&quot;00017DF4&quot;/&gt;&lt;wsp:rsid wsp:val=&quot;000200F9&quot;/&gt;&lt;wsp:rsid wsp:val=&quot;000209BA&quot;/&gt;&lt;wsp:rsid wsp:val=&quot;00020CC3&quot;/&gt;&lt;wsp:rsid wsp:val=&quot;000210F0&quot;/&gt;&lt;wsp:rsid wsp:val=&quot;0002133B&quot;/&gt;&lt;wsp:rsid wsp:val=&quot;000216CF&quot;/&gt;&lt;wsp:rsid wsp:val=&quot;000216D1&quot;/&gt;&lt;wsp:rsid wsp:val=&quot;000216D6&quot;/&gt;&lt;wsp:rsid wsp:val=&quot;0002184F&quot;/&gt;&lt;wsp:rsid wsp:val=&quot;0002195D&quot;/&gt;&lt;wsp:rsid wsp:val=&quot;000219F7&quot;/&gt;&lt;wsp:rsid wsp:val=&quot;00021B29&quot;/&gt;&lt;wsp:rsid wsp:val=&quot;00022446&quot;/&gt;&lt;wsp:rsid wsp:val=&quot;00022571&quot;/&gt;&lt;wsp:rsid wsp:val=&quot;00022629&quot;/&gt;&lt;wsp:rsid wsp:val=&quot;00022A41&quot;/&gt;&lt;wsp:rsid wsp:val=&quot;00022E47&quot;/&gt;&lt;wsp:rsid wsp:val=&quot;00022F6B&quot;/&gt;&lt;wsp:rsid wsp:val=&quot;0002335A&quot;/&gt;&lt;wsp:rsid wsp:val=&quot;00023A17&quot;/&gt;&lt;wsp:rsid wsp:val=&quot;00023AB9&quot;/&gt;&lt;wsp:rsid wsp:val=&quot;00023ACC&quot;/&gt;&lt;wsp:rsid wsp:val=&quot;00023BA8&quot;/&gt;&lt;wsp:rsid wsp:val=&quot;00023BC9&quot;/&gt;&lt;wsp:rsid wsp:val=&quot;00023CB2&quot;/&gt;&lt;wsp:rsid wsp:val=&quot;00023E88&quot;/&gt;&lt;wsp:rsid wsp:val=&quot;000241E8&quot;/&gt;&lt;wsp:rsid wsp:val=&quot;00024C11&quot;/&gt;&lt;wsp:rsid wsp:val=&quot;0002594D&quot;/&gt;&lt;wsp:rsid wsp:val=&quot;000259AF&quot;/&gt;&lt;wsp:rsid wsp:val=&quot;00025A2B&quot;/&gt;&lt;wsp:rsid wsp:val=&quot;00025C2B&quot;/&gt;&lt;wsp:rsid wsp:val=&quot;00025CAC&quot;/&gt;&lt;wsp:rsid wsp:val=&quot;00025CBC&quot;/&gt;&lt;wsp:rsid wsp:val=&quot;0002633F&quot;/&gt;&lt;wsp:rsid wsp:val=&quot;000266DC&quot;/&gt;&lt;wsp:rsid wsp:val=&quot;00027937&quot;/&gt;&lt;wsp:rsid wsp:val=&quot;00027956&quot;/&gt;&lt;wsp:rsid wsp:val=&quot;000279C2&quot;/&gt;&lt;wsp:rsid wsp:val=&quot;00027DF9&quot;/&gt;&lt;wsp:rsid wsp:val=&quot;000302F8&quot;/&gt;&lt;wsp:rsid wsp:val=&quot;00030660&quot;/&gt;&lt;wsp:rsid wsp:val=&quot;000307EC&quot;/&gt;&lt;wsp:rsid wsp:val=&quot;00030C35&quot;/&gt;&lt;wsp:rsid wsp:val=&quot;000311F6&quot;/&gt;&lt;wsp:rsid wsp:val=&quot;000313DF&quot;/&gt;&lt;wsp:rsid wsp:val=&quot;000313F9&quot;/&gt;&lt;wsp:rsid wsp:val=&quot;00031968&quot;/&gt;&lt;wsp:rsid wsp:val=&quot;00031E6A&quot;/&gt;&lt;wsp:rsid wsp:val=&quot;00031FA8&quot;/&gt;&lt;wsp:rsid wsp:val=&quot;000320E9&quot;/&gt;&lt;wsp:rsid wsp:val=&quot;00032A6C&quot;/&gt;&lt;wsp:rsid wsp:val=&quot;00032CB8&quot;/&gt;&lt;wsp:rsid wsp:val=&quot;00032E3B&quot;/&gt;&lt;wsp:rsid wsp:val=&quot;00032E9D&quot;/&gt;&lt;wsp:rsid wsp:val=&quot;00033116&quot;/&gt;&lt;wsp:rsid wsp:val=&quot;000334D4&quot;/&gt;&lt;wsp:rsid wsp:val=&quot;000336A6&quot;/&gt;&lt;wsp:rsid wsp:val=&quot;000339A6&quot;/&gt;&lt;wsp:rsid wsp:val=&quot;00033ABF&quot;/&gt;&lt;wsp:rsid wsp:val=&quot;00033F17&quot;/&gt;&lt;wsp:rsid wsp:val=&quot;0003484F&quot;/&gt;&lt;wsp:rsid wsp:val=&quot;00034A32&quot;/&gt;&lt;wsp:rsid wsp:val=&quot;00034E2C&quot;/&gt;&lt;wsp:rsid wsp:val=&quot;000353BF&quot;/&gt;&lt;wsp:rsid wsp:val=&quot;000354EA&quot;/&gt;&lt;wsp:rsid wsp:val=&quot;00035638&quot;/&gt;&lt;wsp:rsid wsp:val=&quot;00035A5B&quot;/&gt;&lt;wsp:rsid wsp:val=&quot;00035A8A&quot;/&gt;&lt;wsp:rsid wsp:val=&quot;00035DA7&quot;/&gt;&lt;wsp:rsid wsp:val=&quot;000367EF&quot;/&gt;&lt;wsp:rsid wsp:val=&quot;00036D1E&quot;/&gt;&lt;wsp:rsid wsp:val=&quot;00036E13&quot;/&gt;&lt;wsp:rsid wsp:val=&quot;0003795E&quot;/&gt;&lt;wsp:rsid wsp:val=&quot;000404C5&quot;/&gt;&lt;wsp:rsid wsp:val=&quot;00040554&quot;/&gt;&lt;wsp:rsid wsp:val=&quot;0004074B&quot;/&gt;&lt;wsp:rsid wsp:val=&quot;00040831&quot;/&gt;&lt;wsp:rsid wsp:val=&quot;00040E2A&quot;/&gt;&lt;wsp:rsid wsp:val=&quot;000412C2&quot;/&gt;&lt;wsp:rsid wsp:val=&quot;000414D5&quot;/&gt;&lt;wsp:rsid wsp:val=&quot;00041847&quot;/&gt;&lt;wsp:rsid wsp:val=&quot;000418AE&quot;/&gt;&lt;wsp:rsid wsp:val=&quot;00041A42&quot;/&gt;&lt;wsp:rsid wsp:val=&quot;0004281E&quot;/&gt;&lt;wsp:rsid wsp:val=&quot;000429C5&quot;/&gt;&lt;wsp:rsid wsp:val=&quot;00042B09&quot;/&gt;&lt;wsp:rsid wsp:val=&quot;00043773&quot;/&gt;&lt;wsp:rsid wsp:val=&quot;0004379B&quot;/&gt;&lt;wsp:rsid wsp:val=&quot;00043C70&quot;/&gt;&lt;wsp:rsid wsp:val=&quot;00043FB9&quot;/&gt;&lt;wsp:rsid wsp:val=&quot;00044444&quot;/&gt;&lt;wsp:rsid wsp:val=&quot;000449F8&quot;/&gt;&lt;wsp:rsid wsp:val=&quot;00044C77&quot;/&gt;&lt;wsp:rsid wsp:val=&quot;0004502B&quot;/&gt;&lt;wsp:rsid wsp:val=&quot;00045149&quot;/&gt;&lt;wsp:rsid wsp:val=&quot;000452D8&quot;/&gt;&lt;wsp:rsid wsp:val=&quot;000455C7&quot;/&gt;&lt;wsp:rsid wsp:val=&quot;0004560A&quot;/&gt;&lt;wsp:rsid wsp:val=&quot;000456BC&quot;/&gt;&lt;wsp:rsid wsp:val=&quot;00045777&quot;/&gt;&lt;wsp:rsid wsp:val=&quot;0004643F&quot;/&gt;&lt;wsp:rsid wsp:val=&quot;00046498&quot;/&gt;&lt;wsp:rsid wsp:val=&quot;00046572&quot;/&gt;&lt;wsp:rsid wsp:val=&quot;00046805&quot;/&gt;&lt;wsp:rsid wsp:val=&quot;00046B36&quot;/&gt;&lt;wsp:rsid wsp:val=&quot;000476EA&quot;/&gt;&lt;wsp:rsid wsp:val=&quot;0004772A&quot;/&gt;&lt;wsp:rsid wsp:val=&quot;00047824&quot;/&gt;&lt;wsp:rsid wsp:val=&quot;00047945&quot;/&gt;&lt;wsp:rsid wsp:val=&quot;00047CBA&quot;/&gt;&lt;wsp:rsid wsp:val=&quot;0005043A&quot;/&gt;&lt;wsp:rsid wsp:val=&quot;00050717&quot;/&gt;&lt;wsp:rsid wsp:val=&quot;00050870&quot;/&gt;&lt;wsp:rsid wsp:val=&quot;00050941&quot;/&gt;&lt;wsp:rsid wsp:val=&quot;0005095F&quot;/&gt;&lt;wsp:rsid wsp:val=&quot;00050C2F&quot;/&gt;&lt;wsp:rsid wsp:val=&quot;00051116&quot;/&gt;&lt;wsp:rsid wsp:val=&quot;00051358&quot;/&gt;&lt;wsp:rsid wsp:val=&quot;0005163F&quot;/&gt;&lt;wsp:rsid wsp:val=&quot;0005209A&quot;/&gt;&lt;wsp:rsid wsp:val=&quot;000524BE&quot;/&gt;&lt;wsp:rsid wsp:val=&quot;0005260F&quot;/&gt;&lt;wsp:rsid wsp:val=&quot;00052662&quot;/&gt;&lt;wsp:rsid wsp:val=&quot;000526E0&quot;/&gt;&lt;wsp:rsid wsp:val=&quot;00052856&quot;/&gt;&lt;wsp:rsid wsp:val=&quot;00052987&quot;/&gt;&lt;wsp:rsid wsp:val=&quot;00052D05&quot;/&gt;&lt;wsp:rsid wsp:val=&quot;00053349&quot;/&gt;&lt;wsp:rsid wsp:val=&quot;0005371E&quot;/&gt;&lt;wsp:rsid wsp:val=&quot;00053A48&quot;/&gt;&lt;wsp:rsid wsp:val=&quot;00053A9C&quot;/&gt;&lt;wsp:rsid wsp:val=&quot;0005409C&quot;/&gt;&lt;wsp:rsid wsp:val=&quot;00054294&quot;/&gt;&lt;wsp:rsid wsp:val=&quot;00054304&quot;/&gt;&lt;wsp:rsid wsp:val=&quot;0005430F&quot;/&gt;&lt;wsp:rsid wsp:val=&quot;0005431A&quot;/&gt;&lt;wsp:rsid wsp:val=&quot;0005435B&quot;/&gt;&lt;wsp:rsid wsp:val=&quot;000543F0&quot;/&gt;&lt;wsp:rsid wsp:val=&quot;0005477C&quot;/&gt;&lt;wsp:rsid wsp:val=&quot;00054F49&quot;/&gt;&lt;wsp:rsid wsp:val=&quot;00055718&quot;/&gt;&lt;wsp:rsid wsp:val=&quot;00055A8C&quot;/&gt;&lt;wsp:rsid wsp:val=&quot;00055E3E&quot;/&gt;&lt;wsp:rsid wsp:val=&quot;00056045&quot;/&gt;&lt;wsp:rsid wsp:val=&quot;000562C1&quot;/&gt;&lt;wsp:rsid wsp:val=&quot;000566E5&quot;/&gt;&lt;wsp:rsid wsp:val=&quot;00056F6B&quot;/&gt;&lt;wsp:rsid wsp:val=&quot;0005729E&quot;/&gt;&lt;wsp:rsid wsp:val=&quot;00057392&quot;/&gt;&lt;wsp:rsid wsp:val=&quot;00057624&quot;/&gt;&lt;wsp:rsid wsp:val=&quot;00057653&quot;/&gt;&lt;wsp:rsid wsp:val=&quot;00057732&quot;/&gt;&lt;wsp:rsid wsp:val=&quot;00060750&quot;/&gt;&lt;wsp:rsid wsp:val=&quot;00060B70&quot;/&gt;&lt;wsp:rsid wsp:val=&quot;00060D50&quot;/&gt;&lt;wsp:rsid wsp:val=&quot;00060F8A&quot;/&gt;&lt;wsp:rsid wsp:val=&quot;00061419&quot;/&gt;&lt;wsp:rsid wsp:val=&quot;000618A2&quot;/&gt;&lt;wsp:rsid wsp:val=&quot;00061DA1&quot;/&gt;&lt;wsp:rsid wsp:val=&quot;0006244B&quot;/&gt;&lt;wsp:rsid wsp:val=&quot;000629C3&quot;/&gt;&lt;wsp:rsid wsp:val=&quot;00062CF4&quot;/&gt;&lt;wsp:rsid wsp:val=&quot;00062E80&quot;/&gt;&lt;wsp:rsid wsp:val=&quot;00062FE6&quot;/&gt;&lt;wsp:rsid wsp:val=&quot;00063B61&quot;/&gt;&lt;wsp:rsid wsp:val=&quot;00063B78&quot;/&gt;&lt;wsp:rsid wsp:val=&quot;00064265&quot;/&gt;&lt;wsp:rsid wsp:val=&quot;00064983&quot;/&gt;&lt;wsp:rsid wsp:val=&quot;00064996&quot;/&gt;&lt;wsp:rsid wsp:val=&quot;0006499F&quot;/&gt;&lt;wsp:rsid wsp:val=&quot;00064A8E&quot;/&gt;&lt;wsp:rsid wsp:val=&quot;00064B17&quot;/&gt;&lt;wsp:rsid wsp:val=&quot;00064DF8&quot;/&gt;&lt;wsp:rsid wsp:val=&quot;00065152&quot;/&gt;&lt;wsp:rsid wsp:val=&quot;00065D7B&quot;/&gt;&lt;wsp:rsid wsp:val=&quot;0006621C&quot;/&gt;&lt;wsp:rsid wsp:val=&quot;00066384&quot;/&gt;&lt;wsp:rsid wsp:val=&quot;00066858&quot;/&gt;&lt;wsp:rsid wsp:val=&quot;000668C9&quot;/&gt;&lt;wsp:rsid wsp:val=&quot;000673FA&quot;/&gt;&lt;wsp:rsid wsp:val=&quot;000675B6&quot;/&gt;&lt;wsp:rsid wsp:val=&quot;000678E9&quot;/&gt;&lt;wsp:rsid wsp:val=&quot;00067AAC&quot;/&gt;&lt;wsp:rsid wsp:val=&quot;00067CF5&quot;/&gt;&lt;wsp:rsid wsp:val=&quot;00067D57&quot;/&gt;&lt;wsp:rsid wsp:val=&quot;00067DD0&quot;/&gt;&lt;wsp:rsid wsp:val=&quot;00070133&quot;/&gt;&lt;wsp:rsid wsp:val=&quot;00070601&quot;/&gt;&lt;wsp:rsid wsp:val=&quot;000706FF&quot;/&gt;&lt;wsp:rsid wsp:val=&quot;00070CA9&quot;/&gt;&lt;wsp:rsid wsp:val=&quot;00070D6C&quot;/&gt;&lt;wsp:rsid wsp:val=&quot;00070D93&quot;/&gt;&lt;wsp:rsid wsp:val=&quot;00070DDE&quot;/&gt;&lt;wsp:rsid wsp:val=&quot;00071000&quot;/&gt;&lt;wsp:rsid wsp:val=&quot;00071251&quot;/&gt;&lt;wsp:rsid wsp:val=&quot;000713E3&quot;/&gt;&lt;wsp:rsid wsp:val=&quot;0007152B&quot;/&gt;&lt;wsp:rsid wsp:val=&quot;00071DB9&quot;/&gt;&lt;wsp:rsid wsp:val=&quot;00071E97&quot;/&gt;&lt;wsp:rsid wsp:val=&quot;00071F16&quot;/&gt;&lt;wsp:rsid wsp:val=&quot;00072030&quot;/&gt;&lt;wsp:rsid wsp:val=&quot;00072571&quot;/&gt;&lt;wsp:rsid wsp:val=&quot;0007324F&quot;/&gt;&lt;wsp:rsid wsp:val=&quot;0007354C&quot;/&gt;&lt;wsp:rsid wsp:val=&quot;000746ED&quot;/&gt;&lt;wsp:rsid wsp:val=&quot;000747F3&quot;/&gt;&lt;wsp:rsid wsp:val=&quot;00074869&quot;/&gt;&lt;wsp:rsid wsp:val=&quot;000749E0&quot;/&gt;&lt;wsp:rsid wsp:val=&quot;00074C83&quot;/&gt;&lt;wsp:rsid wsp:val=&quot;00075150&quot;/&gt;&lt;wsp:rsid wsp:val=&quot;000752C9&quot;/&gt;&lt;wsp:rsid wsp:val=&quot;00075816&quot;/&gt;&lt;wsp:rsid wsp:val=&quot;0007598A&quot;/&gt;&lt;wsp:rsid wsp:val=&quot;00075AEC&quot;/&gt;&lt;wsp:rsid wsp:val=&quot;00075F73&quot;/&gt;&lt;wsp:rsid wsp:val=&quot;00075F81&quot;/&gt;&lt;wsp:rsid wsp:val=&quot;00076271&quot;/&gt;&lt;wsp:rsid wsp:val=&quot;000763A9&quot;/&gt;&lt;wsp:rsid wsp:val=&quot;00076C34&quot;/&gt;&lt;wsp:rsid wsp:val=&quot;00077039&quot;/&gt;&lt;wsp:rsid wsp:val=&quot;00077410&quot;/&gt;&lt;wsp:rsid wsp:val=&quot;00077D3F&quot;/&gt;&lt;wsp:rsid wsp:val=&quot;00077F73&quot;/&gt;&lt;wsp:rsid wsp:val=&quot;00080A45&quot;/&gt;&lt;wsp:rsid wsp:val=&quot;00080D73&quot;/&gt;&lt;wsp:rsid wsp:val=&quot;000811FF&quot;/&gt;&lt;wsp:rsid wsp:val=&quot;0008138A&quot;/&gt;&lt;wsp:rsid wsp:val=&quot;0008168E&quot;/&gt;&lt;wsp:rsid wsp:val=&quot;000816B4&quot;/&gt;&lt;wsp:rsid wsp:val=&quot;000824A8&quot;/&gt;&lt;wsp:rsid wsp:val=&quot;0008250F&quot;/&gt;&lt;wsp:rsid wsp:val=&quot;000827BA&quot;/&gt;&lt;wsp:rsid wsp:val=&quot;000828B4&quot;/&gt;&lt;wsp:rsid wsp:val=&quot;00082D99&quot;/&gt;&lt;wsp:rsid wsp:val=&quot;00082F55&quot;/&gt;&lt;wsp:rsid wsp:val=&quot;000830C8&quot;/&gt;&lt;wsp:rsid wsp:val=&quot;000835D5&quot;/&gt;&lt;wsp:rsid wsp:val=&quot;00083B57&quot;/&gt;&lt;wsp:rsid wsp:val=&quot;00083C97&quot;/&gt;&lt;wsp:rsid wsp:val=&quot;000843B6&quot;/&gt;&lt;wsp:rsid wsp:val=&quot;00084736&quot;/&gt;&lt;wsp:rsid wsp:val=&quot;0008479F&quot;/&gt;&lt;wsp:rsid wsp:val=&quot;00084939&quot;/&gt;&lt;wsp:rsid wsp:val=&quot;00084A03&quot;/&gt;&lt;wsp:rsid wsp:val=&quot;00084A0B&quot;/&gt;&lt;wsp:rsid wsp:val=&quot;00084F7B&quot;/&gt;&lt;wsp:rsid wsp:val=&quot;0008505E&quot;/&gt;&lt;wsp:rsid wsp:val=&quot;00085167&quot;/&gt;&lt;wsp:rsid wsp:val=&quot;00085307&quot;/&gt;&lt;wsp:rsid wsp:val=&quot;00085438&quot;/&gt;&lt;wsp:rsid wsp:val=&quot;00085762&quot;/&gt;&lt;wsp:rsid wsp:val=&quot;00085963&quot;/&gt;&lt;wsp:rsid wsp:val=&quot;0008599F&quot;/&gt;&lt;wsp:rsid wsp:val=&quot;00085A1F&quot;/&gt;&lt;wsp:rsid wsp:val=&quot;00085CE6&quot;/&gt;&lt;wsp:rsid wsp:val=&quot;00085DC7&quot;/&gt;&lt;wsp:rsid wsp:val=&quot;00085E85&quot;/&gt;&lt;wsp:rsid wsp:val=&quot;00086140&quot;/&gt;&lt;wsp:rsid wsp:val=&quot;0008686B&quot;/&gt;&lt;wsp:rsid wsp:val=&quot;00086C12&quot;/&gt;&lt;wsp:rsid wsp:val=&quot;000870CA&quot;/&gt;&lt;wsp:rsid wsp:val=&quot;000871F8&quot;/&gt;&lt;wsp:rsid wsp:val=&quot;00087640&quot;/&gt;&lt;wsp:rsid wsp:val=&quot;00087726&quot;/&gt;&lt;wsp:rsid wsp:val=&quot;000877A9&quot;/&gt;&lt;wsp:rsid wsp:val=&quot;00087CFD&quot;/&gt;&lt;wsp:rsid wsp:val=&quot;00087FE4&quot;/&gt;&lt;wsp:rsid wsp:val=&quot;00090C13&quot;/&gt;&lt;wsp:rsid wsp:val=&quot;00090CD5&quot;/&gt;&lt;wsp:rsid wsp:val=&quot;00091713&quot;/&gt;&lt;wsp:rsid wsp:val=&quot;00091DF2&quot;/&gt;&lt;wsp:rsid wsp:val=&quot;00092145&quot;/&gt;&lt;wsp:rsid wsp:val=&quot;0009251B&quot;/&gt;&lt;wsp:rsid wsp:val=&quot;00092655&quot;/&gt;&lt;wsp:rsid wsp:val=&quot;00092772&quot;/&gt;&lt;wsp:rsid wsp:val=&quot;00092C28&quot;/&gt;&lt;wsp:rsid wsp:val=&quot;000930C0&quot;/&gt;&lt;wsp:rsid wsp:val=&quot;00093234&quot;/&gt;&lt;wsp:rsid wsp:val=&quot;0009323B&quot;/&gt;&lt;wsp:rsid wsp:val=&quot;000942BE&quot;/&gt;&lt;wsp:rsid wsp:val=&quot;000944A9&quot;/&gt;&lt;wsp:rsid wsp:val=&quot;000957C8&quot;/&gt;&lt;wsp:rsid wsp:val=&quot;0009585E&quot;/&gt;&lt;wsp:rsid wsp:val=&quot;00095A7D&quot;/&gt;&lt;wsp:rsid wsp:val=&quot;00095B80&quot;/&gt;&lt;wsp:rsid wsp:val=&quot;000961B5&quot;/&gt;&lt;wsp:rsid wsp:val=&quot;0009635C&quot;/&gt;&lt;wsp:rsid wsp:val=&quot;000964F5&quot;/&gt;&lt;wsp:rsid wsp:val=&quot;0009657E&quot;/&gt;&lt;wsp:rsid wsp:val=&quot;00096690&quot;/&gt;&lt;wsp:rsid wsp:val=&quot;000967A6&quot;/&gt;&lt;wsp:rsid wsp:val=&quot;00096881&quot;/&gt;&lt;wsp:rsid wsp:val=&quot;00096A50&quot;/&gt;&lt;wsp:rsid wsp:val=&quot;00096C94&quot;/&gt;&lt;wsp:rsid wsp:val=&quot;00096EA1&quot;/&gt;&lt;wsp:rsid wsp:val=&quot;000975BE&quot;/&gt;&lt;wsp:rsid wsp:val=&quot;000976F4&quot;/&gt;&lt;wsp:rsid wsp:val=&quot;00097E51&quot;/&gt;&lt;wsp:rsid wsp:val=&quot;000A025E&quot;/&gt;&lt;wsp:rsid wsp:val=&quot;000A0381&quot;/&gt;&lt;wsp:rsid wsp:val=&quot;000A041E&quot;/&gt;&lt;wsp:rsid wsp:val=&quot;000A0867&quot;/&gt;&lt;wsp:rsid wsp:val=&quot;000A0889&quot;/&gt;&lt;wsp:rsid wsp:val=&quot;000A0B6A&quot;/&gt;&lt;wsp:rsid wsp:val=&quot;000A0D8D&quot;/&gt;&lt;wsp:rsid wsp:val=&quot;000A1093&quot;/&gt;&lt;wsp:rsid wsp:val=&quot;000A10CF&quot;/&gt;&lt;wsp:rsid wsp:val=&quot;000A1833&quot;/&gt;&lt;wsp:rsid wsp:val=&quot;000A1E2C&quot;/&gt;&lt;wsp:rsid wsp:val=&quot;000A1E99&quot;/&gt;&lt;wsp:rsid wsp:val=&quot;000A212D&quot;/&gt;&lt;wsp:rsid wsp:val=&quot;000A2A08&quot;/&gt;&lt;wsp:rsid wsp:val=&quot;000A2A36&quot;/&gt;&lt;wsp:rsid wsp:val=&quot;000A2DCD&quot;/&gt;&lt;wsp:rsid wsp:val=&quot;000A3BD8&quot;/&gt;&lt;wsp:rsid wsp:val=&quot;000A3E85&quot;/&gt;&lt;wsp:rsid wsp:val=&quot;000A4293&quot;/&gt;&lt;wsp:rsid wsp:val=&quot;000A490F&quot;/&gt;&lt;wsp:rsid wsp:val=&quot;000A4987&quot;/&gt;&lt;wsp:rsid wsp:val=&quot;000A50B8&quot;/&gt;&lt;wsp:rsid wsp:val=&quot;000A578D&quot;/&gt;&lt;wsp:rsid wsp:val=&quot;000A57AD&quot;/&gt;&lt;wsp:rsid wsp:val=&quot;000A59ED&quot;/&gt;&lt;wsp:rsid wsp:val=&quot;000A5BAE&quot;/&gt;&lt;wsp:rsid wsp:val=&quot;000A661F&quot;/&gt;&lt;wsp:rsid wsp:val=&quot;000A692D&quot;/&gt;&lt;wsp:rsid wsp:val=&quot;000A697C&quot;/&gt;&lt;wsp:rsid wsp:val=&quot;000A704B&quot;/&gt;&lt;wsp:rsid wsp:val=&quot;000A74A4&quot;/&gt;&lt;wsp:rsid wsp:val=&quot;000A78FE&quot;/&gt;&lt;wsp:rsid wsp:val=&quot;000A7E96&quot;/&gt;&lt;wsp:rsid wsp:val=&quot;000A7F48&quot;/&gt;&lt;wsp:rsid wsp:val=&quot;000B0286&quot;/&gt;&lt;wsp:rsid wsp:val=&quot;000B11FD&quot;/&gt;&lt;wsp:rsid wsp:val=&quot;000B146B&quot;/&gt;&lt;wsp:rsid wsp:val=&quot;000B1736&quot;/&gt;&lt;wsp:rsid wsp:val=&quot;000B176A&quot;/&gt;&lt;wsp:rsid wsp:val=&quot;000B1938&quot;/&gt;&lt;wsp:rsid wsp:val=&quot;000B1B74&quot;/&gt;&lt;wsp:rsid wsp:val=&quot;000B1B97&quot;/&gt;&lt;wsp:rsid wsp:val=&quot;000B1EA2&quot;/&gt;&lt;wsp:rsid wsp:val=&quot;000B1F20&quot;/&gt;&lt;wsp:rsid wsp:val=&quot;000B1FDE&quot;/&gt;&lt;wsp:rsid wsp:val=&quot;000B20E5&quot;/&gt;&lt;wsp:rsid wsp:val=&quot;000B2401&quot;/&gt;&lt;wsp:rsid wsp:val=&quot;000B2B0D&quot;/&gt;&lt;wsp:rsid wsp:val=&quot;000B2C41&quot;/&gt;&lt;wsp:rsid wsp:val=&quot;000B30CF&quot;/&gt;&lt;wsp:rsid wsp:val=&quot;000B3135&quot;/&gt;&lt;wsp:rsid wsp:val=&quot;000B31D0&quot;/&gt;&lt;wsp:rsid wsp:val=&quot;000B3727&quot;/&gt;&lt;wsp:rsid wsp:val=&quot;000B3A06&quot;/&gt;&lt;wsp:rsid wsp:val=&quot;000B3AB5&quot;/&gt;&lt;wsp:rsid wsp:val=&quot;000B402B&quot;/&gt;&lt;wsp:rsid wsp:val=&quot;000B40F6&quot;/&gt;&lt;wsp:rsid wsp:val=&quot;000B41EF&quot;/&gt;&lt;wsp:rsid wsp:val=&quot;000B4253&quot;/&gt;&lt;wsp:rsid wsp:val=&quot;000B4310&quot;/&gt;&lt;wsp:rsid wsp:val=&quot;000B4686&quot;/&gt;&lt;wsp:rsid wsp:val=&quot;000B4974&quot;/&gt;&lt;wsp:rsid wsp:val=&quot;000B4FD7&quot;/&gt;&lt;wsp:rsid wsp:val=&quot;000B58DA&quot;/&gt;&lt;wsp:rsid wsp:val=&quot;000B5E75&quot;/&gt;&lt;wsp:rsid wsp:val=&quot;000B6226&quot;/&gt;&lt;wsp:rsid wsp:val=&quot;000B7187&quot;/&gt;&lt;wsp:rsid wsp:val=&quot;000B7200&quot;/&gt;&lt;wsp:rsid wsp:val=&quot;000B7300&quot;/&gt;&lt;wsp:rsid wsp:val=&quot;000B73B7&quot;/&gt;&lt;wsp:rsid wsp:val=&quot;000B7421&quot;/&gt;&lt;wsp:rsid wsp:val=&quot;000B75A8&quot;/&gt;&lt;wsp:rsid wsp:val=&quot;000C06A5&quot;/&gt;&lt;wsp:rsid wsp:val=&quot;000C0971&quot;/&gt;&lt;wsp:rsid wsp:val=&quot;000C1374&quot;/&gt;&lt;wsp:rsid wsp:val=&quot;000C16F0&quot;/&gt;&lt;wsp:rsid wsp:val=&quot;000C1D25&quot;/&gt;&lt;wsp:rsid wsp:val=&quot;000C2767&quot;/&gt;&lt;wsp:rsid wsp:val=&quot;000C3015&quot;/&gt;&lt;wsp:rsid wsp:val=&quot;000C308B&quot;/&gt;&lt;wsp:rsid wsp:val=&quot;000C30DA&quot;/&gt;&lt;wsp:rsid wsp:val=&quot;000C336A&quot;/&gt;&lt;wsp:rsid wsp:val=&quot;000C36D1&quot;/&gt;&lt;wsp:rsid wsp:val=&quot;000C3AF0&quot;/&gt;&lt;wsp:rsid wsp:val=&quot;000C427B&quot;/&gt;&lt;wsp:rsid wsp:val=&quot;000C471F&quot;/&gt;&lt;wsp:rsid wsp:val=&quot;000C4960&quot;/&gt;&lt;wsp:rsid wsp:val=&quot;000C4D88&quot;/&gt;&lt;wsp:rsid wsp:val=&quot;000C4F82&quot;/&gt;&lt;wsp:rsid wsp:val=&quot;000C4FBD&quot;/&gt;&lt;wsp:rsid wsp:val=&quot;000C530D&quot;/&gt;&lt;wsp:rsid wsp:val=&quot;000C5F94&quot;/&gt;&lt;wsp:rsid wsp:val=&quot;000C6377&quot;/&gt;&lt;wsp:rsid wsp:val=&quot;000C676F&quot;/&gt;&lt;wsp:rsid wsp:val=&quot;000C6822&quot;/&gt;&lt;wsp:rsid wsp:val=&quot;000C7045&quot;/&gt;&lt;wsp:rsid wsp:val=&quot;000C78AD&quot;/&gt;&lt;wsp:rsid wsp:val=&quot;000C7AD6&quot;/&gt;&lt;wsp:rsid wsp:val=&quot;000D011D&quot;/&gt;&lt;wsp:rsid wsp:val=&quot;000D05E3&quot;/&gt;&lt;wsp:rsid wsp:val=&quot;000D0780&quot;/&gt;&lt;wsp:rsid wsp:val=&quot;000D1112&quot;/&gt;&lt;wsp:rsid wsp:val=&quot;000D1386&quot;/&gt;&lt;wsp:rsid wsp:val=&quot;000D1472&quot;/&gt;&lt;wsp:rsid wsp:val=&quot;000D14C0&quot;/&gt;&lt;wsp:rsid wsp:val=&quot;000D1561&quot;/&gt;&lt;wsp:rsid wsp:val=&quot;000D15CB&quot;/&gt;&lt;wsp:rsid wsp:val=&quot;000D16D1&quot;/&gt;&lt;wsp:rsid wsp:val=&quot;000D1B30&quot;/&gt;&lt;wsp:rsid wsp:val=&quot;000D1B3C&quot;/&gt;&lt;wsp:rsid wsp:val=&quot;000D1F82&quot;/&gt;&lt;wsp:rsid wsp:val=&quot;000D2007&quot;/&gt;&lt;wsp:rsid wsp:val=&quot;000D2804&quot;/&gt;&lt;wsp:rsid wsp:val=&quot;000D2A09&quot;/&gt;&lt;wsp:rsid wsp:val=&quot;000D2D98&quot;/&gt;&lt;wsp:rsid wsp:val=&quot;000D2E14&quot;/&gt;&lt;wsp:rsid wsp:val=&quot;000D3625&quot;/&gt;&lt;wsp:rsid wsp:val=&quot;000D3C6C&quot;/&gt;&lt;wsp:rsid wsp:val=&quot;000D3E3F&quot;/&gt;&lt;wsp:rsid wsp:val=&quot;000D4A3B&quot;/&gt;&lt;wsp:rsid wsp:val=&quot;000D4AB8&quot;/&gt;&lt;wsp:rsid wsp:val=&quot;000D5004&quot;/&gt;&lt;wsp:rsid wsp:val=&quot;000D50AE&quot;/&gt;&lt;wsp:rsid wsp:val=&quot;000D57DC&quot;/&gt;&lt;wsp:rsid wsp:val=&quot;000D6248&quot;/&gt;&lt;wsp:rsid wsp:val=&quot;000D6622&quot;/&gt;&lt;wsp:rsid wsp:val=&quot;000D6CB6&quot;/&gt;&lt;wsp:rsid wsp:val=&quot;000D6E29&quot;/&gt;&lt;wsp:rsid wsp:val=&quot;000D72BC&quot;/&gt;&lt;wsp:rsid wsp:val=&quot;000D7396&quot;/&gt;&lt;wsp:rsid wsp:val=&quot;000D73D5&quot;/&gt;&lt;wsp:rsid wsp:val=&quot;000D7555&quot;/&gt;&lt;wsp:rsid wsp:val=&quot;000D7BCD&quot;/&gt;&lt;wsp:rsid wsp:val=&quot;000E064E&quot;/&gt;&lt;wsp:rsid wsp:val=&quot;000E06ED&quot;/&gt;&lt;wsp:rsid wsp:val=&quot;000E0A81&quot;/&gt;&lt;wsp:rsid wsp:val=&quot;000E1252&quot;/&gt;&lt;wsp:rsid wsp:val=&quot;000E1286&quot;/&gt;&lt;wsp:rsid wsp:val=&quot;000E13F5&quot;/&gt;&lt;wsp:rsid wsp:val=&quot;000E1E53&quot;/&gt;&lt;wsp:rsid wsp:val=&quot;000E1E66&quot;/&gt;&lt;wsp:rsid wsp:val=&quot;000E1F62&quot;/&gt;&lt;wsp:rsid wsp:val=&quot;000E29AA&quot;/&gt;&lt;wsp:rsid wsp:val=&quot;000E2A57&quot;/&gt;&lt;wsp:rsid wsp:val=&quot;000E327B&quot;/&gt;&lt;wsp:rsid wsp:val=&quot;000E3546&quot;/&gt;&lt;wsp:rsid wsp:val=&quot;000E36EA&quot;/&gt;&lt;wsp:rsid wsp:val=&quot;000E3B26&quot;/&gt;&lt;wsp:rsid wsp:val=&quot;000E3CAF&quot;/&gt;&lt;wsp:rsid wsp:val=&quot;000E43F8&quot;/&gt;&lt;wsp:rsid wsp:val=&quot;000E4BFA&quot;/&gt;&lt;wsp:rsid wsp:val=&quot;000E523A&quot;/&gt;&lt;wsp:rsid wsp:val=&quot;000E5682&quot;/&gt;&lt;wsp:rsid wsp:val=&quot;000E586A&quot;/&gt;&lt;wsp:rsid wsp:val=&quot;000E59A2&quot;/&gt;&lt;wsp:rsid wsp:val=&quot;000E5C77&quot;/&gt;&lt;wsp:rsid wsp:val=&quot;000E5D39&quot;/&gt;&lt;wsp:rsid wsp:val=&quot;000E5DFA&quot;/&gt;&lt;wsp:rsid wsp:val=&quot;000E669D&quot;/&gt;&lt;wsp:rsid wsp:val=&quot;000E6718&quot;/&gt;&lt;wsp:rsid wsp:val=&quot;000E76E4&quot;/&gt;&lt;wsp:rsid wsp:val=&quot;000E7AD6&quot;/&gt;&lt;wsp:rsid wsp:val=&quot;000F04F9&quot;/&gt;&lt;wsp:rsid wsp:val=&quot;000F0625&quot;/&gt;&lt;wsp:rsid wsp:val=&quot;000F0BFA&quot;/&gt;&lt;wsp:rsid wsp:val=&quot;000F14A2&quot;/&gt;&lt;wsp:rsid wsp:val=&quot;000F14CC&quot;/&gt;&lt;wsp:rsid wsp:val=&quot;000F1814&quot;/&gt;&lt;wsp:rsid wsp:val=&quot;000F1F46&quot;/&gt;&lt;wsp:rsid wsp:val=&quot;000F218F&quot;/&gt;&lt;wsp:rsid wsp:val=&quot;000F2A23&quot;/&gt;&lt;wsp:rsid wsp:val=&quot;000F2D4B&quot;/&gt;&lt;wsp:rsid wsp:val=&quot;000F3034&quot;/&gt;&lt;wsp:rsid wsp:val=&quot;000F33B8&quot;/&gt;&lt;wsp:rsid wsp:val=&quot;000F3CAC&quot;/&gt;&lt;wsp:rsid wsp:val=&quot;000F40D1&quot;/&gt;&lt;wsp:rsid wsp:val=&quot;000F43A0&quot;/&gt;&lt;wsp:rsid wsp:val=&quot;000F4BD8&quot;/&gt;&lt;wsp:rsid wsp:val=&quot;000F4DC8&quot;/&gt;&lt;wsp:rsid wsp:val=&quot;000F4EA7&quot;/&gt;&lt;wsp:rsid wsp:val=&quot;000F4EBE&quot;/&gt;&lt;wsp:rsid wsp:val=&quot;000F55D5&quot;/&gt;&lt;wsp:rsid wsp:val=&quot;000F56BF&quot;/&gt;&lt;wsp:rsid wsp:val=&quot;000F5F63&quot;/&gt;&lt;wsp:rsid wsp:val=&quot;000F6172&quot;/&gt;&lt;wsp:rsid wsp:val=&quot;000F6234&quot;/&gt;&lt;wsp:rsid wsp:val=&quot;000F6792&quot;/&gt;&lt;wsp:rsid wsp:val=&quot;000F6DD3&quot;/&gt;&lt;wsp:rsid wsp:val=&quot;000F6DDB&quot;/&gt;&lt;wsp:rsid wsp:val=&quot;000F6ED6&quot;/&gt;&lt;wsp:rsid wsp:val=&quot;000F6F80&quot;/&gt;&lt;wsp:rsid wsp:val=&quot;000F6FEE&quot;/&gt;&lt;wsp:rsid wsp:val=&quot;000F767F&quot;/&gt;&lt;wsp:rsid wsp:val=&quot;000F7D44&quot;/&gt;&lt;wsp:rsid wsp:val=&quot;000F7DEB&quot;/&gt;&lt;wsp:rsid wsp:val=&quot;000F7F59&quot;/&gt;&lt;wsp:rsid wsp:val=&quot;001003E1&quot;/&gt;&lt;wsp:rsid wsp:val=&quot;00100553&quot;/&gt;&lt;wsp:rsid wsp:val=&quot;0010057C&quot;/&gt;&lt;wsp:rsid wsp:val=&quot;00100CB4&quot;/&gt;&lt;wsp:rsid wsp:val=&quot;00100EB4&quot;/&gt;&lt;wsp:rsid wsp:val=&quot;00101091&quot;/&gt;&lt;wsp:rsid wsp:val=&quot;00101346&quot;/&gt;&lt;wsp:rsid wsp:val=&quot;0010149D&quot;/&gt;&lt;wsp:rsid wsp:val=&quot;001014CF&quot;/&gt;&lt;wsp:rsid wsp:val=&quot;001016FF&quot;/&gt;&lt;wsp:rsid wsp:val=&quot;00101798&quot;/&gt;&lt;wsp:rsid wsp:val=&quot;00102106&quot;/&gt;&lt;wsp:rsid wsp:val=&quot;00102470&quot;/&gt;&lt;wsp:rsid wsp:val=&quot;001025E0&quot;/&gt;&lt;wsp:rsid wsp:val=&quot;0010260E&quot;/&gt;&lt;wsp:rsid wsp:val=&quot;00102853&quot;/&gt;&lt;wsp:rsid wsp:val=&quot;00103381&quot;/&gt;&lt;wsp:rsid wsp:val=&quot;001035B0&quot;/&gt;&lt;wsp:rsid wsp:val=&quot;00103767&quot;/&gt;&lt;wsp:rsid wsp:val=&quot;00103AF6&quot;/&gt;&lt;wsp:rsid wsp:val=&quot;00103EA0&quot;/&gt;&lt;wsp:rsid wsp:val=&quot;00103EFB&quot;/&gt;&lt;wsp:rsid wsp:val=&quot;00104147&quot;/&gt;&lt;wsp:rsid wsp:val=&quot;00104193&quot;/&gt;&lt;wsp:rsid wsp:val=&quot;00104B66&quot;/&gt;&lt;wsp:rsid wsp:val=&quot;00104C81&quot;/&gt;&lt;wsp:rsid wsp:val=&quot;00104EAC&quot;/&gt;&lt;wsp:rsid wsp:val=&quot;00104F20&quot;/&gt;&lt;wsp:rsid wsp:val=&quot;00105492&quot;/&gt;&lt;wsp:rsid wsp:val=&quot;00105B6A&quot;/&gt;&lt;wsp:rsid wsp:val=&quot;00105C6D&quot;/&gt;&lt;wsp:rsid wsp:val=&quot;00105CAF&quot;/&gt;&lt;wsp:rsid wsp:val=&quot;001064FE&quot;/&gt;&lt;wsp:rsid wsp:val=&quot;00106B6F&quot;/&gt;&lt;wsp:rsid wsp:val=&quot;00106D47&quot;/&gt;&lt;wsp:rsid wsp:val=&quot;001070D7&quot;/&gt;&lt;wsp:rsid wsp:val=&quot;0010711F&quot;/&gt;&lt;wsp:rsid wsp:val=&quot;0010782A&quot;/&gt;&lt;wsp:rsid wsp:val=&quot;00107962&quot;/&gt;&lt;wsp:rsid wsp:val=&quot;00107C8C&quot;/&gt;&lt;wsp:rsid wsp:val=&quot;00107E1D&quot;/&gt;&lt;wsp:rsid wsp:val=&quot;0011031F&quot;/&gt;&lt;wsp:rsid wsp:val=&quot;00110D8D&quot;/&gt;&lt;wsp:rsid wsp:val=&quot;00110DCA&quot;/&gt;&lt;wsp:rsid wsp:val=&quot;001117CB&quot;/&gt;&lt;wsp:rsid wsp:val=&quot;00111DFC&quot;/&gt;&lt;wsp:rsid wsp:val=&quot;001124F3&quot;/&gt;&lt;wsp:rsid wsp:val=&quot;00112796&quot;/&gt;&lt;wsp:rsid wsp:val=&quot;00112888&quot;/&gt;&lt;wsp:rsid wsp:val=&quot;0011308B&quot;/&gt;&lt;wsp:rsid wsp:val=&quot;00113BFD&quot;/&gt;&lt;wsp:rsid wsp:val=&quot;001141DC&quot;/&gt;&lt;wsp:rsid wsp:val=&quot;00114674&quot;/&gt;&lt;wsp:rsid wsp:val=&quot;00114BC0&quot;/&gt;&lt;wsp:rsid wsp:val=&quot;0011520F&quot;/&gt;&lt;wsp:rsid wsp:val=&quot;001157D6&quot;/&gt;&lt;wsp:rsid wsp:val=&quot;00115811&quot;/&gt;&lt;wsp:rsid wsp:val=&quot;00116109&quot;/&gt;&lt;wsp:rsid wsp:val=&quot;0011626D&quot;/&gt;&lt;wsp:rsid wsp:val=&quot;001169E1&quot;/&gt;&lt;wsp:rsid wsp:val=&quot;00117440&quot;/&gt;&lt;wsp:rsid wsp:val=&quot;00117A46&quot;/&gt;&lt;wsp:rsid wsp:val=&quot;00117E68&quot;/&gt;&lt;wsp:rsid wsp:val=&quot;00120041&quot;/&gt;&lt;wsp:rsid wsp:val=&quot;00120240&quot;/&gt;&lt;wsp:rsid wsp:val=&quot;0012030C&quot;/&gt;&lt;wsp:rsid wsp:val=&quot;0012038A&quot;/&gt;&lt;wsp:rsid wsp:val=&quot;00120476&quot;/&gt;&lt;wsp:rsid wsp:val=&quot;00120CE0&quot;/&gt;&lt;wsp:rsid wsp:val=&quot;00121128&quot;/&gt;&lt;wsp:rsid wsp:val=&quot;00121B68&quot;/&gt;&lt;wsp:rsid wsp:val=&quot;001223EE&quot;/&gt;&lt;wsp:rsid wsp:val=&quot;001229C5&quot;/&gt;&lt;wsp:rsid wsp:val=&quot;00123112&quot;/&gt;&lt;wsp:rsid wsp:val=&quot;0012355B&quot;/&gt;&lt;wsp:rsid wsp:val=&quot;00123686&quot;/&gt;&lt;wsp:rsid wsp:val=&quot;00123932&quot;/&gt;&lt;wsp:rsid wsp:val=&quot;00123C1F&quot;/&gt;&lt;wsp:rsid wsp:val=&quot;00123F56&quot;/&gt;&lt;wsp:rsid wsp:val=&quot;00123FE6&quot;/&gt;&lt;wsp:rsid wsp:val=&quot;001248E1&quot;/&gt;&lt;wsp:rsid wsp:val=&quot;00125760&quot;/&gt;&lt;wsp:rsid wsp:val=&quot;00125E01&quot;/&gt;&lt;wsp:rsid wsp:val=&quot;00125F26&quot;/&gt;&lt;wsp:rsid wsp:val=&quot;001260E0&quot;/&gt;&lt;wsp:rsid wsp:val=&quot;001261D7&quot;/&gt;&lt;wsp:rsid wsp:val=&quot;00127D5A&quot;/&gt;&lt;wsp:rsid wsp:val=&quot;00127F03&quot;/&gt;&lt;wsp:rsid wsp:val=&quot;001312BF&quot;/&gt;&lt;wsp:rsid wsp:val=&quot;00131901&quot;/&gt;&lt;wsp:rsid wsp:val=&quot;00132735&quot;/&gt;&lt;wsp:rsid wsp:val=&quot;00132980&quot;/&gt;&lt;wsp:rsid wsp:val=&quot;001338CD&quot;/&gt;&lt;wsp:rsid wsp:val=&quot;0013398B&quot;/&gt;&lt;wsp:rsid wsp:val=&quot;00133F3B&quot;/&gt;&lt;wsp:rsid wsp:val=&quot;00134291&quot;/&gt;&lt;wsp:rsid wsp:val=&quot;0013461B&quot;/&gt;&lt;wsp:rsid wsp:val=&quot;001349DA&quot;/&gt;&lt;wsp:rsid wsp:val=&quot;00134B40&quot;/&gt;&lt;wsp:rsid wsp:val=&quot;00136134&quot;/&gt;&lt;wsp:rsid wsp:val=&quot;00136515&quot;/&gt;&lt;wsp:rsid wsp:val=&quot;0013654B&quot;/&gt;&lt;wsp:rsid wsp:val=&quot;001365B0&quot;/&gt;&lt;wsp:rsid wsp:val=&quot;0013672C&quot;/&gt;&lt;wsp:rsid wsp:val=&quot;001367BB&quot;/&gt;&lt;wsp:rsid wsp:val=&quot;0013687B&quot;/&gt;&lt;wsp:rsid wsp:val=&quot;00136A25&quot;/&gt;&lt;wsp:rsid wsp:val=&quot;00136D28&quot;/&gt;&lt;wsp:rsid wsp:val=&quot;001372B6&quot;/&gt;&lt;wsp:rsid wsp:val=&quot;001376B3&quot;/&gt;&lt;wsp:rsid wsp:val=&quot;0013775A&quot;/&gt;&lt;wsp:rsid wsp:val=&quot;001377FA&quot;/&gt;&lt;wsp:rsid wsp:val=&quot;00137AC7&quot;/&gt;&lt;wsp:rsid wsp:val=&quot;00137C25&quot;/&gt;&lt;wsp:rsid wsp:val=&quot;00137C57&quot;/&gt;&lt;wsp:rsid wsp:val=&quot;00137D21&quot;/&gt;&lt;wsp:rsid wsp:val=&quot;00137DA3&quot;/&gt;&lt;wsp:rsid wsp:val=&quot;00140503&quot;/&gt;&lt;wsp:rsid wsp:val=&quot;00140531&quot;/&gt;&lt;wsp:rsid wsp:val=&quot;00140890&quot;/&gt;&lt;wsp:rsid wsp:val=&quot;00140CFC&quot;/&gt;&lt;wsp:rsid wsp:val=&quot;00140DE8&quot;/&gt;&lt;wsp:rsid wsp:val=&quot;00141788&quot;/&gt;&lt;wsp:rsid wsp:val=&quot;00141902&quot;/&gt;&lt;wsp:rsid wsp:val=&quot;00141A60&quot;/&gt;&lt;wsp:rsid wsp:val=&quot;00141A78&quot;/&gt;&lt;wsp:rsid wsp:val=&quot;00142090&quot;/&gt;&lt;wsp:rsid wsp:val=&quot;001423F5&quot;/&gt;&lt;wsp:rsid wsp:val=&quot;001424B1&quot;/&gt;&lt;wsp:rsid wsp:val=&quot;001425E3&quot;/&gt;&lt;wsp:rsid wsp:val=&quot;001428A7&quot;/&gt;&lt;wsp:rsid wsp:val=&quot;00142919&quot;/&gt;&lt;wsp:rsid wsp:val=&quot;00143392&quot;/&gt;&lt;wsp:rsid wsp:val=&quot;00143DF1&quot;/&gt;&lt;wsp:rsid wsp:val=&quot;00144AED&quot;/&gt;&lt;wsp:rsid wsp:val=&quot;00144DED&quot;/&gt;&lt;wsp:rsid wsp:val=&quot;00144F22&quot;/&gt;&lt;wsp:rsid wsp:val=&quot;001453A5&quot;/&gt;&lt;wsp:rsid wsp:val=&quot;001453B4&quot;/&gt;&lt;wsp:rsid wsp:val=&quot;001459B9&quot;/&gt;&lt;wsp:rsid wsp:val=&quot;001459E9&quot;/&gt;&lt;wsp:rsid wsp:val=&quot;00145CBC&quot;/&gt;&lt;wsp:rsid wsp:val=&quot;00145E2B&quot;/&gt;&lt;wsp:rsid wsp:val=&quot;001464B8&quot;/&gt;&lt;wsp:rsid wsp:val=&quot;00146670&quot;/&gt;&lt;wsp:rsid wsp:val=&quot;001466A9&quot;/&gt;&lt;wsp:rsid wsp:val=&quot;0014672D&quot;/&gt;&lt;wsp:rsid wsp:val=&quot;00146C5B&quot;/&gt;&lt;wsp:rsid wsp:val=&quot;0014702D&quot;/&gt;&lt;wsp:rsid wsp:val=&quot;001471E9&quot;/&gt;&lt;wsp:rsid wsp:val=&quot;00147257&quot;/&gt;&lt;wsp:rsid wsp:val=&quot;00147C82&quot;/&gt;&lt;wsp:rsid wsp:val=&quot;00147F1F&quot;/&gt;&lt;wsp:rsid wsp:val=&quot;00147F36&quot;/&gt;&lt;wsp:rsid wsp:val=&quot;00147F7D&quot;/&gt;&lt;wsp:rsid wsp:val=&quot;001501AC&quot;/&gt;&lt;wsp:rsid wsp:val=&quot;00150265&quot;/&gt;&lt;wsp:rsid wsp:val=&quot;00150700&quot;/&gt;&lt;wsp:rsid wsp:val=&quot;0015078D&quot;/&gt;&lt;wsp:rsid wsp:val=&quot;00150A7B&quot;/&gt;&lt;wsp:rsid wsp:val=&quot;0015142B&quot;/&gt;&lt;wsp:rsid wsp:val=&quot;0015170A&quot;/&gt;&lt;wsp:rsid wsp:val=&quot;00152363&quot;/&gt;&lt;wsp:rsid wsp:val=&quot;00153430&quot;/&gt;&lt;wsp:rsid wsp:val=&quot;0015361E&quot;/&gt;&lt;wsp:rsid wsp:val=&quot;00153C8D&quot;/&gt;&lt;wsp:rsid wsp:val=&quot;00153EAE&quot;/&gt;&lt;wsp:rsid wsp:val=&quot;00154176&quot;/&gt;&lt;wsp:rsid wsp:val=&quot;00154C86&quot;/&gt;&lt;wsp:rsid wsp:val=&quot;00154E86&quot;/&gt;&lt;wsp:rsid wsp:val=&quot;00154EA8&quot;/&gt;&lt;wsp:rsid wsp:val=&quot;00155018&quot;/&gt;&lt;wsp:rsid wsp:val=&quot;001553D8&quot;/&gt;&lt;wsp:rsid wsp:val=&quot;00155C70&quot;/&gt;&lt;wsp:rsid wsp:val=&quot;00156664&quot;/&gt;&lt;wsp:rsid wsp:val=&quot;00156ADE&quot;/&gt;&lt;wsp:rsid wsp:val=&quot;00156E16&quot;/&gt;&lt;wsp:rsid wsp:val=&quot;00156F0D&quot;/&gt;&lt;wsp:rsid wsp:val=&quot;00156F7E&quot;/&gt;&lt;wsp:rsid wsp:val=&quot;00157532&quot;/&gt;&lt;wsp:rsid wsp:val=&quot;0015755D&quot;/&gt;&lt;wsp:rsid wsp:val=&quot;00157564&quot;/&gt;&lt;wsp:rsid wsp:val=&quot;0016015A&quot;/&gt;&lt;wsp:rsid wsp:val=&quot;0016036E&quot;/&gt;&lt;wsp:rsid wsp:val=&quot;0016036F&quot;/&gt;&lt;wsp:rsid wsp:val=&quot;00160724&quot;/&gt;&lt;wsp:rsid wsp:val=&quot;00160CA8&quot;/&gt;&lt;wsp:rsid wsp:val=&quot;00161765&quot;/&gt;&lt;wsp:rsid wsp:val=&quot;00162442&quot;/&gt;&lt;wsp:rsid wsp:val=&quot;00162810&quot;/&gt;&lt;wsp:rsid wsp:val=&quot;00162B0C&quot;/&gt;&lt;wsp:rsid wsp:val=&quot;00162B8D&quot;/&gt;&lt;wsp:rsid wsp:val=&quot;00162C33&quot;/&gt;&lt;wsp:rsid wsp:val=&quot;00162F61&quot;/&gt;&lt;wsp:rsid wsp:val=&quot;00163140&quot;/&gt;&lt;wsp:rsid wsp:val=&quot;0016316E&quot;/&gt;&lt;wsp:rsid wsp:val=&quot;0016318D&quot;/&gt;&lt;wsp:rsid wsp:val=&quot;00163417&quot;/&gt;&lt;wsp:rsid wsp:val=&quot;00163642&quot;/&gt;&lt;wsp:rsid wsp:val=&quot;00163870&quot;/&gt;&lt;wsp:rsid wsp:val=&quot;001638A3&quot;/&gt;&lt;wsp:rsid wsp:val=&quot;00163A2C&quot;/&gt;&lt;wsp:rsid wsp:val=&quot;00163A5F&quot;/&gt;&lt;wsp:rsid wsp:val=&quot;00163F2A&quot;/&gt;&lt;wsp:rsid wsp:val=&quot;00163F55&quot;/&gt;&lt;wsp:rsid wsp:val=&quot;001643EC&quot;/&gt;&lt;wsp:rsid wsp:val=&quot;001647B7&quot;/&gt;&lt;wsp:rsid wsp:val=&quot;001648CA&quot;/&gt;&lt;wsp:rsid wsp:val=&quot;0016493B&quot;/&gt;&lt;wsp:rsid wsp:val=&quot;00164946&quot;/&gt;&lt;wsp:rsid wsp:val=&quot;00164EC1&quot;/&gt;&lt;wsp:rsid wsp:val=&quot;001658E6&quot;/&gt;&lt;wsp:rsid wsp:val=&quot;00165E5A&quot;/&gt;&lt;wsp:rsid wsp:val=&quot;00165FD4&quot;/&gt;&lt;wsp:rsid wsp:val=&quot;001666CB&quot;/&gt;&lt;wsp:rsid wsp:val=&quot;0016683D&quot;/&gt;&lt;wsp:rsid wsp:val=&quot;0016686D&quot;/&gt;&lt;wsp:rsid wsp:val=&quot;0016694E&quot;/&gt;&lt;wsp:rsid wsp:val=&quot;00166A11&quot;/&gt;&lt;wsp:rsid wsp:val=&quot;00166C4F&quot;/&gt;&lt;wsp:rsid wsp:val=&quot;00166CA6&quot;/&gt;&lt;wsp:rsid wsp:val=&quot;00166DE9&quot;/&gt;&lt;wsp:rsid wsp:val=&quot;0016791F&quot;/&gt;&lt;wsp:rsid wsp:val=&quot;00167AA9&quot;/&gt;&lt;wsp:rsid wsp:val=&quot;00167E8B&quot;/&gt;&lt;wsp:rsid wsp:val=&quot;00167F5F&quot;/&gt;&lt;wsp:rsid wsp:val=&quot;00170012&quot;/&gt;&lt;wsp:rsid wsp:val=&quot;001700B0&quot;/&gt;&lt;wsp:rsid wsp:val=&quot;0017065E&quot;/&gt;&lt;wsp:rsid wsp:val=&quot;00170DC2&quot;/&gt;&lt;wsp:rsid wsp:val=&quot;0017104C&quot;/&gt;&lt;wsp:rsid wsp:val=&quot;001719A1&quot;/&gt;&lt;wsp:rsid wsp:val=&quot;00171D66&quot;/&gt;&lt;wsp:rsid wsp:val=&quot;001724A3&quot;/&gt;&lt;wsp:rsid wsp:val=&quot;00172715&quot;/&gt;&lt;wsp:rsid wsp:val=&quot;001730EC&quot;/&gt;&lt;wsp:rsid wsp:val=&quot;00173371&quot;/&gt;&lt;wsp:rsid wsp:val=&quot;00173568&quot;/&gt;&lt;wsp:rsid wsp:val=&quot;0017371F&quot;/&gt;&lt;wsp:rsid wsp:val=&quot;00173B72&quot;/&gt;&lt;wsp:rsid wsp:val=&quot;00173D9D&quot;/&gt;&lt;wsp:rsid wsp:val=&quot;00174061&quot;/&gt;&lt;wsp:rsid wsp:val=&quot;001742CF&quot;/&gt;&lt;wsp:rsid wsp:val=&quot;001743B3&quot;/&gt;&lt;wsp:rsid wsp:val=&quot;00174740&quot;/&gt;&lt;wsp:rsid wsp:val=&quot;001747FB&quot;/&gt;&lt;wsp:rsid wsp:val=&quot;00174E15&quot;/&gt;&lt;wsp:rsid wsp:val=&quot;00174FC9&quot;/&gt;&lt;wsp:rsid wsp:val=&quot;0017506D&quot;/&gt;&lt;wsp:rsid wsp:val=&quot;001751C0&quot;/&gt;&lt;wsp:rsid wsp:val=&quot;00175BC2&quot;/&gt;&lt;wsp:rsid wsp:val=&quot;00175C5E&quot;/&gt;&lt;wsp:rsid wsp:val=&quot;00175F87&quot;/&gt;&lt;wsp:rsid wsp:val=&quot;00176223&quot;/&gt;&lt;wsp:rsid wsp:val=&quot;001762C3&quot;/&gt;&lt;wsp:rsid wsp:val=&quot;00176301&quot;/&gt;&lt;wsp:rsid wsp:val=&quot;001763C2&quot;/&gt;&lt;wsp:rsid wsp:val=&quot;001775C9&quot;/&gt;&lt;wsp:rsid wsp:val=&quot;001776F6&quot;/&gt;&lt;wsp:rsid wsp:val=&quot;001779CB&quot;/&gt;&lt;wsp:rsid wsp:val=&quot;001779FB&quot;/&gt;&lt;wsp:rsid wsp:val=&quot;00177B93&quot;/&gt;&lt;wsp:rsid wsp:val=&quot;00180242&quot;/&gt;&lt;wsp:rsid wsp:val=&quot;0018035E&quot;/&gt;&lt;wsp:rsid wsp:val=&quot;00180A3F&quot;/&gt;&lt;wsp:rsid wsp:val=&quot;00181288&quot;/&gt;&lt;wsp:rsid wsp:val=&quot;0018175E&quot;/&gt;&lt;wsp:rsid wsp:val=&quot;00181A12&quot;/&gt;&lt;wsp:rsid wsp:val=&quot;00181A4A&quot;/&gt;&lt;wsp:rsid wsp:val=&quot;00181BBE&quot;/&gt;&lt;wsp:rsid wsp:val=&quot;001824C4&quot;/&gt;&lt;wsp:rsid wsp:val=&quot;00182616&quot;/&gt;&lt;wsp:rsid wsp:val=&quot;00182E72&quot;/&gt;&lt;wsp:rsid wsp:val=&quot;00183127&quot;/&gt;&lt;wsp:rsid wsp:val=&quot;00183249&quot;/&gt;&lt;wsp:rsid wsp:val=&quot;001833E4&quot;/&gt;&lt;wsp:rsid wsp:val=&quot;00183485&quot;/&gt;&lt;wsp:rsid wsp:val=&quot;001836AA&quot;/&gt;&lt;wsp:rsid wsp:val=&quot;0018377F&quot;/&gt;&lt;wsp:rsid wsp:val=&quot;00184073&quot;/&gt;&lt;wsp:rsid wsp:val=&quot;0018408F&quot;/&gt;&lt;wsp:rsid wsp:val=&quot;00184121&quot;/&gt;&lt;wsp:rsid wsp:val=&quot;001845F9&quot;/&gt;&lt;wsp:rsid wsp:val=&quot;0018469C&quot;/&gt;&lt;wsp:rsid wsp:val=&quot;001846C6&quot;/&gt;&lt;wsp:rsid wsp:val=&quot;001852D7&quot;/&gt;&lt;wsp:rsid wsp:val=&quot;00185608&quot;/&gt;&lt;wsp:rsid wsp:val=&quot;00185678&quot;/&gt;&lt;wsp:rsid wsp:val=&quot;00185E7D&quot;/&gt;&lt;wsp:rsid wsp:val=&quot;00186014&quot;/&gt;&lt;wsp:rsid wsp:val=&quot;001861EE&quot;/&gt;&lt;wsp:rsid wsp:val=&quot;001869D8&quot;/&gt;&lt;wsp:rsid wsp:val=&quot;00186F52&quot;/&gt;&lt;wsp:rsid wsp:val=&quot;00187169&quot;/&gt;&lt;wsp:rsid wsp:val=&quot;00187364&quot;/&gt;&lt;wsp:rsid wsp:val=&quot;00187CFF&quot;/&gt;&lt;wsp:rsid wsp:val=&quot;00187F8E&quot;/&gt;&lt;wsp:rsid wsp:val=&quot;001907C3&quot;/&gt;&lt;wsp:rsid wsp:val=&quot;00190D68&quot;/&gt;&lt;wsp:rsid wsp:val=&quot;00190EC1&quot;/&gt;&lt;wsp:rsid wsp:val=&quot;001912A4&quot;/&gt;&lt;wsp:rsid wsp:val=&quot;0019163C&quot;/&gt;&lt;wsp:rsid wsp:val=&quot;00191712&quot;/&gt;&lt;wsp:rsid wsp:val=&quot;00191A97&quot;/&gt;&lt;wsp:rsid wsp:val=&quot;00191CC3&quot;/&gt;&lt;wsp:rsid wsp:val=&quot;00191E46&quot;/&gt;&lt;wsp:rsid wsp:val=&quot;00191E9A&quot;/&gt;&lt;wsp:rsid wsp:val=&quot;00191F10&quot;/&gt;&lt;wsp:rsid wsp:val=&quot;00192166&quot;/&gt;&lt;wsp:rsid wsp:val=&quot;00192222&quot;/&gt;&lt;wsp:rsid wsp:val=&quot;00192442&quot;/&gt;&lt;wsp:rsid wsp:val=&quot;0019250D&quot;/&gt;&lt;wsp:rsid wsp:val=&quot;00192580&quot;/&gt;&lt;wsp:rsid wsp:val=&quot;00192CD7&quot;/&gt;&lt;wsp:rsid wsp:val=&quot;001931D4&quot;/&gt;&lt;wsp:rsid wsp:val=&quot;00193303&quot;/&gt;&lt;wsp:rsid wsp:val=&quot;00193591&quot;/&gt;&lt;wsp:rsid wsp:val=&quot;00193E7A&quot;/&gt;&lt;wsp:rsid wsp:val=&quot;0019425A&quot;/&gt;&lt;wsp:rsid wsp:val=&quot;0019482F&quot;/&gt;&lt;wsp:rsid wsp:val=&quot;00194A6D&quot;/&gt;&lt;wsp:rsid wsp:val=&quot;00194BC1&quot;/&gt;&lt;wsp:rsid wsp:val=&quot;0019545B&quot;/&gt;&lt;wsp:rsid wsp:val=&quot;0019550E&quot;/&gt;&lt;wsp:rsid wsp:val=&quot;00195740&quot;/&gt;&lt;wsp:rsid wsp:val=&quot;00195878&quot;/&gt;&lt;wsp:rsid wsp:val=&quot;00195C68&quot;/&gt;&lt;wsp:rsid wsp:val=&quot;00195CA7&quot;/&gt;&lt;wsp:rsid wsp:val=&quot;001965A0&quot;/&gt;&lt;wsp:rsid wsp:val=&quot;00196AC8&quot;/&gt;&lt;wsp:rsid wsp:val=&quot;00196C69&quot;/&gt;&lt;wsp:rsid wsp:val=&quot;00196CB2&quot;/&gt;&lt;wsp:rsid wsp:val=&quot;00196CCB&quot;/&gt;&lt;wsp:rsid wsp:val=&quot;00196EA3&quot;/&gt;&lt;wsp:rsid wsp:val=&quot;00197676&quot;/&gt;&lt;wsp:rsid wsp:val=&quot;001A0024&quot;/&gt;&lt;wsp:rsid wsp:val=&quot;001A034B&quot;/&gt;&lt;wsp:rsid wsp:val=&quot;001A0388&quot;/&gt;&lt;wsp:rsid wsp:val=&quot;001A0761&quot;/&gt;&lt;wsp:rsid wsp:val=&quot;001A0B1C&quot;/&gt;&lt;wsp:rsid wsp:val=&quot;001A1223&quot;/&gt;&lt;wsp:rsid wsp:val=&quot;001A12BB&quot;/&gt;&lt;wsp:rsid wsp:val=&quot;001A1BAD&quot;/&gt;&lt;wsp:rsid wsp:val=&quot;001A1BE5&quot;/&gt;&lt;wsp:rsid wsp:val=&quot;001A1E60&quot;/&gt;&lt;wsp:rsid wsp:val=&quot;001A2246&quot;/&gt;&lt;wsp:rsid wsp:val=&quot;001A243E&quot;/&gt;&lt;wsp:rsid wsp:val=&quot;001A2644&quot;/&gt;&lt;wsp:rsid wsp:val=&quot;001A2A12&quot;/&gt;&lt;wsp:rsid wsp:val=&quot;001A34D1&quot;/&gt;&lt;wsp:rsid wsp:val=&quot;001A35F7&quot;/&gt;&lt;wsp:rsid wsp:val=&quot;001A3E37&quot;/&gt;&lt;wsp:rsid wsp:val=&quot;001A54F6&quot;/&gt;&lt;wsp:rsid wsp:val=&quot;001A5580&quot;/&gt;&lt;wsp:rsid wsp:val=&quot;001A5734&quot;/&gt;&lt;wsp:rsid wsp:val=&quot;001A5CED&quot;/&gt;&lt;wsp:rsid wsp:val=&quot;001A5EA7&quot;/&gt;&lt;wsp:rsid wsp:val=&quot;001A61F9&quot;/&gt;&lt;wsp:rsid wsp:val=&quot;001A67B1&quot;/&gt;&lt;wsp:rsid wsp:val=&quot;001A68BA&quot;/&gt;&lt;wsp:rsid wsp:val=&quot;001A6E7F&quot;/&gt;&lt;wsp:rsid wsp:val=&quot;001A6F97&quot;/&gt;&lt;wsp:rsid wsp:val=&quot;001B01FF&quot;/&gt;&lt;wsp:rsid wsp:val=&quot;001B034B&quot;/&gt;&lt;wsp:rsid wsp:val=&quot;001B03DF&quot;/&gt;&lt;wsp:rsid wsp:val=&quot;001B05AE&quot;/&gt;&lt;wsp:rsid wsp:val=&quot;001B076B&quot;/&gt;&lt;wsp:rsid wsp:val=&quot;001B0A57&quot;/&gt;&lt;wsp:rsid wsp:val=&quot;001B10AB&quot;/&gt;&lt;wsp:rsid wsp:val=&quot;001B139C&quot;/&gt;&lt;wsp:rsid wsp:val=&quot;001B139D&quot;/&gt;&lt;wsp:rsid wsp:val=&quot;001B13D0&quot;/&gt;&lt;wsp:rsid wsp:val=&quot;001B1488&quot;/&gt;&lt;wsp:rsid wsp:val=&quot;001B14C8&quot;/&gt;&lt;wsp:rsid wsp:val=&quot;001B1D3A&quot;/&gt;&lt;wsp:rsid wsp:val=&quot;001B1EE8&quot;/&gt;&lt;wsp:rsid wsp:val=&quot;001B2A5F&quot;/&gt;&lt;wsp:rsid wsp:val=&quot;001B2B07&quot;/&gt;&lt;wsp:rsid wsp:val=&quot;001B2E7C&quot;/&gt;&lt;wsp:rsid wsp:val=&quot;001B3E25&quot;/&gt;&lt;wsp:rsid wsp:val=&quot;001B3FD5&quot;/&gt;&lt;wsp:rsid wsp:val=&quot;001B417E&quot;/&gt;&lt;wsp:rsid wsp:val=&quot;001B41CE&quot;/&gt;&lt;wsp:rsid wsp:val=&quot;001B44C0&quot;/&gt;&lt;wsp:rsid wsp:val=&quot;001B4590&quot;/&gt;&lt;wsp:rsid wsp:val=&quot;001B48F7&quot;/&gt;&lt;wsp:rsid wsp:val=&quot;001B4A42&quot;/&gt;&lt;wsp:rsid wsp:val=&quot;001B4D63&quot;/&gt;&lt;wsp:rsid wsp:val=&quot;001B55DB&quot;/&gt;&lt;wsp:rsid wsp:val=&quot;001B5640&quot;/&gt;&lt;wsp:rsid wsp:val=&quot;001B580E&quot;/&gt;&lt;wsp:rsid wsp:val=&quot;001B5885&quot;/&gt;&lt;wsp:rsid wsp:val=&quot;001B590F&quot;/&gt;&lt;wsp:rsid wsp:val=&quot;001B5A1A&quot;/&gt;&lt;wsp:rsid wsp:val=&quot;001B5B8D&quot;/&gt;&lt;wsp:rsid wsp:val=&quot;001B5E72&quot;/&gt;&lt;wsp:rsid wsp:val=&quot;001B5F7F&quot;/&gt;&lt;wsp:rsid wsp:val=&quot;001B6407&quot;/&gt;&lt;wsp:rsid wsp:val=&quot;001B641A&quot;/&gt;&lt;wsp:rsid wsp:val=&quot;001B64C2&quot;/&gt;&lt;wsp:rsid wsp:val=&quot;001B6791&quot;/&gt;&lt;wsp:rsid wsp:val=&quot;001B67AF&quot;/&gt;&lt;wsp:rsid wsp:val=&quot;001B7055&quot;/&gt;&lt;wsp:rsid wsp:val=&quot;001B7643&quot;/&gt;&lt;wsp:rsid wsp:val=&quot;001C05E1&quot;/&gt;&lt;wsp:rsid wsp:val=&quot;001C06DC&quot;/&gt;&lt;wsp:rsid wsp:val=&quot;001C0A08&quot;/&gt;&lt;wsp:rsid wsp:val=&quot;001C0AB2&quot;/&gt;&lt;wsp:rsid wsp:val=&quot;001C16C4&quot;/&gt;&lt;wsp:rsid wsp:val=&quot;001C1A97&quot;/&gt;&lt;wsp:rsid wsp:val=&quot;001C1B31&quot;/&gt;&lt;wsp:rsid wsp:val=&quot;001C1D58&quot;/&gt;&lt;wsp:rsid wsp:val=&quot;001C1EAA&quot;/&gt;&lt;wsp:rsid wsp:val=&quot;001C2270&quot;/&gt;&lt;wsp:rsid wsp:val=&quot;001C2335&quot;/&gt;&lt;wsp:rsid wsp:val=&quot;001C239A&quot;/&gt;&lt;wsp:rsid wsp:val=&quot;001C2615&quot;/&gt;&lt;wsp:rsid wsp:val=&quot;001C2BDD&quot;/&gt;&lt;wsp:rsid wsp:val=&quot;001C3374&quot;/&gt;&lt;wsp:rsid wsp:val=&quot;001C3502&quot;/&gt;&lt;wsp:rsid wsp:val=&quot;001C351A&quot;/&gt;&lt;wsp:rsid wsp:val=&quot;001C377C&quot;/&gt;&lt;wsp:rsid wsp:val=&quot;001C385E&quot;/&gt;&lt;wsp:rsid wsp:val=&quot;001C3FAE&quot;/&gt;&lt;wsp:rsid wsp:val=&quot;001C4313&quot;/&gt;&lt;wsp:rsid wsp:val=&quot;001C4513&quot;/&gt;&lt;wsp:rsid wsp:val=&quot;001C4794&quot;/&gt;&lt;wsp:rsid wsp:val=&quot;001C4A20&quot;/&gt;&lt;wsp:rsid wsp:val=&quot;001C4E1F&quot;/&gt;&lt;wsp:rsid wsp:val=&quot;001C53B6&quot;/&gt;&lt;wsp:rsid wsp:val=&quot;001C53D8&quot;/&gt;&lt;wsp:rsid wsp:val=&quot;001C5AAC&quot;/&gt;&lt;wsp:rsid wsp:val=&quot;001C5C1E&quot;/&gt;&lt;wsp:rsid wsp:val=&quot;001C5D06&quot;/&gt;&lt;wsp:rsid wsp:val=&quot;001C6016&quot;/&gt;&lt;wsp:rsid wsp:val=&quot;001C6951&quot;/&gt;&lt;wsp:rsid wsp:val=&quot;001C712E&quot;/&gt;&lt;wsp:rsid wsp:val=&quot;001C715B&quot;/&gt;&lt;wsp:rsid wsp:val=&quot;001C734D&quot;/&gt;&lt;wsp:rsid wsp:val=&quot;001C7E7B&quot;/&gt;&lt;wsp:rsid wsp:val=&quot;001C7F66&quot;/&gt;&lt;wsp:rsid wsp:val=&quot;001D02E0&quot;/&gt;&lt;wsp:rsid wsp:val=&quot;001D03C9&quot;/&gt;&lt;wsp:rsid wsp:val=&quot;001D09E3&quot;/&gt;&lt;wsp:rsid wsp:val=&quot;001D0F52&quot;/&gt;&lt;wsp:rsid wsp:val=&quot;001D1348&quot;/&gt;&lt;wsp:rsid wsp:val=&quot;001D158B&quot;/&gt;&lt;wsp:rsid wsp:val=&quot;001D1C6A&quot;/&gt;&lt;wsp:rsid wsp:val=&quot;001D1EBF&quot;/&gt;&lt;wsp:rsid wsp:val=&quot;001D2C8C&quot;/&gt;&lt;wsp:rsid wsp:val=&quot;001D3335&quot;/&gt;&lt;wsp:rsid wsp:val=&quot;001D337D&quot;/&gt;&lt;wsp:rsid wsp:val=&quot;001D3452&quot;/&gt;&lt;wsp:rsid wsp:val=&quot;001D3ABE&quot;/&gt;&lt;wsp:rsid wsp:val=&quot;001D3B42&quot;/&gt;&lt;wsp:rsid wsp:val=&quot;001D3EB7&quot;/&gt;&lt;wsp:rsid wsp:val=&quot;001D3EE1&quot;/&gt;&lt;wsp:rsid wsp:val=&quot;001D4372&quot;/&gt;&lt;wsp:rsid wsp:val=&quot;001D4964&quot;/&gt;&lt;wsp:rsid wsp:val=&quot;001D4A47&quot;/&gt;&lt;wsp:rsid wsp:val=&quot;001D4B8C&quot;/&gt;&lt;wsp:rsid wsp:val=&quot;001D50BD&quot;/&gt;&lt;wsp:rsid wsp:val=&quot;001D5510&quot;/&gt;&lt;wsp:rsid wsp:val=&quot;001D5760&quot;/&gt;&lt;wsp:rsid wsp:val=&quot;001D578F&quot;/&gt;&lt;wsp:rsid wsp:val=&quot;001D5B99&quot;/&gt;&lt;wsp:rsid wsp:val=&quot;001D644E&quot;/&gt;&lt;wsp:rsid wsp:val=&quot;001D6B52&quot;/&gt;&lt;wsp:rsid wsp:val=&quot;001D6BC2&quot;/&gt;&lt;wsp:rsid wsp:val=&quot;001D6C15&quot;/&gt;&lt;wsp:rsid wsp:val=&quot;001D6D67&quot;/&gt;&lt;wsp:rsid wsp:val=&quot;001D6DE4&quot;/&gt;&lt;wsp:rsid wsp:val=&quot;001D6EBD&quot;/&gt;&lt;wsp:rsid wsp:val=&quot;001D6EDC&quot;/&gt;&lt;wsp:rsid wsp:val=&quot;001D6F1A&quot;/&gt;&lt;wsp:rsid wsp:val=&quot;001D6FA2&quot;/&gt;&lt;wsp:rsid wsp:val=&quot;001D7781&quot;/&gt;&lt;wsp:rsid wsp:val=&quot;001D7933&quot;/&gt;&lt;wsp:rsid wsp:val=&quot;001D7B4C&quot;/&gt;&lt;wsp:rsid wsp:val=&quot;001E007E&quot;/&gt;&lt;wsp:rsid wsp:val=&quot;001E0264&quot;/&gt;&lt;wsp:rsid wsp:val=&quot;001E041F&quot;/&gt;&lt;wsp:rsid wsp:val=&quot;001E06FB&quot;/&gt;&lt;wsp:rsid wsp:val=&quot;001E07DA&quot;/&gt;&lt;wsp:rsid wsp:val=&quot;001E0A86&quot;/&gt;&lt;wsp:rsid wsp:val=&quot;001E0CD3&quot;/&gt;&lt;wsp:rsid wsp:val=&quot;001E1A8A&quot;/&gt;&lt;wsp:rsid wsp:val=&quot;001E1C55&quot;/&gt;&lt;wsp:rsid wsp:val=&quot;001E1FB6&quot;/&gt;&lt;wsp:rsid wsp:val=&quot;001E1FD7&quot;/&gt;&lt;wsp:rsid wsp:val=&quot;001E206D&quot;/&gt;&lt;wsp:rsid wsp:val=&quot;001E21BE&quot;/&gt;&lt;wsp:rsid wsp:val=&quot;001E27CC&quot;/&gt;&lt;wsp:rsid wsp:val=&quot;001E2943&quot;/&gt;&lt;wsp:rsid wsp:val=&quot;001E2970&quot;/&gt;&lt;wsp:rsid wsp:val=&quot;001E2B41&quot;/&gt;&lt;wsp:rsid wsp:val=&quot;001E2FCD&quot;/&gt;&lt;wsp:rsid wsp:val=&quot;001E32AF&quot;/&gt;&lt;wsp:rsid wsp:val=&quot;001E3384&quot;/&gt;&lt;wsp:rsid wsp:val=&quot;001E34E3&quot;/&gt;&lt;wsp:rsid wsp:val=&quot;001E3582&quot;/&gt;&lt;wsp:rsid wsp:val=&quot;001E36DF&quot;/&gt;&lt;wsp:rsid wsp:val=&quot;001E3824&quot;/&gt;&lt;wsp:rsid wsp:val=&quot;001E3895&quot;/&gt;&lt;wsp:rsid wsp:val=&quot;001E3983&quot;/&gt;&lt;wsp:rsid wsp:val=&quot;001E3B65&quot;/&gt;&lt;wsp:rsid wsp:val=&quot;001E3D3E&quot;/&gt;&lt;wsp:rsid wsp:val=&quot;001E4386&quot;/&gt;&lt;wsp:rsid wsp:val=&quot;001E4ABD&quot;/&gt;&lt;wsp:rsid wsp:val=&quot;001E4B28&quot;/&gt;&lt;wsp:rsid wsp:val=&quot;001E4C3D&quot;/&gt;&lt;wsp:rsid wsp:val=&quot;001E5295&quot;/&gt;&lt;wsp:rsid wsp:val=&quot;001E5BD5&quot;/&gt;&lt;wsp:rsid wsp:val=&quot;001E5C48&quot;/&gt;&lt;wsp:rsid wsp:val=&quot;001E5C51&quot;/&gt;&lt;wsp:rsid wsp:val=&quot;001E5D40&quot;/&gt;&lt;wsp:rsid wsp:val=&quot;001E5DB8&quot;/&gt;&lt;wsp:rsid wsp:val=&quot;001E5DBB&quot;/&gt;&lt;wsp:rsid wsp:val=&quot;001E601D&quot;/&gt;&lt;wsp:rsid wsp:val=&quot;001E6138&quot;/&gt;&lt;wsp:rsid wsp:val=&quot;001E6152&quot;/&gt;&lt;wsp:rsid wsp:val=&quot;001E615A&quot;/&gt;&lt;wsp:rsid wsp:val=&quot;001E65D9&quot;/&gt;&lt;wsp:rsid wsp:val=&quot;001E68CB&quot;/&gt;&lt;wsp:rsid wsp:val=&quot;001E6926&quot;/&gt;&lt;wsp:rsid wsp:val=&quot;001E6C18&quot;/&gt;&lt;wsp:rsid wsp:val=&quot;001E7172&quot;/&gt;&lt;wsp:rsid wsp:val=&quot;001E7C31&quot;/&gt;&lt;wsp:rsid wsp:val=&quot;001E7CCB&quot;/&gt;&lt;wsp:rsid wsp:val=&quot;001F0027&quot;/&gt;&lt;wsp:rsid wsp:val=&quot;001F02F9&quot;/&gt;&lt;wsp:rsid wsp:val=&quot;001F03D1&quot;/&gt;&lt;wsp:rsid wsp:val=&quot;001F049A&quot;/&gt;&lt;wsp:rsid wsp:val=&quot;001F0526&quot;/&gt;&lt;wsp:rsid wsp:val=&quot;001F05E7&quot;/&gt;&lt;wsp:rsid wsp:val=&quot;001F06F5&quot;/&gt;&lt;wsp:rsid wsp:val=&quot;001F0752&quot;/&gt;&lt;wsp:rsid wsp:val=&quot;001F0A38&quot;/&gt;&lt;wsp:rsid wsp:val=&quot;001F0E33&quot;/&gt;&lt;wsp:rsid wsp:val=&quot;001F10F2&quot;/&gt;&lt;wsp:rsid wsp:val=&quot;001F1143&quot;/&gt;&lt;wsp:rsid wsp:val=&quot;001F1562&quot;/&gt;&lt;wsp:rsid wsp:val=&quot;001F167E&quot;/&gt;&lt;wsp:rsid wsp:val=&quot;001F17F8&quot;/&gt;&lt;wsp:rsid wsp:val=&quot;001F28F0&quot;/&gt;&lt;wsp:rsid wsp:val=&quot;001F2F40&quot;/&gt;&lt;wsp:rsid wsp:val=&quot;001F3349&quot;/&gt;&lt;wsp:rsid wsp:val=&quot;001F3C73&quot;/&gt;&lt;wsp:rsid wsp:val=&quot;001F3ED1&quot;/&gt;&lt;wsp:rsid wsp:val=&quot;001F46C0&quot;/&gt;&lt;wsp:rsid wsp:val=&quot;001F475E&quot;/&gt;&lt;wsp:rsid wsp:val=&quot;001F484C&quot;/&gt;&lt;wsp:rsid wsp:val=&quot;001F4989&quot;/&gt;&lt;wsp:rsid wsp:val=&quot;001F4E8F&quot;/&gt;&lt;wsp:rsid wsp:val=&quot;001F4FD5&quot;/&gt;&lt;wsp:rsid wsp:val=&quot;001F51FB&quot;/&gt;&lt;wsp:rsid wsp:val=&quot;001F532E&quot;/&gt;&lt;wsp:rsid wsp:val=&quot;001F53DF&quot;/&gt;&lt;wsp:rsid wsp:val=&quot;001F5829&quot;/&gt;&lt;wsp:rsid wsp:val=&quot;001F6057&quot;/&gt;&lt;wsp:rsid wsp:val=&quot;001F6CAF&quot;/&gt;&lt;wsp:rsid wsp:val=&quot;001F70AD&quot;/&gt;&lt;wsp:rsid wsp:val=&quot;001F715C&quot;/&gt;&lt;wsp:rsid wsp:val=&quot;001F7DBC&quot;/&gt;&lt;wsp:rsid wsp:val=&quot;002012FD&quot;/&gt;&lt;wsp:rsid wsp:val=&quot;0020130A&quot;/&gt;&lt;wsp:rsid wsp:val=&quot;002014C9&quot;/&gt;&lt;wsp:rsid wsp:val=&quot;002015EF&quot;/&gt;&lt;wsp:rsid wsp:val=&quot;00201744&quot;/&gt;&lt;wsp:rsid wsp:val=&quot;0020179C&quot;/&gt;&lt;wsp:rsid wsp:val=&quot;00201C24&quot;/&gt;&lt;wsp:rsid wsp:val=&quot;00201CD1&quot;/&gt;&lt;wsp:rsid wsp:val=&quot;002020CA&quot;/&gt;&lt;wsp:rsid wsp:val=&quot;00202464&quot;/&gt;&lt;wsp:rsid wsp:val=&quot;002029FF&quot;/&gt;&lt;wsp:rsid wsp:val=&quot;00202A45&quot;/&gt;&lt;wsp:rsid wsp:val=&quot;00202DA8&quot;/&gt;&lt;wsp:rsid wsp:val=&quot;00203314&quot;/&gt;&lt;wsp:rsid wsp:val=&quot;00203431&quot;/&gt;&lt;wsp:rsid wsp:val=&quot;00203BAD&quot;/&gt;&lt;wsp:rsid wsp:val=&quot;00203C76&quot;/&gt;&lt;wsp:rsid wsp:val=&quot;00204263&quot;/&gt;&lt;wsp:rsid wsp:val=&quot;0020461A&quot;/&gt;&lt;wsp:rsid wsp:val=&quot;0020474E&quot;/&gt;&lt;wsp:rsid wsp:val=&quot;002049BA&quot;/&gt;&lt;wsp:rsid wsp:val=&quot;00204CFA&quot;/&gt;&lt;wsp:rsid wsp:val=&quot;00205239&quot;/&gt;&lt;wsp:rsid wsp:val=&quot;00205506&quot;/&gt;&lt;wsp:rsid wsp:val=&quot;002055FA&quot;/&gt;&lt;wsp:rsid wsp:val=&quot;00205823&quot;/&gt;&lt;wsp:rsid wsp:val=&quot;00205B81&quot;/&gt;&lt;wsp:rsid wsp:val=&quot;00205BE7&quot;/&gt;&lt;wsp:rsid wsp:val=&quot;00205D0F&quot;/&gt;&lt;wsp:rsid wsp:val=&quot;00205D62&quot;/&gt;&lt;wsp:rsid wsp:val=&quot;00205FFF&quot;/&gt;&lt;wsp:rsid wsp:val=&quot;0020624C&quot;/&gt;&lt;wsp:rsid wsp:val=&quot;002063E1&quot;/&gt;&lt;wsp:rsid wsp:val=&quot;0020653F&quot;/&gt;&lt;wsp:rsid wsp:val=&quot;00206592&quot;/&gt;&lt;wsp:rsid wsp:val=&quot;00206593&quot;/&gt;&lt;wsp:rsid wsp:val=&quot;00206876&quot;/&gt;&lt;wsp:rsid wsp:val=&quot;00206F31&quot;/&gt;&lt;wsp:rsid wsp:val=&quot;0020716C&quot;/&gt;&lt;wsp:rsid wsp:val=&quot;00207403&quot;/&gt;&lt;wsp:rsid wsp:val=&quot;00207DB9&quot;/&gt;&lt;wsp:rsid wsp:val=&quot;00211043&quot;/&gt;&lt;wsp:rsid wsp:val=&quot;002117DC&quot;/&gt;&lt;wsp:rsid wsp:val=&quot;00211B0E&quot;/&gt;&lt;wsp:rsid wsp:val=&quot;002125E4&quot;/&gt;&lt;wsp:rsid wsp:val=&quot;00212CBC&quot;/&gt;&lt;wsp:rsid wsp:val=&quot;00213221&quot;/&gt;&lt;wsp:rsid wsp:val=&quot;0021336E&quot;/&gt;&lt;wsp:rsid wsp:val=&quot;00213428&quot;/&gt;&lt;wsp:rsid wsp:val=&quot;002139CE&quot;/&gt;&lt;wsp:rsid wsp:val=&quot;0021414C&quot;/&gt;&lt;wsp:rsid wsp:val=&quot;00214335&quot;/&gt;&lt;wsp:rsid wsp:val=&quot;00214FC3&quot;/&gt;&lt;wsp:rsid wsp:val=&quot;00215675&quot;/&gt;&lt;wsp:rsid wsp:val=&quot;002156D0&quot;/&gt;&lt;wsp:rsid wsp:val=&quot;00215CAC&quot;/&gt;&lt;wsp:rsid wsp:val=&quot;00216012&quot;/&gt;&lt;wsp:rsid wsp:val=&quot;00216287&quot;/&gt;&lt;wsp:rsid wsp:val=&quot;00216513&quot;/&gt;&lt;wsp:rsid wsp:val=&quot;00216871&quot;/&gt;&lt;wsp:rsid wsp:val=&quot;00216972&quot;/&gt;&lt;wsp:rsid wsp:val=&quot;00216C3E&quot;/&gt;&lt;wsp:rsid wsp:val=&quot;00217157&quot;/&gt;&lt;wsp:rsid wsp:val=&quot;002173AC&quot;/&gt;&lt;wsp:rsid wsp:val=&quot;00217417&quot;/&gt;&lt;wsp:rsid wsp:val=&quot;0021782E&quot;/&gt;&lt;wsp:rsid wsp:val=&quot;00217A0E&quot;/&gt;&lt;wsp:rsid wsp:val=&quot;00217D3D&quot;/&gt;&lt;wsp:rsid wsp:val=&quot;00217FFE&quot;/&gt;&lt;wsp:rsid wsp:val=&quot;002202D5&quot;/&gt;&lt;wsp:rsid wsp:val=&quot;0022031F&quot;/&gt;&lt;wsp:rsid wsp:val=&quot;00220345&quot;/&gt;&lt;wsp:rsid wsp:val=&quot;002208BF&quot;/&gt;&lt;wsp:rsid wsp:val=&quot;00220B96&quot;/&gt;&lt;wsp:rsid wsp:val=&quot;00220DF4&quot;/&gt;&lt;wsp:rsid wsp:val=&quot;002212BB&quot;/&gt;&lt;wsp:rsid wsp:val=&quot;002213BF&quot;/&gt;&lt;wsp:rsid wsp:val=&quot;00221569&quot;/&gt;&lt;wsp:rsid wsp:val=&quot;0022183A&quot;/&gt;&lt;wsp:rsid wsp:val=&quot;0022260C&quot;/&gt;&lt;wsp:rsid wsp:val=&quot;00222A77&quot;/&gt;&lt;wsp:rsid wsp:val=&quot;0022313E&quot;/&gt;&lt;wsp:rsid wsp:val=&quot;002232DE&quot;/&gt;&lt;wsp:rsid wsp:val=&quot;00223369&quot;/&gt;&lt;wsp:rsid wsp:val=&quot;00223812&quot;/&gt;&lt;wsp:rsid wsp:val=&quot;0022388C&quot;/&gt;&lt;wsp:rsid wsp:val=&quot;00223D33&quot;/&gt;&lt;wsp:rsid wsp:val=&quot;00223DB9&quot;/&gt;&lt;wsp:rsid wsp:val=&quot;0022401B&quot;/&gt;&lt;wsp:rsid wsp:val=&quot;002242CD&quot;/&gt;&lt;wsp:rsid wsp:val=&quot;002242F6&quot;/&gt;&lt;wsp:rsid wsp:val=&quot;00224745&quot;/&gt;&lt;wsp:rsid wsp:val=&quot;002248CB&quot;/&gt;&lt;wsp:rsid wsp:val=&quot;00224C77&quot;/&gt;&lt;wsp:rsid wsp:val=&quot;002258BA&quot;/&gt;&lt;wsp:rsid wsp:val=&quot;00225EB2&quot;/&gt;&lt;wsp:rsid wsp:val=&quot;00226148&quot;/&gt;&lt;wsp:rsid wsp:val=&quot;002266FD&quot;/&gt;&lt;wsp:rsid wsp:val=&quot;00226AD7&quot;/&gt;&lt;wsp:rsid wsp:val=&quot;00226CE4&quot;/&gt;&lt;wsp:rsid wsp:val=&quot;00226D15&quot;/&gt;&lt;wsp:rsid wsp:val=&quot;002271F0&quot;/&gt;&lt;wsp:rsid wsp:val=&quot;00227504&quot;/&gt;&lt;wsp:rsid wsp:val=&quot;00227D78&quot;/&gt;&lt;wsp:rsid wsp:val=&quot;00227F1D&quot;/&gt;&lt;wsp:rsid wsp:val=&quot;00230327&quot;/&gt;&lt;wsp:rsid wsp:val=&quot;002303F8&quot;/&gt;&lt;wsp:rsid wsp:val=&quot;00230F7A&quot;/&gt;&lt;wsp:rsid wsp:val=&quot;0023100E&quot;/&gt;&lt;wsp:rsid wsp:val=&quot;002310A9&quot;/&gt;&lt;wsp:rsid wsp:val=&quot;00231A93&quot;/&gt;&lt;wsp:rsid wsp:val=&quot;00231ADF&quot;/&gt;&lt;wsp:rsid wsp:val=&quot;00231CA2&quot;/&gt;&lt;wsp:rsid wsp:val=&quot;0023217F&quot;/&gt;&lt;wsp:rsid wsp:val=&quot;00232438&quot;/&gt;&lt;wsp:rsid wsp:val=&quot;002327B5&quot;/&gt;&lt;wsp:rsid wsp:val=&quot;0023280F&quot;/&gt;&lt;wsp:rsid wsp:val=&quot;00232EFF&quot;/&gt;&lt;wsp:rsid wsp:val=&quot;0023314A&quot;/&gt;&lt;wsp:rsid wsp:val=&quot;002331DA&quot;/&gt;&lt;wsp:rsid wsp:val=&quot;002333CC&quot;/&gt;&lt;wsp:rsid wsp:val=&quot;00233621&quot;/&gt;&lt;wsp:rsid wsp:val=&quot;00233649&quot;/&gt;&lt;wsp:rsid wsp:val=&quot;002337E5&quot;/&gt;&lt;wsp:rsid wsp:val=&quot;00234121&quot;/&gt;&lt;wsp:rsid wsp:val=&quot;00234BCF&quot;/&gt;&lt;wsp:rsid wsp:val=&quot;00234D1A&quot;/&gt;&lt;wsp:rsid wsp:val=&quot;00235201&quot;/&gt;&lt;wsp:rsid wsp:val=&quot;002352E9&quot;/&gt;&lt;wsp:rsid wsp:val=&quot;00235534&quot;/&gt;&lt;wsp:rsid wsp:val=&quot;00235794&quot;/&gt;&lt;wsp:rsid wsp:val=&quot;0023582F&quot;/&gt;&lt;wsp:rsid wsp:val=&quot;00235A38&quot;/&gt;&lt;wsp:rsid wsp:val=&quot;00235A90&quot;/&gt;&lt;wsp:rsid wsp:val=&quot;00235D07&quot;/&gt;&lt;wsp:rsid wsp:val=&quot;00235E31&quot;/&gt;&lt;wsp:rsid wsp:val=&quot;00235FB5&quot;/&gt;&lt;wsp:rsid wsp:val=&quot;00236703&quot;/&gt;&lt;wsp:rsid wsp:val=&quot;00236706&quot;/&gt;&lt;wsp:rsid wsp:val=&quot;00236F7B&quot;/&gt;&lt;wsp:rsid wsp:val=&quot;0023750A&quot;/&gt;&lt;wsp:rsid wsp:val=&quot;002377FB&quot;/&gt;&lt;wsp:rsid wsp:val=&quot;00237852&quot;/&gt;&lt;wsp:rsid wsp:val=&quot;0024005F&quot;/&gt;&lt;wsp:rsid wsp:val=&quot;00240063&quot;/&gt;&lt;wsp:rsid wsp:val=&quot;00240370&quot;/&gt;&lt;wsp:rsid wsp:val=&quot;002404D4&quot;/&gt;&lt;wsp:rsid wsp:val=&quot;00240824&quot;/&gt;&lt;wsp:rsid wsp:val=&quot;00240DA4&quot;/&gt;&lt;wsp:rsid wsp:val=&quot;00240DD1&quot;/&gt;&lt;wsp:rsid wsp:val=&quot;002414BE&quot;/&gt;&lt;wsp:rsid wsp:val=&quot;00241A2B&quot;/&gt;&lt;wsp:rsid wsp:val=&quot;00241C6B&quot;/&gt;&lt;wsp:rsid wsp:val=&quot;0024203C&quot;/&gt;&lt;wsp:rsid wsp:val=&quot;0024240C&quot;/&gt;&lt;wsp:rsid wsp:val=&quot;00242806&quot;/&gt;&lt;wsp:rsid wsp:val=&quot;002429C3&quot;/&gt;&lt;wsp:rsid wsp:val=&quot;002429CF&quot;/&gt;&lt;wsp:rsid wsp:val=&quot;00242A15&quot;/&gt;&lt;wsp:rsid wsp:val=&quot;00242A9F&quot;/&gt;&lt;wsp:rsid wsp:val=&quot;00242D70&quot;/&gt;&lt;wsp:rsid wsp:val=&quot;002433C1&quot;/&gt;&lt;wsp:rsid wsp:val=&quot;0024346F&quot;/&gt;&lt;wsp:rsid wsp:val=&quot;002437CC&quot;/&gt;&lt;wsp:rsid wsp:val=&quot;00243A63&quot;/&gt;&lt;wsp:rsid wsp:val=&quot;00243B2C&quot;/&gt;&lt;wsp:rsid wsp:val=&quot;002444D6&quot;/&gt;&lt;wsp:rsid wsp:val=&quot;00244C64&quot;/&gt;&lt;wsp:rsid wsp:val=&quot;00244DEA&quot;/&gt;&lt;wsp:rsid wsp:val=&quot;002451B4&quot;/&gt;&lt;wsp:rsid wsp:val=&quot;002452C8&quot;/&gt;&lt;wsp:rsid wsp:val=&quot;00245456&quot;/&gt;&lt;wsp:rsid wsp:val=&quot;00245BD0&quot;/&gt;&lt;wsp:rsid wsp:val=&quot;00245F86&quot;/&gt;&lt;wsp:rsid wsp:val=&quot;002461AF&quot;/&gt;&lt;wsp:rsid wsp:val=&quot;0024651C&quot;/&gt;&lt;wsp:rsid wsp:val=&quot;00246AFB&quot;/&gt;&lt;wsp:rsid wsp:val=&quot;00246EC6&quot;/&gt;&lt;wsp:rsid wsp:val=&quot;00246F97&quot;/&gt;&lt;wsp:rsid wsp:val=&quot;002475E1&quot;/&gt;&lt;wsp:rsid wsp:val=&quot;00247AC5&quot;/&gt;&lt;wsp:rsid wsp:val=&quot;00247F2B&quot;/&gt;&lt;wsp:rsid wsp:val=&quot;00250305&quot;/&gt;&lt;wsp:rsid wsp:val=&quot;002509D3&quot;/&gt;&lt;wsp:rsid wsp:val=&quot;00250F43&quot;/&gt;&lt;wsp:rsid wsp:val=&quot;00251158&quot;/&gt;&lt;wsp:rsid wsp:val=&quot;0025123D&quot;/&gt;&lt;wsp:rsid wsp:val=&quot;00251326&quot;/&gt;&lt;wsp:rsid wsp:val=&quot;0025133C&quot;/&gt;&lt;wsp:rsid wsp:val=&quot;002513DE&quot;/&gt;&lt;wsp:rsid wsp:val=&quot;002513F6&quot;/&gt;&lt;wsp:rsid wsp:val=&quot;0025173D&quot;/&gt;&lt;wsp:rsid wsp:val=&quot;00251DE9&quot;/&gt;&lt;wsp:rsid wsp:val=&quot;00251DF6&quot;/&gt;&lt;wsp:rsid wsp:val=&quot;00252088&quot;/&gt;&lt;wsp:rsid wsp:val=&quot;0025236D&quot;/&gt;&lt;wsp:rsid wsp:val=&quot;002527D4&quot;/&gt;&lt;wsp:rsid wsp:val=&quot;00252C20&quot;/&gt;&lt;wsp:rsid wsp:val=&quot;0025369C&quot;/&gt;&lt;wsp:rsid wsp:val=&quot;00253992&quot;/&gt;&lt;wsp:rsid wsp:val=&quot;00253AF0&quot;/&gt;&lt;wsp:rsid wsp:val=&quot;002540E3&quot;/&gt;&lt;wsp:rsid wsp:val=&quot;00254664&quot;/&gt;&lt;wsp:rsid wsp:val=&quot;00254F20&quot;/&gt;&lt;wsp:rsid wsp:val=&quot;00255228&quot;/&gt;&lt;wsp:rsid wsp:val=&quot;00255248&quot;/&gt;&lt;wsp:rsid wsp:val=&quot;002552AA&quot;/&gt;&lt;wsp:rsid wsp:val=&quot;002553EA&quot;/&gt;&lt;wsp:rsid wsp:val=&quot;002557D6&quot;/&gt;&lt;wsp:rsid wsp:val=&quot;00255B47&quot;/&gt;&lt;wsp:rsid wsp:val=&quot;0025634C&quot;/&gt;&lt;wsp:rsid wsp:val=&quot;00256A17&quot;/&gt;&lt;wsp:rsid wsp:val=&quot;00256E64&quot;/&gt;&lt;wsp:rsid wsp:val=&quot;00256F00&quot;/&gt;&lt;wsp:rsid wsp:val=&quot;00257133&quot;/&gt;&lt;wsp:rsid wsp:val=&quot;002574CA&quot;/&gt;&lt;wsp:rsid wsp:val=&quot;002576FA&quot;/&gt;&lt;wsp:rsid wsp:val=&quot;00257A46&quot;/&gt;&lt;wsp:rsid wsp:val=&quot;00257AD9&quot;/&gt;&lt;wsp:rsid wsp:val=&quot;00257FE0&quot;/&gt;&lt;wsp:rsid wsp:val=&quot;002604D5&quot;/&gt;&lt;wsp:rsid wsp:val=&quot;00260C65&quot;/&gt;&lt;wsp:rsid wsp:val=&quot;00260D4D&quot;/&gt;&lt;wsp:rsid wsp:val=&quot;002612DD&quot;/&gt;&lt;wsp:rsid wsp:val=&quot;0026191C&quot;/&gt;&lt;wsp:rsid wsp:val=&quot;00261F04&quot;/&gt;&lt;wsp:rsid wsp:val=&quot;0026208E&quot;/&gt;&lt;wsp:rsid wsp:val=&quot;002624FD&quot;/&gt;&lt;wsp:rsid wsp:val=&quot;002626BF&quot;/&gt;&lt;wsp:rsid wsp:val=&quot;00262769&quot;/&gt;&lt;wsp:rsid wsp:val=&quot;00262A77&quot;/&gt;&lt;wsp:rsid wsp:val=&quot;00262C5B&quot;/&gt;&lt;wsp:rsid wsp:val=&quot;00263001&quot;/&gt;&lt;wsp:rsid wsp:val=&quot;00263359&quot;/&gt;&lt;wsp:rsid wsp:val=&quot;00263576&quot;/&gt;&lt;wsp:rsid wsp:val=&quot;0026383D&quot;/&gt;&lt;wsp:rsid wsp:val=&quot;00264562&quot;/&gt;&lt;wsp:rsid wsp:val=&quot;00264573&quot;/&gt;&lt;wsp:rsid wsp:val=&quot;002646F4&quot;/&gt;&lt;wsp:rsid wsp:val=&quot;0026489A&quot;/&gt;&lt;wsp:rsid wsp:val=&quot;00264CEB&quot;/&gt;&lt;wsp:rsid wsp:val=&quot;00264E9B&quot;/&gt;&lt;wsp:rsid wsp:val=&quot;00265099&quot;/&gt;&lt;wsp:rsid wsp:val=&quot;002650ED&quot;/&gt;&lt;wsp:rsid wsp:val=&quot;00265308&quot;/&gt;&lt;wsp:rsid wsp:val=&quot;00265566&quot;/&gt;&lt;wsp:rsid wsp:val=&quot;00265A14&quot;/&gt;&lt;wsp:rsid wsp:val=&quot;00265BCB&quot;/&gt;&lt;wsp:rsid wsp:val=&quot;00265CEF&quot;/&gt;&lt;wsp:rsid wsp:val=&quot;00265DA2&quot;/&gt;&lt;wsp:rsid wsp:val=&quot;0026623B&quot;/&gt;&lt;wsp:rsid wsp:val=&quot;002662AE&quot;/&gt;&lt;wsp:rsid wsp:val=&quot;0026631D&quot;/&gt;&lt;wsp:rsid wsp:val=&quot;002663FC&quot;/&gt;&lt;wsp:rsid wsp:val=&quot;00266542&quot;/&gt;&lt;wsp:rsid wsp:val=&quot;002665F3&quot;/&gt;&lt;wsp:rsid wsp:val=&quot;00266824&quot;/&gt;&lt;wsp:rsid wsp:val=&quot;0026695F&quot;/&gt;&lt;wsp:rsid wsp:val=&quot;00266B84&quot;/&gt;&lt;wsp:rsid wsp:val=&quot;00267098&quot;/&gt;&lt;wsp:rsid wsp:val=&quot;002677E3&quot;/&gt;&lt;wsp:rsid wsp:val=&quot;00267871&quot;/&gt;&lt;wsp:rsid wsp:val=&quot;00267C0C&quot;/&gt;&lt;wsp:rsid wsp:val=&quot;00267D4D&quot;/&gt;&lt;wsp:rsid wsp:val=&quot;00270067&quot;/&gt;&lt;wsp:rsid wsp:val=&quot;00270919&quot;/&gt;&lt;wsp:rsid wsp:val=&quot;0027095D&quot;/&gt;&lt;wsp:rsid wsp:val=&quot;00270A8B&quot;/&gt;&lt;wsp:rsid wsp:val=&quot;00270A96&quot;/&gt;&lt;wsp:rsid wsp:val=&quot;00270E77&quot;/&gt;&lt;wsp:rsid wsp:val=&quot;00270F27&quot;/&gt;&lt;wsp:rsid wsp:val=&quot;00270F5D&quot;/&gt;&lt;wsp:rsid wsp:val=&quot;0027172A&quot;/&gt;&lt;wsp:rsid wsp:val=&quot;002717FF&quot;/&gt;&lt;wsp:rsid wsp:val=&quot;00271B73&quot;/&gt;&lt;wsp:rsid wsp:val=&quot;00271D76&quot;/&gt;&lt;wsp:rsid wsp:val=&quot;00271E17&quot;/&gt;&lt;wsp:rsid wsp:val=&quot;0027240D&quot;/&gt;&lt;wsp:rsid wsp:val=&quot;0027290F&quot;/&gt;&lt;wsp:rsid wsp:val=&quot;00272A6A&quot;/&gt;&lt;wsp:rsid wsp:val=&quot;00272C67&quot;/&gt;&lt;wsp:rsid wsp:val=&quot;00272FFC&quot;/&gt;&lt;wsp:rsid wsp:val=&quot;0027311A&quot;/&gt;&lt;wsp:rsid wsp:val=&quot;002732A1&quot;/&gt;&lt;wsp:rsid wsp:val=&quot;00273970&quot;/&gt;&lt;wsp:rsid wsp:val=&quot;002739A6&quot;/&gt;&lt;wsp:rsid wsp:val=&quot;00273A9A&quot;/&gt;&lt;wsp:rsid wsp:val=&quot;0027401B&quot;/&gt;&lt;wsp:rsid wsp:val=&quot;0027406E&quot;/&gt;&lt;wsp:rsid wsp:val=&quot;00274597&quot;/&gt;&lt;wsp:rsid wsp:val=&quot;00274766&quot;/&gt;&lt;wsp:rsid wsp:val=&quot;00274EB5&quot;/&gt;&lt;wsp:rsid wsp:val=&quot;00274F20&quot;/&gt;&lt;wsp:rsid wsp:val=&quot;0027525D&quot;/&gt;&lt;wsp:rsid wsp:val=&quot;00275336&quot;/&gt;&lt;wsp:rsid wsp:val=&quot;00275733&quot;/&gt;&lt;wsp:rsid wsp:val=&quot;00275AA2&quot;/&gt;&lt;wsp:rsid wsp:val=&quot;00275C3F&quot;/&gt;&lt;wsp:rsid wsp:val=&quot;00275D17&quot;/&gt;&lt;wsp:rsid wsp:val=&quot;00275EE5&quot;/&gt;&lt;wsp:rsid wsp:val=&quot;002763A3&quot;/&gt;&lt;wsp:rsid wsp:val=&quot;00276C8E&quot;/&gt;&lt;wsp:rsid wsp:val=&quot;00276FED&quot;/&gt;&lt;wsp:rsid wsp:val=&quot;0027729E&quot;/&gt;&lt;wsp:rsid wsp:val=&quot;002776A9&quot;/&gt;&lt;wsp:rsid wsp:val=&quot;00277BEB&quot;/&gt;&lt;wsp:rsid wsp:val=&quot;00277FC9&quot;/&gt;&lt;wsp:rsid wsp:val=&quot;00280431&quot;/&gt;&lt;wsp:rsid wsp:val=&quot;00280A5C&quot;/&gt;&lt;wsp:rsid wsp:val=&quot;00280BA7&quot;/&gt;&lt;wsp:rsid wsp:val=&quot;00280FF4&quot;/&gt;&lt;wsp:rsid wsp:val=&quot;00281293&quot;/&gt;&lt;wsp:rsid wsp:val=&quot;0028136B&quot;/&gt;&lt;wsp:rsid wsp:val=&quot;002816E3&quot;/&gt;&lt;wsp:rsid wsp:val=&quot;00281BBB&quot;/&gt;&lt;wsp:rsid wsp:val=&quot;00281D86&quot;/&gt;&lt;wsp:rsid wsp:val=&quot;00281DA5&quot;/&gt;&lt;wsp:rsid wsp:val=&quot;00281EBE&quot;/&gt;&lt;wsp:rsid wsp:val=&quot;002825E9&quot;/&gt;&lt;wsp:rsid wsp:val=&quot;002829D1&quot;/&gt;&lt;wsp:rsid wsp:val=&quot;00282BFB&quot;/&gt;&lt;wsp:rsid wsp:val=&quot;00282EAD&quot;/&gt;&lt;wsp:rsid wsp:val=&quot;00283005&quot;/&gt;&lt;wsp:rsid wsp:val=&quot;002834DB&quot;/&gt;&lt;wsp:rsid wsp:val=&quot;002838B0&quot;/&gt;&lt;wsp:rsid wsp:val=&quot;00283B43&quot;/&gt;&lt;wsp:rsid wsp:val=&quot;00283BA4&quot;/&gt;&lt;wsp:rsid wsp:val=&quot;00283CDA&quot;/&gt;&lt;wsp:rsid wsp:val=&quot;00284429&quot;/&gt;&lt;wsp:rsid wsp:val=&quot;002852E3&quot;/&gt;&lt;wsp:rsid wsp:val=&quot;00285572&quot;/&gt;&lt;wsp:rsid wsp:val=&quot;0028571B&quot;/&gt;&lt;wsp:rsid wsp:val=&quot;00285ABF&quot;/&gt;&lt;wsp:rsid wsp:val=&quot;00285CB2&quot;/&gt;&lt;wsp:rsid wsp:val=&quot;00285FA5&quot;/&gt;&lt;wsp:rsid wsp:val=&quot;00286543&quot;/&gt;&lt;wsp:rsid wsp:val=&quot;00286575&quot;/&gt;&lt;wsp:rsid wsp:val=&quot;0028668C&quot;/&gt;&lt;wsp:rsid wsp:val=&quot;002866ED&quot;/&gt;&lt;wsp:rsid wsp:val=&quot;00286D20&quot;/&gt;&lt;wsp:rsid wsp:val=&quot;00286D34&quot;/&gt;&lt;wsp:rsid wsp:val=&quot;002874E5&quot;/&gt;&lt;wsp:rsid wsp:val=&quot;00287617&quot;/&gt;&lt;wsp:rsid wsp:val=&quot;00287824&quot;/&gt;&lt;wsp:rsid wsp:val=&quot;0028792D&quot;/&gt;&lt;wsp:rsid wsp:val=&quot;00287AE2&quot;/&gt;&lt;wsp:rsid wsp:val=&quot;00287C73&quot;/&gt;&lt;wsp:rsid wsp:val=&quot;00290264&quot;/&gt;&lt;wsp:rsid wsp:val=&quot;002908F6&quot;/&gt;&lt;wsp:rsid wsp:val=&quot;00290B13&quot;/&gt;&lt;wsp:rsid wsp:val=&quot;0029127B&quot;/&gt;&lt;wsp:rsid wsp:val=&quot;00291569&quot;/&gt;&lt;wsp:rsid wsp:val=&quot;00291736&quot;/&gt;&lt;wsp:rsid wsp:val=&quot;00291A10&quot;/&gt;&lt;wsp:rsid wsp:val=&quot;00291DB1&quot;/&gt;&lt;wsp:rsid wsp:val=&quot;00292D7F&quot;/&gt;&lt;wsp:rsid wsp:val=&quot;0029309D&quot;/&gt;&lt;wsp:rsid wsp:val=&quot;002931FA&quot;/&gt;&lt;wsp:rsid wsp:val=&quot;00293834&quot;/&gt;&lt;wsp:rsid wsp:val=&quot;0029391C&quot;/&gt;&lt;wsp:rsid wsp:val=&quot;00293E8E&quot;/&gt;&lt;wsp:rsid wsp:val=&quot;002940F4&quot;/&gt;&lt;wsp:rsid wsp:val=&quot;00294115&quot;/&gt;&lt;wsp:rsid wsp:val=&quot;002941B3&quot;/&gt;&lt;wsp:rsid wsp:val=&quot;002942D3&quot;/&gt;&lt;wsp:rsid wsp:val=&quot;00294393&quot;/&gt;&lt;wsp:rsid wsp:val=&quot;00294660&quot;/&gt;&lt;wsp:rsid wsp:val=&quot;0029468C&quot;/&gt;&lt;wsp:rsid wsp:val=&quot;002947A5&quot;/&gt;&lt;wsp:rsid wsp:val=&quot;00294817&quot;/&gt;&lt;wsp:rsid wsp:val=&quot;00294EEF&quot;/&gt;&lt;wsp:rsid wsp:val=&quot;00294F0E&quot;/&gt;&lt;wsp:rsid wsp:val=&quot;00295038&quot;/&gt;&lt;wsp:rsid wsp:val=&quot;0029512E&quot;/&gt;&lt;wsp:rsid wsp:val=&quot;00295402&quot;/&gt;&lt;wsp:rsid wsp:val=&quot;00295658&quot;/&gt;&lt;wsp:rsid wsp:val=&quot;00295AD0&quot;/&gt;&lt;wsp:rsid wsp:val=&quot;00295AD3&quot;/&gt;&lt;wsp:rsid wsp:val=&quot;00295DAD&quot;/&gt;&lt;wsp:rsid wsp:val=&quot;00296447&quot;/&gt;&lt;wsp:rsid wsp:val=&quot;00296693&quot;/&gt;&lt;wsp:rsid wsp:val=&quot;00297B69&quot;/&gt;&lt;wsp:rsid wsp:val=&quot;00297BE6&quot;/&gt;&lt;wsp:rsid wsp:val=&quot;00297DA1&quot;/&gt;&lt;wsp:rsid wsp:val=&quot;002A00FE&quot;/&gt;&lt;wsp:rsid wsp:val=&quot;002A0411&quot;/&gt;&lt;wsp:rsid wsp:val=&quot;002A08F3&quot;/&gt;&lt;wsp:rsid wsp:val=&quot;002A0A9C&quot;/&gt;&lt;wsp:rsid wsp:val=&quot;002A0AD9&quot;/&gt;&lt;wsp:rsid wsp:val=&quot;002A0BD1&quot;/&gt;&lt;wsp:rsid wsp:val=&quot;002A1207&quot;/&gt;&lt;wsp:rsid wsp:val=&quot;002A1403&quot;/&gt;&lt;wsp:rsid wsp:val=&quot;002A14B7&quot;/&gt;&lt;wsp:rsid wsp:val=&quot;002A162F&quot;/&gt;&lt;wsp:rsid wsp:val=&quot;002A1912&quot;/&gt;&lt;wsp:rsid wsp:val=&quot;002A1947&quot;/&gt;&lt;wsp:rsid wsp:val=&quot;002A1C33&quot;/&gt;&lt;wsp:rsid wsp:val=&quot;002A1D22&quot;/&gt;&lt;wsp:rsid wsp:val=&quot;002A20AC&quot;/&gt;&lt;wsp:rsid wsp:val=&quot;002A242A&quot;/&gt;&lt;wsp:rsid wsp:val=&quot;002A2530&quot;/&gt;&lt;wsp:rsid wsp:val=&quot;002A3D77&quot;/&gt;&lt;wsp:rsid wsp:val=&quot;002A3EE1&quot;/&gt;&lt;wsp:rsid wsp:val=&quot;002A436A&quot;/&gt;&lt;wsp:rsid wsp:val=&quot;002A4ABA&quot;/&gt;&lt;wsp:rsid wsp:val=&quot;002A4B77&quot;/&gt;&lt;wsp:rsid wsp:val=&quot;002A51B5&quot;/&gt;&lt;wsp:rsid wsp:val=&quot;002A5252&quot;/&gt;&lt;wsp:rsid wsp:val=&quot;002A583B&quot;/&gt;&lt;wsp:rsid wsp:val=&quot;002A5BD2&quot;/&gt;&lt;wsp:rsid wsp:val=&quot;002A5E56&quot;/&gt;&lt;wsp:rsid wsp:val=&quot;002A6674&quot;/&gt;&lt;wsp:rsid wsp:val=&quot;002A675B&quot;/&gt;&lt;wsp:rsid wsp:val=&quot;002A6E34&quot;/&gt;&lt;wsp:rsid wsp:val=&quot;002A71FC&quot;/&gt;&lt;wsp:rsid wsp:val=&quot;002A77CE&quot;/&gt;&lt;wsp:rsid wsp:val=&quot;002B03C3&quot;/&gt;&lt;wsp:rsid wsp:val=&quot;002B08FB&quot;/&gt;&lt;wsp:rsid wsp:val=&quot;002B0A56&quot;/&gt;&lt;wsp:rsid wsp:val=&quot;002B0B72&quot;/&gt;&lt;wsp:rsid wsp:val=&quot;002B0D8D&quot;/&gt;&lt;wsp:rsid wsp:val=&quot;002B0EC6&quot;/&gt;&lt;wsp:rsid wsp:val=&quot;002B125E&quot;/&gt;&lt;wsp:rsid wsp:val=&quot;002B1390&quot;/&gt;&lt;wsp:rsid wsp:val=&quot;002B14BF&quot;/&gt;&lt;wsp:rsid wsp:val=&quot;002B14DE&quot;/&gt;&lt;wsp:rsid wsp:val=&quot;002B1BE3&quot;/&gt;&lt;wsp:rsid wsp:val=&quot;002B1C18&quot;/&gt;&lt;wsp:rsid wsp:val=&quot;002B2077&quot;/&gt;&lt;wsp:rsid wsp:val=&quot;002B21AE&quot;/&gt;&lt;wsp:rsid wsp:val=&quot;002B2F8D&quot;/&gt;&lt;wsp:rsid wsp:val=&quot;002B3242&quot;/&gt;&lt;wsp:rsid wsp:val=&quot;002B33FD&quot;/&gt;&lt;wsp:rsid wsp:val=&quot;002B340C&quot;/&gt;&lt;wsp:rsid wsp:val=&quot;002B3E0F&quot;/&gt;&lt;wsp:rsid wsp:val=&quot;002B3ED3&quot;/&gt;&lt;wsp:rsid wsp:val=&quot;002B3F54&quot;/&gt;&lt;wsp:rsid wsp:val=&quot;002B4111&quot;/&gt;&lt;wsp:rsid wsp:val=&quot;002B42D1&quot;/&gt;&lt;wsp:rsid wsp:val=&quot;002B48B5&quot;/&gt;&lt;wsp:rsid wsp:val=&quot;002B4A5B&quot;/&gt;&lt;wsp:rsid wsp:val=&quot;002B4D9D&quot;/&gt;&lt;wsp:rsid wsp:val=&quot;002B4FE7&quot;/&gt;&lt;wsp:rsid wsp:val=&quot;002B5104&quot;/&gt;&lt;wsp:rsid wsp:val=&quot;002B51A6&quot;/&gt;&lt;wsp:rsid wsp:val=&quot;002B572E&quot;/&gt;&lt;wsp:rsid wsp:val=&quot;002B5B49&quot;/&gt;&lt;wsp:rsid wsp:val=&quot;002B6049&quot;/&gt;&lt;wsp:rsid wsp:val=&quot;002B63EF&quot;/&gt;&lt;wsp:rsid wsp:val=&quot;002B671A&quot;/&gt;&lt;wsp:rsid wsp:val=&quot;002B6800&quot;/&gt;&lt;wsp:rsid wsp:val=&quot;002B6882&quot;/&gt;&lt;wsp:rsid wsp:val=&quot;002B688F&quot;/&gt;&lt;wsp:rsid wsp:val=&quot;002B68D3&quot;/&gt;&lt;wsp:rsid wsp:val=&quot;002B7134&quot;/&gt;&lt;wsp:rsid wsp:val=&quot;002B7142&quot;/&gt;&lt;wsp:rsid wsp:val=&quot;002B72DC&quot;/&gt;&lt;wsp:rsid wsp:val=&quot;002B74C5&quot;/&gt;&lt;wsp:rsid wsp:val=&quot;002B7769&quot;/&gt;&lt;wsp:rsid wsp:val=&quot;002B7A07&quot;/&gt;&lt;wsp:rsid wsp:val=&quot;002B7D7F&quot;/&gt;&lt;wsp:rsid wsp:val=&quot;002C068F&quot;/&gt;&lt;wsp:rsid wsp:val=&quot;002C091D&quot;/&gt;&lt;wsp:rsid wsp:val=&quot;002C095B&quot;/&gt;&lt;wsp:rsid wsp:val=&quot;002C0B5C&quot;/&gt;&lt;wsp:rsid wsp:val=&quot;002C0E5D&quot;/&gt;&lt;wsp:rsid wsp:val=&quot;002C0F81&quot;/&gt;&lt;wsp:rsid wsp:val=&quot;002C116F&quot;/&gt;&lt;wsp:rsid wsp:val=&quot;002C1494&quot;/&gt;&lt;wsp:rsid wsp:val=&quot;002C1674&quot;/&gt;&lt;wsp:rsid wsp:val=&quot;002C1E8F&quot;/&gt;&lt;wsp:rsid wsp:val=&quot;002C1FBE&quot;/&gt;&lt;wsp:rsid wsp:val=&quot;002C2584&quot;/&gt;&lt;wsp:rsid wsp:val=&quot;002C26DC&quot;/&gt;&lt;wsp:rsid wsp:val=&quot;002C2A04&quot;/&gt;&lt;wsp:rsid wsp:val=&quot;002C2DDC&quot;/&gt;&lt;wsp:rsid wsp:val=&quot;002C2EF4&quot;/&gt;&lt;wsp:rsid wsp:val=&quot;002C2F6B&quot;/&gt;&lt;wsp:rsid wsp:val=&quot;002C303C&quot;/&gt;&lt;wsp:rsid wsp:val=&quot;002C30AA&quot;/&gt;&lt;wsp:rsid wsp:val=&quot;002C32E6&quot;/&gt;&lt;wsp:rsid wsp:val=&quot;002C36F9&quot;/&gt;&lt;wsp:rsid wsp:val=&quot;002C38CD&quot;/&gt;&lt;wsp:rsid wsp:val=&quot;002C3E5E&quot;/&gt;&lt;wsp:rsid wsp:val=&quot;002C411C&quot;/&gt;&lt;wsp:rsid wsp:val=&quot;002C4182&quot;/&gt;&lt;wsp:rsid wsp:val=&quot;002C4336&quot;/&gt;&lt;wsp:rsid wsp:val=&quot;002C43F3&quot;/&gt;&lt;wsp:rsid wsp:val=&quot;002C4663&quot;/&gt;&lt;wsp:rsid wsp:val=&quot;002C46EB&quot;/&gt;&lt;wsp:rsid wsp:val=&quot;002C4B90&quot;/&gt;&lt;wsp:rsid wsp:val=&quot;002C4E03&quot;/&gt;&lt;wsp:rsid wsp:val=&quot;002C4FF8&quot;/&gt;&lt;wsp:rsid wsp:val=&quot;002C6477&quot;/&gt;&lt;wsp:rsid wsp:val=&quot;002C6D9A&quot;/&gt;&lt;wsp:rsid wsp:val=&quot;002C7251&quot;/&gt;&lt;wsp:rsid wsp:val=&quot;002C726D&quot;/&gt;&lt;wsp:rsid wsp:val=&quot;002C729D&quot;/&gt;&lt;wsp:rsid wsp:val=&quot;002C7748&quot;/&gt;&lt;wsp:rsid wsp:val=&quot;002C77DB&quot;/&gt;&lt;wsp:rsid wsp:val=&quot;002C7A83&quot;/&gt;&lt;wsp:rsid wsp:val=&quot;002C7DA1&quot;/&gt;&lt;wsp:rsid wsp:val=&quot;002D05BB&quot;/&gt;&lt;wsp:rsid wsp:val=&quot;002D072A&quot;/&gt;&lt;wsp:rsid wsp:val=&quot;002D0FB5&quot;/&gt;&lt;wsp:rsid wsp:val=&quot;002D11CA&quot;/&gt;&lt;wsp:rsid wsp:val=&quot;002D135F&quot;/&gt;&lt;wsp:rsid wsp:val=&quot;002D1C1F&quot;/&gt;&lt;wsp:rsid wsp:val=&quot;002D21F8&quot;/&gt;&lt;wsp:rsid wsp:val=&quot;002D22D1&quot;/&gt;&lt;wsp:rsid wsp:val=&quot;002D2BCF&quot;/&gt;&lt;wsp:rsid wsp:val=&quot;002D2ED3&quot;/&gt;&lt;wsp:rsid wsp:val=&quot;002D3B85&quot;/&gt;&lt;wsp:rsid wsp:val=&quot;002D3BB9&quot;/&gt;&lt;wsp:rsid wsp:val=&quot;002D3E36&quot;/&gt;&lt;wsp:rsid wsp:val=&quot;002D4B75&quot;/&gt;&lt;wsp:rsid wsp:val=&quot;002D5371&quot;/&gt;&lt;wsp:rsid wsp:val=&quot;002D55A0&quot;/&gt;&lt;wsp:rsid wsp:val=&quot;002D5F99&quot;/&gt;&lt;wsp:rsid wsp:val=&quot;002D617D&quot;/&gt;&lt;wsp:rsid wsp:val=&quot;002D6464&quot;/&gt;&lt;wsp:rsid wsp:val=&quot;002D64EB&quot;/&gt;&lt;wsp:rsid wsp:val=&quot;002D653D&quot;/&gt;&lt;wsp:rsid wsp:val=&quot;002D6BB7&quot;/&gt;&lt;wsp:rsid wsp:val=&quot;002D7061&quot;/&gt;&lt;wsp:rsid wsp:val=&quot;002D711A&quot;/&gt;&lt;wsp:rsid wsp:val=&quot;002D7421&quot;/&gt;&lt;wsp:rsid wsp:val=&quot;002D7652&quot;/&gt;&lt;wsp:rsid wsp:val=&quot;002D7A29&quot;/&gt;&lt;wsp:rsid wsp:val=&quot;002D7AAD&quot;/&gt;&lt;wsp:rsid wsp:val=&quot;002D7FB4&quot;/&gt;&lt;wsp:rsid wsp:val=&quot;002E02FF&quot;/&gt;&lt;wsp:rsid wsp:val=&quot;002E06DA&quot;/&gt;&lt;wsp:rsid wsp:val=&quot;002E0848&quot;/&gt;&lt;wsp:rsid wsp:val=&quot;002E0976&quot;/&gt;&lt;wsp:rsid wsp:val=&quot;002E0D11&quot;/&gt;&lt;wsp:rsid wsp:val=&quot;002E10E3&quot;/&gt;&lt;wsp:rsid wsp:val=&quot;002E1291&quot;/&gt;&lt;wsp:rsid wsp:val=&quot;002E1E39&quot;/&gt;&lt;wsp:rsid wsp:val=&quot;002E215E&quot;/&gt;&lt;wsp:rsid wsp:val=&quot;002E2867&quot;/&gt;&lt;wsp:rsid wsp:val=&quot;002E28D2&quot;/&gt;&lt;wsp:rsid wsp:val=&quot;002E2BDB&quot;/&gt;&lt;wsp:rsid wsp:val=&quot;002E35BB&quot;/&gt;&lt;wsp:rsid wsp:val=&quot;002E38D6&quot;/&gt;&lt;wsp:rsid wsp:val=&quot;002E3A8B&quot;/&gt;&lt;wsp:rsid wsp:val=&quot;002E3B21&quot;/&gt;&lt;wsp:rsid wsp:val=&quot;002E3B6A&quot;/&gt;&lt;wsp:rsid wsp:val=&quot;002E4088&quot;/&gt;&lt;wsp:rsid wsp:val=&quot;002E4338&quot;/&gt;&lt;wsp:rsid wsp:val=&quot;002E4AFE&quot;/&gt;&lt;wsp:rsid wsp:val=&quot;002E4E4F&quot;/&gt;&lt;wsp:rsid wsp:val=&quot;002E4F5A&quot;/&gt;&lt;wsp:rsid wsp:val=&quot;002E5108&quot;/&gt;&lt;wsp:rsid wsp:val=&quot;002E54E6&quot;/&gt;&lt;wsp:rsid wsp:val=&quot;002E5590&quot;/&gt;&lt;wsp:rsid wsp:val=&quot;002E56A0&quot;/&gt;&lt;wsp:rsid wsp:val=&quot;002E5767&quot;/&gt;&lt;wsp:rsid wsp:val=&quot;002E5E4A&quot;/&gt;&lt;wsp:rsid wsp:val=&quot;002E5EE5&quot;/&gt;&lt;wsp:rsid wsp:val=&quot;002E6209&quot;/&gt;&lt;wsp:rsid wsp:val=&quot;002E64C5&quot;/&gt;&lt;wsp:rsid wsp:val=&quot;002E66B5&quot;/&gt;&lt;wsp:rsid wsp:val=&quot;002E6B46&quot;/&gt;&lt;wsp:rsid wsp:val=&quot;002E6C9F&quot;/&gt;&lt;wsp:rsid wsp:val=&quot;002E6D19&quot;/&gt;&lt;wsp:rsid wsp:val=&quot;002E6F6F&quot;/&gt;&lt;wsp:rsid wsp:val=&quot;002E7255&quot;/&gt;&lt;wsp:rsid wsp:val=&quot;002E732E&quot;/&gt;&lt;wsp:rsid wsp:val=&quot;002E74F0&quot;/&gt;&lt;wsp:rsid wsp:val=&quot;002E75A3&quot;/&gt;&lt;wsp:rsid wsp:val=&quot;002E7F4A&quot;/&gt;&lt;wsp:rsid wsp:val=&quot;002F0126&quot;/&gt;&lt;wsp:rsid wsp:val=&quot;002F02D1&quot;/&gt;&lt;wsp:rsid wsp:val=&quot;002F065B&quot;/&gt;&lt;wsp:rsid wsp:val=&quot;002F1208&quot;/&gt;&lt;wsp:rsid wsp:val=&quot;002F1728&quot;/&gt;&lt;wsp:rsid wsp:val=&quot;002F18CB&quot;/&gt;&lt;wsp:rsid wsp:val=&quot;002F196A&quot;/&gt;&lt;wsp:rsid wsp:val=&quot;002F1C02&quot;/&gt;&lt;wsp:rsid wsp:val=&quot;002F1C17&quot;/&gt;&lt;wsp:rsid wsp:val=&quot;002F230A&quot;/&gt;&lt;wsp:rsid wsp:val=&quot;002F24D7&quot;/&gt;&lt;wsp:rsid wsp:val=&quot;002F32A6&quot;/&gt;&lt;wsp:rsid wsp:val=&quot;002F3858&quot;/&gt;&lt;wsp:rsid wsp:val=&quot;002F396B&quot;/&gt;&lt;wsp:rsid wsp:val=&quot;002F4132&quot;/&gt;&lt;wsp:rsid wsp:val=&quot;002F451E&quot;/&gt;&lt;wsp:rsid wsp:val=&quot;002F4577&quot;/&gt;&lt;wsp:rsid wsp:val=&quot;002F4AFC&quot;/&gt;&lt;wsp:rsid wsp:val=&quot;002F55BF&quot;/&gt;&lt;wsp:rsid wsp:val=&quot;002F5708&quot;/&gt;&lt;wsp:rsid wsp:val=&quot;002F5D5E&quot;/&gt;&lt;wsp:rsid wsp:val=&quot;002F5F29&quot;/&gt;&lt;wsp:rsid wsp:val=&quot;002F6043&quot;/&gt;&lt;wsp:rsid wsp:val=&quot;002F60A5&quot;/&gt;&lt;wsp:rsid wsp:val=&quot;002F621A&quot;/&gt;&lt;wsp:rsid wsp:val=&quot;002F6B40&quot;/&gt;&lt;wsp:rsid wsp:val=&quot;002F74ED&quot;/&gt;&lt;wsp:rsid wsp:val=&quot;002F78CC&quot;/&gt;&lt;wsp:rsid wsp:val=&quot;002F7AA9&quot;/&gt;&lt;wsp:rsid wsp:val=&quot;003000D2&quot;/&gt;&lt;wsp:rsid wsp:val=&quot;0030014A&quot;/&gt;&lt;wsp:rsid wsp:val=&quot;00300158&quot;/&gt;&lt;wsp:rsid wsp:val=&quot;00300BB2&quot;/&gt;&lt;wsp:rsid wsp:val=&quot;00300ECD&quot;/&gt;&lt;wsp:rsid wsp:val=&quot;00301022&quot;/&gt;&lt;wsp:rsid wsp:val=&quot;00301071&quot;/&gt;&lt;wsp:rsid wsp:val=&quot;003015BB&quot;/&gt;&lt;wsp:rsid wsp:val=&quot;00301922&quot;/&gt;&lt;wsp:rsid wsp:val=&quot;00301FFC&quot;/&gt;&lt;wsp:rsid wsp:val=&quot;003020C2&quot;/&gt;&lt;wsp:rsid wsp:val=&quot;00302169&quot;/&gt;&lt;wsp:rsid wsp:val=&quot;00302423&quot;/&gt;&lt;wsp:rsid wsp:val=&quot;00302618&quot;/&gt;&lt;wsp:rsid wsp:val=&quot;003028D1&quot;/&gt;&lt;wsp:rsid wsp:val=&quot;00302AF7&quot;/&gt;&lt;wsp:rsid wsp:val=&quot;00302B69&quot;/&gt;&lt;wsp:rsid wsp:val=&quot;00302E00&quot;/&gt;&lt;wsp:rsid wsp:val=&quot;00302FB1&quot;/&gt;&lt;wsp:rsid wsp:val=&quot;00303517&quot;/&gt;&lt;wsp:rsid wsp:val=&quot;003036CD&quot;/&gt;&lt;wsp:rsid wsp:val=&quot;00303A00&quot;/&gt;&lt;wsp:rsid wsp:val=&quot;00303B3B&quot;/&gt;&lt;wsp:rsid wsp:val=&quot;00303B4D&quot;/&gt;&lt;wsp:rsid wsp:val=&quot;00303D61&quot;/&gt;&lt;wsp:rsid wsp:val=&quot;0030464A&quot;/&gt;&lt;wsp:rsid wsp:val=&quot;00304713&quot;/&gt;&lt;wsp:rsid wsp:val=&quot;0030472F&quot;/&gt;&lt;wsp:rsid wsp:val=&quot;00304B97&quot;/&gt;&lt;wsp:rsid wsp:val=&quot;00305790&quot;/&gt;&lt;wsp:rsid wsp:val=&quot;00305876&quot;/&gt;&lt;wsp:rsid wsp:val=&quot;00305A6D&quot;/&gt;&lt;wsp:rsid wsp:val=&quot;003062F4&quot;/&gt;&lt;wsp:rsid wsp:val=&quot;0030662C&quot;/&gt;&lt;wsp:rsid wsp:val=&quot;0030689D&quot;/&gt;&lt;wsp:rsid wsp:val=&quot;00306A46&quot;/&gt;&lt;wsp:rsid wsp:val=&quot;00306F01&quot;/&gt;&lt;wsp:rsid wsp:val=&quot;00306FB2&quot;/&gt;&lt;wsp:rsid wsp:val=&quot;003073F7&quot;/&gt;&lt;wsp:rsid wsp:val=&quot;003075A4&quot;/&gt;&lt;wsp:rsid wsp:val=&quot;00307C01&quot;/&gt;&lt;wsp:rsid wsp:val=&quot;003107EC&quot;/&gt;&lt;wsp:rsid wsp:val=&quot;00310E02&quot;/&gt;&lt;wsp:rsid wsp:val=&quot;003111BB&quot;/&gt;&lt;wsp:rsid wsp:val=&quot;003111FC&quot;/&gt;&lt;wsp:rsid wsp:val=&quot;0031132A&quot;/&gt;&lt;wsp:rsid wsp:val=&quot;003115D1&quot;/&gt;&lt;wsp:rsid wsp:val=&quot;0031174E&quot;/&gt;&lt;wsp:rsid wsp:val=&quot;003117C8&quot;/&gt;&lt;wsp:rsid wsp:val=&quot;0031186A&quot;/&gt;&lt;wsp:rsid wsp:val=&quot;00311941&quot;/&gt;&lt;wsp:rsid wsp:val=&quot;00311AFF&quot;/&gt;&lt;wsp:rsid wsp:val=&quot;00311C1D&quot;/&gt;&lt;wsp:rsid wsp:val=&quot;00312039&quot;/&gt;&lt;wsp:rsid wsp:val=&quot;00312258&quot;/&gt;&lt;wsp:rsid wsp:val=&quot;00312601&quot;/&gt;&lt;wsp:rsid wsp:val=&quot;00312983&quot;/&gt;&lt;wsp:rsid wsp:val=&quot;00312EBC&quot;/&gt;&lt;wsp:rsid wsp:val=&quot;00313370&quot;/&gt;&lt;wsp:rsid wsp:val=&quot;0031356A&quot;/&gt;&lt;wsp:rsid wsp:val=&quot;00313D69&quot;/&gt;&lt;wsp:rsid wsp:val=&quot;00314013&quot;/&gt;&lt;wsp:rsid wsp:val=&quot;003149BE&quot;/&gt;&lt;wsp:rsid wsp:val=&quot;00314BE6&quot;/&gt;&lt;wsp:rsid wsp:val=&quot;00314C9F&quot;/&gt;&lt;wsp:rsid wsp:val=&quot;00314D2A&quot;/&gt;&lt;wsp:rsid wsp:val=&quot;003155F4&quot;/&gt;&lt;wsp:rsid wsp:val=&quot;00315754&quot;/&gt;&lt;wsp:rsid wsp:val=&quot;0031595A&quot;/&gt;&lt;wsp:rsid wsp:val=&quot;00315C07&quot;/&gt;&lt;wsp:rsid wsp:val=&quot;00316101&quot;/&gt;&lt;wsp:rsid wsp:val=&quot;003165DA&quot;/&gt;&lt;wsp:rsid wsp:val=&quot;003171A3&quot;/&gt;&lt;wsp:rsid wsp:val=&quot;00317584&quot;/&gt;&lt;wsp:rsid wsp:val=&quot;0031788A&quot;/&gt;&lt;wsp:rsid wsp:val=&quot;00317BBB&quot;/&gt;&lt;wsp:rsid wsp:val=&quot;0032058B&quot;/&gt;&lt;wsp:rsid wsp:val=&quot;00320710&quot;/&gt;&lt;wsp:rsid wsp:val=&quot;00320789&quot;/&gt;&lt;wsp:rsid wsp:val=&quot;0032083E&quot;/&gt;&lt;wsp:rsid wsp:val=&quot;00320A2B&quot;/&gt;&lt;wsp:rsid wsp:val=&quot;003213CD&quot;/&gt;&lt;wsp:rsid wsp:val=&quot;003214BF&quot;/&gt;&lt;wsp:rsid wsp:val=&quot;003219CA&quot;/&gt;&lt;wsp:rsid wsp:val=&quot;00321A1D&quot;/&gt;&lt;wsp:rsid wsp:val=&quot;00321AE1&quot;/&gt;&lt;wsp:rsid wsp:val=&quot;00322659&quot;/&gt;&lt;wsp:rsid wsp:val=&quot;00323075&quot;/&gt;&lt;wsp:rsid wsp:val=&quot;0032358B&quot;/&gt;&lt;wsp:rsid wsp:val=&quot;003238C2&quot;/&gt;&lt;wsp:rsid wsp:val=&quot;00323B62&quot;/&gt;&lt;wsp:rsid wsp:val=&quot;00323D54&quot;/&gt;&lt;wsp:rsid wsp:val=&quot;00324945&quot;/&gt;&lt;wsp:rsid wsp:val=&quot;00324CAC&quot;/&gt;&lt;wsp:rsid wsp:val=&quot;00324F6F&quot;/&gt;&lt;wsp:rsid wsp:val=&quot;003259B6&quot;/&gt;&lt;wsp:rsid wsp:val=&quot;00325ADE&quot;/&gt;&lt;wsp:rsid wsp:val=&quot;00325DEF&quot;/&gt;&lt;wsp:rsid wsp:val=&quot;003263A4&quot;/&gt;&lt;wsp:rsid wsp:val=&quot;0032658C&quot;/&gt;&lt;wsp:rsid wsp:val=&quot;00326A75&quot;/&gt;&lt;wsp:rsid wsp:val=&quot;00326C36&quot;/&gt;&lt;wsp:rsid wsp:val=&quot;00326F65&quot;/&gt;&lt;wsp:rsid wsp:val=&quot;00326F70&quot;/&gt;&lt;wsp:rsid wsp:val=&quot;003271FC&quot;/&gt;&lt;wsp:rsid wsp:val=&quot;003276BC&quot;/&gt;&lt;wsp:rsid wsp:val=&quot;0033057E&quot;/&gt;&lt;wsp:rsid wsp:val=&quot;00330AE9&quot;/&gt;&lt;wsp:rsid wsp:val=&quot;00330DF2&quot;/&gt;&lt;wsp:rsid wsp:val=&quot;00330E55&quot;/&gt;&lt;wsp:rsid wsp:val=&quot;00330E5D&quot;/&gt;&lt;wsp:rsid wsp:val=&quot;00330FBE&quot;/&gt;&lt;wsp:rsid wsp:val=&quot;00331365&quot;/&gt;&lt;wsp:rsid wsp:val=&quot;00331B1D&quot;/&gt;&lt;wsp:rsid wsp:val=&quot;00332031&quot;/&gt;&lt;wsp:rsid wsp:val=&quot;003320B6&quot;/&gt;&lt;wsp:rsid wsp:val=&quot;003321DF&quot;/&gt;&lt;wsp:rsid wsp:val=&quot;00332337&quot;/&gt;&lt;wsp:rsid wsp:val=&quot;00332341&quot;/&gt;&lt;wsp:rsid wsp:val=&quot;003328C7&quot;/&gt;&lt;wsp:rsid wsp:val=&quot;00332C3C&quot;/&gt;&lt;wsp:rsid wsp:val=&quot;00332DFB&quot;/&gt;&lt;wsp:rsid wsp:val=&quot;00332FF7&quot;/&gt;&lt;wsp:rsid wsp:val=&quot;0033317A&quot;/&gt;&lt;wsp:rsid wsp:val=&quot;00333628&quot;/&gt;&lt;wsp:rsid wsp:val=&quot;00333894&quot;/&gt;&lt;wsp:rsid wsp:val=&quot;00333C0C&quot;/&gt;&lt;wsp:rsid wsp:val=&quot;003342C2&quot;/&gt;&lt;wsp:rsid wsp:val=&quot;0033450D&quot;/&gt;&lt;wsp:rsid wsp:val=&quot;003350B5&quot;/&gt;&lt;wsp:rsid wsp:val=&quot;003352E4&quot;/&gt;&lt;wsp:rsid wsp:val=&quot;003356C7&quot;/&gt;&lt;wsp:rsid wsp:val=&quot;00335BE9&quot;/&gt;&lt;wsp:rsid wsp:val=&quot;00335C71&quot;/&gt;&lt;wsp:rsid wsp:val=&quot;00335CD1&quot;/&gt;&lt;wsp:rsid wsp:val=&quot;00335FEA&quot;/&gt;&lt;wsp:rsid wsp:val=&quot;0033610A&quot;/&gt;&lt;wsp:rsid wsp:val=&quot;0033613D&quot;/&gt;&lt;wsp:rsid wsp:val=&quot;00336256&quot;/&gt;&lt;wsp:rsid wsp:val=&quot;00336280&quot;/&gt;&lt;wsp:rsid wsp:val=&quot;003362F3&quot;/&gt;&lt;wsp:rsid wsp:val=&quot;0033663B&quot;/&gt;&lt;wsp:rsid wsp:val=&quot;00336F19&quot;/&gt;&lt;wsp:rsid wsp:val=&quot;00337063&quot;/&gt;&lt;wsp:rsid wsp:val=&quot;003378B2&quot;/&gt;&lt;wsp:rsid wsp:val=&quot;003378EC&quot;/&gt;&lt;wsp:rsid wsp:val=&quot;00337D73&quot;/&gt;&lt;wsp:rsid wsp:val=&quot;003400F3&quot;/&gt;&lt;wsp:rsid wsp:val=&quot;00340224&quot;/&gt;&lt;wsp:rsid wsp:val=&quot;00340DE7&quot;/&gt;&lt;wsp:rsid wsp:val=&quot;003410BD&quot;/&gt;&lt;wsp:rsid wsp:val=&quot;0034115C&quot;/&gt;&lt;wsp:rsid wsp:val=&quot;0034168D&quot;/&gt;&lt;wsp:rsid wsp:val=&quot;00341965&quot;/&gt;&lt;wsp:rsid wsp:val=&quot;00341A7C&quot;/&gt;&lt;wsp:rsid wsp:val=&quot;00341B4A&quot;/&gt;&lt;wsp:rsid wsp:val=&quot;00341E24&quot;/&gt;&lt;wsp:rsid wsp:val=&quot;0034200B&quot;/&gt;&lt;wsp:rsid wsp:val=&quot;003422F8&quot;/&gt;&lt;wsp:rsid wsp:val=&quot;003423FC&quot;/&gt;&lt;wsp:rsid wsp:val=&quot;003424EC&quot;/&gt;&lt;wsp:rsid wsp:val=&quot;00342A22&quot;/&gt;&lt;wsp:rsid wsp:val=&quot;00344FAA&quot;/&gt;&lt;wsp:rsid wsp:val=&quot;0034514A&quot;/&gt;&lt;wsp:rsid wsp:val=&quot;00345325&quot;/&gt;&lt;wsp:rsid wsp:val=&quot;00345EDB&quot;/&gt;&lt;wsp:rsid wsp:val=&quot;00345F7C&quot;/&gt;&lt;wsp:rsid wsp:val=&quot;00345F7F&quot;/&gt;&lt;wsp:rsid wsp:val=&quot;00346409&quot;/&gt;&lt;wsp:rsid wsp:val=&quot;003466DB&quot;/&gt;&lt;wsp:rsid wsp:val=&quot;0034686B&quot;/&gt;&lt;wsp:rsid wsp:val=&quot;00346BCC&quot;/&gt;&lt;wsp:rsid wsp:val=&quot;00346F5B&quot;/&gt;&lt;wsp:rsid wsp:val=&quot;0034721C&quot;/&gt;&lt;wsp:rsid wsp:val=&quot;0034767A&quot;/&gt;&lt;wsp:rsid wsp:val=&quot;003476CB&quot;/&gt;&lt;wsp:rsid wsp:val=&quot;00347934&quot;/&gt;&lt;wsp:rsid wsp:val=&quot;003479AE&quot;/&gt;&lt;wsp:rsid wsp:val=&quot;00347AF0&quot;/&gt;&lt;wsp:rsid wsp:val=&quot;00347B3A&quot;/&gt;&lt;wsp:rsid wsp:val=&quot;00347F28&quot;/&gt;&lt;wsp:rsid wsp:val=&quot;003505F5&quot;/&gt;&lt;wsp:rsid wsp:val=&quot;0035114B&quot;/&gt;&lt;wsp:rsid wsp:val=&quot;003512AE&quot;/&gt;&lt;wsp:rsid wsp:val=&quot;0035188F&quot;/&gt;&lt;wsp:rsid wsp:val=&quot;00351DE4&quot;/&gt;&lt;wsp:rsid wsp:val=&quot;003526D8&quot;/&gt;&lt;wsp:rsid wsp:val=&quot;00352839&quot;/&gt;&lt;wsp:rsid wsp:val=&quot;00352CB5&quot;/&gt;&lt;wsp:rsid wsp:val=&quot;0035315D&quot;/&gt;&lt;wsp:rsid wsp:val=&quot;0035388C&quot;/&gt;&lt;wsp:rsid wsp:val=&quot;00353F88&quot;/&gt;&lt;wsp:rsid wsp:val=&quot;00354D0B&quot;/&gt;&lt;wsp:rsid wsp:val=&quot;00354E40&quot;/&gt;&lt;wsp:rsid wsp:val=&quot;0035516E&quot;/&gt;&lt;wsp:rsid wsp:val=&quot;00355204&quot;/&gt;&lt;wsp:rsid wsp:val=&quot;003553B0&quot;/&gt;&lt;wsp:rsid wsp:val=&quot;003553D1&quot;/&gt;&lt;wsp:rsid wsp:val=&quot;0035599F&quot;/&gt;&lt;wsp:rsid wsp:val=&quot;00356C07&quot;/&gt;&lt;wsp:rsid wsp:val=&quot;00356CB7&quot;/&gt;&lt;wsp:rsid wsp:val=&quot;00356D04&quot;/&gt;&lt;wsp:rsid wsp:val=&quot;00356F2D&quot;/&gt;&lt;wsp:rsid wsp:val=&quot;003571E1&quot;/&gt;&lt;wsp:rsid wsp:val=&quot;0035747F&quot;/&gt;&lt;wsp:rsid wsp:val=&quot;003575AB&quot;/&gt;&lt;wsp:rsid wsp:val=&quot;00357A59&quot;/&gt;&lt;wsp:rsid wsp:val=&quot;0036026B&quot;/&gt;&lt;wsp:rsid wsp:val=&quot;003606C6&quot;/&gt;&lt;wsp:rsid wsp:val=&quot;00360EDF&quot;/&gt;&lt;wsp:rsid wsp:val=&quot;0036120F&quot;/&gt;&lt;wsp:rsid wsp:val=&quot;0036173A&quot;/&gt;&lt;wsp:rsid wsp:val=&quot;00361CF7&quot;/&gt;&lt;wsp:rsid wsp:val=&quot;0036216C&quot;/&gt;&lt;wsp:rsid wsp:val=&quot;0036240E&quot;/&gt;&lt;wsp:rsid wsp:val=&quot;00362683&quot;/&gt;&lt;wsp:rsid wsp:val=&quot;00363343&quot;/&gt;&lt;wsp:rsid wsp:val=&quot;003634B4&quot;/&gt;&lt;wsp:rsid wsp:val=&quot;00363573&quot;/&gt;&lt;wsp:rsid wsp:val=&quot;00363998&quot;/&gt;&lt;wsp:rsid wsp:val=&quot;00363C90&quot;/&gt;&lt;wsp:rsid wsp:val=&quot;00363F6B&quot;/&gt;&lt;wsp:rsid wsp:val=&quot;0036418B&quot;/&gt;&lt;wsp:rsid wsp:val=&quot;00364A30&quot;/&gt;&lt;wsp:rsid wsp:val=&quot;00364A84&quot;/&gt;&lt;wsp:rsid wsp:val=&quot;00364C87&quot;/&gt;&lt;wsp:rsid wsp:val=&quot;00364E7E&quot;/&gt;&lt;wsp:rsid wsp:val=&quot;00365061&quot;/&gt;&lt;wsp:rsid wsp:val=&quot;003652C9&quot;/&gt;&lt;wsp:rsid wsp:val=&quot;0036562A&quot;/&gt;&lt;wsp:rsid wsp:val=&quot;00365653&quot;/&gt;&lt;wsp:rsid wsp:val=&quot;0036575C&quot;/&gt;&lt;wsp:rsid wsp:val=&quot;00365858&quot;/&gt;&lt;wsp:rsid wsp:val=&quot;00365B02&quot;/&gt;&lt;wsp:rsid wsp:val=&quot;00365BA1&quot;/&gt;&lt;wsp:rsid wsp:val=&quot;00365E52&quot;/&gt;&lt;wsp:rsid wsp:val=&quot;003668EF&quot;/&gt;&lt;wsp:rsid wsp:val=&quot;00366A67&quot;/&gt;&lt;wsp:rsid wsp:val=&quot;00367DBF&quot;/&gt;&lt;wsp:rsid wsp:val=&quot;00367DC2&quot;/&gt;&lt;wsp:rsid wsp:val=&quot;00367E5E&quot;/&gt;&lt;wsp:rsid wsp:val=&quot;003707C5&quot;/&gt;&lt;wsp:rsid wsp:val=&quot;00370B0F&quot;/&gt;&lt;wsp:rsid wsp:val=&quot;00370C4C&quot;/&gt;&lt;wsp:rsid wsp:val=&quot;00370D1F&quot;/&gt;&lt;wsp:rsid wsp:val=&quot;003714E4&quot;/&gt;&lt;wsp:rsid wsp:val=&quot;00371670&quot;/&gt;&lt;wsp:rsid wsp:val=&quot;00371ABB&quot;/&gt;&lt;wsp:rsid wsp:val=&quot;00371BBC&quot;/&gt;&lt;wsp:rsid wsp:val=&quot;00371BFC&quot;/&gt;&lt;wsp:rsid wsp:val=&quot;00371C17&quot;/&gt;&lt;wsp:rsid wsp:val=&quot;00371CF3&quot;/&gt;&lt;wsp:rsid wsp:val=&quot;00371FAF&quot;/&gt;&lt;wsp:rsid wsp:val=&quot;00372111&quot;/&gt;&lt;wsp:rsid wsp:val=&quot;003725D3&quot;/&gt;&lt;wsp:rsid wsp:val=&quot;003726C5&quot;/&gt;&lt;wsp:rsid wsp:val=&quot;003727A3&quot;/&gt;&lt;wsp:rsid wsp:val=&quot;0037281C&quot;/&gt;&lt;wsp:rsid wsp:val=&quot;0037347E&quot;/&gt;&lt;wsp:rsid wsp:val=&quot;00373679&quot;/&gt;&lt;wsp:rsid wsp:val=&quot;00373A9B&quot;/&gt;&lt;wsp:rsid wsp:val=&quot;00373F6B&quot;/&gt;&lt;wsp:rsid wsp:val=&quot;003741E4&quot;/&gt;&lt;wsp:rsid wsp:val=&quot;00374314&quot;/&gt;&lt;wsp:rsid wsp:val=&quot;00374462&quot;/&gt;&lt;wsp:rsid wsp:val=&quot;00374A2B&quot;/&gt;&lt;wsp:rsid wsp:val=&quot;00374A96&quot;/&gt;&lt;wsp:rsid wsp:val=&quot;00374DB8&quot;/&gt;&lt;wsp:rsid wsp:val=&quot;00374DC4&quot;/&gt;&lt;wsp:rsid wsp:val=&quot;003750C6&quot;/&gt;&lt;wsp:rsid wsp:val=&quot;003752F0&quot;/&gt;&lt;wsp:rsid wsp:val=&quot;003759B6&quot;/&gt;&lt;wsp:rsid wsp:val=&quot;003759F5&quot;/&gt;&lt;wsp:rsid wsp:val=&quot;00375B69&quot;/&gt;&lt;wsp:rsid wsp:val=&quot;003762B7&quot;/&gt;&lt;wsp:rsid wsp:val=&quot;00376530&quot;/&gt;&lt;wsp:rsid wsp:val=&quot;00376735&quot;/&gt;&lt;wsp:rsid wsp:val=&quot;00376838&quot;/&gt;&lt;wsp:rsid wsp:val=&quot;00376A20&quot;/&gt;&lt;wsp:rsid wsp:val=&quot;003801DC&quot;/&gt;&lt;wsp:rsid wsp:val=&quot;00380201&quot;/&gt;&lt;wsp:rsid wsp:val=&quot;003804F4&quot;/&gt;&lt;wsp:rsid wsp:val=&quot;00380714&quot;/&gt;&lt;wsp:rsid wsp:val=&quot;0038078A&quot;/&gt;&lt;wsp:rsid wsp:val=&quot;00380EE4&quot;/&gt;&lt;wsp:rsid wsp:val=&quot;0038105C&quot;/&gt;&lt;wsp:rsid wsp:val=&quot;003813F5&quot;/&gt;&lt;wsp:rsid wsp:val=&quot;0038163F&quot;/&gt;&lt;wsp:rsid wsp:val=&quot;00382434&quot;/&gt;&lt;wsp:rsid wsp:val=&quot;003828CF&quot;/&gt;&lt;wsp:rsid wsp:val=&quot;00382A46&quot;/&gt;&lt;wsp:rsid wsp:val=&quot;00382CBB&quot;/&gt;&lt;wsp:rsid wsp:val=&quot;00382F87&quot;/&gt;&lt;wsp:rsid wsp:val=&quot;003834F1&quot;/&gt;&lt;wsp:rsid wsp:val=&quot;00383C65&quot;/&gt;&lt;wsp:rsid wsp:val=&quot;00383CAA&quot;/&gt;&lt;wsp:rsid wsp:val=&quot;00384537&quot;/&gt;&lt;wsp:rsid wsp:val=&quot;0038457F&quot;/&gt;&lt;wsp:rsid wsp:val=&quot;00384660&quot;/&gt;&lt;wsp:rsid wsp:val=&quot;00384A08&quot;/&gt;&lt;wsp:rsid wsp:val=&quot;00384E16&quot;/&gt;&lt;wsp:rsid wsp:val=&quot;00384F5F&quot;/&gt;&lt;wsp:rsid wsp:val=&quot;00385211&quot;/&gt;&lt;wsp:rsid wsp:val=&quot;00385260&quot;/&gt;&lt;wsp:rsid wsp:val=&quot;003855E5&quot;/&gt;&lt;wsp:rsid wsp:val=&quot;00385A45&quot;/&gt;&lt;wsp:rsid wsp:val=&quot;00385C9B&quot;/&gt;&lt;wsp:rsid wsp:val=&quot;00385D10&quot;/&gt;&lt;wsp:rsid wsp:val=&quot;00385E93&quot;/&gt;&lt;wsp:rsid wsp:val=&quot;00386C26&quot;/&gt;&lt;wsp:rsid wsp:val=&quot;0038727F&quot;/&gt;&lt;wsp:rsid wsp:val=&quot;003875E3&quot;/&gt;&lt;wsp:rsid wsp:val=&quot;003877D3&quot;/&gt;&lt;wsp:rsid wsp:val=&quot;00387A81&quot;/&gt;&lt;wsp:rsid wsp:val=&quot;00387B75&quot;/&gt;&lt;wsp:rsid wsp:val=&quot;00387DFD&quot;/&gt;&lt;wsp:rsid wsp:val=&quot;003901CF&quot;/&gt;&lt;wsp:rsid wsp:val=&quot;003903DE&quot;/&gt;&lt;wsp:rsid wsp:val=&quot;00390B8C&quot;/&gt;&lt;wsp:rsid wsp:val=&quot;00390DF1&quot;/&gt;&lt;wsp:rsid wsp:val=&quot;00391222&quot;/&gt;&lt;wsp:rsid wsp:val=&quot;0039174C&quot;/&gt;&lt;wsp:rsid wsp:val=&quot;003924FB&quot;/&gt;&lt;wsp:rsid wsp:val=&quot;00392557&quot;/&gt;&lt;wsp:rsid wsp:val=&quot;003925DD&quot;/&gt;&lt;wsp:rsid wsp:val=&quot;003925E9&quot;/&gt;&lt;wsp:rsid wsp:val=&quot;00392987&quot;/&gt;&lt;wsp:rsid wsp:val=&quot;003929C6&quot;/&gt;&lt;wsp:rsid wsp:val=&quot;003937CB&quot;/&gt;&lt;wsp:rsid wsp:val=&quot;00393C3F&quot;/&gt;&lt;wsp:rsid wsp:val=&quot;00394887&quot;/&gt;&lt;wsp:rsid wsp:val=&quot;00394A3B&quot;/&gt;&lt;wsp:rsid wsp:val=&quot;003951C8&quot;/&gt;&lt;wsp:rsid wsp:val=&quot;00395395&quot;/&gt;&lt;wsp:rsid wsp:val=&quot;003958E9&quot;/&gt;&lt;wsp:rsid wsp:val=&quot;00395A6F&quot;/&gt;&lt;wsp:rsid wsp:val=&quot;00395AA2&quot;/&gt;&lt;wsp:rsid wsp:val=&quot;00395ED5&quot;/&gt;&lt;wsp:rsid wsp:val=&quot;0039613C&quot;/&gt;&lt;wsp:rsid wsp:val=&quot;00396496&quot;/&gt;&lt;wsp:rsid wsp:val=&quot;00396916&quot;/&gt;&lt;wsp:rsid wsp:val=&quot;0039694C&quot;/&gt;&lt;wsp:rsid wsp:val=&quot;003969D5&quot;/&gt;&lt;wsp:rsid wsp:val=&quot;00396D69&quot;/&gt;&lt;wsp:rsid wsp:val=&quot;00396DFD&quot;/&gt;&lt;wsp:rsid wsp:val=&quot;00397150&quot;/&gt;&lt;wsp:rsid wsp:val=&quot;0039786B&quot;/&gt;&lt;wsp:rsid wsp:val=&quot;003979F1&quot;/&gt;&lt;wsp:rsid wsp:val=&quot;003A028B&quot;/&gt;&lt;wsp:rsid wsp:val=&quot;003A0293&quot;/&gt;&lt;wsp:rsid wsp:val=&quot;003A04E3&quot;/&gt;&lt;wsp:rsid wsp:val=&quot;003A0522&quot;/&gt;&lt;wsp:rsid wsp:val=&quot;003A0AC4&quot;/&gt;&lt;wsp:rsid wsp:val=&quot;003A0D2F&quot;/&gt;&lt;wsp:rsid wsp:val=&quot;003A10B8&quot;/&gt;&lt;wsp:rsid wsp:val=&quot;003A1359&quot;/&gt;&lt;wsp:rsid wsp:val=&quot;003A182F&quot;/&gt;&lt;wsp:rsid wsp:val=&quot;003A1CCD&quot;/&gt;&lt;wsp:rsid wsp:val=&quot;003A1D5B&quot;/&gt;&lt;wsp:rsid wsp:val=&quot;003A2E18&quot;/&gt;&lt;wsp:rsid wsp:val=&quot;003A2E2A&quot;/&gt;&lt;wsp:rsid wsp:val=&quot;003A2EBC&quot;/&gt;&lt;wsp:rsid wsp:val=&quot;003A304E&quot;/&gt;&lt;wsp:rsid wsp:val=&quot;003A38E7&quot;/&gt;&lt;wsp:rsid wsp:val=&quot;003A3C6B&quot;/&gt;&lt;wsp:rsid wsp:val=&quot;003A3EAD&quot;/&gt;&lt;wsp:rsid wsp:val=&quot;003A3F1D&quot;/&gt;&lt;wsp:rsid wsp:val=&quot;003A3FA9&quot;/&gt;&lt;wsp:rsid wsp:val=&quot;003A3FAF&quot;/&gt;&lt;wsp:rsid wsp:val=&quot;003A3FCB&quot;/&gt;&lt;wsp:rsid wsp:val=&quot;003A4281&quot;/&gt;&lt;wsp:rsid wsp:val=&quot;003A45A0&quot;/&gt;&lt;wsp:rsid wsp:val=&quot;003A494D&quot;/&gt;&lt;wsp:rsid wsp:val=&quot;003A4974&quot;/&gt;&lt;wsp:rsid wsp:val=&quot;003A4BD8&quot;/&gt;&lt;wsp:rsid wsp:val=&quot;003A4CB8&quot;/&gt;&lt;wsp:rsid wsp:val=&quot;003A4E09&quot;/&gt;&lt;wsp:rsid wsp:val=&quot;003A4E48&quot;/&gt;&lt;wsp:rsid wsp:val=&quot;003A5B24&quot;/&gt;&lt;wsp:rsid wsp:val=&quot;003A5B5A&quot;/&gt;&lt;wsp:rsid wsp:val=&quot;003A5D6C&quot;/&gt;&lt;wsp:rsid wsp:val=&quot;003A5FD7&quot;/&gt;&lt;wsp:rsid wsp:val=&quot;003A6828&quot;/&gt;&lt;wsp:rsid wsp:val=&quot;003A6EEB&quot;/&gt;&lt;wsp:rsid wsp:val=&quot;003A6F0F&quot;/&gt;&lt;wsp:rsid wsp:val=&quot;003A7007&quot;/&gt;&lt;wsp:rsid wsp:val=&quot;003A7788&quot;/&gt;&lt;wsp:rsid wsp:val=&quot;003A794B&quot;/&gt;&lt;wsp:rsid wsp:val=&quot;003A7CEB&quot;/&gt;&lt;wsp:rsid wsp:val=&quot;003B0017&quot;/&gt;&lt;wsp:rsid wsp:val=&quot;003B065E&quot;/&gt;&lt;wsp:rsid wsp:val=&quot;003B08B9&quot;/&gt;&lt;wsp:rsid wsp:val=&quot;003B0AA0&quot;/&gt;&lt;wsp:rsid wsp:val=&quot;003B0B13&quot;/&gt;&lt;wsp:rsid wsp:val=&quot;003B0B70&quot;/&gt;&lt;wsp:rsid wsp:val=&quot;003B0DDC&quot;/&gt;&lt;wsp:rsid wsp:val=&quot;003B0F02&quot;/&gt;&lt;wsp:rsid wsp:val=&quot;003B0F24&quot;/&gt;&lt;wsp:rsid wsp:val=&quot;003B1129&quot;/&gt;&lt;wsp:rsid wsp:val=&quot;003B193D&quot;/&gt;&lt;wsp:rsid wsp:val=&quot;003B19EB&quot;/&gt;&lt;wsp:rsid wsp:val=&quot;003B1E41&quot;/&gt;&lt;wsp:rsid wsp:val=&quot;003B1FB5&quot;/&gt;&lt;wsp:rsid wsp:val=&quot;003B2054&quot;/&gt;&lt;wsp:rsid wsp:val=&quot;003B2266&quot;/&gt;&lt;wsp:rsid wsp:val=&quot;003B24B5&quot;/&gt;&lt;wsp:rsid wsp:val=&quot;003B2646&quot;/&gt;&lt;wsp:rsid wsp:val=&quot;003B30BF&quot;/&gt;&lt;wsp:rsid wsp:val=&quot;003B3108&quot;/&gt;&lt;wsp:rsid wsp:val=&quot;003B320A&quot;/&gt;&lt;wsp:rsid wsp:val=&quot;003B32D9&quot;/&gt;&lt;wsp:rsid wsp:val=&quot;003B3712&quot;/&gt;&lt;wsp:rsid wsp:val=&quot;003B37D8&quot;/&gt;&lt;wsp:rsid wsp:val=&quot;003B39F9&quot;/&gt;&lt;wsp:rsid wsp:val=&quot;003B434F&quot;/&gt;&lt;wsp:rsid wsp:val=&quot;003B4377&quot;/&gt;&lt;wsp:rsid wsp:val=&quot;003B46BC&quot;/&gt;&lt;wsp:rsid wsp:val=&quot;003B47D0&quot;/&gt;&lt;wsp:rsid wsp:val=&quot;003B4804&quot;/&gt;&lt;wsp:rsid wsp:val=&quot;003B503A&quot;/&gt;&lt;wsp:rsid wsp:val=&quot;003B527C&quot;/&gt;&lt;wsp:rsid wsp:val=&quot;003B533B&quot;/&gt;&lt;wsp:rsid wsp:val=&quot;003B5602&quot;/&gt;&lt;wsp:rsid wsp:val=&quot;003B57E2&quot;/&gt;&lt;wsp:rsid wsp:val=&quot;003B63F7&quot;/&gt;&lt;wsp:rsid wsp:val=&quot;003B6424&quot;/&gt;&lt;wsp:rsid wsp:val=&quot;003B66A7&quot;/&gt;&lt;wsp:rsid wsp:val=&quot;003B6AEF&quot;/&gt;&lt;wsp:rsid wsp:val=&quot;003B6BE7&quot;/&gt;&lt;wsp:rsid wsp:val=&quot;003B6EBE&quot;/&gt;&lt;wsp:rsid wsp:val=&quot;003B7509&quot;/&gt;&lt;wsp:rsid wsp:val=&quot;003B7A35&quot;/&gt;&lt;wsp:rsid wsp:val=&quot;003C0007&quot;/&gt;&lt;wsp:rsid wsp:val=&quot;003C062D&quot;/&gt;&lt;wsp:rsid wsp:val=&quot;003C0B44&quot;/&gt;&lt;wsp:rsid wsp:val=&quot;003C1186&quot;/&gt;&lt;wsp:rsid wsp:val=&quot;003C1EB8&quot;/&gt;&lt;wsp:rsid wsp:val=&quot;003C20A8&quot;/&gt;&lt;wsp:rsid wsp:val=&quot;003C21BD&quot;/&gt;&lt;wsp:rsid wsp:val=&quot;003C2457&quot;/&gt;&lt;wsp:rsid wsp:val=&quot;003C27F8&quot;/&gt;&lt;wsp:rsid wsp:val=&quot;003C30F8&quot;/&gt;&lt;wsp:rsid wsp:val=&quot;003C3102&quot;/&gt;&lt;wsp:rsid wsp:val=&quot;003C37D8&quot;/&gt;&lt;wsp:rsid wsp:val=&quot;003C380B&quot;/&gt;&lt;wsp:rsid wsp:val=&quot;003C3AC8&quot;/&gt;&lt;wsp:rsid wsp:val=&quot;003C3EAC&quot;/&gt;&lt;wsp:rsid wsp:val=&quot;003C407C&quot;/&gt;&lt;wsp:rsid wsp:val=&quot;003C4610&quot;/&gt;&lt;wsp:rsid wsp:val=&quot;003C4766&quot;/&gt;&lt;wsp:rsid wsp:val=&quot;003C48C4&quot;/&gt;&lt;wsp:rsid wsp:val=&quot;003C4A30&quot;/&gt;&lt;wsp:rsid wsp:val=&quot;003C4A6C&quot;/&gt;&lt;wsp:rsid wsp:val=&quot;003C4BA3&quot;/&gt;&lt;wsp:rsid wsp:val=&quot;003C4E1E&quot;/&gt;&lt;wsp:rsid wsp:val=&quot;003C4EA2&quot;/&gt;&lt;wsp:rsid wsp:val=&quot;003C4EE3&quot;/&gt;&lt;wsp:rsid wsp:val=&quot;003C53D7&quot;/&gt;&lt;wsp:rsid wsp:val=&quot;003C5762&quot;/&gt;&lt;wsp:rsid wsp:val=&quot;003C5FD3&quot;/&gt;&lt;wsp:rsid wsp:val=&quot;003C60F5&quot;/&gt;&lt;wsp:rsid wsp:val=&quot;003C611F&quot;/&gt;&lt;wsp:rsid wsp:val=&quot;003C620F&quot;/&gt;&lt;wsp:rsid wsp:val=&quot;003C63F4&quot;/&gt;&lt;wsp:rsid wsp:val=&quot;003C662D&quot;/&gt;&lt;wsp:rsid wsp:val=&quot;003C7075&quot;/&gt;&lt;wsp:rsid wsp:val=&quot;003C74A1&quot;/&gt;&lt;wsp:rsid wsp:val=&quot;003C75E4&quot;/&gt;&lt;wsp:rsid wsp:val=&quot;003C7914&quot;/&gt;&lt;wsp:rsid wsp:val=&quot;003D028C&quot;/&gt;&lt;wsp:rsid wsp:val=&quot;003D034C&quot;/&gt;&lt;wsp:rsid wsp:val=&quot;003D07AC&quot;/&gt;&lt;wsp:rsid wsp:val=&quot;003D0AC7&quot;/&gt;&lt;wsp:rsid wsp:val=&quot;003D0BA3&quot;/&gt;&lt;wsp:rsid wsp:val=&quot;003D0EA4&quot;/&gt;&lt;wsp:rsid wsp:val=&quot;003D12F2&quot;/&gt;&lt;wsp:rsid wsp:val=&quot;003D154F&quot;/&gt;&lt;wsp:rsid wsp:val=&quot;003D1CDB&quot;/&gt;&lt;wsp:rsid wsp:val=&quot;003D2052&quot;/&gt;&lt;wsp:rsid wsp:val=&quot;003D25CB&quot;/&gt;&lt;wsp:rsid wsp:val=&quot;003D2635&quot;/&gt;&lt;wsp:rsid wsp:val=&quot;003D2859&quot;/&gt;&lt;wsp:rsid wsp:val=&quot;003D2BD9&quot;/&gt;&lt;wsp:rsid wsp:val=&quot;003D2CA5&quot;/&gt;&lt;wsp:rsid wsp:val=&quot;003D2EB7&quot;/&gt;&lt;wsp:rsid wsp:val=&quot;003D32C3&quot;/&gt;&lt;wsp:rsid wsp:val=&quot;003D32F9&quot;/&gt;&lt;wsp:rsid wsp:val=&quot;003D3D62&quot;/&gt;&lt;wsp:rsid wsp:val=&quot;003D3F90&quot;/&gt;&lt;wsp:rsid wsp:val=&quot;003D4469&quot;/&gt;&lt;wsp:rsid wsp:val=&quot;003D482B&quot;/&gt;&lt;wsp:rsid wsp:val=&quot;003D5085&quot;/&gt;&lt;wsp:rsid wsp:val=&quot;003D553E&quot;/&gt;&lt;wsp:rsid wsp:val=&quot;003D55EE&quot;/&gt;&lt;wsp:rsid wsp:val=&quot;003D5F8C&quot;/&gt;&lt;wsp:rsid wsp:val=&quot;003D6183&quot;/&gt;&lt;wsp:rsid wsp:val=&quot;003D61E8&quot;/&gt;&lt;wsp:rsid wsp:val=&quot;003D61F6&quot;/&gt;&lt;wsp:rsid wsp:val=&quot;003D6355&quot;/&gt;&lt;wsp:rsid wsp:val=&quot;003D6410&quot;/&gt;&lt;wsp:rsid wsp:val=&quot;003D6484&quot;/&gt;&lt;wsp:rsid wsp:val=&quot;003D65EF&quot;/&gt;&lt;wsp:rsid wsp:val=&quot;003D6867&quot;/&gt;&lt;wsp:rsid wsp:val=&quot;003D6AC3&quot;/&gt;&lt;wsp:rsid wsp:val=&quot;003D6AE7&quot;/&gt;&lt;wsp:rsid wsp:val=&quot;003D6F3F&quot;/&gt;&lt;wsp:rsid wsp:val=&quot;003D709C&quot;/&gt;&lt;wsp:rsid wsp:val=&quot;003D73D8&quot;/&gt;&lt;wsp:rsid wsp:val=&quot;003E00F2&quot;/&gt;&lt;wsp:rsid wsp:val=&quot;003E01F1&quot;/&gt;&lt;wsp:rsid wsp:val=&quot;003E02F9&quot;/&gt;&lt;wsp:rsid wsp:val=&quot;003E0830&quot;/&gt;&lt;wsp:rsid wsp:val=&quot;003E0B3B&quot;/&gt;&lt;wsp:rsid wsp:val=&quot;003E0EE6&quot;/&gt;&lt;wsp:rsid wsp:val=&quot;003E172E&quot;/&gt;&lt;wsp:rsid wsp:val=&quot;003E1B2F&quot;/&gt;&lt;wsp:rsid wsp:val=&quot;003E1BAD&quot;/&gt;&lt;wsp:rsid wsp:val=&quot;003E1DDB&quot;/&gt;&lt;wsp:rsid wsp:val=&quot;003E20EE&quot;/&gt;&lt;wsp:rsid wsp:val=&quot;003E272F&quot;/&gt;&lt;wsp:rsid wsp:val=&quot;003E2831&quot;/&gt;&lt;wsp:rsid wsp:val=&quot;003E2B6D&quot;/&gt;&lt;wsp:rsid wsp:val=&quot;003E3CB9&quot;/&gt;&lt;wsp:rsid wsp:val=&quot;003E3D3E&quot;/&gt;&lt;wsp:rsid wsp:val=&quot;003E47A3&quot;/&gt;&lt;wsp:rsid wsp:val=&quot;003E489D&quot;/&gt;&lt;wsp:rsid wsp:val=&quot;003E4941&quot;/&gt;&lt;wsp:rsid wsp:val=&quot;003E4B90&quot;/&gt;&lt;wsp:rsid wsp:val=&quot;003E4C8F&quot;/&gt;&lt;wsp:rsid wsp:val=&quot;003E4E12&quot;/&gt;&lt;wsp:rsid wsp:val=&quot;003E562A&quot;/&gt;&lt;wsp:rsid wsp:val=&quot;003E5B49&quot;/&gt;&lt;wsp:rsid wsp:val=&quot;003E62B3&quot;/&gt;&lt;wsp:rsid wsp:val=&quot;003E6640&quot;/&gt;&lt;wsp:rsid wsp:val=&quot;003E66B9&quot;/&gt;&lt;wsp:rsid wsp:val=&quot;003E6726&quot;/&gt;&lt;wsp:rsid wsp:val=&quot;003E6C99&quot;/&gt;&lt;wsp:rsid wsp:val=&quot;003E6E58&quot;/&gt;&lt;wsp:rsid wsp:val=&quot;003E6FCD&quot;/&gt;&lt;wsp:rsid wsp:val=&quot;003E725E&quot;/&gt;&lt;wsp:rsid wsp:val=&quot;003E7EB6&quot;/&gt;&lt;wsp:rsid wsp:val=&quot;003F0322&quot;/&gt;&lt;wsp:rsid wsp:val=&quot;003F0413&quot;/&gt;&lt;wsp:rsid wsp:val=&quot;003F0B39&quot;/&gt;&lt;wsp:rsid wsp:val=&quot;003F0E7F&quot;/&gt;&lt;wsp:rsid wsp:val=&quot;003F0ECF&quot;/&gt;&lt;wsp:rsid wsp:val=&quot;003F12A6&quot;/&gt;&lt;wsp:rsid wsp:val=&quot;003F1385&quot;/&gt;&lt;wsp:rsid wsp:val=&quot;003F14C7&quot;/&gt;&lt;wsp:rsid wsp:val=&quot;003F2289&quot;/&gt;&lt;wsp:rsid wsp:val=&quot;003F2445&quot;/&gt;&lt;wsp:rsid wsp:val=&quot;003F25D8&quot;/&gt;&lt;wsp:rsid wsp:val=&quot;003F29DF&quot;/&gt;&lt;wsp:rsid wsp:val=&quot;003F2C2A&quot;/&gt;&lt;wsp:rsid wsp:val=&quot;003F2CE8&quot;/&gt;&lt;wsp:rsid wsp:val=&quot;003F2E67&quot;/&gt;&lt;wsp:rsid wsp:val=&quot;003F349E&quot;/&gt;&lt;wsp:rsid wsp:val=&quot;003F3C82&quot;/&gt;&lt;wsp:rsid wsp:val=&quot;003F3E7B&quot;/&gt;&lt;wsp:rsid wsp:val=&quot;003F41F3&quot;/&gt;&lt;wsp:rsid wsp:val=&quot;003F4532&quot;/&gt;&lt;wsp:rsid wsp:val=&quot;003F4A06&quot;/&gt;&lt;wsp:rsid wsp:val=&quot;003F506A&quot;/&gt;&lt;wsp:rsid wsp:val=&quot;003F508C&quot;/&gt;&lt;wsp:rsid wsp:val=&quot;003F52DC&quot;/&gt;&lt;wsp:rsid wsp:val=&quot;003F53A4&quot;/&gt;&lt;wsp:rsid wsp:val=&quot;003F5787&quot;/&gt;&lt;wsp:rsid wsp:val=&quot;003F5D07&quot;/&gt;&lt;wsp:rsid wsp:val=&quot;003F6109&quot;/&gt;&lt;wsp:rsid wsp:val=&quot;003F623B&quot;/&gt;&lt;wsp:rsid wsp:val=&quot;003F636D&quot;/&gt;&lt;wsp:rsid wsp:val=&quot;003F6527&quot;/&gt;&lt;wsp:rsid wsp:val=&quot;003F6669&quot;/&gt;&lt;wsp:rsid wsp:val=&quot;003F6B6F&quot;/&gt;&lt;wsp:rsid wsp:val=&quot;003F6F95&quot;/&gt;&lt;wsp:rsid wsp:val=&quot;003F70E1&quot;/&gt;&lt;wsp:rsid wsp:val=&quot;003F755E&quot;/&gt;&lt;wsp:rsid wsp:val=&quot;003F7664&quot;/&gt;&lt;wsp:rsid wsp:val=&quot;003F7AAC&quot;/&gt;&lt;wsp:rsid wsp:val=&quot;003F7BD6&quot;/&gt;&lt;wsp:rsid wsp:val=&quot;003F7C52&quot;/&gt;&lt;wsp:rsid wsp:val=&quot;003F7F0F&quot;/&gt;&lt;wsp:rsid wsp:val=&quot;00400766&quot;/&gt;&lt;wsp:rsid wsp:val=&quot;00400ACD&quot;/&gt;&lt;wsp:rsid wsp:val=&quot;00400F04&quot;/&gt;&lt;wsp:rsid wsp:val=&quot;004011BA&quot;/&gt;&lt;wsp:rsid wsp:val=&quot;00401275&quot;/&gt;&lt;wsp:rsid wsp:val=&quot;00401CB6&quot;/&gt;&lt;wsp:rsid wsp:val=&quot;00401E7C&quot;/&gt;&lt;wsp:rsid wsp:val=&quot;00402085&quot;/&gt;&lt;wsp:rsid wsp:val=&quot;004021FC&quot;/&gt;&lt;wsp:rsid wsp:val=&quot;004029BB&quot;/&gt;&lt;wsp:rsid wsp:val=&quot;00402B69&quot;/&gt;&lt;wsp:rsid wsp:val=&quot;004033BB&quot;/&gt;&lt;wsp:rsid wsp:val=&quot;00403A08&quot;/&gt;&lt;wsp:rsid wsp:val=&quot;00403DE2&quot;/&gt;&lt;wsp:rsid wsp:val=&quot;004048E8&quot;/&gt;&lt;wsp:rsid wsp:val=&quot;00404985&quot;/&gt;&lt;wsp:rsid wsp:val=&quot;00404AB8&quot;/&gt;&lt;wsp:rsid wsp:val=&quot;00405FFA&quot;/&gt;&lt;wsp:rsid wsp:val=&quot;00406085&quot;/&gt;&lt;wsp:rsid wsp:val=&quot;004061CD&quot;/&gt;&lt;wsp:rsid wsp:val=&quot;00406510&quot;/&gt;&lt;wsp:rsid wsp:val=&quot;00406B51&quot;/&gt;&lt;wsp:rsid wsp:val=&quot;00407258&quot;/&gt;&lt;wsp:rsid wsp:val=&quot;0040768F&quot;/&gt;&lt;wsp:rsid wsp:val=&quot;004106EC&quot;/&gt;&lt;wsp:rsid wsp:val=&quot;00410AAD&quot;/&gt;&lt;wsp:rsid wsp:val=&quot;00410E2E&quot;/&gt;&lt;wsp:rsid wsp:val=&quot;00410ED4&quot;/&gt;&lt;wsp:rsid wsp:val=&quot;00410FCA&quot;/&gt;&lt;wsp:rsid wsp:val=&quot;00411765&quot;/&gt;&lt;wsp:rsid wsp:val=&quot;0041184D&quot;/&gt;&lt;wsp:rsid wsp:val=&quot;00411912&quot;/&gt;&lt;wsp:rsid wsp:val=&quot;00411A56&quot;/&gt;&lt;wsp:rsid wsp:val=&quot;004122F4&quot;/&gt;&lt;wsp:rsid wsp:val=&quot;00412326&quot;/&gt;&lt;wsp:rsid wsp:val=&quot;004124E6&quot;/&gt;&lt;wsp:rsid wsp:val=&quot;00412518&quot;/&gt;&lt;wsp:rsid wsp:val=&quot;0041269B&quot;/&gt;&lt;wsp:rsid wsp:val=&quot;004126B9&quot;/&gt;&lt;wsp:rsid wsp:val=&quot;00412AA2&quot;/&gt;&lt;wsp:rsid wsp:val=&quot;00412FC0&quot;/&gt;&lt;wsp:rsid wsp:val=&quot;0041334F&quot;/&gt;&lt;wsp:rsid wsp:val=&quot;00413992&quot;/&gt;&lt;wsp:rsid wsp:val=&quot;00413A15&quot;/&gt;&lt;wsp:rsid wsp:val=&quot;00414249&quot;/&gt;&lt;wsp:rsid wsp:val=&quot;0041428D&quot;/&gt;&lt;wsp:rsid wsp:val=&quot;00414970&quot;/&gt;&lt;wsp:rsid wsp:val=&quot;00414A24&quot;/&gt;&lt;wsp:rsid wsp:val=&quot;004150CB&quot;/&gt;&lt;wsp:rsid wsp:val=&quot;004151A7&quot;/&gt;&lt;wsp:rsid wsp:val=&quot;00415287&quot;/&gt;&lt;wsp:rsid wsp:val=&quot;004158E8&quot;/&gt;&lt;wsp:rsid wsp:val=&quot;00415A19&quot;/&gt;&lt;wsp:rsid wsp:val=&quot;00415B72&quot;/&gt;&lt;wsp:rsid wsp:val=&quot;00415F11&quot;/&gt;&lt;wsp:rsid wsp:val=&quot;00415FB2&quot;/&gt;&lt;wsp:rsid wsp:val=&quot;004161B7&quot;/&gt;&lt;wsp:rsid wsp:val=&quot;004166C7&quot;/&gt;&lt;wsp:rsid wsp:val=&quot;004167E8&quot;/&gt;&lt;wsp:rsid wsp:val=&quot;0041685C&quot;/&gt;&lt;wsp:rsid wsp:val=&quot;00416B8C&quot;/&gt;&lt;wsp:rsid wsp:val=&quot;00416C04&quot;/&gt;&lt;wsp:rsid wsp:val=&quot;00416F6E&quot;/&gt;&lt;wsp:rsid wsp:val=&quot;00417066&quot;/&gt;&lt;wsp:rsid wsp:val=&quot;004177E9&quot;/&gt;&lt;wsp:rsid wsp:val=&quot;004179F3&quot;/&gt;&lt;wsp:rsid wsp:val=&quot;00417FE6&quot;/&gt;&lt;wsp:rsid wsp:val=&quot;0042005E&quot;/&gt;&lt;wsp:rsid wsp:val=&quot;00420701&quot;/&gt;&lt;wsp:rsid wsp:val=&quot;00420EDC&quot;/&gt;&lt;wsp:rsid wsp:val=&quot;004212F9&quot;/&gt;&lt;wsp:rsid wsp:val=&quot;0042149F&quot;/&gt;&lt;wsp:rsid wsp:val=&quot;004217F6&quot;/&gt;&lt;wsp:rsid wsp:val=&quot;0042185F&quot;/&gt;&lt;wsp:rsid wsp:val=&quot;00421A49&quot;/&gt;&lt;wsp:rsid wsp:val=&quot;00421C88&quot;/&gt;&lt;wsp:rsid wsp:val=&quot;00421D7E&quot;/&gt;&lt;wsp:rsid wsp:val=&quot;00421DC7&quot;/&gt;&lt;wsp:rsid wsp:val=&quot;00421F89&quot;/&gt;&lt;wsp:rsid wsp:val=&quot;00421FE0&quot;/&gt;&lt;wsp:rsid wsp:val=&quot;0042236B&quot;/&gt;&lt;wsp:rsid wsp:val=&quot;004225D9&quot;/&gt;&lt;wsp:rsid wsp:val=&quot;00422A16&quot;/&gt;&lt;wsp:rsid wsp:val=&quot;00422D69&quot;/&gt;&lt;wsp:rsid wsp:val=&quot;0042301A&quot;/&gt;&lt;wsp:rsid wsp:val=&quot;004234C0&quot;/&gt;&lt;wsp:rsid wsp:val=&quot;004235CD&quot;/&gt;&lt;wsp:rsid wsp:val=&quot;00423838&quot;/&gt;&lt;wsp:rsid wsp:val=&quot;00423A6B&quot;/&gt;&lt;wsp:rsid wsp:val=&quot;00423D33&quot;/&gt;&lt;wsp:rsid wsp:val=&quot;00423E24&quot;/&gt;&lt;wsp:rsid wsp:val=&quot;00424037&quot;/&gt;&lt;wsp:rsid wsp:val=&quot;00424346&quot;/&gt;&lt;wsp:rsid wsp:val=&quot;00424D07&quot;/&gt;&lt;wsp:rsid wsp:val=&quot;00424F70&quot;/&gt;&lt;wsp:rsid wsp:val=&quot;00425E90&quot;/&gt;&lt;wsp:rsid wsp:val=&quot;00425EB2&quot;/&gt;&lt;wsp:rsid wsp:val=&quot;00426257&quot;/&gt;&lt;wsp:rsid wsp:val=&quot;004262D3&quot;/&gt;&lt;wsp:rsid wsp:val=&quot;00426D18&quot;/&gt;&lt;wsp:rsid wsp:val=&quot;00426F7A&quot;/&gt;&lt;wsp:rsid wsp:val=&quot;004271CA&quot;/&gt;&lt;wsp:rsid wsp:val=&quot;00427DC4&quot;/&gt;&lt;wsp:rsid wsp:val=&quot;004300E6&quot;/&gt;&lt;wsp:rsid wsp:val=&quot;004307E4&quot;/&gt;&lt;wsp:rsid wsp:val=&quot;00430A89&quot;/&gt;&lt;wsp:rsid wsp:val=&quot;0043116E&quot;/&gt;&lt;wsp:rsid wsp:val=&quot;004313B3&quot;/&gt;&lt;wsp:rsid wsp:val=&quot;00431EB3&quot;/&gt;&lt;wsp:rsid wsp:val=&quot;00432562&quot;/&gt;&lt;wsp:rsid wsp:val=&quot;004327B8&quot;/&gt;&lt;wsp:rsid wsp:val=&quot;00432895&quot;/&gt;&lt;wsp:rsid wsp:val=&quot;00432967&quot;/&gt;&lt;wsp:rsid wsp:val=&quot;0043297C&quot;/&gt;&lt;wsp:rsid wsp:val=&quot;004333FF&quot;/&gt;&lt;wsp:rsid wsp:val=&quot;004336F0&quot;/&gt;&lt;wsp:rsid wsp:val=&quot;00433701&quot;/&gt;&lt;wsp:rsid wsp:val=&quot;00433CE8&quot;/&gt;&lt;wsp:rsid wsp:val=&quot;00434399&quot;/&gt;&lt;wsp:rsid wsp:val=&quot;00434506&quot;/&gt;&lt;wsp:rsid wsp:val=&quot;0043452F&quot;/&gt;&lt;wsp:rsid wsp:val=&quot;004345A4&quot;/&gt;&lt;wsp:rsid wsp:val=&quot;00434D29&quot;/&gt;&lt;wsp:rsid wsp:val=&quot;00434EFA&quot;/&gt;&lt;wsp:rsid wsp:val=&quot;00435623&quot;/&gt;&lt;wsp:rsid wsp:val=&quot;004359B4&quot;/&gt;&lt;wsp:rsid wsp:val=&quot;00435D1B&quot;/&gt;&lt;wsp:rsid wsp:val=&quot;00435EB4&quot;/&gt;&lt;wsp:rsid wsp:val=&quot;0043609F&quot;/&gt;&lt;wsp:rsid wsp:val=&quot;0043684C&quot;/&gt;&lt;wsp:rsid wsp:val=&quot;00436B97&quot;/&gt;&lt;wsp:rsid wsp:val=&quot;00437033&quot;/&gt;&lt;wsp:rsid wsp:val=&quot;00437304&quot;/&gt;&lt;wsp:rsid wsp:val=&quot;00437577&quot;/&gt;&lt;wsp:rsid wsp:val=&quot;00437E2A&quot;/&gt;&lt;wsp:rsid wsp:val=&quot;00437EF7&quot;/&gt;&lt;wsp:rsid wsp:val=&quot;00440166&quot;/&gt;&lt;wsp:rsid wsp:val=&quot;00440557&quot;/&gt;&lt;wsp:rsid wsp:val=&quot;004408A6&quot;/&gt;&lt;wsp:rsid wsp:val=&quot;00440CA0&quot;/&gt;&lt;wsp:rsid wsp:val=&quot;00441359&quot;/&gt;&lt;wsp:rsid wsp:val=&quot;00441637&quot;/&gt;&lt;wsp:rsid wsp:val=&quot;0044179D&quot;/&gt;&lt;wsp:rsid wsp:val=&quot;004417CD&quot;/&gt;&lt;wsp:rsid wsp:val=&quot;00441882&quot;/&gt;&lt;wsp:rsid wsp:val=&quot;004418C2&quot;/&gt;&lt;wsp:rsid wsp:val=&quot;004419F6&quot;/&gt;&lt;wsp:rsid wsp:val=&quot;00441A62&quot;/&gt;&lt;wsp:rsid wsp:val=&quot;00442EA7&quot;/&gt;&lt;wsp:rsid wsp:val=&quot;00444673&quot;/&gt;&lt;wsp:rsid wsp:val=&quot;00444F80&quot;/&gt;&lt;wsp:rsid wsp:val=&quot;004451D5&quot;/&gt;&lt;wsp:rsid wsp:val=&quot;004453BF&quot;/&gt;&lt;wsp:rsid wsp:val=&quot;0044545C&quot;/&gt;&lt;wsp:rsid wsp:val=&quot;00445C26&quot;/&gt;&lt;wsp:rsid wsp:val=&quot;00445D3E&quot;/&gt;&lt;wsp:rsid wsp:val=&quot;004460F9&quot;/&gt;&lt;wsp:rsid wsp:val=&quot;004464AE&quot;/&gt;&lt;wsp:rsid wsp:val=&quot;00446877&quot;/&gt;&lt;wsp:rsid wsp:val=&quot;00446A7E&quot;/&gt;&lt;wsp:rsid wsp:val=&quot;004470D8&quot;/&gt;&lt;wsp:rsid wsp:val=&quot;00447663&quot;/&gt;&lt;wsp:rsid wsp:val=&quot;004479EE&quot;/&gt;&lt;wsp:rsid wsp:val=&quot;00447B11&quot;/&gt;&lt;wsp:rsid wsp:val=&quot;00447B62&quot;/&gt;&lt;wsp:rsid wsp:val=&quot;00450171&quot;/&gt;&lt;wsp:rsid wsp:val=&quot;00450635&quot;/&gt;&lt;wsp:rsid wsp:val=&quot;00450676&quot;/&gt;&lt;wsp:rsid wsp:val=&quot;00450CD1&quot;/&gt;&lt;wsp:rsid wsp:val=&quot;0045100D&quot;/&gt;&lt;wsp:rsid wsp:val=&quot;00451366&quot;/&gt;&lt;wsp:rsid wsp:val=&quot;00451EAF&quot;/&gt;&lt;wsp:rsid wsp:val=&quot;0045202F&quot;/&gt;&lt;wsp:rsid wsp:val=&quot;00452436&quot;/&gt;&lt;wsp:rsid wsp:val=&quot;0045247A&quot;/&gt;&lt;wsp:rsid wsp:val=&quot;00452526&quot;/&gt;&lt;wsp:rsid wsp:val=&quot;00452542&quot;/&gt;&lt;wsp:rsid wsp:val=&quot;00452D4C&quot;/&gt;&lt;wsp:rsid wsp:val=&quot;0045371E&quot;/&gt;&lt;wsp:rsid wsp:val=&quot;004537A8&quot;/&gt;&lt;wsp:rsid wsp:val=&quot;00453892&quot;/&gt;&lt;wsp:rsid wsp:val=&quot;00453BC3&quot;/&gt;&lt;wsp:rsid wsp:val=&quot;00453D49&quot;/&gt;&lt;wsp:rsid wsp:val=&quot;004540AC&quot;/&gt;&lt;wsp:rsid wsp:val=&quot;0045438C&quot;/&gt;&lt;wsp:rsid wsp:val=&quot;00454652&quot;/&gt;&lt;wsp:rsid wsp:val=&quot;00454670&quot;/&gt;&lt;wsp:rsid wsp:val=&quot;00454764&quot;/&gt;&lt;wsp:rsid wsp:val=&quot;00454DAD&quot;/&gt;&lt;wsp:rsid wsp:val=&quot;00454E01&quot;/&gt;&lt;wsp:rsid wsp:val=&quot;00454EAD&quot;/&gt;&lt;wsp:rsid wsp:val=&quot;00455033&quot;/&gt;&lt;wsp:rsid wsp:val=&quot;00455238&quot;/&gt;&lt;wsp:rsid wsp:val=&quot;004558A2&quot;/&gt;&lt;wsp:rsid wsp:val=&quot;0045687A&quot;/&gt;&lt;wsp:rsid wsp:val=&quot;004571AA&quot;/&gt;&lt;wsp:rsid wsp:val=&quot;004573C3&quot;/&gt;&lt;wsp:rsid wsp:val=&quot;00457ED4&quot;/&gt;&lt;wsp:rsid wsp:val=&quot;004604E6&quot;/&gt;&lt;wsp:rsid wsp:val=&quot;00460FC4&quot;/&gt;&lt;wsp:rsid wsp:val=&quot;00461879&quot;/&gt;&lt;wsp:rsid wsp:val=&quot;00461A87&quot;/&gt;&lt;wsp:rsid wsp:val=&quot;00461DEA&quot;/&gt;&lt;wsp:rsid wsp:val=&quot;00461FFE&quot;/&gt;&lt;wsp:rsid wsp:val=&quot;00462065&quot;/&gt;&lt;wsp:rsid wsp:val=&quot;0046393D&quot;/&gt;&lt;wsp:rsid wsp:val=&quot;004640CE&quot;/&gt;&lt;wsp:rsid wsp:val=&quot;004641B7&quot;/&gt;&lt;wsp:rsid wsp:val=&quot;0046436D&quot;/&gt;&lt;wsp:rsid wsp:val=&quot;00464641&quot;/&gt;&lt;wsp:rsid wsp:val=&quot;004648B0&quot;/&gt;&lt;wsp:rsid wsp:val=&quot;00464BE3&quot;/&gt;&lt;wsp:rsid wsp:val=&quot;00464F7E&quot;/&gt;&lt;wsp:rsid wsp:val=&quot;00465247&quot;/&gt;&lt;wsp:rsid wsp:val=&quot;004652B3&quot;/&gt;&lt;wsp:rsid wsp:val=&quot;00465A60&quot;/&gt;&lt;wsp:rsid wsp:val=&quot;00465D56&quot;/&gt;&lt;wsp:rsid wsp:val=&quot;00465E32&quot;/&gt;&lt;wsp:rsid wsp:val=&quot;0046697D&quot;/&gt;&lt;wsp:rsid wsp:val=&quot;00466DFA&quot;/&gt;&lt;wsp:rsid wsp:val=&quot;00467080&quot;/&gt;&lt;wsp:rsid wsp:val=&quot;0046720D&quot;/&gt;&lt;wsp:rsid wsp:val=&quot;00467324&quot;/&gt;&lt;wsp:rsid wsp:val=&quot;004674FA&quot;/&gt;&lt;wsp:rsid wsp:val=&quot;004676DD&quot;/&gt;&lt;wsp:rsid wsp:val=&quot;004678C4&quot;/&gt;&lt;wsp:rsid wsp:val=&quot;00470019&quot;/&gt;&lt;wsp:rsid wsp:val=&quot;004706F0&quot;/&gt;&lt;wsp:rsid wsp:val=&quot;00470AB8&quot;/&gt;&lt;wsp:rsid wsp:val=&quot;0047118A&quot;/&gt;&lt;wsp:rsid wsp:val=&quot;00471570&quot;/&gt;&lt;wsp:rsid wsp:val=&quot;0047172F&quot;/&gt;&lt;wsp:rsid wsp:val=&quot;00471CB9&quot;/&gt;&lt;wsp:rsid wsp:val=&quot;00471CED&quot;/&gt;&lt;wsp:rsid wsp:val=&quot;00471E4C&quot;/&gt;&lt;wsp:rsid wsp:val=&quot;00472619&quot;/&gt;&lt;wsp:rsid wsp:val=&quot;00472C61&quot;/&gt;&lt;wsp:rsid wsp:val=&quot;00472D8C&quot;/&gt;&lt;wsp:rsid wsp:val=&quot;00472E63&quot;/&gt;&lt;wsp:rsid wsp:val=&quot;00473992&quot;/&gt;&lt;wsp:rsid wsp:val=&quot;00473BF1&quot;/&gt;&lt;wsp:rsid wsp:val=&quot;004742F3&quot;/&gt;&lt;wsp:rsid wsp:val=&quot;00474601&quot;/&gt;&lt;wsp:rsid wsp:val=&quot;0047480A&quot;/&gt;&lt;wsp:rsid wsp:val=&quot;00474E0A&quot;/&gt;&lt;wsp:rsid wsp:val=&quot;00474E34&quot;/&gt;&lt;wsp:rsid wsp:val=&quot;00475094&quot;/&gt;&lt;wsp:rsid wsp:val=&quot;004750C0&quot;/&gt;&lt;wsp:rsid wsp:val=&quot;0047518C&quot;/&gt;&lt;wsp:rsid wsp:val=&quot;004751A2&quot;/&gt;&lt;wsp:rsid wsp:val=&quot;00475CC2&quot;/&gt;&lt;wsp:rsid wsp:val=&quot;00475CFC&quot;/&gt;&lt;wsp:rsid wsp:val=&quot;00475D4F&quot;/&gt;&lt;wsp:rsid wsp:val=&quot;00475DE6&quot;/&gt;&lt;wsp:rsid wsp:val=&quot;00475FA7&quot;/&gt;&lt;wsp:rsid wsp:val=&quot;0047623B&quot;/&gt;&lt;wsp:rsid wsp:val=&quot;00476272&quot;/&gt;&lt;wsp:rsid wsp:val=&quot;00476A55&quot;/&gt;&lt;wsp:rsid wsp:val=&quot;00477018&quot;/&gt;&lt;wsp:rsid wsp:val=&quot;0047702B&quot;/&gt;&lt;wsp:rsid wsp:val=&quot;004772D6&quot;/&gt;&lt;wsp:rsid wsp:val=&quot;0047771C&quot;/&gt;&lt;wsp:rsid wsp:val=&quot;00477743&quot;/&gt;&lt;wsp:rsid wsp:val=&quot;00477A4A&quot;/&gt;&lt;wsp:rsid wsp:val=&quot;00477BBF&quot;/&gt;&lt;wsp:rsid wsp:val=&quot;0048040B&quot;/&gt;&lt;wsp:rsid wsp:val=&quot;0048080A&quot;/&gt;&lt;wsp:rsid wsp:val=&quot;0048090A&quot;/&gt;&lt;wsp:rsid wsp:val=&quot;00480AE6&quot;/&gt;&lt;wsp:rsid wsp:val=&quot;004812B2&quot;/&gt;&lt;wsp:rsid wsp:val=&quot;0048159B&quot;/&gt;&lt;wsp:rsid wsp:val=&quot;00481AFF&quot;/&gt;&lt;wsp:rsid wsp:val=&quot;00481B39&quot;/&gt;&lt;wsp:rsid wsp:val=&quot;00481CBB&quot;/&gt;&lt;wsp:rsid wsp:val=&quot;00481D45&quot;/&gt;&lt;wsp:rsid wsp:val=&quot;00481EC3&quot;/&gt;&lt;wsp:rsid wsp:val=&quot;00482275&quot;/&gt;&lt;wsp:rsid wsp:val=&quot;00482400&quot;/&gt;&lt;wsp:rsid wsp:val=&quot;00482EDB&quot;/&gt;&lt;wsp:rsid wsp:val=&quot;00482F11&quot;/&gt;&lt;wsp:rsid wsp:val=&quot;0048327F&quot;/&gt;&lt;wsp:rsid wsp:val=&quot;00483452&quot;/&gt;&lt;wsp:rsid wsp:val=&quot;0048348C&quot;/&gt;&lt;wsp:rsid wsp:val=&quot;00483538&quot;/&gt;&lt;wsp:rsid wsp:val=&quot;00483C62&quot;/&gt;&lt;wsp:rsid wsp:val=&quot;00483CA4&quot;/&gt;&lt;wsp:rsid wsp:val=&quot;004849BF&quot;/&gt;&lt;wsp:rsid wsp:val=&quot;004849F8&quot;/&gt;&lt;wsp:rsid wsp:val=&quot;00484B4D&quot;/&gt;&lt;wsp:rsid wsp:val=&quot;00484F7D&quot;/&gt;&lt;wsp:rsid wsp:val=&quot;004851D3&quot;/&gt;&lt;wsp:rsid wsp:val=&quot;0048581E&quot;/&gt;&lt;wsp:rsid wsp:val=&quot;00485CFD&quot;/&gt;&lt;wsp:rsid wsp:val=&quot;00485E1A&quot;/&gt;&lt;wsp:rsid wsp:val=&quot;00485E99&quot;/&gt;&lt;wsp:rsid wsp:val=&quot;00485F9F&quot;/&gt;&lt;wsp:rsid wsp:val=&quot;0048651D&quot;/&gt;&lt;wsp:rsid wsp:val=&quot;004865AE&quot;/&gt;&lt;wsp:rsid wsp:val=&quot;0048679D&quot;/&gt;&lt;wsp:rsid wsp:val=&quot;00486E5E&quot;/&gt;&lt;wsp:rsid wsp:val=&quot;00487463&quot;/&gt;&lt;wsp:rsid wsp:val=&quot;0048753B&quot;/&gt;&lt;wsp:rsid wsp:val=&quot;004879FC&quot;/&gt;&lt;wsp:rsid wsp:val=&quot;00487A1B&quot;/&gt;&lt;wsp:rsid wsp:val=&quot;00487AD1&quot;/&gt;&lt;wsp:rsid wsp:val=&quot;00487B27&quot;/&gt;&lt;wsp:rsid wsp:val=&quot;00487BD8&quot;/&gt;&lt;wsp:rsid wsp:val=&quot;00487E7B&quot;/&gt;&lt;wsp:rsid wsp:val=&quot;0049066F&quot;/&gt;&lt;wsp:rsid wsp:val=&quot;00490C48&quot;/&gt;&lt;wsp:rsid wsp:val=&quot;00490EAA&quot;/&gt;&lt;wsp:rsid wsp:val=&quot;00491143&quot;/&gt;&lt;wsp:rsid wsp:val=&quot;00491991&quot;/&gt;&lt;wsp:rsid wsp:val=&quot;00491AA3&quot;/&gt;&lt;wsp:rsid wsp:val=&quot;004923D4&quot;/&gt;&lt;wsp:rsid wsp:val=&quot;00492600&quot;/&gt;&lt;wsp:rsid wsp:val=&quot;004927A1&quot;/&gt;&lt;wsp:rsid wsp:val=&quot;004927B2&quot;/&gt;&lt;wsp:rsid wsp:val=&quot;00492E2B&quot;/&gt;&lt;wsp:rsid wsp:val=&quot;00493521&quot;/&gt;&lt;wsp:rsid wsp:val=&quot;00494636&quot;/&gt;&lt;wsp:rsid wsp:val=&quot;00494F65&quot;/&gt;&lt;wsp:rsid wsp:val=&quot;00494FAB&quot;/&gt;&lt;wsp:rsid wsp:val=&quot;004950A9&quot;/&gt;&lt;wsp:rsid wsp:val=&quot;00495107&quot;/&gt;&lt;wsp:rsid wsp:val=&quot;004951A2&quot;/&gt;&lt;wsp:rsid wsp:val=&quot;00495453&quot;/&gt;&lt;wsp:rsid wsp:val=&quot;004958C7&quot;/&gt;&lt;wsp:rsid wsp:val=&quot;00495A76&quot;/&gt;&lt;wsp:rsid wsp:val=&quot;00496243&quot;/&gt;&lt;wsp:rsid wsp:val=&quot;004962A6&quot;/&gt;&lt;wsp:rsid wsp:val=&quot;00496732&quot;/&gt;&lt;wsp:rsid wsp:val=&quot;004967AC&quot;/&gt;&lt;wsp:rsid wsp:val=&quot;00496F5E&quot;/&gt;&lt;wsp:rsid wsp:val=&quot;00496F82&quot;/&gt;&lt;wsp:rsid wsp:val=&quot;004971A1&quot;/&gt;&lt;wsp:rsid wsp:val=&quot;004971A2&quot;/&gt;&lt;wsp:rsid wsp:val=&quot;004977C6&quot;/&gt;&lt;wsp:rsid wsp:val=&quot;00497C5A&quot;/&gt;&lt;wsp:rsid wsp:val=&quot;00497EFE&quot;/&gt;&lt;wsp:rsid wsp:val=&quot;004A03B0&quot;/&gt;&lt;wsp:rsid wsp:val=&quot;004A13D6&quot;/&gt;&lt;wsp:rsid wsp:val=&quot;004A14BA&quot;/&gt;&lt;wsp:rsid wsp:val=&quot;004A1575&quot;/&gt;&lt;wsp:rsid wsp:val=&quot;004A1616&quot;/&gt;&lt;wsp:rsid wsp:val=&quot;004A1847&quot;/&gt;&lt;wsp:rsid wsp:val=&quot;004A1933&quot;/&gt;&lt;wsp:rsid wsp:val=&quot;004A19F0&quot;/&gt;&lt;wsp:rsid wsp:val=&quot;004A203B&quot;/&gt;&lt;wsp:rsid wsp:val=&quot;004A2965&quot;/&gt;&lt;wsp:rsid wsp:val=&quot;004A2AEE&quot;/&gt;&lt;wsp:rsid wsp:val=&quot;004A2D3D&quot;/&gt;&lt;wsp:rsid wsp:val=&quot;004A30FA&quot;/&gt;&lt;wsp:rsid wsp:val=&quot;004A3274&quot;/&gt;&lt;wsp:rsid wsp:val=&quot;004A357F&quot;/&gt;&lt;wsp:rsid wsp:val=&quot;004A38DC&quot;/&gt;&lt;wsp:rsid wsp:val=&quot;004A3FA1&quot;/&gt;&lt;wsp:rsid wsp:val=&quot;004A43AC&quot;/&gt;&lt;wsp:rsid wsp:val=&quot;004A48BA&quot;/&gt;&lt;wsp:rsid wsp:val=&quot;004A4B31&quot;/&gt;&lt;wsp:rsid wsp:val=&quot;004A575A&quot;/&gt;&lt;wsp:rsid wsp:val=&quot;004A57F0&quot;/&gt;&lt;wsp:rsid wsp:val=&quot;004A5FB0&quot;/&gt;&lt;wsp:rsid wsp:val=&quot;004A624A&quot;/&gt;&lt;wsp:rsid wsp:val=&quot;004A6314&quot;/&gt;&lt;wsp:rsid wsp:val=&quot;004A6C5B&quot;/&gt;&lt;wsp:rsid wsp:val=&quot;004A6C60&quot;/&gt;&lt;wsp:rsid wsp:val=&quot;004A6CB1&quot;/&gt;&lt;wsp:rsid wsp:val=&quot;004A702C&quot;/&gt;&lt;wsp:rsid wsp:val=&quot;004A7066&quot;/&gt;&lt;wsp:rsid wsp:val=&quot;004A7782&quot;/&gt;&lt;wsp:rsid wsp:val=&quot;004B0241&quot;/&gt;&lt;wsp:rsid wsp:val=&quot;004B03D5&quot;/&gt;&lt;wsp:rsid wsp:val=&quot;004B0750&quot;/&gt;&lt;wsp:rsid wsp:val=&quot;004B078C&quot;/&gt;&lt;wsp:rsid wsp:val=&quot;004B0821&quot;/&gt;&lt;wsp:rsid wsp:val=&quot;004B0D19&quot;/&gt;&lt;wsp:rsid wsp:val=&quot;004B10DE&quot;/&gt;&lt;wsp:rsid wsp:val=&quot;004B17C3&quot;/&gt;&lt;wsp:rsid wsp:val=&quot;004B1D56&quot;/&gt;&lt;wsp:rsid wsp:val=&quot;004B2663&quot;/&gt;&lt;wsp:rsid wsp:val=&quot;004B2766&quot;/&gt;&lt;wsp:rsid wsp:val=&quot;004B2C56&quot;/&gt;&lt;wsp:rsid wsp:val=&quot;004B2D9A&quot;/&gt;&lt;wsp:rsid wsp:val=&quot;004B30BE&quot;/&gt;&lt;wsp:rsid wsp:val=&quot;004B336A&quot;/&gt;&lt;wsp:rsid wsp:val=&quot;004B36BE&quot;/&gt;&lt;wsp:rsid wsp:val=&quot;004B486B&quot;/&gt;&lt;wsp:rsid wsp:val=&quot;004B4A10&quot;/&gt;&lt;wsp:rsid wsp:val=&quot;004B5230&quot;/&gt;&lt;wsp:rsid wsp:val=&quot;004B533F&quot;/&gt;&lt;wsp:rsid wsp:val=&quot;004B58E5&quot;/&gt;&lt;wsp:rsid wsp:val=&quot;004B5C15&quot;/&gt;&lt;wsp:rsid wsp:val=&quot;004B6059&quot;/&gt;&lt;wsp:rsid wsp:val=&quot;004B6A26&quot;/&gt;&lt;wsp:rsid wsp:val=&quot;004B6B28&quot;/&gt;&lt;wsp:rsid wsp:val=&quot;004B6E3E&quot;/&gt;&lt;wsp:rsid wsp:val=&quot;004B6E71&quot;/&gt;&lt;wsp:rsid wsp:val=&quot;004B6E9A&quot;/&gt;&lt;wsp:rsid wsp:val=&quot;004B7279&quot;/&gt;&lt;wsp:rsid wsp:val=&quot;004B7E70&quot;/&gt;&lt;wsp:rsid wsp:val=&quot;004B7FC4&quot;/&gt;&lt;wsp:rsid wsp:val=&quot;004C07AC&quot;/&gt;&lt;wsp:rsid wsp:val=&quot;004C0F84&quot;/&gt;&lt;wsp:rsid wsp:val=&quot;004C0F8E&quot;/&gt;&lt;wsp:rsid wsp:val=&quot;004C10DF&quot;/&gt;&lt;wsp:rsid wsp:val=&quot;004C112B&quot;/&gt;&lt;wsp:rsid wsp:val=&quot;004C122E&quot;/&gt;&lt;wsp:rsid wsp:val=&quot;004C1B15&quot;/&gt;&lt;wsp:rsid wsp:val=&quot;004C1CDC&quot;/&gt;&lt;wsp:rsid wsp:val=&quot;004C235F&quot;/&gt;&lt;wsp:rsid wsp:val=&quot;004C2409&quot;/&gt;&lt;wsp:rsid wsp:val=&quot;004C270A&quot;/&gt;&lt;wsp:rsid wsp:val=&quot;004C318A&quot;/&gt;&lt;wsp:rsid wsp:val=&quot;004C3274&quot;/&gt;&lt;wsp:rsid wsp:val=&quot;004C3374&quot;/&gt;&lt;wsp:rsid wsp:val=&quot;004C3593&quot;/&gt;&lt;wsp:rsid wsp:val=&quot;004C4348&quot;/&gt;&lt;wsp:rsid wsp:val=&quot;004C45E4&quot;/&gt;&lt;wsp:rsid wsp:val=&quot;004C4F75&quot;/&gt;&lt;wsp:rsid wsp:val=&quot;004C51AA&quot;/&gt;&lt;wsp:rsid wsp:val=&quot;004C539D&quot;/&gt;&lt;wsp:rsid wsp:val=&quot;004C575B&quot;/&gt;&lt;wsp:rsid wsp:val=&quot;004C582E&quot;/&gt;&lt;wsp:rsid wsp:val=&quot;004C5A4E&quot;/&gt;&lt;wsp:rsid wsp:val=&quot;004C6A51&quot;/&gt;&lt;wsp:rsid wsp:val=&quot;004C6BA2&quot;/&gt;&lt;wsp:rsid wsp:val=&quot;004C759F&quot;/&gt;&lt;wsp:rsid wsp:val=&quot;004C7AE1&quot;/&gt;&lt;wsp:rsid wsp:val=&quot;004C7D10&quot;/&gt;&lt;wsp:rsid wsp:val=&quot;004C7D51&quot;/&gt;&lt;wsp:rsid wsp:val=&quot;004D0026&quot;/&gt;&lt;wsp:rsid wsp:val=&quot;004D0104&quot;/&gt;&lt;wsp:rsid wsp:val=&quot;004D0866&quot;/&gt;&lt;wsp:rsid wsp:val=&quot;004D08A6&quot;/&gt;&lt;wsp:rsid wsp:val=&quot;004D0BDE&quot;/&gt;&lt;wsp:rsid wsp:val=&quot;004D0E4B&quot;/&gt;&lt;wsp:rsid wsp:val=&quot;004D0FA9&quot;/&gt;&lt;wsp:rsid wsp:val=&quot;004D0FF5&quot;/&gt;&lt;wsp:rsid wsp:val=&quot;004D12F8&quot;/&gt;&lt;wsp:rsid wsp:val=&quot;004D1599&quot;/&gt;&lt;wsp:rsid wsp:val=&quot;004D1704&quot;/&gt;&lt;wsp:rsid wsp:val=&quot;004D1B45&quot;/&gt;&lt;wsp:rsid wsp:val=&quot;004D1BF7&quot;/&gt;&lt;wsp:rsid wsp:val=&quot;004D1C44&quot;/&gt;&lt;wsp:rsid wsp:val=&quot;004D1F08&quot;/&gt;&lt;wsp:rsid wsp:val=&quot;004D214E&quot;/&gt;&lt;wsp:rsid wsp:val=&quot;004D278F&quot;/&gt;&lt;wsp:rsid wsp:val=&quot;004D2869&quot;/&gt;&lt;wsp:rsid wsp:val=&quot;004D2A35&quot;/&gt;&lt;wsp:rsid wsp:val=&quot;004D2F9B&quot;/&gt;&lt;wsp:rsid wsp:val=&quot;004D31CA&quot;/&gt;&lt;wsp:rsid wsp:val=&quot;004D397B&quot;/&gt;&lt;wsp:rsid wsp:val=&quot;004D3E45&quot;/&gt;&lt;wsp:rsid wsp:val=&quot;004D3EC3&quot;/&gt;&lt;wsp:rsid wsp:val=&quot;004D40E9&quot;/&gt;&lt;wsp:rsid wsp:val=&quot;004D4545&quot;/&gt;&lt;wsp:rsid wsp:val=&quot;004D4AA9&quot;/&gt;&lt;wsp:rsid wsp:val=&quot;004D4B2B&quot;/&gt;&lt;wsp:rsid wsp:val=&quot;004D4B40&quot;/&gt;&lt;wsp:rsid wsp:val=&quot;004D4FB5&quot;/&gt;&lt;wsp:rsid wsp:val=&quot;004D5149&quot;/&gt;&lt;wsp:rsid wsp:val=&quot;004D5607&quot;/&gt;&lt;wsp:rsid wsp:val=&quot;004D5BFB&quot;/&gt;&lt;wsp:rsid wsp:val=&quot;004D5C17&quot;/&gt;&lt;wsp:rsid wsp:val=&quot;004D5C28&quot;/&gt;&lt;wsp:rsid wsp:val=&quot;004D5DBA&quot;/&gt;&lt;wsp:rsid wsp:val=&quot;004D5F58&quot;/&gt;&lt;wsp:rsid wsp:val=&quot;004D60E9&quot;/&gt;&lt;wsp:rsid wsp:val=&quot;004D6240&quot;/&gt;&lt;wsp:rsid wsp:val=&quot;004D6413&quot;/&gt;&lt;wsp:rsid wsp:val=&quot;004D6807&quot;/&gt;&lt;wsp:rsid wsp:val=&quot;004D6AB9&quot;/&gt;&lt;wsp:rsid wsp:val=&quot;004D6D8C&quot;/&gt;&lt;wsp:rsid wsp:val=&quot;004D75D2&quot;/&gt;&lt;wsp:rsid wsp:val=&quot;004D7B4C&quot;/&gt;&lt;wsp:rsid wsp:val=&quot;004D7BDB&quot;/&gt;&lt;wsp:rsid wsp:val=&quot;004E00E8&quot;/&gt;&lt;wsp:rsid wsp:val=&quot;004E02CB&quot;/&gt;&lt;wsp:rsid wsp:val=&quot;004E02EA&quot;/&gt;&lt;wsp:rsid wsp:val=&quot;004E0C53&quot;/&gt;&lt;wsp:rsid wsp:val=&quot;004E0E57&quot;/&gt;&lt;wsp:rsid wsp:val=&quot;004E0F35&quot;/&gt;&lt;wsp:rsid wsp:val=&quot;004E1239&quot;/&gt;&lt;wsp:rsid wsp:val=&quot;004E1979&quot;/&gt;&lt;wsp:rsid wsp:val=&quot;004E1C06&quot;/&gt;&lt;wsp:rsid wsp:val=&quot;004E2008&quot;/&gt;&lt;wsp:rsid wsp:val=&quot;004E21B2&quot;/&gt;&lt;wsp:rsid wsp:val=&quot;004E221B&quot;/&gt;&lt;wsp:rsid wsp:val=&quot;004E28ED&quot;/&gt;&lt;wsp:rsid wsp:val=&quot;004E2C85&quot;/&gt;&lt;wsp:rsid wsp:val=&quot;004E3531&quot;/&gt;&lt;wsp:rsid wsp:val=&quot;004E404B&quot;/&gt;&lt;wsp:rsid wsp:val=&quot;004E40A2&quot;/&gt;&lt;wsp:rsid wsp:val=&quot;004E4A3B&quot;/&gt;&lt;wsp:rsid wsp:val=&quot;004E4AC2&quot;/&gt;&lt;wsp:rsid wsp:val=&quot;004E54AC&quot;/&gt;&lt;wsp:rsid wsp:val=&quot;004E554A&quot;/&gt;&lt;wsp:rsid wsp:val=&quot;004E5A1D&quot;/&gt;&lt;wsp:rsid wsp:val=&quot;004E5B31&quot;/&gt;&lt;wsp:rsid wsp:val=&quot;004E5C6D&quot;/&gt;&lt;wsp:rsid wsp:val=&quot;004E5E30&quot;/&gt;&lt;wsp:rsid wsp:val=&quot;004E605D&quot;/&gt;&lt;wsp:rsid wsp:val=&quot;004E72FB&quot;/&gt;&lt;wsp:rsid wsp:val=&quot;004E749E&quot;/&gt;&lt;wsp:rsid wsp:val=&quot;004E783C&quot;/&gt;&lt;wsp:rsid wsp:val=&quot;004E7A85&quot;/&gt;&lt;wsp:rsid wsp:val=&quot;004E7B0D&quot;/&gt;&lt;wsp:rsid wsp:val=&quot;004F03EF&quot;/&gt;&lt;wsp:rsid wsp:val=&quot;004F0763&quot;/&gt;&lt;wsp:rsid wsp:val=&quot;004F0CEF&quot;/&gt;&lt;wsp:rsid wsp:val=&quot;004F0CFD&quot;/&gt;&lt;wsp:rsid wsp:val=&quot;004F0D56&quot;/&gt;&lt;wsp:rsid wsp:val=&quot;004F105B&quot;/&gt;&lt;wsp:rsid wsp:val=&quot;004F11F3&quot;/&gt;&lt;wsp:rsid wsp:val=&quot;004F13E1&quot;/&gt;&lt;wsp:rsid wsp:val=&quot;004F1512&quot;/&gt;&lt;wsp:rsid wsp:val=&quot;004F1559&quot;/&gt;&lt;wsp:rsid wsp:val=&quot;004F1A3D&quot;/&gt;&lt;wsp:rsid wsp:val=&quot;004F240F&quot;/&gt;&lt;wsp:rsid wsp:val=&quot;004F2A8F&quot;/&gt;&lt;wsp:rsid wsp:val=&quot;004F3014&quot;/&gt;&lt;wsp:rsid wsp:val=&quot;004F35D6&quot;/&gt;&lt;wsp:rsid wsp:val=&quot;004F37FD&quot;/&gt;&lt;wsp:rsid wsp:val=&quot;004F3AFB&quot;/&gt;&lt;wsp:rsid wsp:val=&quot;004F3F73&quot;/&gt;&lt;wsp:rsid wsp:val=&quot;004F4548&quot;/&gt;&lt;wsp:rsid wsp:val=&quot;004F48E0&quot;/&gt;&lt;wsp:rsid wsp:val=&quot;004F49D2&quot;/&gt;&lt;wsp:rsid wsp:val=&quot;004F4A95&quot;/&gt;&lt;wsp:rsid wsp:val=&quot;004F50C2&quot;/&gt;&lt;wsp:rsid wsp:val=&quot;004F55E3&quot;/&gt;&lt;wsp:rsid wsp:val=&quot;004F57A5&quot;/&gt;&lt;wsp:rsid wsp:val=&quot;004F59BA&quot;/&gt;&lt;wsp:rsid wsp:val=&quot;004F5A44&quot;/&gt;&lt;wsp:rsid wsp:val=&quot;004F5E35&quot;/&gt;&lt;wsp:rsid wsp:val=&quot;004F6B33&quot;/&gt;&lt;wsp:rsid wsp:val=&quot;004F6C56&quot;/&gt;&lt;wsp:rsid wsp:val=&quot;004F6D0E&quot;/&gt;&lt;wsp:rsid wsp:val=&quot;004F6F0E&quot;/&gt;&lt;wsp:rsid wsp:val=&quot;004F7136&quot;/&gt;&lt;wsp:rsid wsp:val=&quot;004F75C7&quot;/&gt;&lt;wsp:rsid wsp:val=&quot;004F790A&quot;/&gt;&lt;wsp:rsid wsp:val=&quot;004F79DF&quot;/&gt;&lt;wsp:rsid wsp:val=&quot;004F7E9F&quot;/&gt;&lt;wsp:rsid wsp:val=&quot;00500577&quot;/&gt;&lt;wsp:rsid wsp:val=&quot;00500733&quot;/&gt;&lt;wsp:rsid wsp:val=&quot;0050100D&quot;/&gt;&lt;wsp:rsid wsp:val=&quot;00501598&quot;/&gt;&lt;wsp:rsid wsp:val=&quot;00501625&quot;/&gt;&lt;wsp:rsid wsp:val=&quot;00501C56&quot;/&gt;&lt;wsp:rsid wsp:val=&quot;00501FC8&quot;/&gt;&lt;wsp:rsid wsp:val=&quot;005024B7&quot;/&gt;&lt;wsp:rsid wsp:val=&quot;00502CD7&quot;/&gt;&lt;wsp:rsid wsp:val=&quot;00502F16&quot;/&gt;&lt;wsp:rsid wsp:val=&quot;00502F28&quot;/&gt;&lt;wsp:rsid wsp:val=&quot;005030F7&quot;/&gt;&lt;wsp:rsid wsp:val=&quot;005031C1&quot;/&gt;&lt;wsp:rsid wsp:val=&quot;005033EA&quot;/&gt;&lt;wsp:rsid wsp:val=&quot;005037E7&quot;/&gt;&lt;wsp:rsid wsp:val=&quot;00503DE1&quot;/&gt;&lt;wsp:rsid wsp:val=&quot;00503F9A&quot;/&gt;&lt;wsp:rsid wsp:val=&quot;005044AA&quot;/&gt;&lt;wsp:rsid wsp:val=&quot;005047C1&quot;/&gt;&lt;wsp:rsid wsp:val=&quot;00504836&quot;/&gt;&lt;wsp:rsid wsp:val=&quot;00505200&quot;/&gt;&lt;wsp:rsid wsp:val=&quot;00505322&quot;/&gt;&lt;wsp:rsid wsp:val=&quot;005056AC&quot;/&gt;&lt;wsp:rsid wsp:val=&quot;00505E12&quot;/&gt;&lt;wsp:rsid wsp:val=&quot;00505F6E&quot;/&gt;&lt;wsp:rsid wsp:val=&quot;0050608B&quot;/&gt;&lt;wsp:rsid wsp:val=&quot;00506436&quot;/&gt;&lt;wsp:rsid wsp:val=&quot;005064C5&quot;/&gt;&lt;wsp:rsid wsp:val=&quot;005067A9&quot;/&gt;&lt;wsp:rsid wsp:val=&quot;00506A55&quot;/&gt;&lt;wsp:rsid wsp:val=&quot;00506E5C&quot;/&gt;&lt;wsp:rsid wsp:val=&quot;005074FF&quot;/&gt;&lt;wsp:rsid wsp:val=&quot;005076F1&quot;/&gt;&lt;wsp:rsid wsp:val=&quot;00507B11&quot;/&gt;&lt;wsp:rsid wsp:val=&quot;00507B96&quot;/&gt;&lt;wsp:rsid wsp:val=&quot;0051054C&quot;/&gt;&lt;wsp:rsid wsp:val=&quot;0051076C&quot;/&gt;&lt;wsp:rsid wsp:val=&quot;00510B13&quot;/&gt;&lt;wsp:rsid wsp:val=&quot;0051106E&quot;/&gt;&lt;wsp:rsid wsp:val=&quot;005112F2&quot;/&gt;&lt;wsp:rsid wsp:val=&quot;005113FB&quot;/&gt;&lt;wsp:rsid wsp:val=&quot;005118BB&quot;/&gt;&lt;wsp:rsid wsp:val=&quot;00511B31&quot;/&gt;&lt;wsp:rsid wsp:val=&quot;00511C2E&quot;/&gt;&lt;wsp:rsid wsp:val=&quot;00512025&quot;/&gt;&lt;wsp:rsid wsp:val=&quot;005120C8&quot;/&gt;&lt;wsp:rsid wsp:val=&quot;005121F4&quot;/&gt;&lt;wsp:rsid wsp:val=&quot;0051255A&quot;/&gt;&lt;wsp:rsid wsp:val=&quot;005127CB&quot;/&gt;&lt;wsp:rsid wsp:val=&quot;00512AF9&quot;/&gt;&lt;wsp:rsid wsp:val=&quot;00512C2A&quot;/&gt;&lt;wsp:rsid wsp:val=&quot;00512D4E&quot;/&gt;&lt;wsp:rsid wsp:val=&quot;005130A6&quot;/&gt;&lt;wsp:rsid wsp:val=&quot;00513278&quot;/&gt;&lt;wsp:rsid wsp:val=&quot;0051371A&quot;/&gt;&lt;wsp:rsid wsp:val=&quot;005138B9&quot;/&gt;&lt;wsp:rsid wsp:val=&quot;005141C9&quot;/&gt;&lt;wsp:rsid wsp:val=&quot;00514395&quot;/&gt;&lt;wsp:rsid wsp:val=&quot;00514970&quot;/&gt;&lt;wsp:rsid wsp:val=&quot;00515442&quot;/&gt;&lt;wsp:rsid wsp:val=&quot;005156E1&quot;/&gt;&lt;wsp:rsid wsp:val=&quot;00515A0C&quot;/&gt;&lt;wsp:rsid wsp:val=&quot;00515B11&quot;/&gt;&lt;wsp:rsid wsp:val=&quot;00515B93&quot;/&gt;&lt;wsp:rsid wsp:val=&quot;005165A1&quot;/&gt;&lt;wsp:rsid wsp:val=&quot;0051687C&quot;/&gt;&lt;wsp:rsid wsp:val=&quot;005168C0&quot;/&gt;&lt;wsp:rsid wsp:val=&quot;00516C2D&quot;/&gt;&lt;wsp:rsid wsp:val=&quot;00517134&quot;/&gt;&lt;wsp:rsid wsp:val=&quot;00517512&quot;/&gt;&lt;wsp:rsid wsp:val=&quot;005175AB&quot;/&gt;&lt;wsp:rsid wsp:val=&quot;00517BB0&quot;/&gt;&lt;wsp:rsid wsp:val=&quot;00517CFD&quot;/&gt;&lt;wsp:rsid wsp:val=&quot;0052016F&quot;/&gt;&lt;wsp:rsid wsp:val=&quot;00520542&quot;/&gt;&lt;wsp:rsid wsp:val=&quot;00520B6E&quot;/&gt;&lt;wsp:rsid wsp:val=&quot;00520F53&quot;/&gt;&lt;wsp:rsid wsp:val=&quot;00522355&quot;/&gt;&lt;wsp:rsid wsp:val=&quot;0052278C&quot;/&gt;&lt;wsp:rsid wsp:val=&quot;00522BEE&quot;/&gt;&lt;wsp:rsid wsp:val=&quot;00523264&quot;/&gt;&lt;wsp:rsid wsp:val=&quot;005233A8&quot;/&gt;&lt;wsp:rsid wsp:val=&quot;00523529&quot;/&gt;&lt;wsp:rsid wsp:val=&quot;00523C6B&quot;/&gt;&lt;wsp:rsid wsp:val=&quot;00523C9F&quot;/&gt;&lt;wsp:rsid wsp:val=&quot;00523ECA&quot;/&gt;&lt;wsp:rsid wsp:val=&quot;0052405A&quot;/&gt;&lt;wsp:rsid wsp:val=&quot;0052415C&quot;/&gt;&lt;wsp:rsid wsp:val=&quot;0052464F&quot;/&gt;&lt;wsp:rsid wsp:val=&quot;00524DBD&quot;/&gt;&lt;wsp:rsid wsp:val=&quot;00524DC8&quot;/&gt;&lt;wsp:rsid wsp:val=&quot;00524DCA&quot;/&gt;&lt;wsp:rsid wsp:val=&quot;00525191&quot;/&gt;&lt;wsp:rsid wsp:val=&quot;005256C7&quot;/&gt;&lt;wsp:rsid wsp:val=&quot;00525A8D&quot;/&gt;&lt;wsp:rsid wsp:val=&quot;00525BB6&quot;/&gt;&lt;wsp:rsid wsp:val=&quot;00526818&quot;/&gt;&lt;wsp:rsid wsp:val=&quot;00526C85&quot;/&gt;&lt;wsp:rsid wsp:val=&quot;00526F2B&quot;/&gt;&lt;wsp:rsid wsp:val=&quot;005275BB&quot;/&gt;&lt;wsp:rsid wsp:val=&quot;00527C73&quot;/&gt;&lt;wsp:rsid wsp:val=&quot;00527DD8&quot;/&gt;&lt;wsp:rsid wsp:val=&quot;00527EB8&quot;/&gt;&lt;wsp:rsid wsp:val=&quot;00527EEB&quot;/&gt;&lt;wsp:rsid wsp:val=&quot;00527F5A&quot;/&gt;&lt;wsp:rsid wsp:val=&quot;005302A0&quot;/&gt;&lt;wsp:rsid wsp:val=&quot;005309CF&quot;/&gt;&lt;wsp:rsid wsp:val=&quot;00530B4E&quot;/&gt;&lt;wsp:rsid wsp:val=&quot;00530C52&quot;/&gt;&lt;wsp:rsid wsp:val=&quot;00530EE1&quot;/&gt;&lt;wsp:rsid wsp:val=&quot;005314AC&quot;/&gt;&lt;wsp:rsid wsp:val=&quot;0053189F&quot;/&gt;&lt;wsp:rsid wsp:val=&quot;005319E8&quot;/&gt;&lt;wsp:rsid wsp:val=&quot;00531A40&quot;/&gt;&lt;wsp:rsid wsp:val=&quot;00531BF6&quot;/&gt;&lt;wsp:rsid wsp:val=&quot;00531D1B&quot;/&gt;&lt;wsp:rsid wsp:val=&quot;00531FBD&quot;/&gt;&lt;wsp:rsid wsp:val=&quot;00532038&quot;/&gt;&lt;wsp:rsid wsp:val=&quot;0053223E&quot;/&gt;&lt;wsp:rsid wsp:val=&quot;00532BFD&quot;/&gt;&lt;wsp:rsid wsp:val=&quot;005331EB&quot;/&gt;&lt;wsp:rsid wsp:val=&quot;0053340F&quot;/&gt;&lt;wsp:rsid wsp:val=&quot;00533DD0&quot;/&gt;&lt;wsp:rsid wsp:val=&quot;005341FD&quot;/&gt;&lt;wsp:rsid wsp:val=&quot;00534641&quot;/&gt;&lt;wsp:rsid wsp:val=&quot;00534A13&quot;/&gt;&lt;wsp:rsid wsp:val=&quot;00534A7F&quot;/&gt;&lt;wsp:rsid wsp:val=&quot;00534B7C&quot;/&gt;&lt;wsp:rsid wsp:val=&quot;00534D6C&quot;/&gt;&lt;wsp:rsid wsp:val=&quot;00534E43&quot;/&gt;&lt;wsp:rsid wsp:val=&quot;00534F6E&quot;/&gt;&lt;wsp:rsid wsp:val=&quot;005350EE&quot;/&gt;&lt;wsp:rsid wsp:val=&quot;005351A4&quot;/&gt;&lt;wsp:rsid wsp:val=&quot;00536272&quot;/&gt;&lt;wsp:rsid wsp:val=&quot;005362FA&quot;/&gt;&lt;wsp:rsid wsp:val=&quot;005363F6&quot;/&gt;&lt;wsp:rsid wsp:val=&quot;005366DB&quot;/&gt;&lt;wsp:rsid wsp:val=&quot;00537278&quot;/&gt;&lt;wsp:rsid wsp:val=&quot;00537466&quot;/&gt;&lt;wsp:rsid wsp:val=&quot;0053764C&quot;/&gt;&lt;wsp:rsid wsp:val=&quot;005378CC&quot;/&gt;&lt;wsp:rsid wsp:val=&quot;00540464&quot;/&gt;&lt;wsp:rsid wsp:val=&quot;00540519&quot;/&gt;&lt;wsp:rsid wsp:val=&quot;0054062E&quot;/&gt;&lt;wsp:rsid wsp:val=&quot;00540B3F&quot;/&gt;&lt;wsp:rsid wsp:val=&quot;00540C4F&quot;/&gt;&lt;wsp:rsid wsp:val=&quot;005413F0&quot;/&gt;&lt;wsp:rsid wsp:val=&quot;0054158F&quot;/&gt;&lt;wsp:rsid wsp:val=&quot;00541883&quot;/&gt;&lt;wsp:rsid wsp:val=&quot;0054248A&quot;/&gt;&lt;wsp:rsid wsp:val=&quot;00542518&quot;/&gt;&lt;wsp:rsid wsp:val=&quot;005429A5&quot;/&gt;&lt;wsp:rsid wsp:val=&quot;00542B13&quot;/&gt;&lt;wsp:rsid wsp:val=&quot;00542DF9&quot;/&gt;&lt;wsp:rsid wsp:val=&quot;00542EC2&quot;/&gt;&lt;wsp:rsid wsp:val=&quot;00542EC5&quot;/&gt;&lt;wsp:rsid wsp:val=&quot;005432ED&quot;/&gt;&lt;wsp:rsid wsp:val=&quot;005433BE&quot;/&gt;&lt;wsp:rsid wsp:val=&quot;00543B60&quot;/&gt;&lt;wsp:rsid wsp:val=&quot;00543D2C&quot;/&gt;&lt;wsp:rsid wsp:val=&quot;00543E62&quot;/&gt;&lt;wsp:rsid wsp:val=&quot;00544A3A&quot;/&gt;&lt;wsp:rsid wsp:val=&quot;00544AE0&quot;/&gt;&lt;wsp:rsid wsp:val=&quot;005450FC&quot;/&gt;&lt;wsp:rsid wsp:val=&quot;005454B6&quot;/&gt;&lt;wsp:rsid wsp:val=&quot;0054557A&quot;/&gt;&lt;wsp:rsid wsp:val=&quot;0054572F&quot;/&gt;&lt;wsp:rsid wsp:val=&quot;0054580B&quot;/&gt;&lt;wsp:rsid wsp:val=&quot;00545C39&quot;/&gt;&lt;wsp:rsid wsp:val=&quot;005463AC&quot;/&gt;&lt;wsp:rsid wsp:val=&quot;00546613&quot;/&gt;&lt;wsp:rsid wsp:val=&quot;005466BF&quot;/&gt;&lt;wsp:rsid wsp:val=&quot;00546E34&quot;/&gt;&lt;wsp:rsid wsp:val=&quot;005471C5&quot;/&gt;&lt;wsp:rsid wsp:val=&quot;0054797D&quot;/&gt;&lt;wsp:rsid wsp:val=&quot;00547A2A&quot;/&gt;&lt;wsp:rsid wsp:val=&quot;00547A90&quot;/&gt;&lt;wsp:rsid wsp:val=&quot;005502DF&quot;/&gt;&lt;wsp:rsid wsp:val=&quot;0055071D&quot;/&gt;&lt;wsp:rsid wsp:val=&quot;005507A8&quot;/&gt;&lt;wsp:rsid wsp:val=&quot;00550DEE&quot;/&gt;&lt;wsp:rsid wsp:val=&quot;00550EB7&quot;/&gt;&lt;wsp:rsid wsp:val=&quot;00550F23&quot;/&gt;&lt;wsp:rsid wsp:val=&quot;0055129C&quot;/&gt;&lt;wsp:rsid wsp:val=&quot;0055189C&quot;/&gt;&lt;wsp:rsid wsp:val=&quot;005518C4&quot;/&gt;&lt;wsp:rsid wsp:val=&quot;005519E6&quot;/&gt;&lt;wsp:rsid wsp:val=&quot;00551EFD&quot;/&gt;&lt;wsp:rsid wsp:val=&quot;00551F85&quot;/&gt;&lt;wsp:rsid wsp:val=&quot;00552B32&quot;/&gt;&lt;wsp:rsid wsp:val=&quot;00552E20&quot;/&gt;&lt;wsp:rsid wsp:val=&quot;005531A0&quot;/&gt;&lt;wsp:rsid wsp:val=&quot;005533CC&quot;/&gt;&lt;wsp:rsid wsp:val=&quot;005534DB&quot;/&gt;&lt;wsp:rsid wsp:val=&quot;00553ECF&quot;/&gt;&lt;wsp:rsid wsp:val=&quot;00553FD2&quot;/&gt;&lt;wsp:rsid wsp:val=&quot;005541AE&quot;/&gt;&lt;wsp:rsid wsp:val=&quot;005548A5&quot;/&gt;&lt;wsp:rsid wsp:val=&quot;00555064&quot;/&gt;&lt;wsp:rsid wsp:val=&quot;00555592&quot;/&gt;&lt;wsp:rsid wsp:val=&quot;0055590C&quot;/&gt;&lt;wsp:rsid wsp:val=&quot;00555A1B&quot;/&gt;&lt;wsp:rsid wsp:val=&quot;00556565&quot;/&gt;&lt;wsp:rsid wsp:val=&quot;005579F6&quot;/&gt;&lt;wsp:rsid wsp:val=&quot;00557B05&quot;/&gt;&lt;wsp:rsid wsp:val=&quot;00557BF9&quot;/&gt;&lt;wsp:rsid wsp:val=&quot;00557C50&quot;/&gt;&lt;wsp:rsid wsp:val=&quot;005602E5&quot;/&gt;&lt;wsp:rsid wsp:val=&quot;00560692&quot;/&gt;&lt;wsp:rsid wsp:val=&quot;005609DB&quot;/&gt;&lt;wsp:rsid wsp:val=&quot;00560C37&quot;/&gt;&lt;wsp:rsid wsp:val=&quot;00560CD8&quot;/&gt;&lt;wsp:rsid wsp:val=&quot;00560FE6&quot;/&gt;&lt;wsp:rsid wsp:val=&quot;00561026&quot;/&gt;&lt;wsp:rsid wsp:val=&quot;0056106E&quot;/&gt;&lt;wsp:rsid wsp:val=&quot;005614E6&quot;/&gt;&lt;wsp:rsid wsp:val=&quot;0056172C&quot;/&gt;&lt;wsp:rsid wsp:val=&quot;0056187C&quot;/&gt;&lt;wsp:rsid wsp:val=&quot;00561FE1&quot;/&gt;&lt;wsp:rsid wsp:val=&quot;005621C5&quot;/&gt;&lt;wsp:rsid wsp:val=&quot;005623F8&quot;/&gt;&lt;wsp:rsid wsp:val=&quot;00562914&quot;/&gt;&lt;wsp:rsid wsp:val=&quot;00562C37&quot;/&gt;&lt;wsp:rsid wsp:val=&quot;005632E5&quot;/&gt;&lt;wsp:rsid wsp:val=&quot;00563726&quot;/&gt;&lt;wsp:rsid wsp:val=&quot;00563763&quot;/&gt;&lt;wsp:rsid wsp:val=&quot;00563EBB&quot;/&gt;&lt;wsp:rsid wsp:val=&quot;005642FD&quot;/&gt;&lt;wsp:rsid wsp:val=&quot;0056462C&quot;/&gt;&lt;wsp:rsid wsp:val=&quot;00564AD6&quot;/&gt;&lt;wsp:rsid wsp:val=&quot;00564EE0&quot;/&gt;&lt;wsp:rsid wsp:val=&quot;00565017&quot;/&gt;&lt;wsp:rsid wsp:val=&quot;0056509A&quot;/&gt;&lt;wsp:rsid wsp:val=&quot;00565278&quot;/&gt;&lt;wsp:rsid wsp:val=&quot;0056528A&quot;/&gt;&lt;wsp:rsid wsp:val=&quot;0056556B&quot;/&gt;&lt;wsp:rsid wsp:val=&quot;005657BC&quot;/&gt;&lt;wsp:rsid wsp:val=&quot;00565982&quot;/&gt;&lt;wsp:rsid wsp:val=&quot;00565DA5&quot;/&gt;&lt;wsp:rsid wsp:val=&quot;00566375&quot;/&gt;&lt;wsp:rsid wsp:val=&quot;00566BE2&quot;/&gt;&lt;wsp:rsid wsp:val=&quot;00567444&quot;/&gt;&lt;wsp:rsid wsp:val=&quot;00567697&quot;/&gt;&lt;wsp:rsid wsp:val=&quot;00567AB1&quot;/&gt;&lt;wsp:rsid wsp:val=&quot;00567BC5&quot;/&gt;&lt;wsp:rsid wsp:val=&quot;00567C6E&quot;/&gt;&lt;wsp:rsid wsp:val=&quot;00567D50&quot;/&gt;&lt;wsp:rsid wsp:val=&quot;00567D69&quot;/&gt;&lt;wsp:rsid wsp:val=&quot;00567EC2&quot;/&gt;&lt;wsp:rsid wsp:val=&quot;00567EE8&quot;/&gt;&lt;wsp:rsid wsp:val=&quot;00567F7B&quot;/&gt;&lt;wsp:rsid wsp:val=&quot;0057023F&quot;/&gt;&lt;wsp:rsid wsp:val=&quot;00570493&quot;/&gt;&lt;wsp:rsid wsp:val=&quot;00570830&quot;/&gt;&lt;wsp:rsid wsp:val=&quot;00570986&quot;/&gt;&lt;wsp:rsid wsp:val=&quot;00570989&quot;/&gt;&lt;wsp:rsid wsp:val=&quot;005709E4&quot;/&gt;&lt;wsp:rsid wsp:val=&quot;00571060&quot;/&gt;&lt;wsp:rsid wsp:val=&quot;0057107E&quot;/&gt;&lt;wsp:rsid wsp:val=&quot;005714E6&quot;/&gt;&lt;wsp:rsid wsp:val=&quot;0057152A&quot;/&gt;&lt;wsp:rsid wsp:val=&quot;00571655&quot;/&gt;&lt;wsp:rsid wsp:val=&quot;0057166C&quot;/&gt;&lt;wsp:rsid wsp:val=&quot;005716F6&quot;/&gt;&lt;wsp:rsid wsp:val=&quot;00571A78&quot;/&gt;&lt;wsp:rsid wsp:val=&quot;00571D1F&quot;/&gt;&lt;wsp:rsid wsp:val=&quot;00571FFC&quot;/&gt;&lt;wsp:rsid wsp:val=&quot;005723E9&quot;/&gt;&lt;wsp:rsid wsp:val=&quot;00572610&quot;/&gt;&lt;wsp:rsid wsp:val=&quot;005728CA&quot;/&gt;&lt;wsp:rsid wsp:val=&quot;00572B46&quot;/&gt;&lt;wsp:rsid wsp:val=&quot;00572F14&quot;/&gt;&lt;wsp:rsid wsp:val=&quot;00572F55&quot;/&gt;&lt;wsp:rsid wsp:val=&quot;005730E7&quot;/&gt;&lt;wsp:rsid wsp:val=&quot;005730EA&quot;/&gt;&lt;wsp:rsid wsp:val=&quot;0057336E&quot;/&gt;&lt;wsp:rsid wsp:val=&quot;005734EC&quot;/&gt;&lt;wsp:rsid wsp:val=&quot;00573BEB&quot;/&gt;&lt;wsp:rsid wsp:val=&quot;0057417E&quot;/&gt;&lt;wsp:rsid wsp:val=&quot;0057456A&quot;/&gt;&lt;wsp:rsid wsp:val=&quot;00574B8E&quot;/&gt;&lt;wsp:rsid wsp:val=&quot;00574CB8&quot;/&gt;&lt;wsp:rsid wsp:val=&quot;0057535C&quot;/&gt;&lt;wsp:rsid wsp:val=&quot;005754D2&quot;/&gt;&lt;wsp:rsid wsp:val=&quot;00575932&quot;/&gt;&lt;wsp:rsid wsp:val=&quot;005759B0&quot;/&gt;&lt;wsp:rsid wsp:val=&quot;00575A44&quot;/&gt;&lt;wsp:rsid wsp:val=&quot;00575A95&quot;/&gt;&lt;wsp:rsid wsp:val=&quot;00576491&quot;/&gt;&lt;wsp:rsid wsp:val=&quot;005767B8&quot;/&gt;&lt;wsp:rsid wsp:val=&quot;00576876&quot;/&gt;&lt;wsp:rsid wsp:val=&quot;00576973&quot;/&gt;&lt;wsp:rsid wsp:val=&quot;00576A43&quot;/&gt;&lt;wsp:rsid wsp:val=&quot;00576F3A&quot;/&gt;&lt;wsp:rsid wsp:val=&quot;00577203&quot;/&gt;&lt;wsp:rsid wsp:val=&quot;00577C68&quot;/&gt;&lt;wsp:rsid wsp:val=&quot;00577D9D&quot;/&gt;&lt;wsp:rsid wsp:val=&quot;00577FBB&quot;/&gt;&lt;wsp:rsid wsp:val=&quot;00580345&quot;/&gt;&lt;wsp:rsid wsp:val=&quot;00580346&quot;/&gt;&lt;wsp:rsid wsp:val=&quot;005805A0&quot;/&gt;&lt;wsp:rsid wsp:val=&quot;005807FD&quot;/&gt;&lt;wsp:rsid wsp:val=&quot;00580CBB&quot;/&gt;&lt;wsp:rsid wsp:val=&quot;005817F3&quot;/&gt;&lt;wsp:rsid wsp:val=&quot;00581D6F&quot;/&gt;&lt;wsp:rsid wsp:val=&quot;0058218A&quot;/&gt;&lt;wsp:rsid wsp:val=&quot;0058238F&quot;/&gt;&lt;wsp:rsid wsp:val=&quot;005823A9&quot;/&gt;&lt;wsp:rsid wsp:val=&quot;00582439&quot;/&gt;&lt;wsp:rsid wsp:val=&quot;005827B8&quot;/&gt;&lt;wsp:rsid wsp:val=&quot;00582C06&quot;/&gt;&lt;wsp:rsid wsp:val=&quot;005831AD&quot;/&gt;&lt;wsp:rsid wsp:val=&quot;005831AE&quot;/&gt;&lt;wsp:rsid wsp:val=&quot;005833A1&quot;/&gt;&lt;wsp:rsid wsp:val=&quot;00583476&quot;/&gt;&lt;wsp:rsid wsp:val=&quot;00583598&quot;/&gt;&lt;wsp:rsid wsp:val=&quot;005836FD&quot;/&gt;&lt;wsp:rsid wsp:val=&quot;0058386F&quot;/&gt;&lt;wsp:rsid wsp:val=&quot;00583BF8&quot;/&gt;&lt;wsp:rsid wsp:val=&quot;005840AF&quot;/&gt;&lt;wsp:rsid wsp:val=&quot;0058438A&quot;/&gt;&lt;wsp:rsid wsp:val=&quot;0058479C&quot;/&gt;&lt;wsp:rsid wsp:val=&quot;00584B8D&quot;/&gt;&lt;wsp:rsid wsp:val=&quot;0058556C&quot;/&gt;&lt;wsp:rsid wsp:val=&quot;005855B8&quot;/&gt;&lt;wsp:rsid wsp:val=&quot;00585B4C&quot;/&gt;&lt;wsp:rsid wsp:val=&quot;00585FED&quot;/&gt;&lt;wsp:rsid wsp:val=&quot;0058628D&quot;/&gt;&lt;wsp:rsid wsp:val=&quot;00586A28&quot;/&gt;&lt;wsp:rsid wsp:val=&quot;00586C45&quot;/&gt;&lt;wsp:rsid wsp:val=&quot;00586CB5&quot;/&gt;&lt;wsp:rsid wsp:val=&quot;00586DEA&quot;/&gt;&lt;wsp:rsid wsp:val=&quot;00587042&quot;/&gt;&lt;wsp:rsid wsp:val=&quot;00587127&quot;/&gt;&lt;wsp:rsid wsp:val=&quot;005901D5&quot;/&gt;&lt;wsp:rsid wsp:val=&quot;005906EE&quot;/&gt;&lt;wsp:rsid wsp:val=&quot;00590A1E&quot;/&gt;&lt;wsp:rsid wsp:val=&quot;00590A96&quot;/&gt;&lt;wsp:rsid wsp:val=&quot;00591157&quot;/&gt;&lt;wsp:rsid wsp:val=&quot;00591229&quot;/&gt;&lt;wsp:rsid wsp:val=&quot;00591367&quot;/&gt;&lt;wsp:rsid wsp:val=&quot;005917AE&quot;/&gt;&lt;wsp:rsid wsp:val=&quot;00591C51&quot;/&gt;&lt;wsp:rsid wsp:val=&quot;00591D1D&quot;/&gt;&lt;wsp:rsid wsp:val=&quot;0059330E&quot;/&gt;&lt;wsp:rsid wsp:val=&quot;0059333D&quot;/&gt;&lt;wsp:rsid wsp:val=&quot;00593815&quot;/&gt;&lt;wsp:rsid wsp:val=&quot;005938A5&quot;/&gt;&lt;wsp:rsid wsp:val=&quot;00593BEC&quot;/&gt;&lt;wsp:rsid wsp:val=&quot;00593C30&quot;/&gt;&lt;wsp:rsid wsp:val=&quot;00594411&quot;/&gt;&lt;wsp:rsid wsp:val=&quot;00594739&quot;/&gt;&lt;wsp:rsid wsp:val=&quot;00594A4B&quot;/&gt;&lt;wsp:rsid wsp:val=&quot;00594BFA&quot;/&gt;&lt;wsp:rsid wsp:val=&quot;00594D76&quot;/&gt;&lt;wsp:rsid wsp:val=&quot;00595468&quot;/&gt;&lt;wsp:rsid wsp:val=&quot;005962AE&quot;/&gt;&lt;wsp:rsid wsp:val=&quot;005966AA&quot;/&gt;&lt;wsp:rsid wsp:val=&quot;00596DA5&quot;/&gt;&lt;wsp:rsid wsp:val=&quot;00597A14&quot;/&gt;&lt;wsp:rsid wsp:val=&quot;005A03DF&quot;/&gt;&lt;wsp:rsid wsp:val=&quot;005A0D3A&quot;/&gt;&lt;wsp:rsid wsp:val=&quot;005A1298&quot;/&gt;&lt;wsp:rsid wsp:val=&quot;005A1867&quot;/&gt;&lt;wsp:rsid wsp:val=&quot;005A1CF5&quot;/&gt;&lt;wsp:rsid wsp:val=&quot;005A2027&quot;/&gt;&lt;wsp:rsid wsp:val=&quot;005A2135&quot;/&gt;&lt;wsp:rsid wsp:val=&quot;005A21C4&quot;/&gt;&lt;wsp:rsid wsp:val=&quot;005A22A9&quot;/&gt;&lt;wsp:rsid wsp:val=&quot;005A2305&quot;/&gt;&lt;wsp:rsid wsp:val=&quot;005A2404&quot;/&gt;&lt;wsp:rsid wsp:val=&quot;005A2AE8&quot;/&gt;&lt;wsp:rsid wsp:val=&quot;005A2D6D&quot;/&gt;&lt;wsp:rsid wsp:val=&quot;005A2EA5&quot;/&gt;&lt;wsp:rsid wsp:val=&quot;005A30C5&quot;/&gt;&lt;wsp:rsid wsp:val=&quot;005A32BE&quot;/&gt;&lt;wsp:rsid wsp:val=&quot;005A3A13&quot;/&gt;&lt;wsp:rsid wsp:val=&quot;005A3E38&quot;/&gt;&lt;wsp:rsid wsp:val=&quot;005A4087&quot;/&gt;&lt;wsp:rsid wsp:val=&quot;005A40D6&quot;/&gt;&lt;wsp:rsid wsp:val=&quot;005A4251&quot;/&gt;&lt;wsp:rsid wsp:val=&quot;005A448B&quot;/&gt;&lt;wsp:rsid wsp:val=&quot;005A47AF&quot;/&gt;&lt;wsp:rsid wsp:val=&quot;005A4C9D&quot;/&gt;&lt;wsp:rsid wsp:val=&quot;005A4E82&quot;/&gt;&lt;wsp:rsid wsp:val=&quot;005A4EC8&quot;/&gt;&lt;wsp:rsid wsp:val=&quot;005A5184&quot;/&gt;&lt;wsp:rsid wsp:val=&quot;005A5244&quot;/&gt;&lt;wsp:rsid wsp:val=&quot;005A53D9&quot;/&gt;&lt;wsp:rsid wsp:val=&quot;005A58A9&quot;/&gt;&lt;wsp:rsid wsp:val=&quot;005A6727&quot;/&gt;&lt;wsp:rsid wsp:val=&quot;005A709B&quot;/&gt;&lt;wsp:rsid wsp:val=&quot;005A728C&quot;/&gt;&lt;wsp:rsid wsp:val=&quot;005A7463&quot;/&gt;&lt;wsp:rsid wsp:val=&quot;005A794F&quot;/&gt;&lt;wsp:rsid wsp:val=&quot;005A7C01&quot;/&gt;&lt;wsp:rsid wsp:val=&quot;005A7E66&quot;/&gt;&lt;wsp:rsid wsp:val=&quot;005B02EE&quot;/&gt;&lt;wsp:rsid wsp:val=&quot;005B0427&quot;/&gt;&lt;wsp:rsid wsp:val=&quot;005B0506&quot;/&gt;&lt;wsp:rsid wsp:val=&quot;005B0735&quot;/&gt;&lt;wsp:rsid wsp:val=&quot;005B09A8&quot;/&gt;&lt;wsp:rsid wsp:val=&quot;005B0AAE&quot;/&gt;&lt;wsp:rsid wsp:val=&quot;005B0E69&quot;/&gt;&lt;wsp:rsid wsp:val=&quot;005B0EEE&quot;/&gt;&lt;wsp:rsid wsp:val=&quot;005B127D&quot;/&gt;&lt;wsp:rsid wsp:val=&quot;005B18D8&quot;/&gt;&lt;wsp:rsid wsp:val=&quot;005B19A2&quot;/&gt;&lt;wsp:rsid wsp:val=&quot;005B2429&quot;/&gt;&lt;wsp:rsid wsp:val=&quot;005B24A7&quot;/&gt;&lt;wsp:rsid wsp:val=&quot;005B285F&quot;/&gt;&lt;wsp:rsid wsp:val=&quot;005B2954&quot;/&gt;&lt;wsp:rsid wsp:val=&quot;005B2970&quot;/&gt;&lt;wsp:rsid wsp:val=&quot;005B3460&quot;/&gt;&lt;wsp:rsid wsp:val=&quot;005B350D&quot;/&gt;&lt;wsp:rsid wsp:val=&quot;005B3BB7&quot;/&gt;&lt;wsp:rsid wsp:val=&quot;005B3F93&quot;/&gt;&lt;wsp:rsid wsp:val=&quot;005B4110&quot;/&gt;&lt;wsp:rsid wsp:val=&quot;005B412D&quot;/&gt;&lt;wsp:rsid wsp:val=&quot;005B4251&quot;/&gt;&lt;wsp:rsid wsp:val=&quot;005B437B&quot;/&gt;&lt;wsp:rsid wsp:val=&quot;005B44CC&quot;/&gt;&lt;wsp:rsid wsp:val=&quot;005B44F7&quot;/&gt;&lt;wsp:rsid wsp:val=&quot;005B45C2&quot;/&gt;&lt;wsp:rsid wsp:val=&quot;005B466A&quot;/&gt;&lt;wsp:rsid wsp:val=&quot;005B4DE8&quot;/&gt;&lt;wsp:rsid wsp:val=&quot;005B50D1&quot;/&gt;&lt;wsp:rsid wsp:val=&quot;005B520D&quot;/&gt;&lt;wsp:rsid wsp:val=&quot;005B554D&quot;/&gt;&lt;wsp:rsid wsp:val=&quot;005B5AE3&quot;/&gt;&lt;wsp:rsid wsp:val=&quot;005B5D19&quot;/&gt;&lt;wsp:rsid wsp:val=&quot;005B5EE5&quot;/&gt;&lt;wsp:rsid wsp:val=&quot;005B60DD&quot;/&gt;&lt;wsp:rsid wsp:val=&quot;005B6C8C&quot;/&gt;&lt;wsp:rsid wsp:val=&quot;005B6EF2&quot;/&gt;&lt;wsp:rsid wsp:val=&quot;005B7040&quot;/&gt;&lt;wsp:rsid wsp:val=&quot;005B74FD&quot;/&gt;&lt;wsp:rsid wsp:val=&quot;005B7CF8&quot;/&gt;&lt;wsp:rsid wsp:val=&quot;005C0087&quot;/&gt;&lt;wsp:rsid wsp:val=&quot;005C0278&quot;/&gt;&lt;wsp:rsid wsp:val=&quot;005C0D48&quot;/&gt;&lt;wsp:rsid wsp:val=&quot;005C101C&quot;/&gt;&lt;wsp:rsid wsp:val=&quot;005C10C6&quot;/&gt;&lt;wsp:rsid wsp:val=&quot;005C12F6&quot;/&gt;&lt;wsp:rsid wsp:val=&quot;005C1868&quot;/&gt;&lt;wsp:rsid wsp:val=&quot;005C1BA1&quot;/&gt;&lt;wsp:rsid wsp:val=&quot;005C1D2D&quot;/&gt;&lt;wsp:rsid wsp:val=&quot;005C1E3E&quot;/&gt;&lt;wsp:rsid wsp:val=&quot;005C232A&quot;/&gt;&lt;wsp:rsid wsp:val=&quot;005C24FB&quot;/&gt;&lt;wsp:rsid wsp:val=&quot;005C24FE&quot;/&gt;&lt;wsp:rsid wsp:val=&quot;005C291D&quot;/&gt;&lt;wsp:rsid wsp:val=&quot;005C2A05&quot;/&gt;&lt;wsp:rsid wsp:val=&quot;005C2E50&quot;/&gt;&lt;wsp:rsid wsp:val=&quot;005C2F27&quot;/&gt;&lt;wsp:rsid wsp:val=&quot;005C2F58&quot;/&gt;&lt;wsp:rsid wsp:val=&quot;005C31EA&quot;/&gt;&lt;wsp:rsid wsp:val=&quot;005C35A0&quot;/&gt;&lt;wsp:rsid wsp:val=&quot;005C35AD&quot;/&gt;&lt;wsp:rsid wsp:val=&quot;005C3758&quot;/&gt;&lt;wsp:rsid wsp:val=&quot;005C3A24&quot;/&gt;&lt;wsp:rsid wsp:val=&quot;005C3BEB&quot;/&gt;&lt;wsp:rsid wsp:val=&quot;005C3E08&quot;/&gt;&lt;wsp:rsid wsp:val=&quot;005C3FC0&quot;/&gt;&lt;wsp:rsid wsp:val=&quot;005C43EC&quot;/&gt;&lt;wsp:rsid wsp:val=&quot;005C4526&quot;/&gt;&lt;wsp:rsid wsp:val=&quot;005C4992&quot;/&gt;&lt;wsp:rsid wsp:val=&quot;005C4CA8&quot;/&gt;&lt;wsp:rsid wsp:val=&quot;005C4E09&quot;/&gt;&lt;wsp:rsid wsp:val=&quot;005C51F6&quot;/&gt;&lt;wsp:rsid wsp:val=&quot;005C5341&quot;/&gt;&lt;wsp:rsid wsp:val=&quot;005C539E&quot;/&gt;&lt;wsp:rsid wsp:val=&quot;005C5883&quot;/&gt;&lt;wsp:rsid wsp:val=&quot;005C59EF&quot;/&gt;&lt;wsp:rsid wsp:val=&quot;005C5D3C&quot;/&gt;&lt;wsp:rsid wsp:val=&quot;005C5D91&quot;/&gt;&lt;wsp:rsid wsp:val=&quot;005C5DCD&quot;/&gt;&lt;wsp:rsid wsp:val=&quot;005C5EA0&quot;/&gt;&lt;wsp:rsid wsp:val=&quot;005C62C0&quot;/&gt;&lt;wsp:rsid wsp:val=&quot;005C6F46&quot;/&gt;&lt;wsp:rsid wsp:val=&quot;005C7175&quot;/&gt;&lt;wsp:rsid wsp:val=&quot;005C7255&quot;/&gt;&lt;wsp:rsid wsp:val=&quot;005C7886&quot;/&gt;&lt;wsp:rsid wsp:val=&quot;005C7B5A&quot;/&gt;&lt;wsp:rsid wsp:val=&quot;005C7D34&quot;/&gt;&lt;wsp:rsid wsp:val=&quot;005D035A&quot;/&gt;&lt;wsp:rsid wsp:val=&quot;005D035D&quot;/&gt;&lt;wsp:rsid wsp:val=&quot;005D0DFB&quot;/&gt;&lt;wsp:rsid wsp:val=&quot;005D129A&quot;/&gt;&lt;wsp:rsid wsp:val=&quot;005D1370&quot;/&gt;&lt;wsp:rsid wsp:val=&quot;005D16D7&quot;/&gt;&lt;wsp:rsid wsp:val=&quot;005D1B79&quot;/&gt;&lt;wsp:rsid wsp:val=&quot;005D1C97&quot;/&gt;&lt;wsp:rsid wsp:val=&quot;005D256D&quot;/&gt;&lt;wsp:rsid wsp:val=&quot;005D2644&quot;/&gt;&lt;wsp:rsid wsp:val=&quot;005D26A5&quot;/&gt;&lt;wsp:rsid wsp:val=&quot;005D2E7B&quot;/&gt;&lt;wsp:rsid wsp:val=&quot;005D2EC0&quot;/&gt;&lt;wsp:rsid wsp:val=&quot;005D3883&quot;/&gt;&lt;wsp:rsid wsp:val=&quot;005D3FA8&quot;/&gt;&lt;wsp:rsid wsp:val=&quot;005D458A&quot;/&gt;&lt;wsp:rsid wsp:val=&quot;005D46F7&quot;/&gt;&lt;wsp:rsid wsp:val=&quot;005D47C0&quot;/&gt;&lt;wsp:rsid wsp:val=&quot;005D4918&quot;/&gt;&lt;wsp:rsid wsp:val=&quot;005D4A4E&quot;/&gt;&lt;wsp:rsid wsp:val=&quot;005D4ABB&quot;/&gt;&lt;wsp:rsid wsp:val=&quot;005D4B5D&quot;/&gt;&lt;wsp:rsid wsp:val=&quot;005D4BEB&quot;/&gt;&lt;wsp:rsid wsp:val=&quot;005D4BEE&quot;/&gt;&lt;wsp:rsid wsp:val=&quot;005D4D69&quot;/&gt;&lt;wsp:rsid wsp:val=&quot;005D5094&quot;/&gt;&lt;wsp:rsid wsp:val=&quot;005D53B8&quot;/&gt;&lt;wsp:rsid wsp:val=&quot;005D543A&quot;/&gt;&lt;wsp:rsid wsp:val=&quot;005D5662&quot;/&gt;&lt;wsp:rsid wsp:val=&quot;005D597B&quot;/&gt;&lt;wsp:rsid wsp:val=&quot;005D5CD5&quot;/&gt;&lt;wsp:rsid wsp:val=&quot;005D602E&quot;/&gt;&lt;wsp:rsid wsp:val=&quot;005D638E&quot;/&gt;&lt;wsp:rsid wsp:val=&quot;005D64B6&quot;/&gt;&lt;wsp:rsid wsp:val=&quot;005D64EA&quot;/&gt;&lt;wsp:rsid wsp:val=&quot;005D6797&quot;/&gt;&lt;wsp:rsid wsp:val=&quot;005D6DBE&quot;/&gt;&lt;wsp:rsid wsp:val=&quot;005D6EA1&quot;/&gt;&lt;wsp:rsid wsp:val=&quot;005D6FF7&quot;/&gt;&lt;wsp:rsid wsp:val=&quot;005D7403&quot;/&gt;&lt;wsp:rsid wsp:val=&quot;005D76A6&quot;/&gt;&lt;wsp:rsid wsp:val=&quot;005E08B0&quot;/&gt;&lt;wsp:rsid wsp:val=&quot;005E0C97&quot;/&gt;&lt;wsp:rsid wsp:val=&quot;005E15BE&quot;/&gt;&lt;wsp:rsid wsp:val=&quot;005E1886&quot;/&gt;&lt;wsp:rsid wsp:val=&quot;005E1B3B&quot;/&gt;&lt;wsp:rsid wsp:val=&quot;005E1D07&quot;/&gt;&lt;wsp:rsid wsp:val=&quot;005E1E93&quot;/&gt;&lt;wsp:rsid wsp:val=&quot;005E1EB0&quot;/&gt;&lt;wsp:rsid wsp:val=&quot;005E26AD&quot;/&gt;&lt;wsp:rsid wsp:val=&quot;005E27AB&quot;/&gt;&lt;wsp:rsid wsp:val=&quot;005E2BBA&quot;/&gt;&lt;wsp:rsid wsp:val=&quot;005E3140&quot;/&gt;&lt;wsp:rsid wsp:val=&quot;005E341D&quot;/&gt;&lt;wsp:rsid wsp:val=&quot;005E344F&quot;/&gt;&lt;wsp:rsid wsp:val=&quot;005E3456&quot;/&gt;&lt;wsp:rsid wsp:val=&quot;005E38DE&quot;/&gt;&lt;wsp:rsid wsp:val=&quot;005E3A39&quot;/&gt;&lt;wsp:rsid wsp:val=&quot;005E3B83&quot;/&gt;&lt;wsp:rsid wsp:val=&quot;005E400B&quot;/&gt;&lt;wsp:rsid wsp:val=&quot;005E41DC&quot;/&gt;&lt;wsp:rsid wsp:val=&quot;005E4329&quot;/&gt;&lt;wsp:rsid wsp:val=&quot;005E440B&quot;/&gt;&lt;wsp:rsid wsp:val=&quot;005E4860&quot;/&gt;&lt;wsp:rsid wsp:val=&quot;005E48EC&quot;/&gt;&lt;wsp:rsid wsp:val=&quot;005E494C&quot;/&gt;&lt;wsp:rsid wsp:val=&quot;005E4CA6&quot;/&gt;&lt;wsp:rsid wsp:val=&quot;005E4CB7&quot;/&gt;&lt;wsp:rsid wsp:val=&quot;005E4CD2&quot;/&gt;&lt;wsp:rsid wsp:val=&quot;005E503F&quot;/&gt;&lt;wsp:rsid wsp:val=&quot;005E5942&quot;/&gt;&lt;wsp:rsid wsp:val=&quot;005E5BEC&quot;/&gt;&lt;wsp:rsid wsp:val=&quot;005E5DC5&quot;/&gt;&lt;wsp:rsid wsp:val=&quot;005E5F5D&quot;/&gt;&lt;wsp:rsid wsp:val=&quot;005E62CC&quot;/&gt;&lt;wsp:rsid wsp:val=&quot;005E6610&quot;/&gt;&lt;wsp:rsid wsp:val=&quot;005E6B7A&quot;/&gt;&lt;wsp:rsid wsp:val=&quot;005E6C16&quot;/&gt;&lt;wsp:rsid wsp:val=&quot;005E6CA7&quot;/&gt;&lt;wsp:rsid wsp:val=&quot;005E6E52&quot;/&gt;&lt;wsp:rsid wsp:val=&quot;005E6FB4&quot;/&gt;&lt;wsp:rsid wsp:val=&quot;005E79AC&quot;/&gt;&lt;wsp:rsid wsp:val=&quot;005F0087&quot;/&gt;&lt;wsp:rsid wsp:val=&quot;005F046F&quot;/&gt;&lt;wsp:rsid wsp:val=&quot;005F079E&quot;/&gt;&lt;wsp:rsid wsp:val=&quot;005F095A&quot;/&gt;&lt;wsp:rsid wsp:val=&quot;005F0AF0&quot;/&gt;&lt;wsp:rsid wsp:val=&quot;005F0B64&quot;/&gt;&lt;wsp:rsid wsp:val=&quot;005F0B83&quot;/&gt;&lt;wsp:rsid wsp:val=&quot;005F1028&quot;/&gt;&lt;wsp:rsid wsp:val=&quot;005F14F7&quot;/&gt;&lt;wsp:rsid wsp:val=&quot;005F1CF0&quot;/&gt;&lt;wsp:rsid wsp:val=&quot;005F20AC&quot;/&gt;&lt;wsp:rsid wsp:val=&quot;005F2325&quot;/&gt;&lt;wsp:rsid wsp:val=&quot;005F275C&quot;/&gt;&lt;wsp:rsid wsp:val=&quot;005F2A38&quot;/&gt;&lt;wsp:rsid wsp:val=&quot;005F2F10&quot;/&gt;&lt;wsp:rsid wsp:val=&quot;005F32ED&quot;/&gt;&lt;wsp:rsid wsp:val=&quot;005F3C76&quot;/&gt;&lt;wsp:rsid wsp:val=&quot;005F3CE1&quot;/&gt;&lt;wsp:rsid wsp:val=&quot;005F3E54&quot;/&gt;&lt;wsp:rsid wsp:val=&quot;005F3F42&quot;/&gt;&lt;wsp:rsid wsp:val=&quot;005F4300&quot;/&gt;&lt;wsp:rsid wsp:val=&quot;005F4723&quot;/&gt;&lt;wsp:rsid wsp:val=&quot;005F4A4D&quot;/&gt;&lt;wsp:rsid wsp:val=&quot;005F4CBC&quot;/&gt;&lt;wsp:rsid wsp:val=&quot;005F5103&quot;/&gt;&lt;wsp:rsid wsp:val=&quot;005F51BF&quot;/&gt;&lt;wsp:rsid wsp:val=&quot;005F5470&quot;/&gt;&lt;wsp:rsid wsp:val=&quot;005F54A7&quot;/&gt;&lt;wsp:rsid wsp:val=&quot;005F5744&quot;/&gt;&lt;wsp:rsid wsp:val=&quot;005F579E&quot;/&gt;&lt;wsp:rsid wsp:val=&quot;005F5A5D&quot;/&gt;&lt;wsp:rsid wsp:val=&quot;005F5EDC&quot;/&gt;&lt;wsp:rsid wsp:val=&quot;005F63F2&quot;/&gt;&lt;wsp:rsid wsp:val=&quot;005F6C01&quot;/&gt;&lt;wsp:rsid wsp:val=&quot;005F7055&quot;/&gt;&lt;wsp:rsid wsp:val=&quot;005F7357&quot;/&gt;&lt;wsp:rsid wsp:val=&quot;005F736F&quot;/&gt;&lt;wsp:rsid wsp:val=&quot;005F746F&quot;/&gt;&lt;wsp:rsid wsp:val=&quot;005F74EC&quot;/&gt;&lt;wsp:rsid wsp:val=&quot;005F7819&quot;/&gt;&lt;wsp:rsid wsp:val=&quot;005F79B3&quot;/&gt;&lt;wsp:rsid wsp:val=&quot;005F7F80&quot;/&gt;&lt;wsp:rsid wsp:val=&quot;0060095E&quot;/&gt;&lt;wsp:rsid wsp:val=&quot;00600992&quot;/&gt;&lt;wsp:rsid wsp:val=&quot;00600D8F&quot;/&gt;&lt;wsp:rsid wsp:val=&quot;00600E30&quot;/&gt;&lt;wsp:rsid wsp:val=&quot;0060138F&quot;/&gt;&lt;wsp:rsid wsp:val=&quot;0060162F&quot;/&gt;&lt;wsp:rsid wsp:val=&quot;006017BE&quot;/&gt;&lt;wsp:rsid wsp:val=&quot;006018D3&quot;/&gt;&lt;wsp:rsid wsp:val=&quot;00601E92&quot;/&gt;&lt;wsp:rsid wsp:val=&quot;00602A63&quot;/&gt;&lt;wsp:rsid wsp:val=&quot;00602C28&quot;/&gt;&lt;wsp:rsid wsp:val=&quot;00602DB5&quot;/&gt;&lt;wsp:rsid wsp:val=&quot;0060316E&quot;/&gt;&lt;wsp:rsid wsp:val=&quot;0060379F&quot;/&gt;&lt;wsp:rsid wsp:val=&quot;006039CB&quot;/&gt;&lt;wsp:rsid wsp:val=&quot;00603B75&quot;/&gt;&lt;wsp:rsid wsp:val=&quot;00603E8F&quot;/&gt;&lt;wsp:rsid wsp:val=&quot;00603EAD&quot;/&gt;&lt;wsp:rsid wsp:val=&quot;00604FD7&quot;/&gt;&lt;wsp:rsid wsp:val=&quot;00605A5F&quot;/&gt;&lt;wsp:rsid wsp:val=&quot;00605A6A&quot;/&gt;&lt;wsp:rsid wsp:val=&quot;00605F60&quot;/&gt;&lt;wsp:rsid wsp:val=&quot;006062BA&quot;/&gt;&lt;wsp:rsid wsp:val=&quot;006064C1&quot;/&gt;&lt;wsp:rsid wsp:val=&quot;00606B6C&quot;/&gt;&lt;wsp:rsid wsp:val=&quot;00607163&quot;/&gt;&lt;wsp:rsid wsp:val=&quot;006072D4&quot;/&gt;&lt;wsp:rsid wsp:val=&quot;006073EB&quot;/&gt;&lt;wsp:rsid wsp:val=&quot;006075E8&quot;/&gt;&lt;wsp:rsid wsp:val=&quot;006076C6&quot;/&gt;&lt;wsp:rsid wsp:val=&quot;00607933&quot;/&gt;&lt;wsp:rsid wsp:val=&quot;00607EF9&quot;/&gt;&lt;wsp:rsid wsp:val=&quot;00610970&quot;/&gt;&lt;wsp:rsid wsp:val=&quot;00610987&quot;/&gt;&lt;wsp:rsid wsp:val=&quot;00610BD4&quot;/&gt;&lt;wsp:rsid wsp:val=&quot;00610CE3&quot;/&gt;&lt;wsp:rsid wsp:val=&quot;00610D59&quot;/&gt;&lt;wsp:rsid wsp:val=&quot;00611C03&quot;/&gt;&lt;wsp:rsid wsp:val=&quot;00611C9E&quot;/&gt;&lt;wsp:rsid wsp:val=&quot;0061278F&quot;/&gt;&lt;wsp:rsid wsp:val=&quot;00612AB2&quot;/&gt;&lt;wsp:rsid wsp:val=&quot;0061394B&quot;/&gt;&lt;wsp:rsid wsp:val=&quot;00613A0A&quot;/&gt;&lt;wsp:rsid wsp:val=&quot;00613F2E&quot;/&gt;&lt;wsp:rsid wsp:val=&quot;0061421F&quot;/&gt;&lt;wsp:rsid wsp:val=&quot;00614501&quot;/&gt;&lt;wsp:rsid wsp:val=&quot;006145BE&quot;/&gt;&lt;wsp:rsid wsp:val=&quot;006148F2&quot;/&gt;&lt;wsp:rsid wsp:val=&quot;00614952&quot;/&gt;&lt;wsp:rsid wsp:val=&quot;00614FBF&quot;/&gt;&lt;wsp:rsid wsp:val=&quot;006150E3&quot;/&gt;&lt;wsp:rsid wsp:val=&quot;00615103&quot;/&gt;&lt;wsp:rsid wsp:val=&quot;00615859&quot;/&gt;&lt;wsp:rsid wsp:val=&quot;00615E6C&quot;/&gt;&lt;wsp:rsid wsp:val=&quot;00616505&quot;/&gt;&lt;wsp:rsid wsp:val=&quot;00616924&quot;/&gt;&lt;wsp:rsid wsp:val=&quot;006169CD&quot;/&gt;&lt;wsp:rsid wsp:val=&quot;00616B41&quot;/&gt;&lt;wsp:rsid wsp:val=&quot;0061722D&quot;/&gt;&lt;wsp:rsid wsp:val=&quot;00617579&quot;/&gt;&lt;wsp:rsid wsp:val=&quot;00617F59&quot;/&gt;&lt;wsp:rsid wsp:val=&quot;00617FA6&quot;/&gt;&lt;wsp:rsid wsp:val=&quot;00620666&quot;/&gt;&lt;wsp:rsid wsp:val=&quot;00620778&quot;/&gt;&lt;wsp:rsid wsp:val=&quot;006207F7&quot;/&gt;&lt;wsp:rsid wsp:val=&quot;00620A5A&quot;/&gt;&lt;wsp:rsid wsp:val=&quot;00620B36&quot;/&gt;&lt;wsp:rsid wsp:val=&quot;00621051&quot;/&gt;&lt;wsp:rsid wsp:val=&quot;0062126A&quot;/&gt;&lt;wsp:rsid wsp:val=&quot;0062140F&quot;/&gt;&lt;wsp:rsid wsp:val=&quot;006214B6&quot;/&gt;&lt;wsp:rsid wsp:val=&quot;00621957&quot;/&gt;&lt;wsp:rsid wsp:val=&quot;00621B2A&quot;/&gt;&lt;wsp:rsid wsp:val=&quot;00621C5C&quot;/&gt;&lt;wsp:rsid wsp:val=&quot;00621CD3&quot;/&gt;&lt;wsp:rsid wsp:val=&quot;00622147&quot;/&gt;&lt;wsp:rsid wsp:val=&quot;006227AD&quot;/&gt;&lt;wsp:rsid wsp:val=&quot;006227BA&quot;/&gt;&lt;wsp:rsid wsp:val=&quot;00622A74&quot;/&gt;&lt;wsp:rsid wsp:val=&quot;00622CE4&quot;/&gt;&lt;wsp:rsid wsp:val=&quot;00622FA3&quot;/&gt;&lt;wsp:rsid wsp:val=&quot;00623935&quot;/&gt;&lt;wsp:rsid wsp:val=&quot;0062399E&quot;/&gt;&lt;wsp:rsid wsp:val=&quot;00623A05&quot;/&gt;&lt;wsp:rsid wsp:val=&quot;00623ACC&quot;/&gt;&lt;wsp:rsid wsp:val=&quot;00623C68&quot;/&gt;&lt;wsp:rsid wsp:val=&quot;006240E7&quot;/&gt;&lt;wsp:rsid wsp:val=&quot;00624289&quot;/&gt;&lt;wsp:rsid wsp:val=&quot;00624468&quot;/&gt;&lt;wsp:rsid wsp:val=&quot;00624904&quot;/&gt;&lt;wsp:rsid wsp:val=&quot;00625000&quot;/&gt;&lt;wsp:rsid wsp:val=&quot;006252DE&quot;/&gt;&lt;wsp:rsid wsp:val=&quot;00625B24&quot;/&gt;&lt;wsp:rsid wsp:val=&quot;00626071&quot;/&gt;&lt;wsp:rsid wsp:val=&quot;006266E2&quot;/&gt;&lt;wsp:rsid wsp:val=&quot;00626771&quot;/&gt;&lt;wsp:rsid wsp:val=&quot;00626F8F&quot;/&gt;&lt;wsp:rsid wsp:val=&quot;006270F4&quot;/&gt;&lt;wsp:rsid wsp:val=&quot;00627296&quot;/&gt;&lt;wsp:rsid wsp:val=&quot;0062742F&quot;/&gt;&lt;wsp:rsid wsp:val=&quot;00627562&quot;/&gt;&lt;wsp:rsid wsp:val=&quot;0062778D&quot;/&gt;&lt;wsp:rsid wsp:val=&quot;00627A7B&quot;/&gt;&lt;wsp:rsid wsp:val=&quot;00627D2A&quot;/&gt;&lt;wsp:rsid wsp:val=&quot;00627D7F&quot;/&gt;&lt;wsp:rsid wsp:val=&quot;00627E7A&quot;/&gt;&lt;wsp:rsid wsp:val=&quot;00627F18&quot;/&gt;&lt;wsp:rsid wsp:val=&quot;006302B4&quot;/&gt;&lt;wsp:rsid wsp:val=&quot;006304A4&quot;/&gt;&lt;wsp:rsid wsp:val=&quot;00630667&quot;/&gt;&lt;wsp:rsid wsp:val=&quot;0063070A&quot;/&gt;&lt;wsp:rsid wsp:val=&quot;00631192&quot;/&gt;&lt;wsp:rsid wsp:val=&quot;00631380&quot;/&gt;&lt;wsp:rsid wsp:val=&quot;00631384&quot;/&gt;&lt;wsp:rsid wsp:val=&quot;0063146C&quot;/&gt;&lt;wsp:rsid wsp:val=&quot;00631756&quot;/&gt;&lt;wsp:rsid wsp:val=&quot;0063187A&quot;/&gt;&lt;wsp:rsid wsp:val=&quot;00631A39&quot;/&gt;&lt;wsp:rsid wsp:val=&quot;00631A5F&quot;/&gt;&lt;wsp:rsid wsp:val=&quot;00632486&quot;/&gt;&lt;wsp:rsid wsp:val=&quot;00632BAC&quot;/&gt;&lt;wsp:rsid wsp:val=&quot;00633261&quot;/&gt;&lt;wsp:rsid wsp:val=&quot;006332A6&quot;/&gt;&lt;wsp:rsid wsp:val=&quot;00633783&quot;/&gt;&lt;wsp:rsid wsp:val=&quot;0063379D&quot;/&gt;&lt;wsp:rsid wsp:val=&quot;006337BE&quot;/&gt;&lt;wsp:rsid wsp:val=&quot;00633B9F&quot;/&gt;&lt;wsp:rsid wsp:val=&quot;006340FE&quot;/&gt;&lt;wsp:rsid wsp:val=&quot;006345D6&quot;/&gt;&lt;wsp:rsid wsp:val=&quot;00634C43&quot;/&gt;&lt;wsp:rsid wsp:val=&quot;00634E18&quot;/&gt;&lt;wsp:rsid wsp:val=&quot;00635737&quot;/&gt;&lt;wsp:rsid wsp:val=&quot;006358AE&quot;/&gt;&lt;wsp:rsid wsp:val=&quot;00635F37&quot;/&gt;&lt;wsp:rsid wsp:val=&quot;006361BE&quot;/&gt;&lt;wsp:rsid wsp:val=&quot;00636371&quot;/&gt;&lt;wsp:rsid wsp:val=&quot;006368A8&quot;/&gt;&lt;wsp:rsid wsp:val=&quot;006368DF&quot;/&gt;&lt;wsp:rsid wsp:val=&quot;00636A59&quot;/&gt;&lt;wsp:rsid wsp:val=&quot;00636AAD&quot;/&gt;&lt;wsp:rsid wsp:val=&quot;00636B1B&quot;/&gt;&lt;wsp:rsid wsp:val=&quot;00637122&quot;/&gt;&lt;wsp:rsid wsp:val=&quot;006376FE&quot;/&gt;&lt;wsp:rsid wsp:val=&quot;00637845&quot;/&gt;&lt;wsp:rsid wsp:val=&quot;00637C4F&quot;/&gt;&lt;wsp:rsid wsp:val=&quot;00640187&quot;/&gt;&lt;wsp:rsid wsp:val=&quot;00640330&quot;/&gt;&lt;wsp:rsid wsp:val=&quot;00640443&quot;/&gt;&lt;wsp:rsid wsp:val=&quot;006404D0&quot;/&gt;&lt;wsp:rsid wsp:val=&quot;006406D6&quot;/&gt;&lt;wsp:rsid wsp:val=&quot;006408BE&quot;/&gt;&lt;wsp:rsid wsp:val=&quot;00640BCB&quot;/&gt;&lt;wsp:rsid wsp:val=&quot;00640FED&quot;/&gt;&lt;wsp:rsid wsp:val=&quot;00641031&quot;/&gt;&lt;wsp:rsid wsp:val=&quot;00641079&quot;/&gt;&lt;wsp:rsid wsp:val=&quot;006413F4&quot;/&gt;&lt;wsp:rsid wsp:val=&quot;00641437&quot;/&gt;&lt;wsp:rsid wsp:val=&quot;00641465&quot;/&gt;&lt;wsp:rsid wsp:val=&quot;0064152F&quot;/&gt;&lt;wsp:rsid wsp:val=&quot;006419C8&quot;/&gt;&lt;wsp:rsid wsp:val=&quot;00641E76&quot;/&gt;&lt;wsp:rsid wsp:val=&quot;00642010&quot;/&gt;&lt;wsp:rsid wsp:val=&quot;00642946&quot;/&gt;&lt;wsp:rsid wsp:val=&quot;006429CA&quot;/&gt;&lt;wsp:rsid wsp:val=&quot;00642BFE&quot;/&gt;&lt;wsp:rsid wsp:val=&quot;006433AA&quot;/&gt;&lt;wsp:rsid wsp:val=&quot;0064350F&quot;/&gt;&lt;wsp:rsid wsp:val=&quot;00643759&quot;/&gt;&lt;wsp:rsid wsp:val=&quot;00643781&quot;/&gt;&lt;wsp:rsid wsp:val=&quot;00643903&quot;/&gt;&lt;wsp:rsid wsp:val=&quot;0064446E&quot;/&gt;&lt;wsp:rsid wsp:val=&quot;00644BCF&quot;/&gt;&lt;wsp:rsid wsp:val=&quot;00644E3F&quot;/&gt;&lt;wsp:rsid wsp:val=&quot;006451D8&quot;/&gt;&lt;wsp:rsid wsp:val=&quot;00645363&quot;/&gt;&lt;wsp:rsid wsp:val=&quot;00645ACE&quot;/&gt;&lt;wsp:rsid wsp:val=&quot;00645F50&quot;/&gt;&lt;wsp:rsid wsp:val=&quot;006461DC&quot;/&gt;&lt;wsp:rsid wsp:val=&quot;0064624B&quot;/&gt;&lt;wsp:rsid wsp:val=&quot;00646321&quot;/&gt;&lt;wsp:rsid wsp:val=&quot;00646D8B&quot;/&gt;&lt;wsp:rsid wsp:val=&quot;00647584&quot;/&gt;&lt;wsp:rsid wsp:val=&quot;00647C4F&quot;/&gt;&lt;wsp:rsid wsp:val=&quot;00647D71&quot;/&gt;&lt;wsp:rsid wsp:val=&quot;00647E36&quot;/&gt;&lt;wsp:rsid wsp:val=&quot;00647FBE&quot;/&gt;&lt;wsp:rsid wsp:val=&quot;0065028C&quot;/&gt;&lt;wsp:rsid wsp:val=&quot;00650A9A&quot;/&gt;&lt;wsp:rsid wsp:val=&quot;006512A6&quot;/&gt;&lt;wsp:rsid wsp:val=&quot;00651391&quot;/&gt;&lt;wsp:rsid wsp:val=&quot;00651877&quot;/&gt;&lt;wsp:rsid wsp:val=&quot;00651B85&quot;/&gt;&lt;wsp:rsid wsp:val=&quot;00651BFE&quot;/&gt;&lt;wsp:rsid wsp:val=&quot;00651D06&quot;/&gt;&lt;wsp:rsid wsp:val=&quot;00652176&quot;/&gt;&lt;wsp:rsid wsp:val=&quot;0065227A&quot;/&gt;&lt;wsp:rsid wsp:val=&quot;0065239A&quot;/&gt;&lt;wsp:rsid wsp:val=&quot;0065270D&quot;/&gt;&lt;wsp:rsid wsp:val=&quot;00652B1A&quot;/&gt;&lt;wsp:rsid wsp:val=&quot;00652D7B&quot;/&gt;&lt;wsp:rsid wsp:val=&quot;00652DB4&quot;/&gt;&lt;wsp:rsid wsp:val=&quot;00653308&quot;/&gt;&lt;wsp:rsid wsp:val=&quot;00653BDC&quot;/&gt;&lt;wsp:rsid wsp:val=&quot;0065427D&quot;/&gt;&lt;wsp:rsid wsp:val=&quot;00654429&quot;/&gt;&lt;wsp:rsid wsp:val=&quot;00654465&quot;/&gt;&lt;wsp:rsid wsp:val=&quot;006544E0&quot;/&gt;&lt;wsp:rsid wsp:val=&quot;00654826&quot;/&gt;&lt;wsp:rsid wsp:val=&quot;006550D3&quot;/&gt;&lt;wsp:rsid wsp:val=&quot;00655A6E&quot;/&gt;&lt;wsp:rsid wsp:val=&quot;0065620D&quot;/&gt;&lt;wsp:rsid wsp:val=&quot;00656D7A&quot;/&gt;&lt;wsp:rsid wsp:val=&quot;00656E41&quot;/&gt;&lt;wsp:rsid wsp:val=&quot;00656F55&quot;/&gt;&lt;wsp:rsid wsp:val=&quot;00657625&quot;/&gt;&lt;wsp:rsid wsp:val=&quot;00657ADD&quot;/&gt;&lt;wsp:rsid wsp:val=&quot;00657DBC&quot;/&gt;&lt;wsp:rsid wsp:val=&quot;00660C74&quot;/&gt;&lt;wsp:rsid wsp:val=&quot;00660D40&quot;/&gt;&lt;wsp:rsid wsp:val=&quot;00660F8C&quot;/&gt;&lt;wsp:rsid wsp:val=&quot;006612BB&quot;/&gt;&lt;wsp:rsid wsp:val=&quot;0066148D&quot;/&gt;&lt;wsp:rsid wsp:val=&quot;006618EF&quot;/&gt;&lt;wsp:rsid wsp:val=&quot;00661C61&quot;/&gt;&lt;wsp:rsid wsp:val=&quot;00661CD8&quot;/&gt;&lt;wsp:rsid wsp:val=&quot;00661DB3&quot;/&gt;&lt;wsp:rsid wsp:val=&quot;00661F84&quot;/&gt;&lt;wsp:rsid wsp:val=&quot;006628B4&quot;/&gt;&lt;wsp:rsid wsp:val=&quot;00663D0D&quot;/&gt;&lt;wsp:rsid wsp:val=&quot;0066430E&quot;/&gt;&lt;wsp:rsid wsp:val=&quot;00664522&quot;/&gt;&lt;wsp:rsid wsp:val=&quot;00664943&quot;/&gt;&lt;wsp:rsid wsp:val=&quot;00664AAD&quot;/&gt;&lt;wsp:rsid wsp:val=&quot;00664BB2&quot;/&gt;&lt;wsp:rsid wsp:val=&quot;00664BC9&quot;/&gt;&lt;wsp:rsid wsp:val=&quot;00665234&quot;/&gt;&lt;wsp:rsid wsp:val=&quot;0066533F&quot;/&gt;&lt;wsp:rsid wsp:val=&quot;006658EB&quot;/&gt;&lt;wsp:rsid wsp:val=&quot;006660E5&quot;/&gt;&lt;wsp:rsid wsp:val=&quot;00666122&quot;/&gt;&lt;wsp:rsid wsp:val=&quot;006666F6&quot;/&gt;&lt;wsp:rsid wsp:val=&quot;00666726&quot;/&gt;&lt;wsp:rsid wsp:val=&quot;00666B61&quot;/&gt;&lt;wsp:rsid wsp:val=&quot;00666D1C&quot;/&gt;&lt;wsp:rsid wsp:val=&quot;00667166&quot;/&gt;&lt;wsp:rsid wsp:val=&quot;006675B1&quot;/&gt;&lt;wsp:rsid wsp:val=&quot;0066790D&quot;/&gt;&lt;wsp:rsid wsp:val=&quot;00670618&quot;/&gt;&lt;wsp:rsid wsp:val=&quot;006708BB&quot;/&gt;&lt;wsp:rsid wsp:val=&quot;00670E20&quot;/&gt;&lt;wsp:rsid wsp:val=&quot;00670FF4&quot;/&gt;&lt;wsp:rsid wsp:val=&quot;006711C0&quot;/&gt;&lt;wsp:rsid wsp:val=&quot;00671802&quot;/&gt;&lt;wsp:rsid wsp:val=&quot;00671FF8&quot;/&gt;&lt;wsp:rsid wsp:val=&quot;006723F3&quot;/&gt;&lt;wsp:rsid wsp:val=&quot;00672565&quot;/&gt;&lt;wsp:rsid wsp:val=&quot;00672758&quot;/&gt;&lt;wsp:rsid wsp:val=&quot;00672C6B&quot;/&gt;&lt;wsp:rsid wsp:val=&quot;00672E3A&quot;/&gt;&lt;wsp:rsid wsp:val=&quot;00672FAD&quot;/&gt;&lt;wsp:rsid wsp:val=&quot;00673059&quot;/&gt;&lt;wsp:rsid wsp:val=&quot;00673190&quot;/&gt;&lt;wsp:rsid wsp:val=&quot;00673490&quot;/&gt;&lt;wsp:rsid wsp:val=&quot;00673E9E&quot;/&gt;&lt;wsp:rsid wsp:val=&quot;00673EDD&quot;/&gt;&lt;wsp:rsid wsp:val=&quot;0067403F&quot;/&gt;&lt;wsp:rsid wsp:val=&quot;00674369&quot;/&gt;&lt;wsp:rsid wsp:val=&quot;00674A76&quot;/&gt;&lt;wsp:rsid wsp:val=&quot;00674F7B&quot;/&gt;&lt;wsp:rsid wsp:val=&quot;0067549E&quot;/&gt;&lt;wsp:rsid wsp:val=&quot;006756A7&quot;/&gt;&lt;wsp:rsid wsp:val=&quot;00675937&quot;/&gt;&lt;wsp:rsid wsp:val=&quot;00675C1B&quot;/&gt;&lt;wsp:rsid wsp:val=&quot;00675CEF&quot;/&gt;&lt;wsp:rsid wsp:val=&quot;00675E90&quot;/&gt;&lt;wsp:rsid wsp:val=&quot;00675F11&quot;/&gt;&lt;wsp:rsid wsp:val=&quot;00675FA8&quot;/&gt;&lt;wsp:rsid wsp:val=&quot;00676240&quot;/&gt;&lt;wsp:rsid wsp:val=&quot;006764A2&quot;/&gt;&lt;wsp:rsid wsp:val=&quot;00676709&quot;/&gt;&lt;wsp:rsid wsp:val=&quot;006768E8&quot;/&gt;&lt;wsp:rsid wsp:val=&quot;00676911&quot;/&gt;&lt;wsp:rsid wsp:val=&quot;00676BB5&quot;/&gt;&lt;wsp:rsid wsp:val=&quot;00676BC7&quot;/&gt;&lt;wsp:rsid wsp:val=&quot;00677010&quot;/&gt;&lt;wsp:rsid wsp:val=&quot;0067756E&quot;/&gt;&lt;wsp:rsid wsp:val=&quot;00677588&quot;/&gt;&lt;wsp:rsid wsp:val=&quot;00677837&quot;/&gt;&lt;wsp:rsid wsp:val=&quot;00677B84&quot;/&gt;&lt;wsp:rsid wsp:val=&quot;00677F4C&quot;/&gt;&lt;wsp:rsid wsp:val=&quot;00677FF0&quot;/&gt;&lt;wsp:rsid wsp:val=&quot;0068002D&quot;/&gt;&lt;wsp:rsid wsp:val=&quot;00680686&quot;/&gt;&lt;wsp:rsid wsp:val=&quot;0068071B&quot;/&gt;&lt;wsp:rsid wsp:val=&quot;00680F63&quot;/&gt;&lt;wsp:rsid wsp:val=&quot;006814BA&quot;/&gt;&lt;wsp:rsid wsp:val=&quot;0068176A&quot;/&gt;&lt;wsp:rsid wsp:val=&quot;00681BB8&quot;/&gt;&lt;wsp:rsid wsp:val=&quot;0068272D&quot;/&gt;&lt;wsp:rsid wsp:val=&quot;006828F7&quot;/&gt;&lt;wsp:rsid wsp:val=&quot;00682A6D&quot;/&gt;&lt;wsp:rsid wsp:val=&quot;00682B45&quot;/&gt;&lt;wsp:rsid wsp:val=&quot;00682C63&quot;/&gt;&lt;wsp:rsid wsp:val=&quot;00682CBB&quot;/&gt;&lt;wsp:rsid wsp:val=&quot;006830D5&quot;/&gt;&lt;wsp:rsid wsp:val=&quot;006833D9&quot;/&gt;&lt;wsp:rsid wsp:val=&quot;00683A9C&quot;/&gt;&lt;wsp:rsid wsp:val=&quot;00683B70&quot;/&gt;&lt;wsp:rsid wsp:val=&quot;00683E05&quot;/&gt;&lt;wsp:rsid wsp:val=&quot;00683F00&quot;/&gt;&lt;wsp:rsid wsp:val=&quot;00684216&quot;/&gt;&lt;wsp:rsid wsp:val=&quot;00684398&quot;/&gt;&lt;wsp:rsid wsp:val=&quot;006845F0&quot;/&gt;&lt;wsp:rsid wsp:val=&quot;00684A80&quot;/&gt;&lt;wsp:rsid wsp:val=&quot;00684EB5&quot;/&gt;&lt;wsp:rsid wsp:val=&quot;00684EC0&quot;/&gt;&lt;wsp:rsid wsp:val=&quot;00684F47&quot;/&gt;&lt;wsp:rsid wsp:val=&quot;00684F8D&quot;/&gt;&lt;wsp:rsid wsp:val=&quot;00685269&quot;/&gt;&lt;wsp:rsid wsp:val=&quot;006856FD&quot;/&gt;&lt;wsp:rsid wsp:val=&quot;00685DDB&quot;/&gt;&lt;wsp:rsid wsp:val=&quot;00685DEE&quot;/&gt;&lt;wsp:rsid wsp:val=&quot;0068636A&quot;/&gt;&lt;wsp:rsid wsp:val=&quot;006866E1&quot;/&gt;&lt;wsp:rsid wsp:val=&quot;0068679C&quot;/&gt;&lt;wsp:rsid wsp:val=&quot;006867C7&quot;/&gt;&lt;wsp:rsid wsp:val=&quot;0068715D&quot;/&gt;&lt;wsp:rsid wsp:val=&quot;00687BAE&quot;/&gt;&lt;wsp:rsid wsp:val=&quot;00687E97&quot;/&gt;&lt;wsp:rsid wsp:val=&quot;0069013C&quot;/&gt;&lt;wsp:rsid wsp:val=&quot;00690330&quot;/&gt;&lt;wsp:rsid wsp:val=&quot;00690735&quot;/&gt;&lt;wsp:rsid wsp:val=&quot;0069078F&quot;/&gt;&lt;wsp:rsid wsp:val=&quot;00690F50&quot;/&gt;&lt;wsp:rsid wsp:val=&quot;0069119E&quot;/&gt;&lt;wsp:rsid wsp:val=&quot;006911E7&quot;/&gt;&lt;wsp:rsid wsp:val=&quot;006917AC&quot;/&gt;&lt;wsp:rsid wsp:val=&quot;00691EBB&quot;/&gt;&lt;wsp:rsid wsp:val=&quot;00691F08&quot;/&gt;&lt;wsp:rsid wsp:val=&quot;0069200C&quot;/&gt;&lt;wsp:rsid wsp:val=&quot;006921CD&quot;/&gt;&lt;wsp:rsid wsp:val=&quot;00692407&quot;/&gt;&lt;wsp:rsid wsp:val=&quot;0069290A&quot;/&gt;&lt;wsp:rsid wsp:val=&quot;00692E05&quot;/&gt;&lt;wsp:rsid wsp:val=&quot;00692F21&quot;/&gt;&lt;wsp:rsid wsp:val=&quot;00693929&quot;/&gt;&lt;wsp:rsid wsp:val=&quot;00693C06&quot;/&gt;&lt;wsp:rsid wsp:val=&quot;00693EE5&quot;/&gt;&lt;wsp:rsid wsp:val=&quot;006940F4&quot;/&gt;&lt;wsp:rsid wsp:val=&quot;00694206&quot;/&gt;&lt;wsp:rsid wsp:val=&quot;006949FA&quot;/&gt;&lt;wsp:rsid wsp:val=&quot;00694B20&quot;/&gt;&lt;wsp:rsid wsp:val=&quot;00694D2A&quot;/&gt;&lt;wsp:rsid wsp:val=&quot;00694FA0&quot;/&gt;&lt;wsp:rsid wsp:val=&quot;006950E8&quot;/&gt;&lt;wsp:rsid wsp:val=&quot;00695210&quot;/&gt;&lt;wsp:rsid wsp:val=&quot;006952D8&quot;/&gt;&lt;wsp:rsid wsp:val=&quot;00695634&quot;/&gt;&lt;wsp:rsid wsp:val=&quot;006958A0&quot;/&gt;&lt;wsp:rsid wsp:val=&quot;00695B78&quot;/&gt;&lt;wsp:rsid wsp:val=&quot;006960D4&quot;/&gt;&lt;wsp:rsid wsp:val=&quot;00696138&quot;/&gt;&lt;wsp:rsid wsp:val=&quot;006968D0&quot;/&gt;&lt;wsp:rsid wsp:val=&quot;00696B20&quot;/&gt;&lt;wsp:rsid wsp:val=&quot;00696E49&quot;/&gt;&lt;wsp:rsid wsp:val=&quot;006971CD&quot;/&gt;&lt;wsp:rsid wsp:val=&quot;00697531&quot;/&gt;&lt;wsp:rsid wsp:val=&quot;006976CC&quot;/&gt;&lt;wsp:rsid wsp:val=&quot;00697794&quot;/&gt;&lt;wsp:rsid wsp:val=&quot;0069786E&quot;/&gt;&lt;wsp:rsid wsp:val=&quot;00697BB9&quot;/&gt;&lt;wsp:rsid wsp:val=&quot;006A05A4&quot;/&gt;&lt;wsp:rsid wsp:val=&quot;006A063C&quot;/&gt;&lt;wsp:rsid wsp:val=&quot;006A074C&quot;/&gt;&lt;wsp:rsid wsp:val=&quot;006A09DF&quot;/&gt;&lt;wsp:rsid wsp:val=&quot;006A0BEB&quot;/&gt;&lt;wsp:rsid wsp:val=&quot;006A14D7&quot;/&gt;&lt;wsp:rsid wsp:val=&quot;006A1621&quot;/&gt;&lt;wsp:rsid wsp:val=&quot;006A1687&quot;/&gt;&lt;wsp:rsid wsp:val=&quot;006A23B0&quot;/&gt;&lt;wsp:rsid wsp:val=&quot;006A3013&quot;/&gt;&lt;wsp:rsid wsp:val=&quot;006A3250&quot;/&gt;&lt;wsp:rsid wsp:val=&quot;006A34B5&quot;/&gt;&lt;wsp:rsid wsp:val=&quot;006A3657&quot;/&gt;&lt;wsp:rsid wsp:val=&quot;006A3723&quot;/&gt;&lt;wsp:rsid wsp:val=&quot;006A3C63&quot;/&gt;&lt;wsp:rsid wsp:val=&quot;006A3D1F&quot;/&gt;&lt;wsp:rsid wsp:val=&quot;006A3E65&quot;/&gt;&lt;wsp:rsid wsp:val=&quot;006A467F&quot;/&gt;&lt;wsp:rsid wsp:val=&quot;006A49BC&quot;/&gt;&lt;wsp:rsid wsp:val=&quot;006A4CBC&quot;/&gt;&lt;wsp:rsid wsp:val=&quot;006A4D8D&quot;/&gt;&lt;wsp:rsid wsp:val=&quot;006A4FF2&quot;/&gt;&lt;wsp:rsid wsp:val=&quot;006A511D&quot;/&gt;&lt;wsp:rsid wsp:val=&quot;006A514C&quot;/&gt;&lt;wsp:rsid wsp:val=&quot;006A5278&quot;/&gt;&lt;wsp:rsid wsp:val=&quot;006A5480&quot;/&gt;&lt;wsp:rsid wsp:val=&quot;006A5494&quot;/&gt;&lt;wsp:rsid wsp:val=&quot;006A552F&quot;/&gt;&lt;wsp:rsid wsp:val=&quot;006A590C&quot;/&gt;&lt;wsp:rsid wsp:val=&quot;006A626A&quot;/&gt;&lt;wsp:rsid wsp:val=&quot;006A63EA&quot;/&gt;&lt;wsp:rsid wsp:val=&quot;006A67CA&quot;/&gt;&lt;wsp:rsid wsp:val=&quot;006A6D84&quot;/&gt;&lt;wsp:rsid wsp:val=&quot;006A70FA&quot;/&gt;&lt;wsp:rsid wsp:val=&quot;006A7390&quot;/&gt;&lt;wsp:rsid wsp:val=&quot;006A73EE&quot;/&gt;&lt;wsp:rsid wsp:val=&quot;006A74B7&quot;/&gt;&lt;wsp:rsid wsp:val=&quot;006A7842&quot;/&gt;&lt;wsp:rsid wsp:val=&quot;006B05E2&quot;/&gt;&lt;wsp:rsid wsp:val=&quot;006B1A9F&quot;/&gt;&lt;wsp:rsid wsp:val=&quot;006B1B4C&quot;/&gt;&lt;wsp:rsid wsp:val=&quot;006B1DA0&quot;/&gt;&lt;wsp:rsid wsp:val=&quot;006B296C&quot;/&gt;&lt;wsp:rsid wsp:val=&quot;006B2FC5&quot;/&gt;&lt;wsp:rsid wsp:val=&quot;006B3029&quot;/&gt;&lt;wsp:rsid wsp:val=&quot;006B3098&quot;/&gt;&lt;wsp:rsid wsp:val=&quot;006B36C9&quot;/&gt;&lt;wsp:rsid wsp:val=&quot;006B3871&quot;/&gt;&lt;wsp:rsid wsp:val=&quot;006B3876&quot;/&gt;&lt;wsp:rsid wsp:val=&quot;006B3BC4&quot;/&gt;&lt;wsp:rsid wsp:val=&quot;006B3D67&quot;/&gt;&lt;wsp:rsid wsp:val=&quot;006B3E51&quot;/&gt;&lt;wsp:rsid wsp:val=&quot;006B3EF7&quot;/&gt;&lt;wsp:rsid wsp:val=&quot;006B409E&quot;/&gt;&lt;wsp:rsid wsp:val=&quot;006B4184&quot;/&gt;&lt;wsp:rsid wsp:val=&quot;006B46D8&quot;/&gt;&lt;wsp:rsid wsp:val=&quot;006B4A77&quot;/&gt;&lt;wsp:rsid wsp:val=&quot;006B4CE4&quot;/&gt;&lt;wsp:rsid wsp:val=&quot;006B4E3D&quot;/&gt;&lt;wsp:rsid wsp:val=&quot;006B565C&quot;/&gt;&lt;wsp:rsid wsp:val=&quot;006B5907&quot;/&gt;&lt;wsp:rsid wsp:val=&quot;006B5DD5&quot;/&gt;&lt;wsp:rsid wsp:val=&quot;006B5FB3&quot;/&gt;&lt;wsp:rsid wsp:val=&quot;006B629F&quot;/&gt;&lt;wsp:rsid wsp:val=&quot;006B649B&quot;/&gt;&lt;wsp:rsid wsp:val=&quot;006B665E&quot;/&gt;&lt;wsp:rsid wsp:val=&quot;006B689B&quot;/&gt;&lt;wsp:rsid wsp:val=&quot;006B6D92&quot;/&gt;&lt;wsp:rsid wsp:val=&quot;006B78E5&quot;/&gt;&lt;wsp:rsid wsp:val=&quot;006B7A51&quot;/&gt;&lt;wsp:rsid wsp:val=&quot;006B7A5C&quot;/&gt;&lt;wsp:rsid wsp:val=&quot;006B7A75&quot;/&gt;&lt;wsp:rsid wsp:val=&quot;006B7C8A&quot;/&gt;&lt;wsp:rsid wsp:val=&quot;006C0006&quot;/&gt;&lt;wsp:rsid wsp:val=&quot;006C00D4&quot;/&gt;&lt;wsp:rsid wsp:val=&quot;006C03AE&quot;/&gt;&lt;wsp:rsid wsp:val=&quot;006C08B9&quot;/&gt;&lt;wsp:rsid wsp:val=&quot;006C0C8E&quot;/&gt;&lt;wsp:rsid wsp:val=&quot;006C0F87&quot;/&gt;&lt;wsp:rsid wsp:val=&quot;006C148D&quot;/&gt;&lt;wsp:rsid wsp:val=&quot;006C1509&quot;/&gt;&lt;wsp:rsid wsp:val=&quot;006C1584&quot;/&gt;&lt;wsp:rsid wsp:val=&quot;006C1DBC&quot;/&gt;&lt;wsp:rsid wsp:val=&quot;006C225F&quot;/&gt;&lt;wsp:rsid wsp:val=&quot;006C2327&quot;/&gt;&lt;wsp:rsid wsp:val=&quot;006C2417&quot;/&gt;&lt;wsp:rsid wsp:val=&quot;006C2478&quot;/&gt;&lt;wsp:rsid wsp:val=&quot;006C279D&quot;/&gt;&lt;wsp:rsid wsp:val=&quot;006C2BB3&quot;/&gt;&lt;wsp:rsid wsp:val=&quot;006C2CFB&quot;/&gt;&lt;wsp:rsid wsp:val=&quot;006C2FE3&quot;/&gt;&lt;wsp:rsid wsp:val=&quot;006C302F&quot;/&gt;&lt;wsp:rsid wsp:val=&quot;006C3038&quot;/&gt;&lt;wsp:rsid wsp:val=&quot;006C318A&quot;/&gt;&lt;wsp:rsid wsp:val=&quot;006C31CF&quot;/&gt;&lt;wsp:rsid wsp:val=&quot;006C333E&quot;/&gt;&lt;wsp:rsid wsp:val=&quot;006C33DD&quot;/&gt;&lt;wsp:rsid wsp:val=&quot;006C40C0&quot;/&gt;&lt;wsp:rsid wsp:val=&quot;006C40EE&quot;/&gt;&lt;wsp:rsid wsp:val=&quot;006C41C2&quot;/&gt;&lt;wsp:rsid wsp:val=&quot;006C46AB&quot;/&gt;&lt;wsp:rsid wsp:val=&quot;006C4B70&quot;/&gt;&lt;wsp:rsid wsp:val=&quot;006C528D&quot;/&gt;&lt;wsp:rsid wsp:val=&quot;006C55BC&quot;/&gt;&lt;wsp:rsid wsp:val=&quot;006C567B&quot;/&gt;&lt;wsp:rsid wsp:val=&quot;006C60DA&quot;/&gt;&lt;wsp:rsid wsp:val=&quot;006C63EE&quot;/&gt;&lt;wsp:rsid wsp:val=&quot;006C653D&quot;/&gt;&lt;wsp:rsid wsp:val=&quot;006C690B&quot;/&gt;&lt;wsp:rsid wsp:val=&quot;006C6A8C&quot;/&gt;&lt;wsp:rsid wsp:val=&quot;006C6FFC&quot;/&gt;&lt;wsp:rsid wsp:val=&quot;006C7BD8&quot;/&gt;&lt;wsp:rsid wsp:val=&quot;006C7E10&quot;/&gt;&lt;wsp:rsid wsp:val=&quot;006C7EEE&quot;/&gt;&lt;wsp:rsid wsp:val=&quot;006D0401&quot;/&gt;&lt;wsp:rsid wsp:val=&quot;006D04B5&quot;/&gt;&lt;wsp:rsid wsp:val=&quot;006D0808&quot;/&gt;&lt;wsp:rsid wsp:val=&quot;006D106F&quot;/&gt;&lt;wsp:rsid wsp:val=&quot;006D1257&quot;/&gt;&lt;wsp:rsid wsp:val=&quot;006D1505&quot;/&gt;&lt;wsp:rsid wsp:val=&quot;006D1FAC&quot;/&gt;&lt;wsp:rsid wsp:val=&quot;006D28F2&quot;/&gt;&lt;wsp:rsid wsp:val=&quot;006D2C85&quot;/&gt;&lt;wsp:rsid wsp:val=&quot;006D31AA&quot;/&gt;&lt;wsp:rsid wsp:val=&quot;006D396D&quot;/&gt;&lt;wsp:rsid wsp:val=&quot;006D4E0B&quot;/&gt;&lt;wsp:rsid wsp:val=&quot;006D4F52&quot;/&gt;&lt;wsp:rsid wsp:val=&quot;006D51B6&quot;/&gt;&lt;wsp:rsid wsp:val=&quot;006D544F&quot;/&gt;&lt;wsp:rsid wsp:val=&quot;006D5727&quot;/&gt;&lt;wsp:rsid wsp:val=&quot;006D5EC0&quot;/&gt;&lt;wsp:rsid wsp:val=&quot;006D62AE&quot;/&gt;&lt;wsp:rsid wsp:val=&quot;006D634E&quot;/&gt;&lt;wsp:rsid wsp:val=&quot;006D6E4F&quot;/&gt;&lt;wsp:rsid wsp:val=&quot;006D6FF4&quot;/&gt;&lt;wsp:rsid wsp:val=&quot;006D7CA1&quot;/&gt;&lt;wsp:rsid wsp:val=&quot;006D7F95&quot;/&gt;&lt;wsp:rsid wsp:val=&quot;006E00C9&quot;/&gt;&lt;wsp:rsid wsp:val=&quot;006E03E2&quot;/&gt;&lt;wsp:rsid wsp:val=&quot;006E0616&quot;/&gt;&lt;wsp:rsid wsp:val=&quot;006E15B6&quot;/&gt;&lt;wsp:rsid wsp:val=&quot;006E1CAC&quot;/&gt;&lt;wsp:rsid wsp:val=&quot;006E1F3A&quot;/&gt;&lt;wsp:rsid wsp:val=&quot;006E23B9&quot;/&gt;&lt;wsp:rsid wsp:val=&quot;006E23FC&quot;/&gt;&lt;wsp:rsid wsp:val=&quot;006E2408&quot;/&gt;&lt;wsp:rsid wsp:val=&quot;006E240F&quot;/&gt;&lt;wsp:rsid wsp:val=&quot;006E32EF&quot;/&gt;&lt;wsp:rsid wsp:val=&quot;006E395E&quot;/&gt;&lt;wsp:rsid wsp:val=&quot;006E4271&quot;/&gt;&lt;wsp:rsid wsp:val=&quot;006E44F6&quot;/&gt;&lt;wsp:rsid wsp:val=&quot;006E47A3&quot;/&gt;&lt;wsp:rsid wsp:val=&quot;006E4AF0&quot;/&gt;&lt;wsp:rsid wsp:val=&quot;006E4DCA&quot;/&gt;&lt;wsp:rsid wsp:val=&quot;006E4EE1&quot;/&gt;&lt;wsp:rsid wsp:val=&quot;006E52AE&quot;/&gt;&lt;wsp:rsid wsp:val=&quot;006E5623&quot;/&gt;&lt;wsp:rsid wsp:val=&quot;006E584D&quot;/&gt;&lt;wsp:rsid wsp:val=&quot;006E5973&quot;/&gt;&lt;wsp:rsid wsp:val=&quot;006E5C56&quot;/&gt;&lt;wsp:rsid wsp:val=&quot;006E5CCE&quot;/&gt;&lt;wsp:rsid wsp:val=&quot;006E6442&quot;/&gt;&lt;wsp:rsid wsp:val=&quot;006E6504&quot;/&gt;&lt;wsp:rsid wsp:val=&quot;006E6548&quot;/&gt;&lt;wsp:rsid wsp:val=&quot;006E6FCC&quot;/&gt;&lt;wsp:rsid wsp:val=&quot;006E7C8C&quot;/&gt;&lt;wsp:rsid wsp:val=&quot;006E7D06&quot;/&gt;&lt;wsp:rsid wsp:val=&quot;006F0025&quot;/&gt;&lt;wsp:rsid wsp:val=&quot;006F06A0&quot;/&gt;&lt;wsp:rsid wsp:val=&quot;006F06DE&quot;/&gt;&lt;wsp:rsid wsp:val=&quot;006F0D9C&quot;/&gt;&lt;wsp:rsid wsp:val=&quot;006F0DDF&quot;/&gt;&lt;wsp:rsid wsp:val=&quot;006F0FA9&quot;/&gt;&lt;wsp:rsid wsp:val=&quot;006F14F3&quot;/&gt;&lt;wsp:rsid wsp:val=&quot;006F1519&quot;/&gt;&lt;wsp:rsid wsp:val=&quot;006F1C25&quot;/&gt;&lt;wsp:rsid wsp:val=&quot;006F1D91&quot;/&gt;&lt;wsp:rsid wsp:val=&quot;006F22DD&quot;/&gt;&lt;wsp:rsid wsp:val=&quot;006F252D&quot;/&gt;&lt;wsp:rsid wsp:val=&quot;006F25A4&quot;/&gt;&lt;wsp:rsid wsp:val=&quot;006F25BD&quot;/&gt;&lt;wsp:rsid wsp:val=&quot;006F29D9&quot;/&gt;&lt;wsp:rsid wsp:val=&quot;006F2F1B&quot;/&gt;&lt;wsp:rsid wsp:val=&quot;006F3399&quot;/&gt;&lt;wsp:rsid wsp:val=&quot;006F34C2&quot;/&gt;&lt;wsp:rsid wsp:val=&quot;006F3F3D&quot;/&gt;&lt;wsp:rsid wsp:val=&quot;006F407A&quot;/&gt;&lt;wsp:rsid wsp:val=&quot;006F40BA&quot;/&gt;&lt;wsp:rsid wsp:val=&quot;006F43E5&quot;/&gt;&lt;wsp:rsid wsp:val=&quot;006F4792&quot;/&gt;&lt;wsp:rsid wsp:val=&quot;006F490C&quot;/&gt;&lt;wsp:rsid wsp:val=&quot;006F4CA0&quot;/&gt;&lt;wsp:rsid wsp:val=&quot;006F508F&quot;/&gt;&lt;wsp:rsid wsp:val=&quot;006F51C4&quot;/&gt;&lt;wsp:rsid wsp:val=&quot;006F51F1&quot;/&gt;&lt;wsp:rsid wsp:val=&quot;006F5596&quot;/&gt;&lt;wsp:rsid wsp:val=&quot;006F5855&quot;/&gt;&lt;wsp:rsid wsp:val=&quot;006F5A60&quot;/&gt;&lt;wsp:rsid wsp:val=&quot;006F5D07&quot;/&gt;&lt;wsp:rsid wsp:val=&quot;006F616B&quot;/&gt;&lt;wsp:rsid wsp:val=&quot;006F62B4&quot;/&gt;&lt;wsp:rsid wsp:val=&quot;006F653F&quot;/&gt;&lt;wsp:rsid wsp:val=&quot;006F658C&quot;/&gt;&lt;wsp:rsid wsp:val=&quot;006F6B3B&quot;/&gt;&lt;wsp:rsid wsp:val=&quot;006F6E8E&quot;/&gt;&lt;wsp:rsid wsp:val=&quot;006F7230&quot;/&gt;&lt;wsp:rsid wsp:val=&quot;006F728A&quot;/&gt;&lt;wsp:rsid wsp:val=&quot;006F7485&quot;/&gt;&lt;wsp:rsid wsp:val=&quot;006F7E88&quot;/&gt;&lt;wsp:rsid wsp:val=&quot;007000E2&quot;/&gt;&lt;wsp:rsid wsp:val=&quot;007008A4&quot;/&gt;&lt;wsp:rsid wsp:val=&quot;00700A7B&quot;/&gt;&lt;wsp:rsid wsp:val=&quot;00700AA5&quot;/&gt;&lt;wsp:rsid wsp:val=&quot;00700FD7&quot;/&gt;&lt;wsp:rsid wsp:val=&quot;0070175B&quot;/&gt;&lt;wsp:rsid wsp:val=&quot;0070175F&quot;/&gt;&lt;wsp:rsid wsp:val=&quot;007017F5&quot;/&gt;&lt;wsp:rsid wsp:val=&quot;007018FE&quot;/&gt;&lt;wsp:rsid wsp:val=&quot;00701A9F&quot;/&gt;&lt;wsp:rsid wsp:val=&quot;00701AAA&quot;/&gt;&lt;wsp:rsid wsp:val=&quot;00701D0A&quot;/&gt;&lt;wsp:rsid wsp:val=&quot;00702E40&quot;/&gt;&lt;wsp:rsid wsp:val=&quot;00702E78&quot;/&gt;&lt;wsp:rsid wsp:val=&quot;007034BD&quot;/&gt;&lt;wsp:rsid wsp:val=&quot;00703710&quot;/&gt;&lt;wsp:rsid wsp:val=&quot;00703895&quot;/&gt;&lt;wsp:rsid wsp:val=&quot;007039F8&quot;/&gt;&lt;wsp:rsid wsp:val=&quot;007043F9&quot;/&gt;&lt;wsp:rsid wsp:val=&quot;007046C2&quot;/&gt;&lt;wsp:rsid wsp:val=&quot;00704B5F&quot;/&gt;&lt;wsp:rsid wsp:val=&quot;007052B5&quot;/&gt;&lt;wsp:rsid wsp:val=&quot;007052CE&quot;/&gt;&lt;wsp:rsid wsp:val=&quot;0070576F&quot;/&gt;&lt;wsp:rsid wsp:val=&quot;00705B0E&quot;/&gt;&lt;wsp:rsid wsp:val=&quot;00706483&quot;/&gt;&lt;wsp:rsid wsp:val=&quot;0070674E&quot;/&gt;&lt;wsp:rsid wsp:val=&quot;0070688C&quot;/&gt;&lt;wsp:rsid wsp:val=&quot;007072B9&quot;/&gt;&lt;wsp:rsid wsp:val=&quot;0070772B&quot;/&gt;&lt;wsp:rsid wsp:val=&quot;0070777E&quot;/&gt;&lt;wsp:rsid wsp:val=&quot;007078C2&quot;/&gt;&lt;wsp:rsid wsp:val=&quot;0071018A&quot;/&gt;&lt;wsp:rsid wsp:val=&quot;00710316&quot;/&gt;&lt;wsp:rsid wsp:val=&quot;007104C2&quot;/&gt;&lt;wsp:rsid wsp:val=&quot;00710B0E&quot;/&gt;&lt;wsp:rsid wsp:val=&quot;00710D10&quot;/&gt;&lt;wsp:rsid wsp:val=&quot;00711068&quot;/&gt;&lt;wsp:rsid wsp:val=&quot;007111F4&quot;/&gt;&lt;wsp:rsid wsp:val=&quot;00711633&quot;/&gt;&lt;wsp:rsid wsp:val=&quot;007118BF&quot;/&gt;&lt;wsp:rsid wsp:val=&quot;00711A12&quot;/&gt;&lt;wsp:rsid wsp:val=&quot;00711BF5&quot;/&gt;&lt;wsp:rsid wsp:val=&quot;00711C60&quot;/&gt;&lt;wsp:rsid wsp:val=&quot;00711EFB&quot;/&gt;&lt;wsp:rsid wsp:val=&quot;007123C9&quot;/&gt;&lt;wsp:rsid wsp:val=&quot;00712A30&quot;/&gt;&lt;wsp:rsid wsp:val=&quot;00712E2D&quot;/&gt;&lt;wsp:rsid wsp:val=&quot;0071346C&quot;/&gt;&lt;wsp:rsid wsp:val=&quot;00713780&quot;/&gt;&lt;wsp:rsid wsp:val=&quot;007138D9&quot;/&gt;&lt;wsp:rsid wsp:val=&quot;00713DF9&quot;/&gt;&lt;wsp:rsid wsp:val=&quot;00714343&quot;/&gt;&lt;wsp:rsid wsp:val=&quot;007143CB&quot;/&gt;&lt;wsp:rsid wsp:val=&quot;00714C5A&quot;/&gt;&lt;wsp:rsid wsp:val=&quot;00714C7D&quot;/&gt;&lt;wsp:rsid wsp:val=&quot;00714CE5&quot;/&gt;&lt;wsp:rsid wsp:val=&quot;00714E0A&quot;/&gt;&lt;wsp:rsid wsp:val=&quot;0071510F&quot;/&gt;&lt;wsp:rsid wsp:val=&quot;0071517F&quot;/&gt;&lt;wsp:rsid wsp:val=&quot;007156C2&quot;/&gt;&lt;wsp:rsid wsp:val=&quot;00715AA7&quot;/&gt;&lt;wsp:rsid wsp:val=&quot;007161D8&quot;/&gt;&lt;wsp:rsid wsp:val=&quot;00716885&quot;/&gt;&lt;wsp:rsid wsp:val=&quot;007168E6&quot;/&gt;&lt;wsp:rsid wsp:val=&quot;00716C33&quot;/&gt;&lt;wsp:rsid wsp:val=&quot;007173F6&quot;/&gt;&lt;wsp:rsid wsp:val=&quot;00717817&quot;/&gt;&lt;wsp:rsid wsp:val=&quot;00717A6A&quot;/&gt;&lt;wsp:rsid wsp:val=&quot;00717DA8&quot;/&gt;&lt;wsp:rsid wsp:val=&quot;007201C1&quot;/&gt;&lt;wsp:rsid wsp:val=&quot;007206ED&quot;/&gt;&lt;wsp:rsid wsp:val=&quot;00720928&quot;/&gt;&lt;wsp:rsid wsp:val=&quot;0072099D&quot;/&gt;&lt;wsp:rsid wsp:val=&quot;007209DF&quot;/&gt;&lt;wsp:rsid wsp:val=&quot;00721114&quot;/&gt;&lt;wsp:rsid wsp:val=&quot;00721234&quot;/&gt;&lt;wsp:rsid wsp:val=&quot;00721279&quot;/&gt;&lt;wsp:rsid wsp:val=&quot;00721695&quot;/&gt;&lt;wsp:rsid wsp:val=&quot;0072177B&quot;/&gt;&lt;wsp:rsid wsp:val=&quot;0072196E&quot;/&gt;&lt;wsp:rsid wsp:val=&quot;00721A31&quot;/&gt;&lt;wsp:rsid wsp:val=&quot;00721BF8&quot;/&gt;&lt;wsp:rsid wsp:val=&quot;00721CBD&quot;/&gt;&lt;wsp:rsid wsp:val=&quot;00722052&quot;/&gt;&lt;wsp:rsid wsp:val=&quot;00722370&quot;/&gt;&lt;wsp:rsid wsp:val=&quot;00722378&quot;/&gt;&lt;wsp:rsid wsp:val=&quot;007229B1&quot;/&gt;&lt;wsp:rsid wsp:val=&quot;007229BA&quot;/&gt;&lt;wsp:rsid wsp:val=&quot;00722C03&quot;/&gt;&lt;wsp:rsid wsp:val=&quot;00723BF4&quot;/&gt;&lt;wsp:rsid wsp:val=&quot;00723CCA&quot;/&gt;&lt;wsp:rsid wsp:val=&quot;00724195&quot;/&gt;&lt;wsp:rsid wsp:val=&quot;007245FA&quot;/&gt;&lt;wsp:rsid wsp:val=&quot;00724721&quot;/&gt;&lt;wsp:rsid wsp:val=&quot;007247C6&quot;/&gt;&lt;wsp:rsid wsp:val=&quot;00724922&quot;/&gt;&lt;wsp:rsid wsp:val=&quot;00724B03&quot;/&gt;&lt;wsp:rsid wsp:val=&quot;0072505D&quot;/&gt;&lt;wsp:rsid wsp:val=&quot;0072508E&quot;/&gt;&lt;wsp:rsid wsp:val=&quot;007251CB&quot;/&gt;&lt;wsp:rsid wsp:val=&quot;00725A2A&quot;/&gt;&lt;wsp:rsid wsp:val=&quot;00725A9E&quot;/&gt;&lt;wsp:rsid wsp:val=&quot;00725F4A&quot;/&gt;&lt;wsp:rsid wsp:val=&quot;00725F74&quot;/&gt;&lt;wsp:rsid wsp:val=&quot;00726040&quot;/&gt;&lt;wsp:rsid wsp:val=&quot;007264E4&quot;/&gt;&lt;wsp:rsid wsp:val=&quot;00726B58&quot;/&gt;&lt;wsp:rsid wsp:val=&quot;00726B6D&quot;/&gt;&lt;wsp:rsid wsp:val=&quot;007271C1&quot;/&gt;&lt;wsp:rsid wsp:val=&quot;00727214&quot;/&gt;&lt;wsp:rsid wsp:val=&quot;007276DF&quot;/&gt;&lt;wsp:rsid wsp:val=&quot;007277A1&quot;/&gt;&lt;wsp:rsid wsp:val=&quot;0072798E&quot;/&gt;&lt;wsp:rsid wsp:val=&quot;00727B10&quot;/&gt;&lt;wsp:rsid wsp:val=&quot;0073011A&quot;/&gt;&lt;wsp:rsid wsp:val=&quot;00730952&quot;/&gt;&lt;wsp:rsid wsp:val=&quot;00730D9C&quot;/&gt;&lt;wsp:rsid wsp:val=&quot;00730E70&quot;/&gt;&lt;wsp:rsid wsp:val=&quot;007314B2&quot;/&gt;&lt;wsp:rsid wsp:val=&quot;007314BF&quot;/&gt;&lt;wsp:rsid wsp:val=&quot;00732329&quot;/&gt;&lt;wsp:rsid wsp:val=&quot;007324A1&quot;/&gt;&lt;wsp:rsid wsp:val=&quot;007327D6&quot;/&gt;&lt;wsp:rsid wsp:val=&quot;00732912&quot;/&gt;&lt;wsp:rsid wsp:val=&quot;00732E25&quot;/&gt;&lt;wsp:rsid wsp:val=&quot;0073392C&quot;/&gt;&lt;wsp:rsid wsp:val=&quot;007346FC&quot;/&gt;&lt;wsp:rsid wsp:val=&quot;0073491A&quot;/&gt;&lt;wsp:rsid wsp:val=&quot;00734B0A&quot;/&gt;&lt;wsp:rsid wsp:val=&quot;00734CCF&quot;/&gt;&lt;wsp:rsid wsp:val=&quot;00734DD8&quot;/&gt;&lt;wsp:rsid wsp:val=&quot;00735229&quot;/&gt;&lt;wsp:rsid wsp:val=&quot;00735413&quot;/&gt;&lt;wsp:rsid wsp:val=&quot;0073584B&quot;/&gt;&lt;wsp:rsid wsp:val=&quot;00735AC1&quot;/&gt;&lt;wsp:rsid wsp:val=&quot;00735B58&quot;/&gt;&lt;wsp:rsid wsp:val=&quot;00735C48&quot;/&gt;&lt;wsp:rsid wsp:val=&quot;00735CEB&quot;/&gt;&lt;wsp:rsid wsp:val=&quot;00735D29&quot;/&gt;&lt;wsp:rsid wsp:val=&quot;00735D96&quot;/&gt;&lt;wsp:rsid wsp:val=&quot;0073601B&quot;/&gt;&lt;wsp:rsid wsp:val=&quot;00736031&quot;/&gt;&lt;wsp:rsid wsp:val=&quot;0073622B&quot;/&gt;&lt;wsp:rsid wsp:val=&quot;00736DF3&quot;/&gt;&lt;wsp:rsid wsp:val=&quot;00736FB1&quot;/&gt;&lt;wsp:rsid wsp:val=&quot;007372EB&quot;/&gt;&lt;wsp:rsid wsp:val=&quot;007374B7&quot;/&gt;&lt;wsp:rsid wsp:val=&quot;00737F2D&quot;/&gt;&lt;wsp:rsid wsp:val=&quot;00740028&quot;/&gt;&lt;wsp:rsid wsp:val=&quot;007401CC&quot;/&gt;&lt;wsp:rsid wsp:val=&quot;007402F9&quot;/&gt;&lt;wsp:rsid wsp:val=&quot;0074040C&quot;/&gt;&lt;wsp:rsid wsp:val=&quot;007404EF&quot;/&gt;&lt;wsp:rsid wsp:val=&quot;00740A9E&quot;/&gt;&lt;wsp:rsid wsp:val=&quot;0074156A&quot;/&gt;&lt;wsp:rsid wsp:val=&quot;00741DED&quot;/&gt;&lt;wsp:rsid wsp:val=&quot;007420D2&quot;/&gt;&lt;wsp:rsid wsp:val=&quot;00742AA7&quot;/&gt;&lt;wsp:rsid wsp:val=&quot;00742AB1&quot;/&gt;&lt;wsp:rsid wsp:val=&quot;00743256&quot;/&gt;&lt;wsp:rsid wsp:val=&quot;007434D4&quot;/&gt;&lt;wsp:rsid wsp:val=&quot;007439C9&quot;/&gt;&lt;wsp:rsid wsp:val=&quot;00743E87&quot;/&gt;&lt;wsp:rsid wsp:val=&quot;00744180&quot;/&gt;&lt;wsp:rsid wsp:val=&quot;0074430B&quot;/&gt;&lt;wsp:rsid wsp:val=&quot;00744959&quot;/&gt;&lt;wsp:rsid wsp:val=&quot;00744E1D&quot;/&gt;&lt;wsp:rsid wsp:val=&quot;00744FC2&quot;/&gt;&lt;wsp:rsid wsp:val=&quot;007455B7&quot;/&gt;&lt;wsp:rsid wsp:val=&quot;007457B3&quot;/&gt;&lt;wsp:rsid wsp:val=&quot;00745A09&quot;/&gt;&lt;wsp:rsid wsp:val=&quot;00745C6E&quot;/&gt;&lt;wsp:rsid wsp:val=&quot;00745E8E&quot;/&gt;&lt;wsp:rsid wsp:val=&quot;0074641D&quot;/&gt;&lt;wsp:rsid wsp:val=&quot;007464C2&quot;/&gt;&lt;wsp:rsid wsp:val=&quot;00746679&quot;/&gt;&lt;wsp:rsid wsp:val=&quot;00746750&quot;/&gt;&lt;wsp:rsid wsp:val=&quot;00746A95&quot;/&gt;&lt;wsp:rsid wsp:val=&quot;00746EAF&quot;/&gt;&lt;wsp:rsid wsp:val=&quot;00746EE6&quot;/&gt;&lt;wsp:rsid wsp:val=&quot;007472EA&quot;/&gt;&lt;wsp:rsid wsp:val=&quot;00747385&quot;/&gt;&lt;wsp:rsid wsp:val=&quot;00747948&quot;/&gt;&lt;wsp:rsid wsp:val=&quot;00747BCB&quot;/&gt;&lt;wsp:rsid wsp:val=&quot;00747E75&quot;/&gt;&lt;wsp:rsid wsp:val=&quot;00750048&quot;/&gt;&lt;wsp:rsid wsp:val=&quot;007505FC&quot;/&gt;&lt;wsp:rsid wsp:val=&quot;00750887&quot;/&gt;&lt;wsp:rsid wsp:val=&quot;00750978&quot;/&gt;&lt;wsp:rsid wsp:val=&quot;0075101F&quot;/&gt;&lt;wsp:rsid wsp:val=&quot;00751053&quot;/&gt;&lt;wsp:rsid wsp:val=&quot;00751115&quot;/&gt;&lt;wsp:rsid wsp:val=&quot;007514DF&quot;/&gt;&lt;wsp:rsid wsp:val=&quot;007523E9&quot;/&gt;&lt;wsp:rsid wsp:val=&quot;0075249A&quot;/&gt;&lt;wsp:rsid wsp:val=&quot;007527F6&quot;/&gt;&lt;wsp:rsid wsp:val=&quot;0075281E&quot;/&gt;&lt;wsp:rsid wsp:val=&quot;007528A0&quot;/&gt;&lt;wsp:rsid wsp:val=&quot;00752DA4&quot;/&gt;&lt;wsp:rsid wsp:val=&quot;0075374B&quot;/&gt;&lt;wsp:rsid wsp:val=&quot;00753AF2&quot;/&gt;&lt;wsp:rsid wsp:val=&quot;0075416B&quot;/&gt;&lt;wsp:rsid wsp:val=&quot;00754436&quot;/&gt;&lt;wsp:rsid wsp:val=&quot;00754760&quot;/&gt;&lt;wsp:rsid wsp:val=&quot;00754A76&quot;/&gt;&lt;wsp:rsid wsp:val=&quot;00754B5F&quot;/&gt;&lt;wsp:rsid wsp:val=&quot;00754CC1&quot;/&gt;&lt;wsp:rsid wsp:val=&quot;0075575D&quot;/&gt;&lt;wsp:rsid wsp:val=&quot;00755786&quot;/&gt;&lt;wsp:rsid wsp:val=&quot;00755948&quot;/&gt;&lt;wsp:rsid wsp:val=&quot;00755A98&quot;/&gt;&lt;wsp:rsid wsp:val=&quot;00755E07&quot;/&gt;&lt;wsp:rsid wsp:val=&quot;007560BC&quot;/&gt;&lt;wsp:rsid wsp:val=&quot;00756E00&quot;/&gt;&lt;wsp:rsid wsp:val=&quot;007571B3&quot;/&gt;&lt;wsp:rsid wsp:val=&quot;007572AD&quot;/&gt;&lt;wsp:rsid wsp:val=&quot;0075731F&quot;/&gt;&lt;wsp:rsid wsp:val=&quot;007573C3&quot;/&gt;&lt;wsp:rsid wsp:val=&quot;007574D5&quot;/&gt;&lt;wsp:rsid wsp:val=&quot;007577F9&quot;/&gt;&lt;wsp:rsid wsp:val=&quot;00757D08&quot;/&gt;&lt;wsp:rsid wsp:val=&quot;00757D09&quot;/&gt;&lt;wsp:rsid wsp:val=&quot;00757F74&quot;/&gt;&lt;wsp:rsid wsp:val=&quot;0076037B&quot;/&gt;&lt;wsp:rsid wsp:val=&quot;00760565&quot;/&gt;&lt;wsp:rsid wsp:val=&quot;0076087F&quot;/&gt;&lt;wsp:rsid wsp:val=&quot;00760913&quot;/&gt;&lt;wsp:rsid wsp:val=&quot;00760A5D&quot;/&gt;&lt;wsp:rsid wsp:val=&quot;00760B2B&quot;/&gt;&lt;wsp:rsid wsp:val=&quot;00760D7F&quot;/&gt;&lt;wsp:rsid wsp:val=&quot;00760DAC&quot;/&gt;&lt;wsp:rsid wsp:val=&quot;007618EE&quot;/&gt;&lt;wsp:rsid wsp:val=&quot;00761EED&quot;/&gt;&lt;wsp:rsid wsp:val=&quot;00762379&quot;/&gt;&lt;wsp:rsid wsp:val=&quot;0076287F&quot;/&gt;&lt;wsp:rsid wsp:val=&quot;00762A74&quot;/&gt;&lt;wsp:rsid wsp:val=&quot;00762E67&quot;/&gt;&lt;wsp:rsid wsp:val=&quot;00762E99&quot;/&gt;&lt;wsp:rsid wsp:val=&quot;007636E0&quot;/&gt;&lt;wsp:rsid wsp:val=&quot;00763805&quot;/&gt;&lt;wsp:rsid wsp:val=&quot;00763AC3&quot;/&gt;&lt;wsp:rsid wsp:val=&quot;00763FA6&quot;/&gt;&lt;wsp:rsid wsp:val=&quot;0076411D&quot;/&gt;&lt;wsp:rsid wsp:val=&quot;007648A4&quot;/&gt;&lt;wsp:rsid wsp:val=&quot;00764BD8&quot;/&gt;&lt;wsp:rsid wsp:val=&quot;00765144&quot;/&gt;&lt;wsp:rsid wsp:val=&quot;007657ED&quot;/&gt;&lt;wsp:rsid wsp:val=&quot;00765878&quot;/&gt;&lt;wsp:rsid wsp:val=&quot;007662A1&quot;/&gt;&lt;wsp:rsid wsp:val=&quot;00766C7F&quot;/&gt;&lt;wsp:rsid wsp:val=&quot;00767391&quot;/&gt;&lt;wsp:rsid wsp:val=&quot;00767604&quot;/&gt;&lt;wsp:rsid wsp:val=&quot;00767840&quot;/&gt;&lt;wsp:rsid wsp:val=&quot;00770252&quot;/&gt;&lt;wsp:rsid wsp:val=&quot;00770978&quot;/&gt;&lt;wsp:rsid wsp:val=&quot;00770C49&quot;/&gt;&lt;wsp:rsid wsp:val=&quot;00771525&quot;/&gt;&lt;wsp:rsid wsp:val=&quot;00771698&quot;/&gt;&lt;wsp:rsid wsp:val=&quot;00771CD6&quot;/&gt;&lt;wsp:rsid wsp:val=&quot;00771DCA&quot;/&gt;&lt;wsp:rsid wsp:val=&quot;00771DE9&quot;/&gt;&lt;wsp:rsid wsp:val=&quot;00771F31&quot;/&gt;&lt;wsp:rsid wsp:val=&quot;0077219A&quot;/&gt;&lt;wsp:rsid wsp:val=&quot;0077265D&quot;/&gt;&lt;wsp:rsid wsp:val=&quot;00772E6D&quot;/&gt;&lt;wsp:rsid wsp:val=&quot;00773442&quot;/&gt;&lt;wsp:rsid wsp:val=&quot;0077350E&quot;/&gt;&lt;wsp:rsid wsp:val=&quot;00773BA4&quot;/&gt;&lt;wsp:rsid wsp:val=&quot;00773EDD&quot;/&gt;&lt;wsp:rsid wsp:val=&quot;007741DA&quot;/&gt;&lt;wsp:rsid wsp:val=&quot;007742D4&quot;/&gt;&lt;wsp:rsid wsp:val=&quot;00774572&quot;/&gt;&lt;wsp:rsid wsp:val=&quot;007747A5&quot;/&gt;&lt;wsp:rsid wsp:val=&quot;00774822&quot;/&gt;&lt;wsp:rsid wsp:val=&quot;00774B66&quot;/&gt;&lt;wsp:rsid wsp:val=&quot;00774C1B&quot;/&gt;&lt;wsp:rsid wsp:val=&quot;00774EAA&quot;/&gt;&lt;wsp:rsid wsp:val=&quot;00774ED5&quot;/&gt;&lt;wsp:rsid wsp:val=&quot;00775030&quot;/&gt;&lt;wsp:rsid wsp:val=&quot;007750B2&quot;/&gt;&lt;wsp:rsid wsp:val=&quot;00775799&quot;/&gt;&lt;wsp:rsid wsp:val=&quot;00775B20&quot;/&gt;&lt;wsp:rsid wsp:val=&quot;00775E3C&quot;/&gt;&lt;wsp:rsid wsp:val=&quot;00776075&quot;/&gt;&lt;wsp:rsid wsp:val=&quot;0077622A&quot;/&gt;&lt;wsp:rsid wsp:val=&quot;0077637E&quot;/&gt;&lt;wsp:rsid wsp:val=&quot;007764AA&quot;/&gt;&lt;wsp:rsid wsp:val=&quot;007768CF&quot;/&gt;&lt;wsp:rsid wsp:val=&quot;00776925&quot;/&gt;&lt;wsp:rsid wsp:val=&quot;00777221&quot;/&gt;&lt;wsp:rsid wsp:val=&quot;007774E3&quot;/&gt;&lt;wsp:rsid wsp:val=&quot;007777AB&quot;/&gt;&lt;wsp:rsid wsp:val=&quot;007778AC&quot;/&gt;&lt;wsp:rsid wsp:val=&quot;00777944&quot;/&gt;&lt;wsp:rsid wsp:val=&quot;007779E0&quot;/&gt;&lt;wsp:rsid wsp:val=&quot;00777B8A&quot;/&gt;&lt;wsp:rsid wsp:val=&quot;00777E3D&quot;/&gt;&lt;wsp:rsid wsp:val=&quot;00780287&quot;/&gt;&lt;wsp:rsid wsp:val=&quot;0078029F&quot;/&gt;&lt;wsp:rsid wsp:val=&quot;00780CD3&quot;/&gt;&lt;wsp:rsid wsp:val=&quot;0078102B&quot;/&gt;&lt;wsp:rsid wsp:val=&quot;00781249&quot;/&gt;&lt;wsp:rsid wsp:val=&quot;00781391&quot;/&gt;&lt;wsp:rsid wsp:val=&quot;0078185F&quot;/&gt;&lt;wsp:rsid wsp:val=&quot;00781A54&quot;/&gt;&lt;wsp:rsid wsp:val=&quot;00781B36&quot;/&gt;&lt;wsp:rsid wsp:val=&quot;00781DA1&quot;/&gt;&lt;wsp:rsid wsp:val=&quot;0078234C&quot;/&gt;&lt;wsp:rsid wsp:val=&quot;00782B9B&quot;/&gt;&lt;wsp:rsid wsp:val=&quot;00782BF1&quot;/&gt;&lt;wsp:rsid wsp:val=&quot;00782DD6&quot;/&gt;&lt;wsp:rsid wsp:val=&quot;00783272&quot;/&gt;&lt;wsp:rsid wsp:val=&quot;007832A6&quot;/&gt;&lt;wsp:rsid wsp:val=&quot;007836A7&quot;/&gt;&lt;wsp:rsid wsp:val=&quot;00783848&quot;/&gt;&lt;wsp:rsid wsp:val=&quot;00784078&quot;/&gt;&lt;wsp:rsid wsp:val=&quot;00784373&quot;/&gt;&lt;wsp:rsid wsp:val=&quot;007844F2&quot;/&gt;&lt;wsp:rsid wsp:val=&quot;007847BD&quot;/&gt;&lt;wsp:rsid wsp:val=&quot;00784C4E&quot;/&gt;&lt;wsp:rsid wsp:val=&quot;00784ED4&quot;/&gt;&lt;wsp:rsid wsp:val=&quot;0078510A&quot;/&gt;&lt;wsp:rsid wsp:val=&quot;007851DC&quot;/&gt;&lt;wsp:rsid wsp:val=&quot;00785238&quot;/&gt;&lt;wsp:rsid wsp:val=&quot;00785301&quot;/&gt;&lt;wsp:rsid wsp:val=&quot;00785613&quot;/&gt;&lt;wsp:rsid wsp:val=&quot;007856A3&quot;/&gt;&lt;wsp:rsid wsp:val=&quot;007859F2&quot;/&gt;&lt;wsp:rsid wsp:val=&quot;00785A04&quot;/&gt;&lt;wsp:rsid wsp:val=&quot;0078651C&quot;/&gt;&lt;wsp:rsid wsp:val=&quot;00786A13&quot;/&gt;&lt;wsp:rsid wsp:val=&quot;00786C83&quot;/&gt;&lt;wsp:rsid wsp:val=&quot;00786FD1&quot;/&gt;&lt;wsp:rsid wsp:val=&quot;007872A0&quot;/&gt;&lt;wsp:rsid wsp:val=&quot;007873F3&quot;/&gt;&lt;wsp:rsid wsp:val=&quot;00787716&quot;/&gt;&lt;wsp:rsid wsp:val=&quot;00787A72&quot;/&gt;&lt;wsp:rsid wsp:val=&quot;00790084&quot;/&gt;&lt;wsp:rsid wsp:val=&quot;007903BC&quot;/&gt;&lt;wsp:rsid wsp:val=&quot;007905CF&quot;/&gt;&lt;wsp:rsid wsp:val=&quot;00790846&quot;/&gt;&lt;wsp:rsid wsp:val=&quot;007909E5&quot;/&gt;&lt;wsp:rsid wsp:val=&quot;00790BBE&quot;/&gt;&lt;wsp:rsid wsp:val=&quot;00791148&quot;/&gt;&lt;wsp:rsid wsp:val=&quot;00791301&quot;/&gt;&lt;wsp:rsid wsp:val=&quot;007917F3&quot;/&gt;&lt;wsp:rsid wsp:val=&quot;0079181F&quot;/&gt;&lt;wsp:rsid wsp:val=&quot;0079198F&quot;/&gt;&lt;wsp:rsid wsp:val=&quot;00791A12&quot;/&gt;&lt;wsp:rsid wsp:val=&quot;00791BA6&quot;/&gt;&lt;wsp:rsid wsp:val=&quot;0079204E&quot;/&gt;&lt;wsp:rsid wsp:val=&quot;0079211F&quot;/&gt;&lt;wsp:rsid wsp:val=&quot;00792BBE&quot;/&gt;&lt;wsp:rsid wsp:val=&quot;00792C28&quot;/&gt;&lt;wsp:rsid wsp:val=&quot;00792F61&quot;/&gt;&lt;wsp:rsid wsp:val=&quot;00792F70&quot;/&gt;&lt;wsp:rsid wsp:val=&quot;00792F80&quot;/&gt;&lt;wsp:rsid wsp:val=&quot;0079318C&quot;/&gt;&lt;wsp:rsid wsp:val=&quot;00793451&quot;/&gt;&lt;wsp:rsid wsp:val=&quot;00793F5B&quot;/&gt;&lt;wsp:rsid wsp:val=&quot;0079405A&quot;/&gt;&lt;wsp:rsid wsp:val=&quot;0079469D&quot;/&gt;&lt;wsp:rsid wsp:val=&quot;007946D9&quot;/&gt;&lt;wsp:rsid wsp:val=&quot;0079475E&quot;/&gt;&lt;wsp:rsid wsp:val=&quot;007954E9&quot;/&gt;&lt;wsp:rsid wsp:val=&quot;00795B2D&quot;/&gt;&lt;wsp:rsid wsp:val=&quot;00795E91&quot;/&gt;&lt;wsp:rsid wsp:val=&quot;00795F57&quot;/&gt;&lt;wsp:rsid wsp:val=&quot;00796195&quot;/&gt;&lt;wsp:rsid wsp:val=&quot;007968EC&quot;/&gt;&lt;wsp:rsid wsp:val=&quot;00796B48&quot;/&gt;&lt;wsp:rsid wsp:val=&quot;00797D02&quot;/&gt;&lt;wsp:rsid wsp:val=&quot;00797D2C&quot;/&gt;&lt;wsp:rsid wsp:val=&quot;007A0030&quot;/&gt;&lt;wsp:rsid wsp:val=&quot;007A0551&quot;/&gt;&lt;wsp:rsid wsp:val=&quot;007A058D&quot;/&gt;&lt;wsp:rsid wsp:val=&quot;007A0B58&quot;/&gt;&lt;wsp:rsid wsp:val=&quot;007A0C38&quot;/&gt;&lt;wsp:rsid wsp:val=&quot;007A12A4&quot;/&gt;&lt;wsp:rsid wsp:val=&quot;007A1309&quot;/&gt;&lt;wsp:rsid wsp:val=&quot;007A1BBE&quot;/&gt;&lt;wsp:rsid wsp:val=&quot;007A1F59&quot;/&gt;&lt;wsp:rsid wsp:val=&quot;007A1FB8&quot;/&gt;&lt;wsp:rsid wsp:val=&quot;007A2764&quot;/&gt;&lt;wsp:rsid wsp:val=&quot;007A29DD&quot;/&gt;&lt;wsp:rsid wsp:val=&quot;007A30D8&quot;/&gt;&lt;wsp:rsid wsp:val=&quot;007A3364&quot;/&gt;&lt;wsp:rsid wsp:val=&quot;007A36C1&quot;/&gt;&lt;wsp:rsid wsp:val=&quot;007A384E&quot;/&gt;&lt;wsp:rsid wsp:val=&quot;007A3D0B&quot;/&gt;&lt;wsp:rsid wsp:val=&quot;007A3D8F&quot;/&gt;&lt;wsp:rsid wsp:val=&quot;007A3FA0&quot;/&gt;&lt;wsp:rsid wsp:val=&quot;007A40C1&quot;/&gt;&lt;wsp:rsid wsp:val=&quot;007A42DF&quot;/&gt;&lt;wsp:rsid wsp:val=&quot;007A461B&quot;/&gt;&lt;wsp:rsid wsp:val=&quot;007A4A68&quot;/&gt;&lt;wsp:rsid wsp:val=&quot;007A4E4F&quot;/&gt;&lt;wsp:rsid wsp:val=&quot;007A4FBB&quot;/&gt;&lt;wsp:rsid wsp:val=&quot;007A537E&quot;/&gt;&lt;wsp:rsid wsp:val=&quot;007A58B2&quot;/&gt;&lt;wsp:rsid wsp:val=&quot;007A5D2D&quot;/&gt;&lt;wsp:rsid wsp:val=&quot;007A5D90&quot;/&gt;&lt;wsp:rsid wsp:val=&quot;007A6515&quot;/&gt;&lt;wsp:rsid wsp:val=&quot;007A6D76&quot;/&gt;&lt;wsp:rsid wsp:val=&quot;007A6DB4&quot;/&gt;&lt;wsp:rsid wsp:val=&quot;007A6EFB&quot;/&gt;&lt;wsp:rsid wsp:val=&quot;007A73C3&quot;/&gt;&lt;wsp:rsid wsp:val=&quot;007A7595&quot;/&gt;&lt;wsp:rsid wsp:val=&quot;007B0AE6&quot;/&gt;&lt;wsp:rsid wsp:val=&quot;007B0DAD&quot;/&gt;&lt;wsp:rsid wsp:val=&quot;007B174A&quot;/&gt;&lt;wsp:rsid wsp:val=&quot;007B1B89&quot;/&gt;&lt;wsp:rsid wsp:val=&quot;007B205C&quot;/&gt;&lt;wsp:rsid wsp:val=&quot;007B2461&quot;/&gt;&lt;wsp:rsid wsp:val=&quot;007B2569&quot;/&gt;&lt;wsp:rsid wsp:val=&quot;007B26AE&quot;/&gt;&lt;wsp:rsid wsp:val=&quot;007B2C48&quot;/&gt;&lt;wsp:rsid wsp:val=&quot;007B2F79&quot;/&gt;&lt;wsp:rsid wsp:val=&quot;007B30E0&quot;/&gt;&lt;wsp:rsid wsp:val=&quot;007B3228&quot;/&gt;&lt;wsp:rsid wsp:val=&quot;007B36A9&quot;/&gt;&lt;wsp:rsid wsp:val=&quot;007B3851&quot;/&gt;&lt;wsp:rsid wsp:val=&quot;007B3986&quot;/&gt;&lt;wsp:rsid wsp:val=&quot;007B3F1F&quot;/&gt;&lt;wsp:rsid wsp:val=&quot;007B3FF9&quot;/&gt;&lt;wsp:rsid wsp:val=&quot;007B4170&quot;/&gt;&lt;wsp:rsid wsp:val=&quot;007B4344&quot;/&gt;&lt;wsp:rsid wsp:val=&quot;007B4E7E&quot;/&gt;&lt;wsp:rsid wsp:val=&quot;007B554C&quot;/&gt;&lt;wsp:rsid wsp:val=&quot;007B57C7&quot;/&gt;&lt;wsp:rsid wsp:val=&quot;007B58BC&quot;/&gt;&lt;wsp:rsid wsp:val=&quot;007B5923&quot;/&gt;&lt;wsp:rsid wsp:val=&quot;007B5D79&quot;/&gt;&lt;wsp:rsid wsp:val=&quot;007B6057&quot;/&gt;&lt;wsp:rsid wsp:val=&quot;007B62A5&quot;/&gt;&lt;wsp:rsid wsp:val=&quot;007B637A&quot;/&gt;&lt;wsp:rsid wsp:val=&quot;007B6922&quot;/&gt;&lt;wsp:rsid wsp:val=&quot;007B7439&quot;/&gt;&lt;wsp:rsid wsp:val=&quot;007B76F7&quot;/&gt;&lt;wsp:rsid wsp:val=&quot;007B781B&quot;/&gt;&lt;wsp:rsid wsp:val=&quot;007B7FF7&quot;/&gt;&lt;wsp:rsid wsp:val=&quot;007C0085&quot;/&gt;&lt;wsp:rsid wsp:val=&quot;007C0543&quot;/&gt;&lt;wsp:rsid wsp:val=&quot;007C0852&quot;/&gt;&lt;wsp:rsid wsp:val=&quot;007C0EFA&quot;/&gt;&lt;wsp:rsid wsp:val=&quot;007C1136&quot;/&gt;&lt;wsp:rsid wsp:val=&quot;007C1BCA&quot;/&gt;&lt;wsp:rsid wsp:val=&quot;007C1EBF&quot;/&gt;&lt;wsp:rsid wsp:val=&quot;007C2089&quot;/&gt;&lt;wsp:rsid wsp:val=&quot;007C22E6&quot;/&gt;&lt;wsp:rsid wsp:val=&quot;007C2458&quot;/&gt;&lt;wsp:rsid wsp:val=&quot;007C274A&quot;/&gt;&lt;wsp:rsid wsp:val=&quot;007C274E&quot;/&gt;&lt;wsp:rsid wsp:val=&quot;007C2CED&quot;/&gt;&lt;wsp:rsid wsp:val=&quot;007C2E73&quot;/&gt;&lt;wsp:rsid wsp:val=&quot;007C2F4B&quot;/&gt;&lt;wsp:rsid wsp:val=&quot;007C2FA4&quot;/&gt;&lt;wsp:rsid wsp:val=&quot;007C3490&quot;/&gt;&lt;wsp:rsid wsp:val=&quot;007C3622&quot;/&gt;&lt;wsp:rsid wsp:val=&quot;007C4443&quot;/&gt;&lt;wsp:rsid wsp:val=&quot;007C446A&quot;/&gt;&lt;wsp:rsid wsp:val=&quot;007C46AA&quot;/&gt;&lt;wsp:rsid wsp:val=&quot;007C47AF&quot;/&gt;&lt;wsp:rsid wsp:val=&quot;007C4B46&quot;/&gt;&lt;wsp:rsid wsp:val=&quot;007C5187&quot;/&gt;&lt;wsp:rsid wsp:val=&quot;007C5339&quot;/&gt;&lt;wsp:rsid wsp:val=&quot;007C533F&quot;/&gt;&lt;wsp:rsid wsp:val=&quot;007C5A1E&quot;/&gt;&lt;wsp:rsid wsp:val=&quot;007C5BF8&quot;/&gt;&lt;wsp:rsid wsp:val=&quot;007C5E50&quot;/&gt;&lt;wsp:rsid wsp:val=&quot;007C636A&quot;/&gt;&lt;wsp:rsid wsp:val=&quot;007C6B88&quot;/&gt;&lt;wsp:rsid wsp:val=&quot;007C7517&quot;/&gt;&lt;wsp:rsid wsp:val=&quot;007C75E5&quot;/&gt;&lt;wsp:rsid wsp:val=&quot;007C770F&quot;/&gt;&lt;wsp:rsid wsp:val=&quot;007C775A&quot;/&gt;&lt;wsp:rsid wsp:val=&quot;007C788C&quot;/&gt;&lt;wsp:rsid wsp:val=&quot;007C7948&quot;/&gt;&lt;wsp:rsid wsp:val=&quot;007C7EB3&quot;/&gt;&lt;wsp:rsid wsp:val=&quot;007D00FC&quot;/&gt;&lt;wsp:rsid wsp:val=&quot;007D01D8&quot;/&gt;&lt;wsp:rsid wsp:val=&quot;007D048F&quot;/&gt;&lt;wsp:rsid wsp:val=&quot;007D0EFA&quot;/&gt;&lt;wsp:rsid wsp:val=&quot;007D0F0F&quot;/&gt;&lt;wsp:rsid wsp:val=&quot;007D105D&quot;/&gt;&lt;wsp:rsid wsp:val=&quot;007D118B&quot;/&gt;&lt;wsp:rsid wsp:val=&quot;007D119A&quot;/&gt;&lt;wsp:rsid wsp:val=&quot;007D143B&quot;/&gt;&lt;wsp:rsid wsp:val=&quot;007D19EA&quot;/&gt;&lt;wsp:rsid wsp:val=&quot;007D1B04&quot;/&gt;&lt;wsp:rsid wsp:val=&quot;007D1B83&quot;/&gt;&lt;wsp:rsid wsp:val=&quot;007D1E66&quot;/&gt;&lt;wsp:rsid wsp:val=&quot;007D26ED&quot;/&gt;&lt;wsp:rsid wsp:val=&quot;007D2C6B&quot;/&gt;&lt;wsp:rsid wsp:val=&quot;007D3159&quot;/&gt;&lt;wsp:rsid wsp:val=&quot;007D328D&quot;/&gt;&lt;wsp:rsid wsp:val=&quot;007D32FA&quot;/&gt;&lt;wsp:rsid wsp:val=&quot;007D355E&quot;/&gt;&lt;wsp:rsid wsp:val=&quot;007D35F3&quot;/&gt;&lt;wsp:rsid wsp:val=&quot;007D3910&quot;/&gt;&lt;wsp:rsid wsp:val=&quot;007D3BF8&quot;/&gt;&lt;wsp:rsid wsp:val=&quot;007D3C19&quot;/&gt;&lt;wsp:rsid wsp:val=&quot;007D4020&quot;/&gt;&lt;wsp:rsid wsp:val=&quot;007D46B6&quot;/&gt;&lt;wsp:rsid wsp:val=&quot;007D478C&quot;/&gt;&lt;wsp:rsid wsp:val=&quot;007D4B72&quot;/&gt;&lt;wsp:rsid wsp:val=&quot;007D4E62&quot;/&gt;&lt;wsp:rsid wsp:val=&quot;007D4EF7&quot;/&gt;&lt;wsp:rsid wsp:val=&quot;007D50A4&quot;/&gt;&lt;wsp:rsid wsp:val=&quot;007D50E7&quot;/&gt;&lt;wsp:rsid wsp:val=&quot;007D5108&quot;/&gt;&lt;wsp:rsid wsp:val=&quot;007D512A&quot;/&gt;&lt;wsp:rsid wsp:val=&quot;007D550A&quot;/&gt;&lt;wsp:rsid wsp:val=&quot;007D5C7B&quot;/&gt;&lt;wsp:rsid wsp:val=&quot;007D5E71&quot;/&gt;&lt;wsp:rsid wsp:val=&quot;007D5FC4&quot;/&gt;&lt;wsp:rsid wsp:val=&quot;007D62B6&quot;/&gt;&lt;wsp:rsid wsp:val=&quot;007D672A&quot;/&gt;&lt;wsp:rsid wsp:val=&quot;007D68B5&quot;/&gt;&lt;wsp:rsid wsp:val=&quot;007D69F4&quot;/&gt;&lt;wsp:rsid wsp:val=&quot;007D6DA0&quot;/&gt;&lt;wsp:rsid wsp:val=&quot;007D71CB&quot;/&gt;&lt;wsp:rsid wsp:val=&quot;007D729E&quot;/&gt;&lt;wsp:rsid wsp:val=&quot;007D7673&quot;/&gt;&lt;wsp:rsid wsp:val=&quot;007D774F&quot;/&gt;&lt;wsp:rsid wsp:val=&quot;007D7AE8&quot;/&gt;&lt;wsp:rsid wsp:val=&quot;007D7D7D&quot;/&gt;&lt;wsp:rsid wsp:val=&quot;007E0057&quot;/&gt;&lt;wsp:rsid wsp:val=&quot;007E0323&quot;/&gt;&lt;wsp:rsid wsp:val=&quot;007E06AB&quot;/&gt;&lt;wsp:rsid wsp:val=&quot;007E074F&quot;/&gt;&lt;wsp:rsid wsp:val=&quot;007E092B&quot;/&gt;&lt;wsp:rsid wsp:val=&quot;007E09E7&quot;/&gt;&lt;wsp:rsid wsp:val=&quot;007E0FBD&quot;/&gt;&lt;wsp:rsid wsp:val=&quot;007E103C&quot;/&gt;&lt;wsp:rsid wsp:val=&quot;007E153A&quot;/&gt;&lt;wsp:rsid wsp:val=&quot;007E173F&quot;/&gt;&lt;wsp:rsid wsp:val=&quot;007E1F1D&quot;/&gt;&lt;wsp:rsid wsp:val=&quot;007E270B&quot;/&gt;&lt;wsp:rsid wsp:val=&quot;007E2782&quot;/&gt;&lt;wsp:rsid wsp:val=&quot;007E29CB&quot;/&gt;&lt;wsp:rsid wsp:val=&quot;007E29E2&quot;/&gt;&lt;wsp:rsid wsp:val=&quot;007E2CEC&quot;/&gt;&lt;wsp:rsid wsp:val=&quot;007E2CFF&quot;/&gt;&lt;wsp:rsid wsp:val=&quot;007E2F6B&quot;/&gt;&lt;wsp:rsid wsp:val=&quot;007E3238&quot;/&gt;&lt;wsp:rsid wsp:val=&quot;007E354B&quot;/&gt;&lt;wsp:rsid wsp:val=&quot;007E3861&quot;/&gt;&lt;wsp:rsid wsp:val=&quot;007E3FE9&quot;/&gt;&lt;wsp:rsid wsp:val=&quot;007E417D&quot;/&gt;&lt;wsp:rsid wsp:val=&quot;007E425E&quot;/&gt;&lt;wsp:rsid wsp:val=&quot;007E45B6&quot;/&gt;&lt;wsp:rsid wsp:val=&quot;007E46DE&quot;/&gt;&lt;wsp:rsid wsp:val=&quot;007E4828&quot;/&gt;&lt;wsp:rsid wsp:val=&quot;007E49BA&quot;/&gt;&lt;wsp:rsid wsp:val=&quot;007E4B56&quot;/&gt;&lt;wsp:rsid wsp:val=&quot;007E4CDD&quot;/&gt;&lt;wsp:rsid wsp:val=&quot;007E5192&quot;/&gt;&lt;wsp:rsid wsp:val=&quot;007E54E0&quot;/&gt;&lt;wsp:rsid wsp:val=&quot;007E56FD&quot;/&gt;&lt;wsp:rsid wsp:val=&quot;007E58B0&quot;/&gt;&lt;wsp:rsid wsp:val=&quot;007E61DA&quot;/&gt;&lt;wsp:rsid wsp:val=&quot;007E63BB&quot;/&gt;&lt;wsp:rsid wsp:val=&quot;007E66C1&quot;/&gt;&lt;wsp:rsid wsp:val=&quot;007E6EE6&quot;/&gt;&lt;wsp:rsid wsp:val=&quot;007E6F2F&quot;/&gt;&lt;wsp:rsid wsp:val=&quot;007E73AE&quot;/&gt;&lt;wsp:rsid wsp:val=&quot;007E73B0&quot;/&gt;&lt;wsp:rsid wsp:val=&quot;007E743E&quot;/&gt;&lt;wsp:rsid wsp:val=&quot;007E764C&quot;/&gt;&lt;wsp:rsid wsp:val=&quot;007E7D09&quot;/&gt;&lt;wsp:rsid wsp:val=&quot;007E7DC8&quot;/&gt;&lt;wsp:rsid wsp:val=&quot;007E7F12&quot;/&gt;&lt;wsp:rsid wsp:val=&quot;007F0079&quot;/&gt;&lt;wsp:rsid wsp:val=&quot;007F0371&quot;/&gt;&lt;wsp:rsid wsp:val=&quot;007F03A3&quot;/&gt;&lt;wsp:rsid wsp:val=&quot;007F0742&quot;/&gt;&lt;wsp:rsid wsp:val=&quot;007F0C69&quot;/&gt;&lt;wsp:rsid wsp:val=&quot;007F0FC1&quot;/&gt;&lt;wsp:rsid wsp:val=&quot;007F1028&quot;/&gt;&lt;wsp:rsid wsp:val=&quot;007F1975&quot;/&gt;&lt;wsp:rsid wsp:val=&quot;007F1AF3&quot;/&gt;&lt;wsp:rsid wsp:val=&quot;007F1DE8&quot;/&gt;&lt;wsp:rsid wsp:val=&quot;007F1E93&quot;/&gt;&lt;wsp:rsid wsp:val=&quot;007F2337&quot;/&gt;&lt;wsp:rsid wsp:val=&quot;007F2936&quot;/&gt;&lt;wsp:rsid wsp:val=&quot;007F2ABB&quot;/&gt;&lt;wsp:rsid wsp:val=&quot;007F3255&quot;/&gt;&lt;wsp:rsid wsp:val=&quot;007F3465&quot;/&gt;&lt;wsp:rsid wsp:val=&quot;007F3AEB&quot;/&gt;&lt;wsp:rsid wsp:val=&quot;007F4620&quot;/&gt;&lt;wsp:rsid wsp:val=&quot;007F4957&quot;/&gt;&lt;wsp:rsid wsp:val=&quot;007F4C59&quot;/&gt;&lt;wsp:rsid wsp:val=&quot;007F4CBA&quot;/&gt;&lt;wsp:rsid wsp:val=&quot;007F555B&quot;/&gt;&lt;wsp:rsid wsp:val=&quot;007F55F5&quot;/&gt;&lt;wsp:rsid wsp:val=&quot;007F566F&quot;/&gt;&lt;wsp:rsid wsp:val=&quot;007F5AF1&quot;/&gt;&lt;wsp:rsid wsp:val=&quot;007F616F&quot;/&gt;&lt;wsp:rsid wsp:val=&quot;007F6198&quot;/&gt;&lt;wsp:rsid wsp:val=&quot;007F6235&quot;/&gt;&lt;wsp:rsid wsp:val=&quot;007F635E&quot;/&gt;&lt;wsp:rsid wsp:val=&quot;007F640D&quot;/&gt;&lt;wsp:rsid wsp:val=&quot;007F66C8&quot;/&gt;&lt;wsp:rsid wsp:val=&quot;007F68E1&quot;/&gt;&lt;wsp:rsid wsp:val=&quot;007F69F2&quot;/&gt;&lt;wsp:rsid wsp:val=&quot;007F7238&quot;/&gt;&lt;wsp:rsid wsp:val=&quot;007F7B24&quot;/&gt;&lt;wsp:rsid wsp:val=&quot;007F7B5D&quot;/&gt;&lt;wsp:rsid wsp:val=&quot;007F7B61&quot;/&gt;&lt;wsp:rsid wsp:val=&quot;0080096D&quot;/&gt;&lt;wsp:rsid wsp:val=&quot;00800D2E&quot;/&gt;&lt;wsp:rsid wsp:val=&quot;00800F36&quot;/&gt;&lt;wsp:rsid wsp:val=&quot;00801424&quot;/&gt;&lt;wsp:rsid wsp:val=&quot;008014B8&quot;/&gt;&lt;wsp:rsid wsp:val=&quot;008014C8&quot;/&gt;&lt;wsp:rsid wsp:val=&quot;0080199E&quot;/&gt;&lt;wsp:rsid wsp:val=&quot;008024DC&quot;/&gt;&lt;wsp:rsid wsp:val=&quot;00802550&quot;/&gt;&lt;wsp:rsid wsp:val=&quot;00802BD0&quot;/&gt;&lt;wsp:rsid wsp:val=&quot;008031CA&quot;/&gt;&lt;wsp:rsid wsp:val=&quot;008032CC&quot;/&gt;&lt;wsp:rsid wsp:val=&quot;00803494&quot;/&gt;&lt;wsp:rsid wsp:val=&quot;0080354C&quot;/&gt;&lt;wsp:rsid wsp:val=&quot;00803636&quot;/&gt;&lt;wsp:rsid wsp:val=&quot;008037B9&quot;/&gt;&lt;wsp:rsid wsp:val=&quot;008038D6&quot;/&gt;&lt;wsp:rsid wsp:val=&quot;00803E4E&quot;/&gt;&lt;wsp:rsid wsp:val=&quot;008041A9&quot;/&gt;&lt;wsp:rsid wsp:val=&quot;00804E26&quot;/&gt;&lt;wsp:rsid wsp:val=&quot;00805226&quot;/&gt;&lt;wsp:rsid wsp:val=&quot;00805395&quot;/&gt;&lt;wsp:rsid wsp:val=&quot;008057CC&quot;/&gt;&lt;wsp:rsid wsp:val=&quot;00805A8A&quot;/&gt;&lt;wsp:rsid wsp:val=&quot;00805BD2&quot;/&gt;&lt;wsp:rsid wsp:val=&quot;008063C1&quot;/&gt;&lt;wsp:rsid wsp:val=&quot;008063C9&quot;/&gt;&lt;wsp:rsid wsp:val=&quot;00806576&quot;/&gt;&lt;wsp:rsid wsp:val=&quot;008067D5&quot;/&gt;&lt;wsp:rsid wsp:val=&quot;008067E5&quot;/&gt;&lt;wsp:rsid wsp:val=&quot;008069A1&quot;/&gt;&lt;wsp:rsid wsp:val=&quot;0080707D&quot;/&gt;&lt;wsp:rsid wsp:val=&quot;0080778B&quot;/&gt;&lt;wsp:rsid wsp:val=&quot;008079E0&quot;/&gt;&lt;wsp:rsid wsp:val=&quot;00807B5B&quot;/&gt;&lt;wsp:rsid wsp:val=&quot;00807C3B&quot;/&gt;&lt;wsp:rsid wsp:val=&quot;00807F2C&quot;/&gt;&lt;wsp:rsid wsp:val=&quot;00807F9C&quot;/&gt;&lt;wsp:rsid wsp:val=&quot;008100C1&quot;/&gt;&lt;wsp:rsid wsp:val=&quot;008101A4&quot;/&gt;&lt;wsp:rsid wsp:val=&quot;00810355&quot;/&gt;&lt;wsp:rsid wsp:val=&quot;00810577&quot;/&gt;&lt;wsp:rsid wsp:val=&quot;0081094D&quot;/&gt;&lt;wsp:rsid wsp:val=&quot;008109D7&quot;/&gt;&lt;wsp:rsid wsp:val=&quot;00811A03&quot;/&gt;&lt;wsp:rsid wsp:val=&quot;00811D1D&quot;/&gt;&lt;wsp:rsid wsp:val=&quot;00811F3B&quot;/&gt;&lt;wsp:rsid wsp:val=&quot;00812041&quot;/&gt;&lt;wsp:rsid wsp:val=&quot;00812FAD&quot;/&gt;&lt;wsp:rsid wsp:val=&quot;00813348&quot;/&gt;&lt;wsp:rsid wsp:val=&quot;00813C8C&quot;/&gt;&lt;wsp:rsid wsp:val=&quot;00813CBD&quot;/&gt;&lt;wsp:rsid wsp:val=&quot;00814066&quot;/&gt;&lt;wsp:rsid wsp:val=&quot;00814086&quot;/&gt;&lt;wsp:rsid wsp:val=&quot;008144EF&quot;/&gt;&lt;wsp:rsid wsp:val=&quot;008148BD&quot;/&gt;&lt;wsp:rsid wsp:val=&quot;00814AC0&quot;/&gt;&lt;wsp:rsid wsp:val=&quot;00815739&quot;/&gt;&lt;wsp:rsid wsp:val=&quot;00815931&quot;/&gt;&lt;wsp:rsid wsp:val=&quot;00815AA2&quot;/&gt;&lt;wsp:rsid wsp:val=&quot;008165A3&quot;/&gt;&lt;wsp:rsid wsp:val=&quot;008169AF&quot;/&gt;&lt;wsp:rsid wsp:val=&quot;00816C62&quot;/&gt;&lt;wsp:rsid wsp:val=&quot;00816E02&quot;/&gt;&lt;wsp:rsid wsp:val=&quot;00816E72&quot;/&gt;&lt;wsp:rsid wsp:val=&quot;0081735A&quot;/&gt;&lt;wsp:rsid wsp:val=&quot;00817D10&quot;/&gt;&lt;wsp:rsid wsp:val=&quot;00817DF3&quot;/&gt;&lt;wsp:rsid wsp:val=&quot;008206A9&quot;/&gt;&lt;wsp:rsid wsp:val=&quot;00820AD1&quot;/&gt;&lt;wsp:rsid wsp:val=&quot;00820B1A&quot;/&gt;&lt;wsp:rsid wsp:val=&quot;0082102A&quot;/&gt;&lt;wsp:rsid wsp:val=&quot;008211BB&quot;/&gt;&lt;wsp:rsid wsp:val=&quot;0082133B&quot;/&gt;&lt;wsp:rsid wsp:val=&quot;008215E4&quot;/&gt;&lt;wsp:rsid wsp:val=&quot;00821695&quot;/&gt;&lt;wsp:rsid wsp:val=&quot;00823715&quot;/&gt;&lt;wsp:rsid wsp:val=&quot;0082398A&quot;/&gt;&lt;wsp:rsid wsp:val=&quot;00823A81&quot;/&gt;&lt;wsp:rsid wsp:val=&quot;00823B69&quot;/&gt;&lt;wsp:rsid wsp:val=&quot;00823FD1&quot;/&gt;&lt;wsp:rsid wsp:val=&quot;00824337&quot;/&gt;&lt;wsp:rsid wsp:val=&quot;00824AAE&quot;/&gt;&lt;wsp:rsid wsp:val=&quot;00824FDB&quot;/&gt;&lt;wsp:rsid wsp:val=&quot;008257A9&quot;/&gt;&lt;wsp:rsid wsp:val=&quot;008257FA&quot;/&gt;&lt;wsp:rsid wsp:val=&quot;0082584E&quot;/&gt;&lt;wsp:rsid wsp:val=&quot;00825DEE&quot;/&gt;&lt;wsp:rsid wsp:val=&quot;00825E0B&quot;/&gt;&lt;wsp:rsid wsp:val=&quot;00825E1B&quot;/&gt;&lt;wsp:rsid wsp:val=&quot;00825F47&quot;/&gt;&lt;wsp:rsid wsp:val=&quot;00826812&quot;/&gt;&lt;wsp:rsid wsp:val=&quot;008268AB&quot;/&gt;&lt;wsp:rsid wsp:val=&quot;00826B9F&quot;/&gt;&lt;wsp:rsid wsp:val=&quot;0082763A&quot;/&gt;&lt;wsp:rsid wsp:val=&quot;0082788D&quot;/&gt;&lt;wsp:rsid wsp:val=&quot;00827972&quot;/&gt;&lt;wsp:rsid wsp:val=&quot;00827EB1&quot;/&gt;&lt;wsp:rsid wsp:val=&quot;00830285&quot;/&gt;&lt;wsp:rsid wsp:val=&quot;0083033F&quot;/&gt;&lt;wsp:rsid wsp:val=&quot;0083038F&quot;/&gt;&lt;wsp:rsid wsp:val=&quot;00830444&quot;/&gt;&lt;wsp:rsid wsp:val=&quot;00830445&quot;/&gt;&lt;wsp:rsid wsp:val=&quot;00830987&quot;/&gt;&lt;wsp:rsid wsp:val=&quot;008312B8&quot;/&gt;&lt;wsp:rsid wsp:val=&quot;008313E9&quot;/&gt;&lt;wsp:rsid wsp:val=&quot;00831650&quot;/&gt;&lt;wsp:rsid wsp:val=&quot;00831993&quot;/&gt;&lt;wsp:rsid wsp:val=&quot;00831A66&quot;/&gt;&lt;wsp:rsid wsp:val=&quot;00831C94&quot;/&gt;&lt;wsp:rsid wsp:val=&quot;00831E4A&quot;/&gt;&lt;wsp:rsid wsp:val=&quot;00832B1C&quot;/&gt;&lt;wsp:rsid wsp:val=&quot;00833111&quot;/&gt;&lt;wsp:rsid wsp:val=&quot;00833D36&quot;/&gt;&lt;wsp:rsid wsp:val=&quot;008340A3&quot;/&gt;&lt;wsp:rsid wsp:val=&quot;008342DD&quot;/&gt;&lt;wsp:rsid wsp:val=&quot;00834368&quot;/&gt;&lt;wsp:rsid wsp:val=&quot;008346CE&quot;/&gt;&lt;wsp:rsid wsp:val=&quot;008349BD&quot;/&gt;&lt;wsp:rsid wsp:val=&quot;00834E4D&quot;/&gt;&lt;wsp:rsid wsp:val=&quot;0083521C&quot;/&gt;&lt;wsp:rsid wsp:val=&quot;008355B7&quot;/&gt;&lt;wsp:rsid wsp:val=&quot;008358E4&quot;/&gt;&lt;wsp:rsid wsp:val=&quot;00835C79&quot;/&gt;&lt;wsp:rsid wsp:val=&quot;00835CEB&quot;/&gt;&lt;wsp:rsid wsp:val=&quot;00835E35&quot;/&gt;&lt;wsp:rsid wsp:val=&quot;0083660E&quot;/&gt;&lt;wsp:rsid wsp:val=&quot;00836A6E&quot;/&gt;&lt;wsp:rsid wsp:val=&quot;00836BE5&quot;/&gt;&lt;wsp:rsid wsp:val=&quot;00837610&quot;/&gt;&lt;wsp:rsid wsp:val=&quot;008378D5&quot;/&gt;&lt;wsp:rsid wsp:val=&quot;00837983&quot;/&gt;&lt;wsp:rsid wsp:val=&quot;00837D2C&quot;/&gt;&lt;wsp:rsid wsp:val=&quot;0084022F&quot;/&gt;&lt;wsp:rsid wsp:val=&quot;008404EB&quot;/&gt;&lt;wsp:rsid wsp:val=&quot;008406C2&quot;/&gt;&lt;wsp:rsid wsp:val=&quot;00840C67&quot;/&gt;&lt;wsp:rsid wsp:val=&quot;0084102D&quot;/&gt;&lt;wsp:rsid wsp:val=&quot;00841176&quot;/&gt;&lt;wsp:rsid wsp:val=&quot;008412C7&quot;/&gt;&lt;wsp:rsid wsp:val=&quot;008418DC&quot;/&gt;&lt;wsp:rsid wsp:val=&quot;00841B36&quot;/&gt;&lt;wsp:rsid wsp:val=&quot;00841B51&quot;/&gt;&lt;wsp:rsid wsp:val=&quot;00841C23&quot;/&gt;&lt;wsp:rsid wsp:val=&quot;00841F61&quot;/&gt;&lt;wsp:rsid wsp:val=&quot;008421DD&quot;/&gt;&lt;wsp:rsid wsp:val=&quot;008424C5&quot;/&gt;&lt;wsp:rsid wsp:val=&quot;008428A4&quot;/&gt;&lt;wsp:rsid wsp:val=&quot;008428DE&quot;/&gt;&lt;wsp:rsid wsp:val=&quot;00842E1E&quot;/&gt;&lt;wsp:rsid wsp:val=&quot;00842FC3&quot;/&gt;&lt;wsp:rsid wsp:val=&quot;00843151&quot;/&gt;&lt;wsp:rsid wsp:val=&quot;0084335F&quot;/&gt;&lt;wsp:rsid wsp:val=&quot;0084348D&quot;/&gt;&lt;wsp:rsid wsp:val=&quot;00843548&quot;/&gt;&lt;wsp:rsid wsp:val=&quot;0084354E&quot;/&gt;&lt;wsp:rsid wsp:val=&quot;00843A91&quot;/&gt;&lt;wsp:rsid wsp:val=&quot;00843C49&quot;/&gt;&lt;wsp:rsid wsp:val=&quot;0084433B&quot;/&gt;&lt;wsp:rsid wsp:val=&quot;008444F7&quot;/&gt;&lt;wsp:rsid wsp:val=&quot;00844910&quot;/&gt;&lt;wsp:rsid wsp:val=&quot;00844933&quot;/&gt;&lt;wsp:rsid wsp:val=&quot;00844C0C&quot;/&gt;&lt;wsp:rsid wsp:val=&quot;00844E1D&quot;/&gt;&lt;wsp:rsid wsp:val=&quot;008453DD&quot;/&gt;&lt;wsp:rsid wsp:val=&quot;008455A7&quot;/&gt;&lt;wsp:rsid wsp:val=&quot;00845B94&quot;/&gt;&lt;wsp:rsid wsp:val=&quot;00845FD6&quot;/&gt;&lt;wsp:rsid wsp:val=&quot;00846001&quot;/&gt;&lt;wsp:rsid wsp:val=&quot;00846169&quot;/&gt;&lt;wsp:rsid wsp:val=&quot;00846343&quot;/&gt;&lt;wsp:rsid wsp:val=&quot;00846CEB&quot;/&gt;&lt;wsp:rsid wsp:val=&quot;00846D0A&quot;/&gt;&lt;wsp:rsid wsp:val=&quot;00846E0D&quot;/&gt;&lt;wsp:rsid wsp:val=&quot;00847087&quot;/&gt;&lt;wsp:rsid wsp:val=&quot;008475D6&quot;/&gt;&lt;wsp:rsid wsp:val=&quot;008478A9&quot;/&gt;&lt;wsp:rsid wsp:val=&quot;00847D3C&quot;/&gt;&lt;wsp:rsid wsp:val=&quot;00847E9B&quot;/&gt;&lt;wsp:rsid wsp:val=&quot;00850285&quot;/&gt;&lt;wsp:rsid wsp:val=&quot;008503F3&quot;/&gt;&lt;wsp:rsid wsp:val=&quot;008505FF&quot;/&gt;&lt;wsp:rsid wsp:val=&quot;0085061A&quot;/&gt;&lt;wsp:rsid wsp:val=&quot;008507DA&quot;/&gt;&lt;wsp:rsid wsp:val=&quot;0085090B&quot;/&gt;&lt;wsp:rsid wsp:val=&quot;00850BC7&quot;/&gt;&lt;wsp:rsid wsp:val=&quot;00851631&quot;/&gt;&lt;wsp:rsid wsp:val=&quot;00851A2F&quot;/&gt;&lt;wsp:rsid wsp:val=&quot;00851E08&quot;/&gt;&lt;wsp:rsid wsp:val=&quot;008521A5&quot;/&gt;&lt;wsp:rsid wsp:val=&quot;008523CC&quot;/&gt;&lt;wsp:rsid wsp:val=&quot;0085267A&quot;/&gt;&lt;wsp:rsid wsp:val=&quot;008529EC&quot;/&gt;&lt;wsp:rsid wsp:val=&quot;00852D26&quot;/&gt;&lt;wsp:rsid wsp:val=&quot;00852FD8&quot;/&gt;&lt;wsp:rsid wsp:val=&quot;008531D4&quot;/&gt;&lt;wsp:rsid wsp:val=&quot;0085327F&quot;/&gt;&lt;wsp:rsid wsp:val=&quot;00853F41&quot;/&gt;&lt;wsp:rsid wsp:val=&quot;00854242&quot;/&gt;&lt;wsp:rsid wsp:val=&quot;00854B4E&quot;/&gt;&lt;wsp:rsid wsp:val=&quot;00854D65&quot;/&gt;&lt;wsp:rsid wsp:val=&quot;008555E6&quot;/&gt;&lt;wsp:rsid wsp:val=&quot;00855644&quot;/&gt;&lt;wsp:rsid wsp:val=&quot;00855AF6&quot;/&gt;&lt;wsp:rsid wsp:val=&quot;00855B15&quot;/&gt;&lt;wsp:rsid wsp:val=&quot;00855B2E&quot;/&gt;&lt;wsp:rsid wsp:val=&quot;00855C71&quot;/&gt;&lt;wsp:rsid wsp:val=&quot;00855F60&quot;/&gt;&lt;wsp:rsid wsp:val=&quot;00856393&quot;/&gt;&lt;wsp:rsid wsp:val=&quot;00856576&quot;/&gt;&lt;wsp:rsid wsp:val=&quot;0085663B&quot;/&gt;&lt;wsp:rsid wsp:val=&quot;0085674D&quot;/&gt;&lt;wsp:rsid wsp:val=&quot;008568AB&quot;/&gt;&lt;wsp:rsid wsp:val=&quot;008568D0&quot;/&gt;&lt;wsp:rsid wsp:val=&quot;0085692F&quot;/&gt;&lt;wsp:rsid wsp:val=&quot;00856C6E&quot;/&gt;&lt;wsp:rsid wsp:val=&quot;00856D3C&quot;/&gt;&lt;wsp:rsid wsp:val=&quot;00856FBC&quot;/&gt;&lt;wsp:rsid wsp:val=&quot;0085725D&quot;/&gt;&lt;wsp:rsid wsp:val=&quot;00857413&quot;/&gt;&lt;wsp:rsid wsp:val=&quot;0086006B&quot;/&gt;&lt;wsp:rsid wsp:val=&quot;00860377&quot;/&gt;&lt;wsp:rsid wsp:val=&quot;008605A6&quot;/&gt;&lt;wsp:rsid wsp:val=&quot;008606FC&quot;/&gt;&lt;wsp:rsid wsp:val=&quot;00860A1D&quot;/&gt;&lt;wsp:rsid wsp:val=&quot;00860CD1&quot;/&gt;&lt;wsp:rsid wsp:val=&quot;00860D34&quot;/&gt;&lt;wsp:rsid wsp:val=&quot;00860D3A&quot;/&gt;&lt;wsp:rsid wsp:val=&quot;008612B8&quot;/&gt;&lt;wsp:rsid wsp:val=&quot;00861362&quot;/&gt;&lt;wsp:rsid wsp:val=&quot;008618B9&quot;/&gt;&lt;wsp:rsid wsp:val=&quot;008618EB&quot;/&gt;&lt;wsp:rsid wsp:val=&quot;00861CEC&quot;/&gt;&lt;wsp:rsid wsp:val=&quot;008622AB&quot;/&gt;&lt;wsp:rsid wsp:val=&quot;00862360&quot;/&gt;&lt;wsp:rsid wsp:val=&quot;008625F3&quot;/&gt;&lt;wsp:rsid wsp:val=&quot;00862B94&quot;/&gt;&lt;wsp:rsid wsp:val=&quot;00862C7B&quot;/&gt;&lt;wsp:rsid wsp:val=&quot;00863115&quot;/&gt;&lt;wsp:rsid wsp:val=&quot;008636D0&quot;/&gt;&lt;wsp:rsid wsp:val=&quot;008636E6&quot;/&gt;&lt;wsp:rsid wsp:val=&quot;00863EBA&quot;/&gt;&lt;wsp:rsid wsp:val=&quot;00864212&quot;/&gt;&lt;wsp:rsid wsp:val=&quot;008645B4&quot;/&gt;&lt;wsp:rsid wsp:val=&quot;00864634&quot;/&gt;&lt;wsp:rsid wsp:val=&quot;0086467E&quot;/&gt;&lt;wsp:rsid wsp:val=&quot;0086494B&quot;/&gt;&lt;wsp:rsid wsp:val=&quot;00865830&quot;/&gt;&lt;wsp:rsid wsp:val=&quot;00865B36&quot;/&gt;&lt;wsp:rsid wsp:val=&quot;00865D1F&quot;/&gt;&lt;wsp:rsid wsp:val=&quot;00865F7C&quot;/&gt;&lt;wsp:rsid wsp:val=&quot;008662F4&quot;/&gt;&lt;wsp:rsid wsp:val=&quot;00866309&quot;/&gt;&lt;wsp:rsid wsp:val=&quot;0086663C&quot;/&gt;&lt;wsp:rsid wsp:val=&quot;00866ADA&quot;/&gt;&lt;wsp:rsid wsp:val=&quot;008672E6&quot;/&gt;&lt;wsp:rsid wsp:val=&quot;008676F5&quot;/&gt;&lt;wsp:rsid wsp:val=&quot;008678F6&quot;/&gt;&lt;wsp:rsid wsp:val=&quot;0086791C&quot;/&gt;&lt;wsp:rsid wsp:val=&quot;00867F53&quot;/&gt;&lt;wsp:rsid wsp:val=&quot;008708D7&quot;/&gt;&lt;wsp:rsid wsp:val=&quot;00870AA2&quot;/&gt;&lt;wsp:rsid wsp:val=&quot;0087153C&quot;/&gt;&lt;wsp:rsid wsp:val=&quot;008718EA&quot;/&gt;&lt;wsp:rsid wsp:val=&quot;00871D95&quot;/&gt;&lt;wsp:rsid wsp:val=&quot;00872153&quot;/&gt;&lt;wsp:rsid wsp:val=&quot;00872156&quot;/&gt;&lt;wsp:rsid wsp:val=&quot;00872196&quot;/&gt;&lt;wsp:rsid wsp:val=&quot;0087221A&quot;/&gt;&lt;wsp:rsid wsp:val=&quot;008722FB&quot;/&gt;&lt;wsp:rsid wsp:val=&quot;0087238C&quot;/&gt;&lt;wsp:rsid wsp:val=&quot;00872412&quot;/&gt;&lt;wsp:rsid wsp:val=&quot;008728CC&quot;/&gt;&lt;wsp:rsid wsp:val=&quot;00872AC2&quot;/&gt;&lt;wsp:rsid wsp:val=&quot;00872D34&quot;/&gt;&lt;wsp:rsid wsp:val=&quot;00873224&quot;/&gt;&lt;wsp:rsid wsp:val=&quot;00873267&quot;/&gt;&lt;wsp:rsid wsp:val=&quot;0087353D&quot;/&gt;&lt;wsp:rsid wsp:val=&quot;008739AE&quot;/&gt;&lt;wsp:rsid wsp:val=&quot;00873B96&quot;/&gt;&lt;wsp:rsid wsp:val=&quot;00873C8C&quot;/&gt;&lt;wsp:rsid wsp:val=&quot;00873D19&quot;/&gt;&lt;wsp:rsid wsp:val=&quot;00873E80&quot;/&gt;&lt;wsp:rsid wsp:val=&quot;008740A1&quot;/&gt;&lt;wsp:rsid wsp:val=&quot;0087445A&quot;/&gt;&lt;wsp:rsid wsp:val=&quot;008744B7&quot;/&gt;&lt;wsp:rsid wsp:val=&quot;008746C1&quot;/&gt;&lt;wsp:rsid wsp:val=&quot;00874800&quot;/&gt;&lt;wsp:rsid wsp:val=&quot;00874B01&quot;/&gt;&lt;wsp:rsid wsp:val=&quot;00875406&quot;/&gt;&lt;wsp:rsid wsp:val=&quot;0087540A&quot;/&gt;&lt;wsp:rsid wsp:val=&quot;00875942&quot;/&gt;&lt;wsp:rsid wsp:val=&quot;008759BE&quot;/&gt;&lt;wsp:rsid wsp:val=&quot;008759D8&quot;/&gt;&lt;wsp:rsid wsp:val=&quot;008761F7&quot;/&gt;&lt;wsp:rsid wsp:val=&quot;00876D3C&quot;/&gt;&lt;wsp:rsid wsp:val=&quot;00876E98&quot;/&gt;&lt;wsp:rsid wsp:val=&quot;00876EC5&quot;/&gt;&lt;wsp:rsid wsp:val=&quot;00877618&quot;/&gt;&lt;wsp:rsid wsp:val=&quot;0087773F&quot;/&gt;&lt;wsp:rsid wsp:val=&quot;00877C44&quot;/&gt;&lt;wsp:rsid wsp:val=&quot;0088005B&quot;/&gt;&lt;wsp:rsid wsp:val=&quot;008802B1&quot;/&gt;&lt;wsp:rsid wsp:val=&quot;008809F6&quot;/&gt;&lt;wsp:rsid wsp:val=&quot;00881025&quot;/&gt;&lt;wsp:rsid wsp:val=&quot;0088109E&quot;/&gt;&lt;wsp:rsid wsp:val=&quot;0088164D&quot;/&gt;&lt;wsp:rsid wsp:val=&quot;00881AD9&quot;/&gt;&lt;wsp:rsid wsp:val=&quot;00882147&quot;/&gt;&lt;wsp:rsid wsp:val=&quot;008827B2&quot;/&gt;&lt;wsp:rsid wsp:val=&quot;00883049&quot;/&gt;&lt;wsp:rsid wsp:val=&quot;00883137&quot;/&gt;&lt;wsp:rsid wsp:val=&quot;0088324F&quot;/&gt;&lt;wsp:rsid wsp:val=&quot;00884B7D&quot;/&gt;&lt;wsp:rsid wsp:val=&quot;00884FAD&quot;/&gt;&lt;wsp:rsid wsp:val=&quot;008850DA&quot;/&gt;&lt;wsp:rsid wsp:val=&quot;0088574A&quot;/&gt;&lt;wsp:rsid wsp:val=&quot;00885758&quot;/&gt;&lt;wsp:rsid wsp:val=&quot;008858E4&quot;/&gt;&lt;wsp:rsid wsp:val=&quot;00885F2D&quot;/&gt;&lt;wsp:rsid wsp:val=&quot;0088629B&quot;/&gt;&lt;wsp:rsid wsp:val=&quot;00886A57&quot;/&gt;&lt;wsp:rsid wsp:val=&quot;00886AAD&quot;/&gt;&lt;wsp:rsid wsp:val=&quot;00886C64&quot;/&gt;&lt;wsp:rsid wsp:val=&quot;00886D9E&quot;/&gt;&lt;wsp:rsid wsp:val=&quot;00886E75&quot;/&gt;&lt;wsp:rsid wsp:val=&quot;0088702A&quot;/&gt;&lt;wsp:rsid wsp:val=&quot;00887045&quot;/&gt;&lt;wsp:rsid wsp:val=&quot;008873E5&quot;/&gt;&lt;wsp:rsid wsp:val=&quot;00887459&quot;/&gt;&lt;wsp:rsid wsp:val=&quot;00887EF6&quot;/&gt;&lt;wsp:rsid wsp:val=&quot;0089005E&quot;/&gt;&lt;wsp:rsid wsp:val=&quot;00890660&quot;/&gt;&lt;wsp:rsid wsp:val=&quot;00890831&quot;/&gt;&lt;wsp:rsid wsp:val=&quot;00890CA8&quot;/&gt;&lt;wsp:rsid wsp:val=&quot;008911BA&quot;/&gt;&lt;wsp:rsid wsp:val=&quot;00891227&quot;/&gt;&lt;wsp:rsid wsp:val=&quot;008916D7&quot;/&gt;&lt;wsp:rsid wsp:val=&quot;00891917&quot;/&gt;&lt;wsp:rsid wsp:val=&quot;008919A6&quot;/&gt;&lt;wsp:rsid wsp:val=&quot;008920CA&quot;/&gt;&lt;wsp:rsid wsp:val=&quot;00892149&quot;/&gt;&lt;wsp:rsid wsp:val=&quot;00892181&quot;/&gt;&lt;wsp:rsid wsp:val=&quot;00893065&quot;/&gt;&lt;wsp:rsid wsp:val=&quot;008932B8&quot;/&gt;&lt;wsp:rsid wsp:val=&quot;00893464&quot;/&gt;&lt;wsp:rsid wsp:val=&quot;00893546&quot;/&gt;&lt;wsp:rsid wsp:val=&quot;0089355A&quot;/&gt;&lt;wsp:rsid wsp:val=&quot;00893CAD&quot;/&gt;&lt;wsp:rsid wsp:val=&quot;00893E8D&quot;/&gt;&lt;wsp:rsid wsp:val=&quot;00893F84&quot;/&gt;&lt;wsp:rsid wsp:val=&quot;008940BB&quot;/&gt;&lt;wsp:rsid wsp:val=&quot;00894214&quot;/&gt;&lt;wsp:rsid wsp:val=&quot;0089444A&quot;/&gt;&lt;wsp:rsid wsp:val=&quot;00894C0F&quot;/&gt;&lt;wsp:rsid wsp:val=&quot;00894C2C&quot;/&gt;&lt;wsp:rsid wsp:val=&quot;00894DFE&quot;/&gt;&lt;wsp:rsid wsp:val=&quot;00895985&quot;/&gt;&lt;wsp:rsid wsp:val=&quot;00896111&quot;/&gt;&lt;wsp:rsid wsp:val=&quot;00896358&quot;/&gt;&lt;wsp:rsid wsp:val=&quot;0089691C&quot;/&gt;&lt;wsp:rsid wsp:val=&quot;00896FA0&quot;/&gt;&lt;wsp:rsid wsp:val=&quot;0089738C&quot;/&gt;&lt;wsp:rsid wsp:val=&quot;008973AA&quot;/&gt;&lt;wsp:rsid wsp:val=&quot;00897840&quot;/&gt;&lt;wsp:rsid wsp:val=&quot;008A17CE&quot;/&gt;&lt;wsp:rsid wsp:val=&quot;008A1F6B&quot;/&gt;&lt;wsp:rsid wsp:val=&quot;008A2442&quot;/&gt;&lt;wsp:rsid wsp:val=&quot;008A341F&quot;/&gt;&lt;wsp:rsid wsp:val=&quot;008A34B9&quot;/&gt;&lt;wsp:rsid wsp:val=&quot;008A3633&quot;/&gt;&lt;wsp:rsid wsp:val=&quot;008A3806&quot;/&gt;&lt;wsp:rsid wsp:val=&quot;008A3E22&quot;/&gt;&lt;wsp:rsid wsp:val=&quot;008A3ECC&quot;/&gt;&lt;wsp:rsid wsp:val=&quot;008A3ED8&quot;/&gt;&lt;wsp:rsid wsp:val=&quot;008A40CE&quot;/&gt;&lt;wsp:rsid wsp:val=&quot;008A4F88&quot;/&gt;&lt;wsp:rsid wsp:val=&quot;008A50EF&quot;/&gt;&lt;wsp:rsid wsp:val=&quot;008A510F&quot;/&gt;&lt;wsp:rsid wsp:val=&quot;008A5A1D&quot;/&gt;&lt;wsp:rsid wsp:val=&quot;008A5A61&quot;/&gt;&lt;wsp:rsid wsp:val=&quot;008A5ECB&quot;/&gt;&lt;wsp:rsid wsp:val=&quot;008A5ED9&quot;/&gt;&lt;wsp:rsid wsp:val=&quot;008A627E&quot;/&gt;&lt;wsp:rsid wsp:val=&quot;008A689E&quot;/&gt;&lt;wsp:rsid wsp:val=&quot;008A6E1F&quot;/&gt;&lt;wsp:rsid wsp:val=&quot;008A6F2B&quot;/&gt;&lt;wsp:rsid wsp:val=&quot;008A6F70&quot;/&gt;&lt;wsp:rsid wsp:val=&quot;008A77E8&quot;/&gt;&lt;wsp:rsid wsp:val=&quot;008A7D6B&quot;/&gt;&lt;wsp:rsid wsp:val=&quot;008A7D7D&quot;/&gt;&lt;wsp:rsid wsp:val=&quot;008A7ED3&quot;/&gt;&lt;wsp:rsid wsp:val=&quot;008B027D&quot;/&gt;&lt;wsp:rsid wsp:val=&quot;008B0A23&quot;/&gt;&lt;wsp:rsid wsp:val=&quot;008B0A43&quot;/&gt;&lt;wsp:rsid wsp:val=&quot;008B0CFC&quot;/&gt;&lt;wsp:rsid wsp:val=&quot;008B157C&quot;/&gt;&lt;wsp:rsid wsp:val=&quot;008B1DDE&quot;/&gt;&lt;wsp:rsid wsp:val=&quot;008B20C5&quot;/&gt;&lt;wsp:rsid wsp:val=&quot;008B2248&quot;/&gt;&lt;wsp:rsid wsp:val=&quot;008B24EC&quot;/&gt;&lt;wsp:rsid wsp:val=&quot;008B287B&quot;/&gt;&lt;wsp:rsid wsp:val=&quot;008B2A04&quot;/&gt;&lt;wsp:rsid wsp:val=&quot;008B2ED5&quot;/&gt;&lt;wsp:rsid wsp:val=&quot;008B30CE&quot;/&gt;&lt;wsp:rsid wsp:val=&quot;008B3764&quot;/&gt;&lt;wsp:rsid wsp:val=&quot;008B384C&quot;/&gt;&lt;wsp:rsid wsp:val=&quot;008B3B5A&quot;/&gt;&lt;wsp:rsid wsp:val=&quot;008B3C53&quot;/&gt;&lt;wsp:rsid wsp:val=&quot;008B3C54&quot;/&gt;&lt;wsp:rsid wsp:val=&quot;008B4188&quot;/&gt;&lt;wsp:rsid wsp:val=&quot;008B41DC&quot;/&gt;&lt;wsp:rsid wsp:val=&quot;008B428D&quot;/&gt;&lt;wsp:rsid wsp:val=&quot;008B4408&quot;/&gt;&lt;wsp:rsid wsp:val=&quot;008B55E7&quot;/&gt;&lt;wsp:rsid wsp:val=&quot;008B5E39&quot;/&gt;&lt;wsp:rsid wsp:val=&quot;008B5F3A&quot;/&gt;&lt;wsp:rsid wsp:val=&quot;008B65E7&quot;/&gt;&lt;wsp:rsid wsp:val=&quot;008B6774&quot;/&gt;&lt;wsp:rsid wsp:val=&quot;008B6E6F&quot;/&gt;&lt;wsp:rsid wsp:val=&quot;008B7369&quot;/&gt;&lt;wsp:rsid wsp:val=&quot;008B782E&quot;/&gt;&lt;wsp:rsid wsp:val=&quot;008B789D&quot;/&gt;&lt;wsp:rsid wsp:val=&quot;008B7AF3&quot;/&gt;&lt;wsp:rsid wsp:val=&quot;008B7C7F&quot;/&gt;&lt;wsp:rsid wsp:val=&quot;008B7CC9&quot;/&gt;&lt;wsp:rsid wsp:val=&quot;008B7DA4&quot;/&gt;&lt;wsp:rsid wsp:val=&quot;008B7DC6&quot;/&gt;&lt;wsp:rsid wsp:val=&quot;008C0138&quot;/&gt;&lt;wsp:rsid wsp:val=&quot;008C021B&quot;/&gt;&lt;wsp:rsid wsp:val=&quot;008C02A4&quot;/&gt;&lt;wsp:rsid wsp:val=&quot;008C05EB&quot;/&gt;&lt;wsp:rsid wsp:val=&quot;008C06C1&quot;/&gt;&lt;wsp:rsid wsp:val=&quot;008C06C9&quot;/&gt;&lt;wsp:rsid wsp:val=&quot;008C0C96&quot;/&gt;&lt;wsp:rsid wsp:val=&quot;008C11D8&quot;/&gt;&lt;wsp:rsid wsp:val=&quot;008C153E&quot;/&gt;&lt;wsp:rsid wsp:val=&quot;008C1574&quot;/&gt;&lt;wsp:rsid wsp:val=&quot;008C188C&quot;/&gt;&lt;wsp:rsid wsp:val=&quot;008C1D7E&quot;/&gt;&lt;wsp:rsid wsp:val=&quot;008C1E40&quot;/&gt;&lt;wsp:rsid wsp:val=&quot;008C1F3C&quot;/&gt;&lt;wsp:rsid wsp:val=&quot;008C1F68&quot;/&gt;&lt;wsp:rsid wsp:val=&quot;008C26DC&quot;/&gt;&lt;wsp:rsid wsp:val=&quot;008C294B&quot;/&gt;&lt;wsp:rsid wsp:val=&quot;008C2D19&quot;/&gt;&lt;wsp:rsid wsp:val=&quot;008C2E96&quot;/&gt;&lt;wsp:rsid wsp:val=&quot;008C33C6&quot;/&gt;&lt;wsp:rsid wsp:val=&quot;008C38FF&quot;/&gt;&lt;wsp:rsid wsp:val=&quot;008C432D&quot;/&gt;&lt;wsp:rsid wsp:val=&quot;008C45F9&quot;/&gt;&lt;wsp:rsid wsp:val=&quot;008C4772&quot;/&gt;&lt;wsp:rsid wsp:val=&quot;008C4773&quot;/&gt;&lt;wsp:rsid wsp:val=&quot;008C495B&quot;/&gt;&lt;wsp:rsid wsp:val=&quot;008C4FFA&quot;/&gt;&lt;wsp:rsid wsp:val=&quot;008C5850&quot;/&gt;&lt;wsp:rsid wsp:val=&quot;008C5CA4&quot;/&gt;&lt;wsp:rsid wsp:val=&quot;008C6463&quot;/&gt;&lt;wsp:rsid wsp:val=&quot;008C6993&quot;/&gt;&lt;wsp:rsid wsp:val=&quot;008C7597&quot;/&gt;&lt;wsp:rsid wsp:val=&quot;008C75B4&quot;/&gt;&lt;wsp:rsid wsp:val=&quot;008C7666&quot;/&gt;&lt;wsp:rsid wsp:val=&quot;008D0252&quot;/&gt;&lt;wsp:rsid wsp:val=&quot;008D0862&quot;/&gt;&lt;wsp:rsid wsp:val=&quot;008D0916&quot;/&gt;&lt;wsp:rsid wsp:val=&quot;008D09F1&quot;/&gt;&lt;wsp:rsid wsp:val=&quot;008D0BA7&quot;/&gt;&lt;wsp:rsid wsp:val=&quot;008D0EF8&quot;/&gt;&lt;wsp:rsid wsp:val=&quot;008D113C&quot;/&gt;&lt;wsp:rsid wsp:val=&quot;008D16BC&quot;/&gt;&lt;wsp:rsid wsp:val=&quot;008D1743&quot;/&gt;&lt;wsp:rsid wsp:val=&quot;008D1C08&quot;/&gt;&lt;wsp:rsid wsp:val=&quot;008D1CDA&quot;/&gt;&lt;wsp:rsid wsp:val=&quot;008D1E4E&quot;/&gt;&lt;wsp:rsid wsp:val=&quot;008D29A4&quot;/&gt;&lt;wsp:rsid wsp:val=&quot;008D31BB&quot;/&gt;&lt;wsp:rsid wsp:val=&quot;008D3784&quot;/&gt;&lt;wsp:rsid wsp:val=&quot;008D3B09&quot;/&gt;&lt;wsp:rsid wsp:val=&quot;008D3B7C&quot;/&gt;&lt;wsp:rsid wsp:val=&quot;008D3D4F&quot;/&gt;&lt;wsp:rsid wsp:val=&quot;008D3F33&quot;/&gt;&lt;wsp:rsid wsp:val=&quot;008D41D4&quot;/&gt;&lt;wsp:rsid wsp:val=&quot;008D42C8&quot;/&gt;&lt;wsp:rsid wsp:val=&quot;008D42DF&quot;/&gt;&lt;wsp:rsid wsp:val=&quot;008D4CE2&quot;/&gt;&lt;wsp:rsid wsp:val=&quot;008D4D70&quot;/&gt;&lt;wsp:rsid wsp:val=&quot;008D4E29&quot;/&gt;&lt;wsp:rsid wsp:val=&quot;008D5475&quot;/&gt;&lt;wsp:rsid wsp:val=&quot;008D5D3E&quot;/&gt;&lt;wsp:rsid wsp:val=&quot;008D5DFB&quot;/&gt;&lt;wsp:rsid wsp:val=&quot;008D5EEA&quot;/&gt;&lt;wsp:rsid wsp:val=&quot;008D5F5A&quot;/&gt;&lt;wsp:rsid wsp:val=&quot;008D6035&quot;/&gt;&lt;wsp:rsid wsp:val=&quot;008D6428&quot;/&gt;&lt;wsp:rsid wsp:val=&quot;008D66DC&quot;/&gt;&lt;wsp:rsid wsp:val=&quot;008D68C2&quot;/&gt;&lt;wsp:rsid wsp:val=&quot;008D68CC&quot;/&gt;&lt;wsp:rsid wsp:val=&quot;008D706A&quot;/&gt;&lt;wsp:rsid wsp:val=&quot;008D716A&quot;/&gt;&lt;wsp:rsid wsp:val=&quot;008D7677&quot;/&gt;&lt;wsp:rsid wsp:val=&quot;008D78F3&quot;/&gt;&lt;wsp:rsid wsp:val=&quot;008D7DF2&quot;/&gt;&lt;wsp:rsid wsp:val=&quot;008D7DFD&quot;/&gt;&lt;wsp:rsid wsp:val=&quot;008D7E98&quot;/&gt;&lt;wsp:rsid wsp:val=&quot;008E044A&quot;/&gt;&lt;wsp:rsid wsp:val=&quot;008E098B&quot;/&gt;&lt;wsp:rsid wsp:val=&quot;008E0A16&quot;/&gt;&lt;wsp:rsid wsp:val=&quot;008E0ED5&quot;/&gt;&lt;wsp:rsid wsp:val=&quot;008E0F00&quot;/&gt;&lt;wsp:rsid wsp:val=&quot;008E0FC4&quot;/&gt;&lt;wsp:rsid wsp:val=&quot;008E1251&quot;/&gt;&lt;wsp:rsid wsp:val=&quot;008E1329&quot;/&gt;&lt;wsp:rsid wsp:val=&quot;008E139D&quot;/&gt;&lt;wsp:rsid wsp:val=&quot;008E1590&quot;/&gt;&lt;wsp:rsid wsp:val=&quot;008E190F&quot;/&gt;&lt;wsp:rsid wsp:val=&quot;008E1B56&quot;/&gt;&lt;wsp:rsid wsp:val=&quot;008E1EA1&quot;/&gt;&lt;wsp:rsid wsp:val=&quot;008E1F67&quot;/&gt;&lt;wsp:rsid wsp:val=&quot;008E205A&quot;/&gt;&lt;wsp:rsid wsp:val=&quot;008E20E2&quot;/&gt;&lt;wsp:rsid wsp:val=&quot;008E256F&quot;/&gt;&lt;wsp:rsid wsp:val=&quot;008E268F&quot;/&gt;&lt;wsp:rsid wsp:val=&quot;008E29E4&quot;/&gt;&lt;wsp:rsid wsp:val=&quot;008E2CE3&quot;/&gt;&lt;wsp:rsid wsp:val=&quot;008E365E&quot;/&gt;&lt;wsp:rsid wsp:val=&quot;008E367C&quot;/&gt;&lt;wsp:rsid wsp:val=&quot;008E373B&quot;/&gt;&lt;wsp:rsid wsp:val=&quot;008E3A1B&quot;/&gt;&lt;wsp:rsid wsp:val=&quot;008E3BC7&quot;/&gt;&lt;wsp:rsid wsp:val=&quot;008E3CA4&quot;/&gt;&lt;wsp:rsid wsp:val=&quot;008E3EFF&quot;/&gt;&lt;wsp:rsid wsp:val=&quot;008E3F51&quot;/&gt;&lt;wsp:rsid wsp:val=&quot;008E49F9&quot;/&gt;&lt;wsp:rsid wsp:val=&quot;008E4B8B&quot;/&gt;&lt;wsp:rsid wsp:val=&quot;008E4B92&quot;/&gt;&lt;wsp:rsid wsp:val=&quot;008E514A&quot;/&gt;&lt;wsp:rsid wsp:val=&quot;008E51A9&quot;/&gt;&lt;wsp:rsid wsp:val=&quot;008E52C9&quot;/&gt;&lt;wsp:rsid wsp:val=&quot;008E548F&quot;/&gt;&lt;wsp:rsid wsp:val=&quot;008E54C2&quot;/&gt;&lt;wsp:rsid wsp:val=&quot;008E6530&quot;/&gt;&lt;wsp:rsid wsp:val=&quot;008E67F0&quot;/&gt;&lt;wsp:rsid wsp:val=&quot;008E6A71&quot;/&gt;&lt;wsp:rsid wsp:val=&quot;008E6B4D&quot;/&gt;&lt;wsp:rsid wsp:val=&quot;008E6BB3&quot;/&gt;&lt;wsp:rsid wsp:val=&quot;008E6F22&quot;/&gt;&lt;wsp:rsid wsp:val=&quot;008E6F7C&quot;/&gt;&lt;wsp:rsid wsp:val=&quot;008E72F0&quot;/&gt;&lt;wsp:rsid wsp:val=&quot;008E77B4&quot;/&gt;&lt;wsp:rsid wsp:val=&quot;008E77C0&quot;/&gt;&lt;wsp:rsid wsp:val=&quot;008E7BD0&quot;/&gt;&lt;wsp:rsid wsp:val=&quot;008F0492&quot;/&gt;&lt;wsp:rsid wsp:val=&quot;008F0698&quot;/&gt;&lt;wsp:rsid wsp:val=&quot;008F0EA8&quot;/&gt;&lt;wsp:rsid wsp:val=&quot;008F0EF8&quot;/&gt;&lt;wsp:rsid wsp:val=&quot;008F101A&quot;/&gt;&lt;wsp:rsid wsp:val=&quot;008F127E&quot;/&gt;&lt;wsp:rsid wsp:val=&quot;008F14F5&quot;/&gt;&lt;wsp:rsid wsp:val=&quot;008F251B&quot;/&gt;&lt;wsp:rsid wsp:val=&quot;008F2634&quot;/&gt;&lt;wsp:rsid wsp:val=&quot;008F2AFA&quot;/&gt;&lt;wsp:rsid wsp:val=&quot;008F2CF8&quot;/&gt;&lt;wsp:rsid wsp:val=&quot;008F2D7D&quot;/&gt;&lt;wsp:rsid wsp:val=&quot;008F2D88&quot;/&gt;&lt;wsp:rsid wsp:val=&quot;008F357D&quot;/&gt;&lt;wsp:rsid wsp:val=&quot;008F37DB&quot;/&gt;&lt;wsp:rsid wsp:val=&quot;008F3CB2&quot;/&gt;&lt;wsp:rsid wsp:val=&quot;008F4775&quot;/&gt;&lt;wsp:rsid wsp:val=&quot;008F497D&quot;/&gt;&lt;wsp:rsid wsp:val=&quot;008F4ADF&quot;/&gt;&lt;wsp:rsid wsp:val=&quot;008F4C64&quot;/&gt;&lt;wsp:rsid wsp:val=&quot;008F522E&quot;/&gt;&lt;wsp:rsid wsp:val=&quot;008F57C7&quot;/&gt;&lt;wsp:rsid wsp:val=&quot;008F57DF&quot;/&gt;&lt;wsp:rsid wsp:val=&quot;008F590A&quot;/&gt;&lt;wsp:rsid wsp:val=&quot;008F5A90&quot;/&gt;&lt;wsp:rsid wsp:val=&quot;008F5CDE&quot;/&gt;&lt;wsp:rsid wsp:val=&quot;008F63BB&quot;/&gt;&lt;wsp:rsid wsp:val=&quot;008F65E2&quot;/&gt;&lt;wsp:rsid wsp:val=&quot;008F6916&quot;/&gt;&lt;wsp:rsid wsp:val=&quot;008F699E&quot;/&gt;&lt;wsp:rsid wsp:val=&quot;008F69CB&quot;/&gt;&lt;wsp:rsid wsp:val=&quot;008F6B62&quot;/&gt;&lt;wsp:rsid wsp:val=&quot;008F6C8C&quot;/&gt;&lt;wsp:rsid wsp:val=&quot;008F72F5&quot;/&gt;&lt;wsp:rsid wsp:val=&quot;008F7426&quot;/&gt;&lt;wsp:rsid wsp:val=&quot;008F76A1&quot;/&gt;&lt;wsp:rsid wsp:val=&quot;008F7A35&quot;/&gt;&lt;wsp:rsid wsp:val=&quot;008F7E25&quot;/&gt;&lt;wsp:rsid wsp:val=&quot;0090000F&quot;/&gt;&lt;wsp:rsid wsp:val=&quot;009000D7&quot;/&gt;&lt;wsp:rsid wsp:val=&quot;00900383&quot;/&gt;&lt;wsp:rsid wsp:val=&quot;009005D0&quot;/&gt;&lt;wsp:rsid wsp:val=&quot;00900663&quot;/&gt;&lt;wsp:rsid wsp:val=&quot;00900D54&quot;/&gt;&lt;wsp:rsid wsp:val=&quot;00901086&quot;/&gt;&lt;wsp:rsid wsp:val=&quot;00901860&quot;/&gt;&lt;wsp:rsid wsp:val=&quot;00901B58&quot;/&gt;&lt;wsp:rsid wsp:val=&quot;00902375&quot;/&gt;&lt;wsp:rsid wsp:val=&quot;00902685&quot;/&gt;&lt;wsp:rsid wsp:val=&quot;00903410&quot;/&gt;&lt;wsp:rsid wsp:val=&quot;009035B0&quot;/&gt;&lt;wsp:rsid wsp:val=&quot;00903741&quot;/&gt;&lt;wsp:rsid wsp:val=&quot;00903C12&quot;/&gt;&lt;wsp:rsid wsp:val=&quot;00903C45&quot;/&gt;&lt;wsp:rsid wsp:val=&quot;0090418E&quot;/&gt;&lt;wsp:rsid wsp:val=&quot;009041A3&quot;/&gt;&lt;wsp:rsid wsp:val=&quot;0090453B&quot;/&gt;&lt;wsp:rsid wsp:val=&quot;00904781&quot;/&gt;&lt;wsp:rsid wsp:val=&quot;0090495C&quot;/&gt;&lt;wsp:rsid wsp:val=&quot;00904FED&quot;/&gt;&lt;wsp:rsid wsp:val=&quot;009052E7&quot;/&gt;&lt;wsp:rsid wsp:val=&quot;009055C9&quot;/&gt;&lt;wsp:rsid wsp:val=&quot;009058EC&quot;/&gt;&lt;wsp:rsid wsp:val=&quot;009059B8&quot;/&gt;&lt;wsp:rsid wsp:val=&quot;00905B68&quot;/&gt;&lt;wsp:rsid wsp:val=&quot;00905B81&quot;/&gt;&lt;wsp:rsid wsp:val=&quot;00905CF2&quot;/&gt;&lt;wsp:rsid wsp:val=&quot;00905DEA&quot;/&gt;&lt;wsp:rsid wsp:val=&quot;00905E82&quot;/&gt;&lt;wsp:rsid wsp:val=&quot;009061C8&quot;/&gt;&lt;wsp:rsid wsp:val=&quot;00906340&quot;/&gt;&lt;wsp:rsid wsp:val=&quot;00906703&quot;/&gt;&lt;wsp:rsid wsp:val=&quot;00906B0D&quot;/&gt;&lt;wsp:rsid wsp:val=&quot;00906B3C&quot;/&gt;&lt;wsp:rsid wsp:val=&quot;00906BFE&quot;/&gt;&lt;wsp:rsid wsp:val=&quot;00906DE2&quot;/&gt;&lt;wsp:rsid wsp:val=&quot;00906F52&quot;/&gt;&lt;wsp:rsid wsp:val=&quot;00907FE6&quot;/&gt;&lt;wsp:rsid wsp:val=&quot;0091058D&quot;/&gt;&lt;wsp:rsid wsp:val=&quot;00910A1B&quot;/&gt;&lt;wsp:rsid wsp:val=&quot;00910E2B&quot;/&gt;&lt;wsp:rsid wsp:val=&quot;009118CB&quot;/&gt;&lt;wsp:rsid wsp:val=&quot;00911DD9&quot;/&gt;&lt;wsp:rsid wsp:val=&quot;00912020&quot;/&gt;&lt;wsp:rsid wsp:val=&quot;009121E1&quot;/&gt;&lt;wsp:rsid wsp:val=&quot;0091236B&quot;/&gt;&lt;wsp:rsid wsp:val=&quot;00912472&quot;/&gt;&lt;wsp:rsid wsp:val=&quot;009124A1&quot;/&gt;&lt;wsp:rsid wsp:val=&quot;00912899&quot;/&gt;&lt;wsp:rsid wsp:val=&quot;0091293F&quot;/&gt;&lt;wsp:rsid wsp:val=&quot;00912FBC&quot;/&gt;&lt;wsp:rsid wsp:val=&quot;009136DE&quot;/&gt;&lt;wsp:rsid wsp:val=&quot;00913B33&quot;/&gt;&lt;wsp:rsid wsp:val=&quot;00913FFA&quot;/&gt;&lt;wsp:rsid wsp:val=&quot;00914518&quot;/&gt;&lt;wsp:rsid wsp:val=&quot;00914CFC&quot;/&gt;&lt;wsp:rsid wsp:val=&quot;00914E6A&quot;/&gt;&lt;wsp:rsid wsp:val=&quot;00915508&quot;/&gt;&lt;wsp:rsid wsp:val=&quot;0091582A&quot;/&gt;&lt;wsp:rsid wsp:val=&quot;00915B7D&quot;/&gt;&lt;wsp:rsid wsp:val=&quot;00915E27&quot;/&gt;&lt;wsp:rsid wsp:val=&quot;009163D0&quot;/&gt;&lt;wsp:rsid wsp:val=&quot;00916BF2&quot;/&gt;&lt;wsp:rsid wsp:val=&quot;00917583&quot;/&gt;&lt;wsp:rsid wsp:val=&quot;0091788E&quot;/&gt;&lt;wsp:rsid wsp:val=&quot;00917A89&quot;/&gt;&lt;wsp:rsid wsp:val=&quot;00917AD4&quot;/&gt;&lt;wsp:rsid wsp:val=&quot;00917B7E&quot;/&gt;&lt;wsp:rsid wsp:val=&quot;00920F9F&quot;/&gt;&lt;wsp:rsid wsp:val=&quot;009217AE&quot;/&gt;&lt;wsp:rsid wsp:val=&quot;009222AE&quot;/&gt;&lt;wsp:rsid wsp:val=&quot;00922309&quot;/&gt;&lt;wsp:rsid wsp:val=&quot;00922517&quot;/&gt;&lt;wsp:rsid wsp:val=&quot;00922554&quot;/&gt;&lt;wsp:rsid wsp:val=&quot;00922C38&quot;/&gt;&lt;wsp:rsid wsp:val=&quot;00922F5B&quot;/&gt;&lt;wsp:rsid wsp:val=&quot;00923292&quot;/&gt;&lt;wsp:rsid wsp:val=&quot;00923334&quot;/&gt;&lt;wsp:rsid wsp:val=&quot;00923EB8&quot;/&gt;&lt;wsp:rsid wsp:val=&quot;0092410E&quot;/&gt;&lt;wsp:rsid wsp:val=&quot;0092430E&quot;/&gt;&lt;wsp:rsid wsp:val=&quot;0092450B&quot;/&gt;&lt;wsp:rsid wsp:val=&quot;00924B02&quot;/&gt;&lt;wsp:rsid wsp:val=&quot;00924E2E&quot;/&gt;&lt;wsp:rsid wsp:val=&quot;00925032&quot;/&gt;&lt;wsp:rsid wsp:val=&quot;009251B5&quot;/&gt;&lt;wsp:rsid wsp:val=&quot;009251BE&quot;/&gt;&lt;wsp:rsid wsp:val=&quot;0092521E&quot;/&gt;&lt;wsp:rsid wsp:val=&quot;0092529A&quot;/&gt;&lt;wsp:rsid wsp:val=&quot;00925744&quot;/&gt;&lt;wsp:rsid wsp:val=&quot;0092593E&quot;/&gt;&lt;wsp:rsid wsp:val=&quot;00926CAE&quot;/&gt;&lt;wsp:rsid wsp:val=&quot;00926E22&quot;/&gt;&lt;wsp:rsid wsp:val=&quot;009273C0&quot;/&gt;&lt;wsp:rsid wsp:val=&quot;00927492&quot;/&gt;&lt;wsp:rsid wsp:val=&quot;009278ED&quot;/&gt;&lt;wsp:rsid wsp:val=&quot;00927C17&quot;/&gt;&lt;wsp:rsid wsp:val=&quot;00927FF3&quot;/&gt;&lt;wsp:rsid wsp:val=&quot;00930111&quot;/&gt;&lt;wsp:rsid wsp:val=&quot;00930618&quot;/&gt;&lt;wsp:rsid wsp:val=&quot;00930949&quot;/&gt;&lt;wsp:rsid wsp:val=&quot;00930A4F&quot;/&gt;&lt;wsp:rsid wsp:val=&quot;009310E3&quot;/&gt;&lt;wsp:rsid wsp:val=&quot;00931226&quot;/&gt;&lt;wsp:rsid wsp:val=&quot;00931CF2&quot;/&gt;&lt;wsp:rsid wsp:val=&quot;0093215E&quot;/&gt;&lt;wsp:rsid wsp:val=&quot;00932635&quot;/&gt;&lt;wsp:rsid wsp:val=&quot;00932644&quot;/&gt;&lt;wsp:rsid wsp:val=&quot;0093298C&quot;/&gt;&lt;wsp:rsid wsp:val=&quot;009329D2&quot;/&gt;&lt;wsp:rsid wsp:val=&quot;0093334F&quot;/&gt;&lt;wsp:rsid wsp:val=&quot;0093343B&quot;/&gt;&lt;wsp:rsid wsp:val=&quot;0093359D&quot;/&gt;&lt;wsp:rsid wsp:val=&quot;0093379B&quot;/&gt;&lt;wsp:rsid wsp:val=&quot;00933954&quot;/&gt;&lt;wsp:rsid wsp:val=&quot;00933A6D&quot;/&gt;&lt;wsp:rsid wsp:val=&quot;00933DB6&quot;/&gt;&lt;wsp:rsid wsp:val=&quot;00933F7F&quot;/&gt;&lt;wsp:rsid wsp:val=&quot;009340B3&quot;/&gt;&lt;wsp:rsid wsp:val=&quot;009340C2&quot;/&gt;&lt;wsp:rsid wsp:val=&quot;00934270&quot;/&gt;&lt;wsp:rsid wsp:val=&quot;009342AC&quot;/&gt;&lt;wsp:rsid wsp:val=&quot;00934453&quot;/&gt;&lt;wsp:rsid wsp:val=&quot;0093450A&quot;/&gt;&lt;wsp:rsid wsp:val=&quot;00934658&quot;/&gt;&lt;wsp:rsid wsp:val=&quot;0093495C&quot;/&gt;&lt;wsp:rsid wsp:val=&quot;00934A37&quot;/&gt;&lt;wsp:rsid wsp:val=&quot;00934DE2&quot;/&gt;&lt;wsp:rsid wsp:val=&quot;00934FBB&quot;/&gt;&lt;wsp:rsid wsp:val=&quot;00935A87&quot;/&gt;&lt;wsp:rsid wsp:val=&quot;00935D48&quot;/&gt;&lt;wsp:rsid wsp:val=&quot;00936137&quot;/&gt;&lt;wsp:rsid wsp:val=&quot;00936AED&quot;/&gt;&lt;wsp:rsid wsp:val=&quot;00936E8C&quot;/&gt;&lt;wsp:rsid wsp:val=&quot;0093702D&quot;/&gt;&lt;wsp:rsid wsp:val=&quot;009371C2&quot;/&gt;&lt;wsp:rsid wsp:val=&quot;0093736E&quot;/&gt;&lt;wsp:rsid wsp:val=&quot;0093793E&quot;/&gt;&lt;wsp:rsid wsp:val=&quot;00937B43&quot;/&gt;&lt;wsp:rsid wsp:val=&quot;00940BD3&quot;/&gt;&lt;wsp:rsid wsp:val=&quot;00940EFC&quot;/&gt;&lt;wsp:rsid wsp:val=&quot;00940FEC&quot;/&gt;&lt;wsp:rsid wsp:val=&quot;0094102D&quot;/&gt;&lt;wsp:rsid wsp:val=&quot;00941238&quot;/&gt;&lt;wsp:rsid wsp:val=&quot;009415D8&quot;/&gt;&lt;wsp:rsid wsp:val=&quot;009417DD&quot;/&gt;&lt;wsp:rsid wsp:val=&quot;00941C2F&quot;/&gt;&lt;wsp:rsid wsp:val=&quot;00941F30&quot;/&gt;&lt;wsp:rsid wsp:val=&quot;00942592&quot;/&gt;&lt;wsp:rsid wsp:val=&quot;00942B07&quot;/&gt;&lt;wsp:rsid wsp:val=&quot;00942ED7&quot;/&gt;&lt;wsp:rsid wsp:val=&quot;00942F5D&quot;/&gt;&lt;wsp:rsid wsp:val=&quot;00943479&quot;/&gt;&lt;wsp:rsid wsp:val=&quot;00943788&quot;/&gt;&lt;wsp:rsid wsp:val=&quot;009438AB&quot;/&gt;&lt;wsp:rsid wsp:val=&quot;00943920&quot;/&gt;&lt;wsp:rsid wsp:val=&quot;009440CD&quot;/&gt;&lt;wsp:rsid wsp:val=&quot;00944432&quot;/&gt;&lt;wsp:rsid wsp:val=&quot;00944882&quot;/&gt;&lt;wsp:rsid wsp:val=&quot;00944C90&quot;/&gt;&lt;wsp:rsid wsp:val=&quot;00944CD2&quot;/&gt;&lt;wsp:rsid wsp:val=&quot;0094577C&quot;/&gt;&lt;wsp:rsid wsp:val=&quot;0094591D&quot;/&gt;&lt;wsp:rsid wsp:val=&quot;00945A3F&quot;/&gt;&lt;wsp:rsid wsp:val=&quot;00945A6C&quot;/&gt;&lt;wsp:rsid wsp:val=&quot;00945B00&quot;/&gt;&lt;wsp:rsid wsp:val=&quot;00945BE4&quot;/&gt;&lt;wsp:rsid wsp:val=&quot;00946193&quot;/&gt;&lt;wsp:rsid wsp:val=&quot;009463F2&quot;/&gt;&lt;wsp:rsid wsp:val=&quot;009466EB&quot;/&gt;&lt;wsp:rsid wsp:val=&quot;00946B54&quot;/&gt;&lt;wsp:rsid wsp:val=&quot;009470E8&quot;/&gt;&lt;wsp:rsid wsp:val=&quot;009475BF&quot;/&gt;&lt;wsp:rsid wsp:val=&quot;0094765D&quot;/&gt;&lt;wsp:rsid wsp:val=&quot;00947B5E&quot;/&gt;&lt;wsp:rsid wsp:val=&quot;0095127F&quot;/&gt;&lt;wsp:rsid wsp:val=&quot;00951340&quot;/&gt;&lt;wsp:rsid wsp:val=&quot;00951832&quot;/&gt;&lt;wsp:rsid wsp:val=&quot;00951BC7&quot;/&gt;&lt;wsp:rsid wsp:val=&quot;00951BFF&quot;/&gt;&lt;wsp:rsid wsp:val=&quot;00951E18&quot;/&gt;&lt;wsp:rsid wsp:val=&quot;00951F7A&quot;/&gt;&lt;wsp:rsid wsp:val=&quot;00952201&quot;/&gt;&lt;wsp:rsid wsp:val=&quot;009527A0&quot;/&gt;&lt;wsp:rsid wsp:val=&quot;00952999&quot;/&gt;&lt;wsp:rsid wsp:val=&quot;00952B97&quot;/&gt;&lt;wsp:rsid wsp:val=&quot;00952EDF&quot;/&gt;&lt;wsp:rsid wsp:val=&quot;0095402B&quot;/&gt;&lt;wsp:rsid wsp:val=&quot;009541AF&quot;/&gt;&lt;wsp:rsid wsp:val=&quot;00954D03&quot;/&gt;&lt;wsp:rsid wsp:val=&quot;009550AF&quot;/&gt;&lt;wsp:rsid wsp:val=&quot;0095520B&quot;/&gt;&lt;wsp:rsid wsp:val=&quot;00955379&quot;/&gt;&lt;wsp:rsid wsp:val=&quot;00955B8E&quot;/&gt;&lt;wsp:rsid wsp:val=&quot;0095613C&quot;/&gt;&lt;wsp:rsid wsp:val=&quot;009562A8&quot;/&gt;&lt;wsp:rsid wsp:val=&quot;00956451&quot;/&gt;&lt;wsp:rsid wsp:val=&quot;0095648D&quot;/&gt;&lt;wsp:rsid wsp:val=&quot;0095668C&quot;/&gt;&lt;wsp:rsid wsp:val=&quot;00956877&quot;/&gt;&lt;wsp:rsid wsp:val=&quot;00956A69&quot;/&gt;&lt;wsp:rsid wsp:val=&quot;00957675&quot;/&gt;&lt;wsp:rsid wsp:val=&quot;00957DFF&quot;/&gt;&lt;wsp:rsid wsp:val=&quot;00960086&quot;/&gt;&lt;wsp:rsid wsp:val=&quot;009603C9&quot;/&gt;&lt;wsp:rsid wsp:val=&quot;009606C1&quot;/&gt;&lt;wsp:rsid wsp:val=&quot;0096089C&quot;/&gt;&lt;wsp:rsid wsp:val=&quot;00960C57&quot;/&gt;&lt;wsp:rsid wsp:val=&quot;00960E02&quot;/&gt;&lt;wsp:rsid wsp:val=&quot;0096163B&quot;/&gt;&lt;wsp:rsid wsp:val=&quot;0096195D&quot;/&gt;&lt;wsp:rsid wsp:val=&quot;009621DC&quot;/&gt;&lt;wsp:rsid wsp:val=&quot;009626AB&quot;/&gt;&lt;wsp:rsid wsp:val=&quot;00962CD1&quot;/&gt;&lt;wsp:rsid wsp:val=&quot;00962E3A&quot;/&gt;&lt;wsp:rsid wsp:val=&quot;00962F3F&quot;/&gt;&lt;wsp:rsid wsp:val=&quot;00962F53&quot;/&gt;&lt;wsp:rsid wsp:val=&quot;00963021&quot;/&gt;&lt;wsp:rsid wsp:val=&quot;00963417&quot;/&gt;&lt;wsp:rsid wsp:val=&quot;009635F4&quot;/&gt;&lt;wsp:rsid wsp:val=&quot;00963733&quot;/&gt;&lt;wsp:rsid wsp:val=&quot;0096406C&quot;/&gt;&lt;wsp:rsid wsp:val=&quot;00964494&quot;/&gt;&lt;wsp:rsid wsp:val=&quot;009648D8&quot;/&gt;&lt;wsp:rsid wsp:val=&quot;0096544F&quot;/&gt;&lt;wsp:rsid wsp:val=&quot;00965476&quot;/&gt;&lt;wsp:rsid wsp:val=&quot;00965788&quot;/&gt;&lt;wsp:rsid wsp:val=&quot;00965A2B&quot;/&gt;&lt;wsp:rsid wsp:val=&quot;0096670B&quot;/&gt;&lt;wsp:rsid wsp:val=&quot;009669AF&quot;/&gt;&lt;wsp:rsid wsp:val=&quot;00966A70&quot;/&gt;&lt;wsp:rsid wsp:val=&quot;00966A81&quot;/&gt;&lt;wsp:rsid wsp:val=&quot;00966C34&quot;/&gt;&lt;wsp:rsid wsp:val=&quot;00966F81&quot;/&gt;&lt;wsp:rsid wsp:val=&quot;00967160&quot;/&gt;&lt;wsp:rsid wsp:val=&quot;009677AA&quot;/&gt;&lt;wsp:rsid wsp:val=&quot;0096780F&quot;/&gt;&lt;wsp:rsid wsp:val=&quot;00967838&quot;/&gt;&lt;wsp:rsid wsp:val=&quot;009678C0&quot;/&gt;&lt;wsp:rsid wsp:val=&quot;009707EE&quot;/&gt;&lt;wsp:rsid wsp:val=&quot;00970AB7&quot;/&gt;&lt;wsp:rsid wsp:val=&quot;0097106F&quot;/&gt;&lt;wsp:rsid wsp:val=&quot;0097110D&quot;/&gt;&lt;wsp:rsid wsp:val=&quot;009717BF&quot;/&gt;&lt;wsp:rsid wsp:val=&quot;00971C93&quot;/&gt;&lt;wsp:rsid wsp:val=&quot;00971D28&quot;/&gt;&lt;wsp:rsid wsp:val=&quot;00971EE9&quot;/&gt;&lt;wsp:rsid wsp:val=&quot;0097216F&quot;/&gt;&lt;wsp:rsid wsp:val=&quot;009726AD&quot;/&gt;&lt;wsp:rsid wsp:val=&quot;00972C1E&quot;/&gt;&lt;wsp:rsid wsp:val=&quot;00972D0F&quot;/&gt;&lt;wsp:rsid wsp:val=&quot;00972D53&quot;/&gt;&lt;wsp:rsid wsp:val=&quot;00972DC6&quot;/&gt;&lt;wsp:rsid wsp:val=&quot;009730DD&quot;/&gt;&lt;wsp:rsid wsp:val=&quot;00973198&quot;/&gt;&lt;wsp:rsid wsp:val=&quot;009731FB&quot;/&gt;&lt;wsp:rsid wsp:val=&quot;00973307&quot;/&gt;&lt;wsp:rsid wsp:val=&quot;00973396&quot;/&gt;&lt;wsp:rsid wsp:val=&quot;009737BE&quot;/&gt;&lt;wsp:rsid wsp:val=&quot;009738A4&quot;/&gt;&lt;wsp:rsid wsp:val=&quot;00973A1C&quot;/&gt;&lt;wsp:rsid wsp:val=&quot;00973C51&quot;/&gt;&lt;wsp:rsid wsp:val=&quot;00973D46&quot;/&gt;&lt;wsp:rsid wsp:val=&quot;0097471E&quot;/&gt;&lt;wsp:rsid wsp:val=&quot;00974B0C&quot;/&gt;&lt;wsp:rsid wsp:val=&quot;00974F5F&quot;/&gt;&lt;wsp:rsid wsp:val=&quot;009752C4&quot;/&gt;&lt;wsp:rsid wsp:val=&quot;009754C8&quot;/&gt;&lt;wsp:rsid wsp:val=&quot;009758C5&quot;/&gt;&lt;wsp:rsid wsp:val=&quot;0097590A&quot;/&gt;&lt;wsp:rsid wsp:val=&quot;00975936&quot;/&gt;&lt;wsp:rsid wsp:val=&quot;009759ED&quot;/&gt;&lt;wsp:rsid wsp:val=&quot;00975BBA&quot;/&gt;&lt;wsp:rsid wsp:val=&quot;00976BC9&quot;/&gt;&lt;wsp:rsid wsp:val=&quot;00977E0A&quot;/&gt;&lt;wsp:rsid wsp:val=&quot;00977EC6&quot;/&gt;&lt;wsp:rsid wsp:val=&quot;00977F8B&quot;/&gt;&lt;wsp:rsid wsp:val=&quot;00980BFE&quot;/&gt;&lt;wsp:rsid wsp:val=&quot;00980D11&quot;/&gt;&lt;wsp:rsid wsp:val=&quot;00980DBA&quot;/&gt;&lt;wsp:rsid wsp:val=&quot;00980F25&quot;/&gt;&lt;wsp:rsid wsp:val=&quot;0098214E&quot;/&gt;&lt;wsp:rsid wsp:val=&quot;009823E8&quot;/&gt;&lt;wsp:rsid wsp:val=&quot;009825EC&quot;/&gt;&lt;wsp:rsid wsp:val=&quot;009829EE&quot;/&gt;&lt;wsp:rsid wsp:val=&quot;00982C12&quot;/&gt;&lt;wsp:rsid wsp:val=&quot;00982DD8&quot;/&gt;&lt;wsp:rsid wsp:val=&quot;009830EE&quot;/&gt;&lt;wsp:rsid wsp:val=&quot;0098386D&quot;/&gt;&lt;wsp:rsid wsp:val=&quot;00983A7C&quot;/&gt;&lt;wsp:rsid wsp:val=&quot;00983A9E&quot;/&gt;&lt;wsp:rsid wsp:val=&quot;00983C3E&quot;/&gt;&lt;wsp:rsid wsp:val=&quot;00984088&quot;/&gt;&lt;wsp:rsid wsp:val=&quot;009841BE&quot;/&gt;&lt;wsp:rsid wsp:val=&quot;009841EC&quot;/&gt;&lt;wsp:rsid wsp:val=&quot;0098421A&quot;/&gt;&lt;wsp:rsid wsp:val=&quot;009845A8&quot;/&gt;&lt;wsp:rsid wsp:val=&quot;00984821&quot;/&gt;&lt;wsp:rsid wsp:val=&quot;00984B52&quot;/&gt;&lt;wsp:rsid wsp:val=&quot;0098537B&quot;/&gt;&lt;wsp:rsid wsp:val=&quot;009857DE&quot;/&gt;&lt;wsp:rsid wsp:val=&quot;009863F1&quot;/&gt;&lt;wsp:rsid wsp:val=&quot;0098642F&quot;/&gt;&lt;wsp:rsid wsp:val=&quot;0098661A&quot;/&gt;&lt;wsp:rsid wsp:val=&quot;00986823&quot;/&gt;&lt;wsp:rsid wsp:val=&quot;00986C87&quot;/&gt;&lt;wsp:rsid wsp:val=&quot;00987559&quot;/&gt;&lt;wsp:rsid wsp:val=&quot;009876A4&quot;/&gt;&lt;wsp:rsid wsp:val=&quot;00987FD1&quot;/&gt;&lt;wsp:rsid wsp:val=&quot;00990876&quot;/&gt;&lt;wsp:rsid wsp:val=&quot;00990893&quot;/&gt;&lt;wsp:rsid wsp:val=&quot;009908BD&quot;/&gt;&lt;wsp:rsid wsp:val=&quot;0099147D&quot;/&gt;&lt;wsp:rsid wsp:val=&quot;009915B8&quot;/&gt;&lt;wsp:rsid wsp:val=&quot;00991DCE&quot;/&gt;&lt;wsp:rsid wsp:val=&quot;009921CA&quot;/&gt;&lt;wsp:rsid wsp:val=&quot;00992334&quot;/&gt;&lt;wsp:rsid wsp:val=&quot;0099263D&quot;/&gt;&lt;wsp:rsid wsp:val=&quot;0099264A&quot;/&gt;&lt;wsp:rsid wsp:val=&quot;00992865&quot;/&gt;&lt;wsp:rsid wsp:val=&quot;00993674&quot;/&gt;&lt;wsp:rsid wsp:val=&quot;0099393E&quot;/&gt;&lt;wsp:rsid wsp:val=&quot;00993AC9&quot;/&gt;&lt;wsp:rsid wsp:val=&quot;00993C44&quot;/&gt;&lt;wsp:rsid wsp:val=&quot;00993CB8&quot;/&gt;&lt;wsp:rsid wsp:val=&quot;00993DB4&quot;/&gt;&lt;wsp:rsid wsp:val=&quot;00993F5B&quot;/&gt;&lt;wsp:rsid wsp:val=&quot;0099411D&quot;/&gt;&lt;wsp:rsid wsp:val=&quot;0099473B&quot;/&gt;&lt;wsp:rsid wsp:val=&quot;009952C2&quot;/&gt;&lt;wsp:rsid wsp:val=&quot;0099558E&quot;/&gt;&lt;wsp:rsid wsp:val=&quot;00995F7A&quot;/&gt;&lt;wsp:rsid wsp:val=&quot;009962F7&quot;/&gt;&lt;wsp:rsid wsp:val=&quot;00996367&quot;/&gt;&lt;wsp:rsid wsp:val=&quot;009969E9&quot;/&gt;&lt;wsp:rsid wsp:val=&quot;00996E77&quot;/&gt;&lt;wsp:rsid wsp:val=&quot;00996EAF&quot;/&gt;&lt;wsp:rsid wsp:val=&quot;009975D2&quot;/&gt;&lt;wsp:rsid wsp:val=&quot;009978BC&quot;/&gt;&lt;wsp:rsid wsp:val=&quot;009979E4&quot;/&gt;&lt;wsp:rsid wsp:val=&quot;00997A8F&quot;/&gt;&lt;wsp:rsid wsp:val=&quot;00997BB5&quot;/&gt;&lt;wsp:rsid wsp:val=&quot;00997E9B&quot;/&gt;&lt;wsp:rsid wsp:val=&quot;00997F60&quot;/&gt;&lt;wsp:rsid wsp:val=&quot;00997FB6&quot;/&gt;&lt;wsp:rsid wsp:val=&quot;009A0948&quot;/&gt;&lt;wsp:rsid wsp:val=&quot;009A114F&quot;/&gt;&lt;wsp:rsid wsp:val=&quot;009A11EC&quot;/&gt;&lt;wsp:rsid wsp:val=&quot;009A154B&quot;/&gt;&lt;wsp:rsid wsp:val=&quot;009A16B3&quot;/&gt;&lt;wsp:rsid wsp:val=&quot;009A1BC9&quot;/&gt;&lt;wsp:rsid wsp:val=&quot;009A1CAA&quot;/&gt;&lt;wsp:rsid wsp:val=&quot;009A2012&quot;/&gt;&lt;wsp:rsid wsp:val=&quot;009A2346&quot;/&gt;&lt;wsp:rsid wsp:val=&quot;009A2908&quot;/&gt;&lt;wsp:rsid wsp:val=&quot;009A2C13&quot;/&gt;&lt;wsp:rsid wsp:val=&quot;009A2CEF&quot;/&gt;&lt;wsp:rsid wsp:val=&quot;009A2D57&quot;/&gt;&lt;wsp:rsid wsp:val=&quot;009A2E23&quot;/&gt;&lt;wsp:rsid wsp:val=&quot;009A2EA9&quot;/&gt;&lt;wsp:rsid wsp:val=&quot;009A3066&quot;/&gt;&lt;wsp:rsid wsp:val=&quot;009A32C8&quot;/&gt;&lt;wsp:rsid wsp:val=&quot;009A340F&quot;/&gt;&lt;wsp:rsid wsp:val=&quot;009A418D&quot;/&gt;&lt;wsp:rsid wsp:val=&quot;009A44AA&quot;/&gt;&lt;wsp:rsid wsp:val=&quot;009A4C23&quot;/&gt;&lt;wsp:rsid wsp:val=&quot;009A53E5&quot;/&gt;&lt;wsp:rsid wsp:val=&quot;009A53E6&quot;/&gt;&lt;wsp:rsid wsp:val=&quot;009A5610&quot;/&gt;&lt;wsp:rsid wsp:val=&quot;009A5C03&quot;/&gt;&lt;wsp:rsid wsp:val=&quot;009A5C97&quot;/&gt;&lt;wsp:rsid wsp:val=&quot;009A5E81&quot;/&gt;&lt;wsp:rsid wsp:val=&quot;009A5EB8&quot;/&gt;&lt;wsp:rsid wsp:val=&quot;009A605C&quot;/&gt;&lt;wsp:rsid wsp:val=&quot;009A6271&quot;/&gt;&lt;wsp:rsid wsp:val=&quot;009A63E8&quot;/&gt;&lt;wsp:rsid wsp:val=&quot;009A6523&quot;/&gt;&lt;wsp:rsid wsp:val=&quot;009A66C2&quot;/&gt;&lt;wsp:rsid wsp:val=&quot;009A6999&quot;/&gt;&lt;wsp:rsid wsp:val=&quot;009A70B3&quot;/&gt;&lt;wsp:rsid wsp:val=&quot;009A7663&quot;/&gt;&lt;wsp:rsid wsp:val=&quot;009A7B2A&quot;/&gt;&lt;wsp:rsid wsp:val=&quot;009A7C6B&quot;/&gt;&lt;wsp:rsid wsp:val=&quot;009A7F5F&quot;/&gt;&lt;wsp:rsid wsp:val=&quot;009A7FC0&quot;/&gt;&lt;wsp:rsid wsp:val=&quot;009B0022&quot;/&gt;&lt;wsp:rsid wsp:val=&quot;009B0042&quot;/&gt;&lt;wsp:rsid wsp:val=&quot;009B014E&quot;/&gt;&lt;wsp:rsid wsp:val=&quot;009B19DB&quot;/&gt;&lt;wsp:rsid wsp:val=&quot;009B1DFE&quot;/&gt;&lt;wsp:rsid wsp:val=&quot;009B2128&quot;/&gt;&lt;wsp:rsid wsp:val=&quot;009B22E8&quot;/&gt;&lt;wsp:rsid wsp:val=&quot;009B25D9&quot;/&gt;&lt;wsp:rsid wsp:val=&quot;009B2677&quot;/&gt;&lt;wsp:rsid wsp:val=&quot;009B27BF&quot;/&gt;&lt;wsp:rsid wsp:val=&quot;009B2B5E&quot;/&gt;&lt;wsp:rsid wsp:val=&quot;009B2BA8&quot;/&gt;&lt;wsp:rsid wsp:val=&quot;009B2C1B&quot;/&gt;&lt;wsp:rsid wsp:val=&quot;009B3173&quot;/&gt;&lt;wsp:rsid wsp:val=&quot;009B3240&quot;/&gt;&lt;wsp:rsid wsp:val=&quot;009B3386&quot;/&gt;&lt;wsp:rsid wsp:val=&quot;009B34B6&quot;/&gt;&lt;wsp:rsid wsp:val=&quot;009B35E8&quot;/&gt;&lt;wsp:rsid wsp:val=&quot;009B38D7&quot;/&gt;&lt;wsp:rsid wsp:val=&quot;009B3F26&quot;/&gt;&lt;wsp:rsid wsp:val=&quot;009B41DE&quot;/&gt;&lt;wsp:rsid wsp:val=&quot;009B4346&quot;/&gt;&lt;wsp:rsid wsp:val=&quot;009B48D2&quot;/&gt;&lt;wsp:rsid wsp:val=&quot;009B4A4C&quot;/&gt;&lt;wsp:rsid wsp:val=&quot;009B4DE2&quot;/&gt;&lt;wsp:rsid wsp:val=&quot;009B4FCB&quot;/&gt;&lt;wsp:rsid wsp:val=&quot;009B4FDE&quot;/&gt;&lt;wsp:rsid wsp:val=&quot;009B5038&quot;/&gt;&lt;wsp:rsid wsp:val=&quot;009B5084&quot;/&gt;&lt;wsp:rsid wsp:val=&quot;009B51B7&quot;/&gt;&lt;wsp:rsid wsp:val=&quot;009B587B&quot;/&gt;&lt;wsp:rsid wsp:val=&quot;009B5C74&quot;/&gt;&lt;wsp:rsid wsp:val=&quot;009B5F03&quot;/&gt;&lt;wsp:rsid wsp:val=&quot;009B5F51&quot;/&gt;&lt;wsp:rsid wsp:val=&quot;009B6457&quot;/&gt;&lt;wsp:rsid wsp:val=&quot;009B65FA&quot;/&gt;&lt;wsp:rsid wsp:val=&quot;009B688D&quot;/&gt;&lt;wsp:rsid wsp:val=&quot;009B69CC&quot;/&gt;&lt;wsp:rsid wsp:val=&quot;009B6DF7&quot;/&gt;&lt;wsp:rsid wsp:val=&quot;009B7082&quot;/&gt;&lt;wsp:rsid wsp:val=&quot;009B726D&quot;/&gt;&lt;wsp:rsid wsp:val=&quot;009B73CA&quot;/&gt;&lt;wsp:rsid wsp:val=&quot;009B7A0C&quot;/&gt;&lt;wsp:rsid wsp:val=&quot;009C0584&quot;/&gt;&lt;wsp:rsid wsp:val=&quot;009C087F&quot;/&gt;&lt;wsp:rsid wsp:val=&quot;009C09B1&quot;/&gt;&lt;wsp:rsid wsp:val=&quot;009C11F6&quot;/&gt;&lt;wsp:rsid wsp:val=&quot;009C18C5&quot;/&gt;&lt;wsp:rsid wsp:val=&quot;009C193C&quot;/&gt;&lt;wsp:rsid wsp:val=&quot;009C2423&quot;/&gt;&lt;wsp:rsid wsp:val=&quot;009C246D&quot;/&gt;&lt;wsp:rsid wsp:val=&quot;009C2667&quot;/&gt;&lt;wsp:rsid wsp:val=&quot;009C27C5&quot;/&gt;&lt;wsp:rsid wsp:val=&quot;009C2A4A&quot;/&gt;&lt;wsp:rsid wsp:val=&quot;009C2AC7&quot;/&gt;&lt;wsp:rsid wsp:val=&quot;009C334B&quot;/&gt;&lt;wsp:rsid wsp:val=&quot;009C3406&quot;/&gt;&lt;wsp:rsid wsp:val=&quot;009C344E&quot;/&gt;&lt;wsp:rsid wsp:val=&quot;009C3691&quot;/&gt;&lt;wsp:rsid wsp:val=&quot;009C3983&quot;/&gt;&lt;wsp:rsid wsp:val=&quot;009C3BD8&quot;/&gt;&lt;wsp:rsid wsp:val=&quot;009C3C2E&quot;/&gt;&lt;wsp:rsid wsp:val=&quot;009C4187&quot;/&gt;&lt;wsp:rsid wsp:val=&quot;009C4246&quot;/&gt;&lt;wsp:rsid wsp:val=&quot;009C44D5&quot;/&gt;&lt;wsp:rsid wsp:val=&quot;009C4524&quot;/&gt;&lt;wsp:rsid wsp:val=&quot;009C465D&quot;/&gt;&lt;wsp:rsid wsp:val=&quot;009C47AA&quot;/&gt;&lt;wsp:rsid wsp:val=&quot;009C51E6&quot;/&gt;&lt;wsp:rsid wsp:val=&quot;009C524F&quot;/&gt;&lt;wsp:rsid wsp:val=&quot;009C53FD&quot;/&gt;&lt;wsp:rsid wsp:val=&quot;009C5756&quot;/&gt;&lt;wsp:rsid wsp:val=&quot;009C60B7&quot;/&gt;&lt;wsp:rsid wsp:val=&quot;009C691E&quot;/&gt;&lt;wsp:rsid wsp:val=&quot;009C6972&quot;/&gt;&lt;wsp:rsid wsp:val=&quot;009C6DCF&quot;/&gt;&lt;wsp:rsid wsp:val=&quot;009C6FFC&quot;/&gt;&lt;wsp:rsid wsp:val=&quot;009C70F0&quot;/&gt;&lt;wsp:rsid wsp:val=&quot;009C7554&quot;/&gt;&lt;wsp:rsid wsp:val=&quot;009C7BFD&quot;/&gt;&lt;wsp:rsid wsp:val=&quot;009C7C62&quot;/&gt;&lt;wsp:rsid wsp:val=&quot;009D031F&quot;/&gt;&lt;wsp:rsid wsp:val=&quot;009D0AFC&quot;/&gt;&lt;wsp:rsid wsp:val=&quot;009D107E&quot;/&gt;&lt;wsp:rsid wsp:val=&quot;009D1593&quot;/&gt;&lt;wsp:rsid wsp:val=&quot;009D17F4&quot;/&gt;&lt;wsp:rsid wsp:val=&quot;009D1C49&quot;/&gt;&lt;wsp:rsid wsp:val=&quot;009D25E3&quot;/&gt;&lt;wsp:rsid wsp:val=&quot;009D27DA&quot;/&gt;&lt;wsp:rsid wsp:val=&quot;009D2B44&quot;/&gt;&lt;wsp:rsid wsp:val=&quot;009D2BA2&quot;/&gt;&lt;wsp:rsid wsp:val=&quot;009D327A&quot;/&gt;&lt;wsp:rsid wsp:val=&quot;009D3573&quot;/&gt;&lt;wsp:rsid wsp:val=&quot;009D370B&quot;/&gt;&lt;wsp:rsid wsp:val=&quot;009D3B5D&quot;/&gt;&lt;wsp:rsid wsp:val=&quot;009D410A&quot;/&gt;&lt;wsp:rsid wsp:val=&quot;009D41F4&quot;/&gt;&lt;wsp:rsid wsp:val=&quot;009D436B&quot;/&gt;&lt;wsp:rsid wsp:val=&quot;009D44A7&quot;/&gt;&lt;wsp:rsid wsp:val=&quot;009D48F4&quot;/&gt;&lt;wsp:rsid wsp:val=&quot;009D4B68&quot;/&gt;&lt;wsp:rsid wsp:val=&quot;009D4BAC&quot;/&gt;&lt;wsp:rsid wsp:val=&quot;009D4DAB&quot;/&gt;&lt;wsp:rsid wsp:val=&quot;009D4E77&quot;/&gt;&lt;wsp:rsid wsp:val=&quot;009D515E&quot;/&gt;&lt;wsp:rsid wsp:val=&quot;009D5399&quot;/&gt;&lt;wsp:rsid wsp:val=&quot;009D5430&quot;/&gt;&lt;wsp:rsid wsp:val=&quot;009D55F5&quot;/&gt;&lt;wsp:rsid wsp:val=&quot;009D563E&quot;/&gt;&lt;wsp:rsid wsp:val=&quot;009D5698&quot;/&gt;&lt;wsp:rsid wsp:val=&quot;009D5699&quot;/&gt;&lt;wsp:rsid wsp:val=&quot;009D56DB&quot;/&gt;&lt;wsp:rsid wsp:val=&quot;009D588E&quot;/&gt;&lt;wsp:rsid wsp:val=&quot;009D59F6&quot;/&gt;&lt;wsp:rsid wsp:val=&quot;009D5DE0&quot;/&gt;&lt;wsp:rsid wsp:val=&quot;009D614B&quot;/&gt;&lt;wsp:rsid wsp:val=&quot;009D6362&quot;/&gt;&lt;wsp:rsid wsp:val=&quot;009D64FF&quot;/&gt;&lt;wsp:rsid wsp:val=&quot;009D657C&quot;/&gt;&lt;wsp:rsid wsp:val=&quot;009D6789&quot;/&gt;&lt;wsp:rsid wsp:val=&quot;009E0869&quot;/&gt;&lt;wsp:rsid wsp:val=&quot;009E08AF&quot;/&gt;&lt;wsp:rsid wsp:val=&quot;009E08B6&quot;/&gt;&lt;wsp:rsid wsp:val=&quot;009E0916&quot;/&gt;&lt;wsp:rsid wsp:val=&quot;009E09EB&quot;/&gt;&lt;wsp:rsid wsp:val=&quot;009E19CE&quot;/&gt;&lt;wsp:rsid wsp:val=&quot;009E1C87&quot;/&gt;&lt;wsp:rsid wsp:val=&quot;009E1EB4&quot;/&gt;&lt;wsp:rsid wsp:val=&quot;009E23FE&quot;/&gt;&lt;wsp:rsid wsp:val=&quot;009E24B2&quot;/&gt;&lt;wsp:rsid wsp:val=&quot;009E2535&quot;/&gt;&lt;wsp:rsid wsp:val=&quot;009E2952&quot;/&gt;&lt;wsp:rsid wsp:val=&quot;009E2F3B&quot;/&gt;&lt;wsp:rsid wsp:val=&quot;009E3489&quot;/&gt;&lt;wsp:rsid wsp:val=&quot;009E36FC&quot;/&gt;&lt;wsp:rsid wsp:val=&quot;009E3790&quot;/&gt;&lt;wsp:rsid wsp:val=&quot;009E37A4&quot;/&gt;&lt;wsp:rsid wsp:val=&quot;009E39BA&quot;/&gt;&lt;wsp:rsid wsp:val=&quot;009E3DA9&quot;/&gt;&lt;wsp:rsid wsp:val=&quot;009E4003&quot;/&gt;&lt;wsp:rsid wsp:val=&quot;009E44C7&quot;/&gt;&lt;wsp:rsid wsp:val=&quot;009E4755&quot;/&gt;&lt;wsp:rsid wsp:val=&quot;009E476A&quot;/&gt;&lt;wsp:rsid wsp:val=&quot;009E4C03&quot;/&gt;&lt;wsp:rsid wsp:val=&quot;009E4CBC&quot;/&gt;&lt;wsp:rsid wsp:val=&quot;009E4E0A&quot;/&gt;&lt;wsp:rsid wsp:val=&quot;009E4F5F&quot;/&gt;&lt;wsp:rsid wsp:val=&quot;009E5422&quot;/&gt;&lt;wsp:rsid wsp:val=&quot;009E5C5F&quot;/&gt;&lt;wsp:rsid wsp:val=&quot;009E5C63&quot;/&gt;&lt;wsp:rsid wsp:val=&quot;009E5F4E&quot;/&gt;&lt;wsp:rsid wsp:val=&quot;009E5F84&quot;/&gt;&lt;wsp:rsid wsp:val=&quot;009E60BB&quot;/&gt;&lt;wsp:rsid wsp:val=&quot;009E6E2A&quot;/&gt;&lt;wsp:rsid wsp:val=&quot;009E6FCB&quot;/&gt;&lt;wsp:rsid wsp:val=&quot;009E748F&quot;/&gt;&lt;wsp:rsid wsp:val=&quot;009E793B&quot;/&gt;&lt;wsp:rsid wsp:val=&quot;009F0068&quot;/&gt;&lt;wsp:rsid wsp:val=&quot;009F050D&quot;/&gt;&lt;wsp:rsid wsp:val=&quot;009F081E&quot;/&gt;&lt;wsp:rsid wsp:val=&quot;009F082A&quot;/&gt;&lt;wsp:rsid wsp:val=&quot;009F0AED&quot;/&gt;&lt;wsp:rsid wsp:val=&quot;009F0BEC&quot;/&gt;&lt;wsp:rsid wsp:val=&quot;009F0DB7&quot;/&gt;&lt;wsp:rsid wsp:val=&quot;009F1031&quot;/&gt;&lt;wsp:rsid wsp:val=&quot;009F11FF&quot;/&gt;&lt;wsp:rsid wsp:val=&quot;009F161A&quot;/&gt;&lt;wsp:rsid wsp:val=&quot;009F28D8&quot;/&gt;&lt;wsp:rsid wsp:val=&quot;009F2F21&quot;/&gt;&lt;wsp:rsid wsp:val=&quot;009F3125&quot;/&gt;&lt;wsp:rsid wsp:val=&quot;009F31B4&quot;/&gt;&lt;wsp:rsid wsp:val=&quot;009F3531&quot;/&gt;&lt;wsp:rsid wsp:val=&quot;009F359F&quot;/&gt;&lt;wsp:rsid wsp:val=&quot;009F40A7&quot;/&gt;&lt;wsp:rsid wsp:val=&quot;009F44B6&quot;/&gt;&lt;wsp:rsid wsp:val=&quot;009F4740&quot;/&gt;&lt;wsp:rsid wsp:val=&quot;009F543F&quot;/&gt;&lt;wsp:rsid wsp:val=&quot;009F5C36&quot;/&gt;&lt;wsp:rsid wsp:val=&quot;009F61A7&quot;/&gt;&lt;wsp:rsid wsp:val=&quot;009F645C&quot;/&gt;&lt;wsp:rsid wsp:val=&quot;009F710D&quot;/&gt;&lt;wsp:rsid wsp:val=&quot;009F7223&quot;/&gt;&lt;wsp:rsid wsp:val=&quot;009F7266&quot;/&gt;&lt;wsp:rsid wsp:val=&quot;009F7801&quot;/&gt;&lt;wsp:rsid wsp:val=&quot;009F79D5&quot;/&gt;&lt;wsp:rsid wsp:val=&quot;009F7ADA&quot;/&gt;&lt;wsp:rsid wsp:val=&quot;009F7AF1&quot;/&gt;&lt;wsp:rsid wsp:val=&quot;009F7C75&quot;/&gt;&lt;wsp:rsid wsp:val=&quot;00A0015F&quot;/&gt;&lt;wsp:rsid wsp:val=&quot;00A00164&quot;/&gt;&lt;wsp:rsid wsp:val=&quot;00A00A60&quot;/&gt;&lt;wsp:rsid wsp:val=&quot;00A00A6D&quot;/&gt;&lt;wsp:rsid wsp:val=&quot;00A00B83&quot;/&gt;&lt;wsp:rsid wsp:val=&quot;00A00CF3&quot;/&gt;&lt;wsp:rsid wsp:val=&quot;00A010A5&quot;/&gt;&lt;wsp:rsid wsp:val=&quot;00A014B8&quot;/&gt;&lt;wsp:rsid wsp:val=&quot;00A02150&quot;/&gt;&lt;wsp:rsid wsp:val=&quot;00A0276D&quot;/&gt;&lt;wsp:rsid wsp:val=&quot;00A02A8E&quot;/&gt;&lt;wsp:rsid wsp:val=&quot;00A02D00&quot;/&gt;&lt;wsp:rsid wsp:val=&quot;00A02D75&quot;/&gt;&lt;wsp:rsid wsp:val=&quot;00A0359A&quot;/&gt;&lt;wsp:rsid wsp:val=&quot;00A0370B&quot;/&gt;&lt;wsp:rsid wsp:val=&quot;00A037B6&quot;/&gt;&lt;wsp:rsid wsp:val=&quot;00A037E7&quot;/&gt;&lt;wsp:rsid wsp:val=&quot;00A03BB8&quot;/&gt;&lt;wsp:rsid wsp:val=&quot;00A03C50&quot;/&gt;&lt;wsp:rsid wsp:val=&quot;00A03D22&quot;/&gt;&lt;wsp:rsid wsp:val=&quot;00A0412A&quot;/&gt;&lt;wsp:rsid wsp:val=&quot;00A0436A&quot;/&gt;&lt;wsp:rsid wsp:val=&quot;00A0436F&quot;/&gt;&lt;wsp:rsid wsp:val=&quot;00A0459D&quot;/&gt;&lt;wsp:rsid wsp:val=&quot;00A04AEF&quot;/&gt;&lt;wsp:rsid wsp:val=&quot;00A04B39&quot;/&gt;&lt;wsp:rsid wsp:val=&quot;00A04E68&quot;/&gt;&lt;wsp:rsid wsp:val=&quot;00A04EB3&quot;/&gt;&lt;wsp:rsid wsp:val=&quot;00A050AF&quot;/&gt;&lt;wsp:rsid wsp:val=&quot;00A05951&quot;/&gt;&lt;wsp:rsid wsp:val=&quot;00A059A0&quot;/&gt;&lt;wsp:rsid wsp:val=&quot;00A05E6E&quot;/&gt;&lt;wsp:rsid wsp:val=&quot;00A061E1&quot;/&gt;&lt;wsp:rsid wsp:val=&quot;00A0670A&quot;/&gt;&lt;wsp:rsid wsp:val=&quot;00A06791&quot;/&gt;&lt;wsp:rsid wsp:val=&quot;00A06807&quot;/&gt;&lt;wsp:rsid wsp:val=&quot;00A068D1&quot;/&gt;&lt;wsp:rsid wsp:val=&quot;00A07420&quot;/&gt;&lt;wsp:rsid wsp:val=&quot;00A07458&quot;/&gt;&lt;wsp:rsid wsp:val=&quot;00A07785&quot;/&gt;&lt;wsp:rsid wsp:val=&quot;00A078ED&quot;/&gt;&lt;wsp:rsid wsp:val=&quot;00A07ACC&quot;/&gt;&lt;wsp:rsid wsp:val=&quot;00A07C90&quot;/&gt;&lt;wsp:rsid wsp:val=&quot;00A07E2E&quot;/&gt;&lt;wsp:rsid wsp:val=&quot;00A07EB9&quot;/&gt;&lt;wsp:rsid wsp:val=&quot;00A10C4A&quot;/&gt;&lt;wsp:rsid wsp:val=&quot;00A10D83&quot;/&gt;&lt;wsp:rsid wsp:val=&quot;00A11141&quot;/&gt;&lt;wsp:rsid wsp:val=&quot;00A11301&quot;/&gt;&lt;wsp:rsid wsp:val=&quot;00A1156A&quot;/&gt;&lt;wsp:rsid wsp:val=&quot;00A115E5&quot;/&gt;&lt;wsp:rsid wsp:val=&quot;00A11696&quot;/&gt;&lt;wsp:rsid wsp:val=&quot;00A11C22&quot;/&gt;&lt;wsp:rsid wsp:val=&quot;00A11D4B&quot;/&gt;&lt;wsp:rsid wsp:val=&quot;00A11EFB&quot;/&gt;&lt;wsp:rsid wsp:val=&quot;00A12097&quot;/&gt;&lt;wsp:rsid wsp:val=&quot;00A123F4&quot;/&gt;&lt;wsp:rsid wsp:val=&quot;00A12600&quot;/&gt;&lt;wsp:rsid wsp:val=&quot;00A12CE5&quot;/&gt;&lt;wsp:rsid wsp:val=&quot;00A13251&quot;/&gt;&lt;wsp:rsid wsp:val=&quot;00A1337A&quot;/&gt;&lt;wsp:rsid wsp:val=&quot;00A13517&quot;/&gt;&lt;wsp:rsid wsp:val=&quot;00A13605&quot;/&gt;&lt;wsp:rsid wsp:val=&quot;00A13BAB&quot;/&gt;&lt;wsp:rsid wsp:val=&quot;00A13F40&quot;/&gt;&lt;wsp:rsid wsp:val=&quot;00A14387&quot;/&gt;&lt;wsp:rsid wsp:val=&quot;00A147E7&quot;/&gt;&lt;wsp:rsid wsp:val=&quot;00A14915&quot;/&gt;&lt;wsp:rsid wsp:val=&quot;00A14B0D&quot;/&gt;&lt;wsp:rsid wsp:val=&quot;00A14BB7&quot;/&gt;&lt;wsp:rsid wsp:val=&quot;00A14BE0&quot;/&gt;&lt;wsp:rsid wsp:val=&quot;00A1502B&quot;/&gt;&lt;wsp:rsid wsp:val=&quot;00A1529E&quot;/&gt;&lt;wsp:rsid wsp:val=&quot;00A1546C&quot;/&gt;&lt;wsp:rsid wsp:val=&quot;00A15DDC&quot;/&gt;&lt;wsp:rsid wsp:val=&quot;00A15E3D&quot;/&gt;&lt;wsp:rsid wsp:val=&quot;00A15E97&quot;/&gt;&lt;wsp:rsid wsp:val=&quot;00A16237&quot;/&gt;&lt;wsp:rsid wsp:val=&quot;00A1639C&quot;/&gt;&lt;wsp:rsid wsp:val=&quot;00A16F02&quot;/&gt;&lt;wsp:rsid wsp:val=&quot;00A16F82&quot;/&gt;&lt;wsp:rsid wsp:val=&quot;00A201A5&quot;/&gt;&lt;wsp:rsid wsp:val=&quot;00A20A9A&quot;/&gt;&lt;wsp:rsid wsp:val=&quot;00A20AEF&quot;/&gt;&lt;wsp:rsid wsp:val=&quot;00A20BB5&quot;/&gt;&lt;wsp:rsid wsp:val=&quot;00A20FC0&quot;/&gt;&lt;wsp:rsid wsp:val=&quot;00A2143A&quot;/&gt;&lt;wsp:rsid wsp:val=&quot;00A21586&quot;/&gt;&lt;wsp:rsid wsp:val=&quot;00A2183A&quot;/&gt;&lt;wsp:rsid wsp:val=&quot;00A21C13&quot;/&gt;&lt;wsp:rsid wsp:val=&quot;00A21D2D&quot;/&gt;&lt;wsp:rsid wsp:val=&quot;00A22026&quot;/&gt;&lt;wsp:rsid wsp:val=&quot;00A221BE&quot;/&gt;&lt;wsp:rsid wsp:val=&quot;00A2252A&quot;/&gt;&lt;wsp:rsid wsp:val=&quot;00A22775&quot;/&gt;&lt;wsp:rsid wsp:val=&quot;00A22CDE&quot;/&gt;&lt;wsp:rsid wsp:val=&quot;00A22E09&quot;/&gt;&lt;wsp:rsid wsp:val=&quot;00A22E39&quot;/&gt;&lt;wsp:rsid wsp:val=&quot;00A23703&quot;/&gt;&lt;wsp:rsid wsp:val=&quot;00A23B5F&quot;/&gt;&lt;wsp:rsid wsp:val=&quot;00A23E00&quot;/&gt;&lt;wsp:rsid wsp:val=&quot;00A23FC2&quot;/&gt;&lt;wsp:rsid wsp:val=&quot;00A2452D&quot;/&gt;&lt;wsp:rsid wsp:val=&quot;00A245C6&quot;/&gt;&lt;wsp:rsid wsp:val=&quot;00A24688&quot;/&gt;&lt;wsp:rsid wsp:val=&quot;00A24C79&quot;/&gt;&lt;wsp:rsid wsp:val=&quot;00A24EDB&quot;/&gt;&lt;wsp:rsid wsp:val=&quot;00A250A2&quot;/&gt;&lt;wsp:rsid wsp:val=&quot;00A255AA&quot;/&gt;&lt;wsp:rsid wsp:val=&quot;00A262E6&quot;/&gt;&lt;wsp:rsid wsp:val=&quot;00A26390&quot;/&gt;&lt;wsp:rsid wsp:val=&quot;00A264DF&quot;/&gt;&lt;wsp:rsid wsp:val=&quot;00A2650C&quot;/&gt;&lt;wsp:rsid wsp:val=&quot;00A26786&quot;/&gt;&lt;wsp:rsid wsp:val=&quot;00A26C4A&quot;/&gt;&lt;wsp:rsid wsp:val=&quot;00A270DF&quot;/&gt;&lt;wsp:rsid wsp:val=&quot;00A301F0&quot;/&gt;&lt;wsp:rsid wsp:val=&quot;00A30BCF&quot;/&gt;&lt;wsp:rsid wsp:val=&quot;00A30FB2&quot;/&gt;&lt;wsp:rsid wsp:val=&quot;00A3108C&quot;/&gt;&lt;wsp:rsid wsp:val=&quot;00A31442&quot;/&gt;&lt;wsp:rsid wsp:val=&quot;00A31809&quot;/&gt;&lt;wsp:rsid wsp:val=&quot;00A31F89&quot;/&gt;&lt;wsp:rsid wsp:val=&quot;00A32115&quot;/&gt;&lt;wsp:rsid wsp:val=&quot;00A322EC&quot;/&gt;&lt;wsp:rsid wsp:val=&quot;00A324AE&quot;/&gt;&lt;wsp:rsid wsp:val=&quot;00A32841&quot;/&gt;&lt;wsp:rsid wsp:val=&quot;00A32A15&quot;/&gt;&lt;wsp:rsid wsp:val=&quot;00A32BE8&quot;/&gt;&lt;wsp:rsid wsp:val=&quot;00A32CAC&quot;/&gt;&lt;wsp:rsid wsp:val=&quot;00A3314C&quot;/&gt;&lt;wsp:rsid wsp:val=&quot;00A3324E&quot;/&gt;&lt;wsp:rsid wsp:val=&quot;00A332FD&quot;/&gt;&lt;wsp:rsid wsp:val=&quot;00A333B8&quot;/&gt;&lt;wsp:rsid wsp:val=&quot;00A337D7&quot;/&gt;&lt;wsp:rsid wsp:val=&quot;00A33C6E&quot;/&gt;&lt;wsp:rsid wsp:val=&quot;00A34811&quot;/&gt;&lt;wsp:rsid wsp:val=&quot;00A34BB4&quot;/&gt;&lt;wsp:rsid wsp:val=&quot;00A34F4A&quot;/&gt;&lt;wsp:rsid wsp:val=&quot;00A350C8&quot;/&gt;&lt;wsp:rsid wsp:val=&quot;00A3568C&quot;/&gt;&lt;wsp:rsid wsp:val=&quot;00A356E4&quot;/&gt;&lt;wsp:rsid wsp:val=&quot;00A35AB6&quot;/&gt;&lt;wsp:rsid wsp:val=&quot;00A35D03&quot;/&gt;&lt;wsp:rsid wsp:val=&quot;00A35EDA&quot;/&gt;&lt;wsp:rsid wsp:val=&quot;00A35F76&quot;/&gt;&lt;wsp:rsid wsp:val=&quot;00A360B4&quot;/&gt;&lt;wsp:rsid wsp:val=&quot;00A371A3&quot;/&gt;&lt;wsp:rsid wsp:val=&quot;00A3739B&quot;/&gt;&lt;wsp:rsid wsp:val=&quot;00A37572&quot;/&gt;&lt;wsp:rsid wsp:val=&quot;00A377E1&quot;/&gt;&lt;wsp:rsid wsp:val=&quot;00A378FC&quot;/&gt;&lt;wsp:rsid wsp:val=&quot;00A37A25&quot;/&gt;&lt;wsp:rsid wsp:val=&quot;00A37CC0&quot;/&gt;&lt;wsp:rsid wsp:val=&quot;00A37F0D&quot;/&gt;&lt;wsp:rsid wsp:val=&quot;00A40179&quot;/&gt;&lt;wsp:rsid wsp:val=&quot;00A40434&quot;/&gt;&lt;wsp:rsid wsp:val=&quot;00A4067B&quot;/&gt;&lt;wsp:rsid wsp:val=&quot;00A408C4&quot;/&gt;&lt;wsp:rsid wsp:val=&quot;00A40971&quot;/&gt;&lt;wsp:rsid wsp:val=&quot;00A40C5E&quot;/&gt;&lt;wsp:rsid wsp:val=&quot;00A412D1&quot;/&gt;&lt;wsp:rsid wsp:val=&quot;00A417D8&quot;/&gt;&lt;wsp:rsid wsp:val=&quot;00A421A1&quot;/&gt;&lt;wsp:rsid wsp:val=&quot;00A422F4&quot;/&gt;&lt;wsp:rsid wsp:val=&quot;00A424AD&quot;/&gt;&lt;wsp:rsid wsp:val=&quot;00A42986&quot;/&gt;&lt;wsp:rsid wsp:val=&quot;00A42990&quot;/&gt;&lt;wsp:rsid wsp:val=&quot;00A42D5A&quot;/&gt;&lt;wsp:rsid wsp:val=&quot;00A42D9C&quot;/&gt;&lt;wsp:rsid wsp:val=&quot;00A42ED6&quot;/&gt;&lt;wsp:rsid wsp:val=&quot;00A43250&quot;/&gt;&lt;wsp:rsid wsp:val=&quot;00A4359A&quot;/&gt;&lt;wsp:rsid wsp:val=&quot;00A43ADB&quot;/&gt;&lt;wsp:rsid wsp:val=&quot;00A43F1F&quot;/&gt;&lt;wsp:rsid wsp:val=&quot;00A4411D&quot;/&gt;&lt;wsp:rsid wsp:val=&quot;00A44251&quot;/&gt;&lt;wsp:rsid wsp:val=&quot;00A44413&quot;/&gt;&lt;wsp:rsid wsp:val=&quot;00A44464&quot;/&gt;&lt;wsp:rsid wsp:val=&quot;00A44498&quot;/&gt;&lt;wsp:rsid wsp:val=&quot;00A449BC&quot;/&gt;&lt;wsp:rsid wsp:val=&quot;00A44D4F&quot;/&gt;&lt;wsp:rsid wsp:val=&quot;00A454DE&quot;/&gt;&lt;wsp:rsid wsp:val=&quot;00A45595&quot;/&gt;&lt;wsp:rsid wsp:val=&quot;00A4641D&quot;/&gt;&lt;wsp:rsid wsp:val=&quot;00A46507&quot;/&gt;&lt;wsp:rsid wsp:val=&quot;00A46BD4&quot;/&gt;&lt;wsp:rsid wsp:val=&quot;00A46E2B&quot;/&gt;&lt;wsp:rsid wsp:val=&quot;00A477AB&quot;/&gt;&lt;wsp:rsid wsp:val=&quot;00A478F6&quot;/&gt;&lt;wsp:rsid wsp:val=&quot;00A4790F&quot;/&gt;&lt;wsp:rsid wsp:val=&quot;00A47B97&quot;/&gt;&lt;wsp:rsid wsp:val=&quot;00A47F48&quot;/&gt;&lt;wsp:rsid wsp:val=&quot;00A50537&quot;/&gt;&lt;wsp:rsid wsp:val=&quot;00A50D5A&quot;/&gt;&lt;wsp:rsid wsp:val=&quot;00A50DBF&quot;/&gt;&lt;wsp:rsid wsp:val=&quot;00A51714&quot;/&gt;&lt;wsp:rsid wsp:val=&quot;00A51CBE&quot;/&gt;&lt;wsp:rsid wsp:val=&quot;00A520F1&quot;/&gt;&lt;wsp:rsid wsp:val=&quot;00A52361&quot;/&gt;&lt;wsp:rsid wsp:val=&quot;00A524AC&quot;/&gt;&lt;wsp:rsid wsp:val=&quot;00A5272C&quot;/&gt;&lt;wsp:rsid wsp:val=&quot;00A537F3&quot;/&gt;&lt;wsp:rsid wsp:val=&quot;00A53827&quot;/&gt;&lt;wsp:rsid wsp:val=&quot;00A53E05&quot;/&gt;&lt;wsp:rsid wsp:val=&quot;00A5521C&quot;/&gt;&lt;wsp:rsid wsp:val=&quot;00A552DB&quot;/&gt;&lt;wsp:rsid wsp:val=&quot;00A5538C&quot;/&gt;&lt;wsp:rsid wsp:val=&quot;00A553D6&quot;/&gt;&lt;wsp:rsid wsp:val=&quot;00A55442&quot;/&gt;&lt;wsp:rsid wsp:val=&quot;00A55958&quot;/&gt;&lt;wsp:rsid wsp:val=&quot;00A55DB7&quot;/&gt;&lt;wsp:rsid wsp:val=&quot;00A55DFA&quot;/&gt;&lt;wsp:rsid wsp:val=&quot;00A560FB&quot;/&gt;&lt;wsp:rsid wsp:val=&quot;00A56330&quot;/&gt;&lt;wsp:rsid wsp:val=&quot;00A56B8C&quot;/&gt;&lt;wsp:rsid wsp:val=&quot;00A56CBE&quot;/&gt;&lt;wsp:rsid wsp:val=&quot;00A57500&quot;/&gt;&lt;wsp:rsid wsp:val=&quot;00A576A8&quot;/&gt;&lt;wsp:rsid wsp:val=&quot;00A57E26&quot;/&gt;&lt;wsp:rsid wsp:val=&quot;00A6007F&quot;/&gt;&lt;wsp:rsid wsp:val=&quot;00A60295&quot;/&gt;&lt;wsp:rsid wsp:val=&quot;00A6037F&quot;/&gt;&lt;wsp:rsid wsp:val=&quot;00A60502&quot;/&gt;&lt;wsp:rsid wsp:val=&quot;00A605FE&quot;/&gt;&lt;wsp:rsid wsp:val=&quot;00A608BC&quot;/&gt;&lt;wsp:rsid wsp:val=&quot;00A60AB0&quot;/&gt;&lt;wsp:rsid wsp:val=&quot;00A60AD1&quot;/&gt;&lt;wsp:rsid wsp:val=&quot;00A60C89&quot;/&gt;&lt;wsp:rsid wsp:val=&quot;00A60D27&quot;/&gt;&lt;wsp:rsid wsp:val=&quot;00A60EB9&quot;/&gt;&lt;wsp:rsid wsp:val=&quot;00A610C7&quot;/&gt;&lt;wsp:rsid wsp:val=&quot;00A619A8&quot;/&gt;&lt;wsp:rsid wsp:val=&quot;00A61C63&quot;/&gt;&lt;wsp:rsid wsp:val=&quot;00A61EBD&quot;/&gt;&lt;wsp:rsid wsp:val=&quot;00A6224D&quot;/&gt;&lt;wsp:rsid wsp:val=&quot;00A622D4&quot;/&gt;&lt;wsp:rsid wsp:val=&quot;00A62923&quot;/&gt;&lt;wsp:rsid wsp:val=&quot;00A62BB6&quot;/&gt;&lt;wsp:rsid wsp:val=&quot;00A62BE4&quot;/&gt;&lt;wsp:rsid wsp:val=&quot;00A62E08&quot;/&gt;&lt;wsp:rsid wsp:val=&quot;00A632FB&quot;/&gt;&lt;wsp:rsid wsp:val=&quot;00A639F9&quot;/&gt;&lt;wsp:rsid wsp:val=&quot;00A63D5A&quot;/&gt;&lt;wsp:rsid wsp:val=&quot;00A640A4&quot;/&gt;&lt;wsp:rsid wsp:val=&quot;00A64423&quot;/&gt;&lt;wsp:rsid wsp:val=&quot;00A644C9&quot;/&gt;&lt;wsp:rsid wsp:val=&quot;00A646A4&quot;/&gt;&lt;wsp:rsid wsp:val=&quot;00A64795&quot;/&gt;&lt;wsp:rsid wsp:val=&quot;00A647B3&quot;/&gt;&lt;wsp:rsid wsp:val=&quot;00A65234&quot;/&gt;&lt;wsp:rsid wsp:val=&quot;00A65390&quot;/&gt;&lt;wsp:rsid wsp:val=&quot;00A65748&quot;/&gt;&lt;wsp:rsid wsp:val=&quot;00A65A72&quot;/&gt;&lt;wsp:rsid wsp:val=&quot;00A65F15&quot;/&gt;&lt;wsp:rsid wsp:val=&quot;00A660B1&quot;/&gt;&lt;wsp:rsid wsp:val=&quot;00A66142&quot;/&gt;&lt;wsp:rsid wsp:val=&quot;00A662B4&quot;/&gt;&lt;wsp:rsid wsp:val=&quot;00A667D7&quot;/&gt;&lt;wsp:rsid wsp:val=&quot;00A667F1&quot;/&gt;&lt;wsp:rsid wsp:val=&quot;00A66F98&quot;/&gt;&lt;wsp:rsid wsp:val=&quot;00A67011&quot;/&gt;&lt;wsp:rsid wsp:val=&quot;00A673C4&quot;/&gt;&lt;wsp:rsid wsp:val=&quot;00A6759C&quot;/&gt;&lt;wsp:rsid wsp:val=&quot;00A67654&quot;/&gt;&lt;wsp:rsid wsp:val=&quot;00A705BB&quot;/&gt;&lt;wsp:rsid wsp:val=&quot;00A707E7&quot;/&gt;&lt;wsp:rsid wsp:val=&quot;00A70805&quot;/&gt;&lt;wsp:rsid wsp:val=&quot;00A70DD7&quot;/&gt;&lt;wsp:rsid wsp:val=&quot;00A70F3B&quot;/&gt;&lt;wsp:rsid wsp:val=&quot;00A71386&quot;/&gt;&lt;wsp:rsid wsp:val=&quot;00A7163D&quot;/&gt;&lt;wsp:rsid wsp:val=&quot;00A71D00&quot;/&gt;&lt;wsp:rsid wsp:val=&quot;00A72606&quot;/&gt;&lt;wsp:rsid wsp:val=&quot;00A72850&quot;/&gt;&lt;wsp:rsid wsp:val=&quot;00A72A4C&quot;/&gt;&lt;wsp:rsid wsp:val=&quot;00A72CDF&quot;/&gt;&lt;wsp:rsid wsp:val=&quot;00A733BE&quot;/&gt;&lt;wsp:rsid wsp:val=&quot;00A736E2&quot;/&gt;&lt;wsp:rsid wsp:val=&quot;00A7397C&quot;/&gt;&lt;wsp:rsid wsp:val=&quot;00A73DC1&quot;/&gt;&lt;wsp:rsid wsp:val=&quot;00A7499D&quot;/&gt;&lt;wsp:rsid wsp:val=&quot;00A74F71&quot;/&gt;&lt;wsp:rsid wsp:val=&quot;00A7542B&quot;/&gt;&lt;wsp:rsid wsp:val=&quot;00A75500&quot;/&gt;&lt;wsp:rsid wsp:val=&quot;00A7559E&quot;/&gt;&lt;wsp:rsid wsp:val=&quot;00A76B7F&quot;/&gt;&lt;wsp:rsid wsp:val=&quot;00A76D24&quot;/&gt;&lt;wsp:rsid wsp:val=&quot;00A76EC7&quot;/&gt;&lt;wsp:rsid wsp:val=&quot;00A772ED&quot;/&gt;&lt;wsp:rsid wsp:val=&quot;00A778A0&quot;/&gt;&lt;wsp:rsid wsp:val=&quot;00A77B70&quot;/&gt;&lt;wsp:rsid wsp:val=&quot;00A77C9D&quot;/&gt;&lt;wsp:rsid wsp:val=&quot;00A77CB3&quot;/&gt;&lt;wsp:rsid wsp:val=&quot;00A77F42&quot;/&gt;&lt;wsp:rsid wsp:val=&quot;00A8024D&quot;/&gt;&lt;wsp:rsid wsp:val=&quot;00A8057E&quot;/&gt;&lt;wsp:rsid wsp:val=&quot;00A8060D&quot;/&gt;&lt;wsp:rsid wsp:val=&quot;00A807F7&quot;/&gt;&lt;wsp:rsid wsp:val=&quot;00A80C0C&quot;/&gt;&lt;wsp:rsid wsp:val=&quot;00A814D1&quot;/&gt;&lt;wsp:rsid wsp:val=&quot;00A819BF&quot;/&gt;&lt;wsp:rsid wsp:val=&quot;00A81A03&quot;/&gt;&lt;wsp:rsid wsp:val=&quot;00A8254D&quot;/&gt;&lt;wsp:rsid wsp:val=&quot;00A82DE6&quot;/&gt;&lt;wsp:rsid wsp:val=&quot;00A82E80&quot;/&gt;&lt;wsp:rsid wsp:val=&quot;00A82F01&quot;/&gt;&lt;wsp:rsid wsp:val=&quot;00A83154&quot;/&gt;&lt;wsp:rsid wsp:val=&quot;00A83181&quot;/&gt;&lt;wsp:rsid wsp:val=&quot;00A834CF&quot;/&gt;&lt;wsp:rsid wsp:val=&quot;00A835B9&quot;/&gt;&lt;wsp:rsid wsp:val=&quot;00A8396E&quot;/&gt;&lt;wsp:rsid wsp:val=&quot;00A83A4C&quot;/&gt;&lt;wsp:rsid wsp:val=&quot;00A83B01&quot;/&gt;&lt;wsp:rsid wsp:val=&quot;00A83C9C&quot;/&gt;&lt;wsp:rsid wsp:val=&quot;00A83CE5&quot;/&gt;&lt;wsp:rsid wsp:val=&quot;00A848E7&quot;/&gt;&lt;wsp:rsid wsp:val=&quot;00A84A50&quot;/&gt;&lt;wsp:rsid wsp:val=&quot;00A84D4E&quot;/&gt;&lt;wsp:rsid wsp:val=&quot;00A84EA7&quot;/&gt;&lt;wsp:rsid wsp:val=&quot;00A84FBB&quot;/&gt;&lt;wsp:rsid wsp:val=&quot;00A857B0&quot;/&gt;&lt;wsp:rsid wsp:val=&quot;00A858B4&quot;/&gt;&lt;wsp:rsid wsp:val=&quot;00A858CE&quot;/&gt;&lt;wsp:rsid wsp:val=&quot;00A85A6B&quot;/&gt;&lt;wsp:rsid wsp:val=&quot;00A85C6D&quot;/&gt;&lt;wsp:rsid wsp:val=&quot;00A85CDB&quot;/&gt;&lt;wsp:rsid wsp:val=&quot;00A85CF8&quot;/&gt;&lt;wsp:rsid wsp:val=&quot;00A8612E&quot;/&gt;&lt;wsp:rsid wsp:val=&quot;00A861E0&quot;/&gt;&lt;wsp:rsid wsp:val=&quot;00A86753&quot;/&gt;&lt;wsp:rsid wsp:val=&quot;00A86A82&quot;/&gt;&lt;wsp:rsid wsp:val=&quot;00A87378&quot;/&gt;&lt;wsp:rsid wsp:val=&quot;00A873AF&quot;/&gt;&lt;wsp:rsid wsp:val=&quot;00A874D3&quot;/&gt;&lt;wsp:rsid wsp:val=&quot;00A875E2&quot;/&gt;&lt;wsp:rsid wsp:val=&quot;00A8794B&quot;/&gt;&lt;wsp:rsid wsp:val=&quot;00A90463&quot;/&gt;&lt;wsp:rsid wsp:val=&quot;00A905EE&quot;/&gt;&lt;wsp:rsid wsp:val=&quot;00A907B0&quot;/&gt;&lt;wsp:rsid wsp:val=&quot;00A90D1E&quot;/&gt;&lt;wsp:rsid wsp:val=&quot;00A90E71&quot;/&gt;&lt;wsp:rsid wsp:val=&quot;00A92000&quot;/&gt;&lt;wsp:rsid wsp:val=&quot;00A92327&quot;/&gt;&lt;wsp:rsid wsp:val=&quot;00A9244E&quot;/&gt;&lt;wsp:rsid wsp:val=&quot;00A9258B&quot;/&gt;&lt;wsp:rsid wsp:val=&quot;00A92C5A&quot;/&gt;&lt;wsp:rsid wsp:val=&quot;00A92DAC&quot;/&gt;&lt;wsp:rsid wsp:val=&quot;00A931B5&quot;/&gt;&lt;wsp:rsid wsp:val=&quot;00A93486&quot;/&gt;&lt;wsp:rsid wsp:val=&quot;00A934CE&quot;/&gt;&lt;wsp:rsid wsp:val=&quot;00A934FF&quot;/&gt;&lt;wsp:rsid wsp:val=&quot;00A93513&quot;/&gt;&lt;wsp:rsid wsp:val=&quot;00A938BA&quot;/&gt;&lt;wsp:rsid wsp:val=&quot;00A94201&quot;/&gt;&lt;wsp:rsid wsp:val=&quot;00A94818&quot;/&gt;&lt;wsp:rsid wsp:val=&quot;00A94A51&quot;/&gt;&lt;wsp:rsid wsp:val=&quot;00A94D69&quot;/&gt;&lt;wsp:rsid wsp:val=&quot;00A94E11&quot;/&gt;&lt;wsp:rsid wsp:val=&quot;00A95889&quot;/&gt;&lt;wsp:rsid wsp:val=&quot;00A958B6&quot;/&gt;&lt;wsp:rsid wsp:val=&quot;00A95B95&quot;/&gt;&lt;wsp:rsid wsp:val=&quot;00A95C67&quot;/&gt;&lt;wsp:rsid wsp:val=&quot;00A95D74&quot;/&gt;&lt;wsp:rsid wsp:val=&quot;00A95DB4&quot;/&gt;&lt;wsp:rsid wsp:val=&quot;00A962BC&quot;/&gt;&lt;wsp:rsid wsp:val=&quot;00A964F3&quot;/&gt;&lt;wsp:rsid wsp:val=&quot;00A96717&quot;/&gt;&lt;wsp:rsid wsp:val=&quot;00A96E11&quot;/&gt;&lt;wsp:rsid wsp:val=&quot;00A96E51&quot;/&gt;&lt;wsp:rsid wsp:val=&quot;00A96EFB&quot;/&gt;&lt;wsp:rsid wsp:val=&quot;00A96F2A&quot;/&gt;&lt;wsp:rsid wsp:val=&quot;00A96F69&quot;/&gt;&lt;wsp:rsid wsp:val=&quot;00A972F0&quot;/&gt;&lt;wsp:rsid wsp:val=&quot;00A974A9&quot;/&gt;&lt;wsp:rsid wsp:val=&quot;00A97685&quot;/&gt;&lt;wsp:rsid wsp:val=&quot;00A97755&quot;/&gt;&lt;wsp:rsid wsp:val=&quot;00A97F06&quot;/&gt;&lt;wsp:rsid wsp:val=&quot;00AA02D7&quot;/&gt;&lt;wsp:rsid wsp:val=&quot;00AA07DD&quot;/&gt;&lt;wsp:rsid wsp:val=&quot;00AA1111&quot;/&gt;&lt;wsp:rsid wsp:val=&quot;00AA1117&quot;/&gt;&lt;wsp:rsid wsp:val=&quot;00AA1439&quot;/&gt;&lt;wsp:rsid wsp:val=&quot;00AA16CE&quot;/&gt;&lt;wsp:rsid wsp:val=&quot;00AA1780&quot;/&gt;&lt;wsp:rsid wsp:val=&quot;00AA1CD8&quot;/&gt;&lt;wsp:rsid wsp:val=&quot;00AA238F&quot;/&gt;&lt;wsp:rsid wsp:val=&quot;00AA2DA8&quot;/&gt;&lt;wsp:rsid wsp:val=&quot;00AA3037&quot;/&gt;&lt;wsp:rsid wsp:val=&quot;00AA30D6&quot;/&gt;&lt;wsp:rsid wsp:val=&quot;00AA3552&quot;/&gt;&lt;wsp:rsid wsp:val=&quot;00AA3905&quot;/&gt;&lt;wsp:rsid wsp:val=&quot;00AA3C12&quot;/&gt;&lt;wsp:rsid wsp:val=&quot;00AA4E2A&quot;/&gt;&lt;wsp:rsid wsp:val=&quot;00AA5A90&quot;/&gt;&lt;wsp:rsid wsp:val=&quot;00AA69F4&quot;/&gt;&lt;wsp:rsid wsp:val=&quot;00AA69F6&quot;/&gt;&lt;wsp:rsid wsp:val=&quot;00AA6D97&quot;/&gt;&lt;wsp:rsid wsp:val=&quot;00AA710A&quot;/&gt;&lt;wsp:rsid wsp:val=&quot;00AA74F6&quot;/&gt;&lt;wsp:rsid wsp:val=&quot;00AA78BC&quot;/&gt;&lt;wsp:rsid wsp:val=&quot;00AB0325&quot;/&gt;&lt;wsp:rsid wsp:val=&quot;00AB0392&quot;/&gt;&lt;wsp:rsid wsp:val=&quot;00AB0838&quot;/&gt;&lt;wsp:rsid wsp:val=&quot;00AB0BDC&quot;/&gt;&lt;wsp:rsid wsp:val=&quot;00AB0DAE&quot;/&gt;&lt;wsp:rsid wsp:val=&quot;00AB0E9F&quot;/&gt;&lt;wsp:rsid wsp:val=&quot;00AB119E&quot;/&gt;&lt;wsp:rsid wsp:val=&quot;00AB159B&quot;/&gt;&lt;wsp:rsid wsp:val=&quot;00AB15F8&quot;/&gt;&lt;wsp:rsid wsp:val=&quot;00AB1745&quot;/&gt;&lt;wsp:rsid wsp:val=&quot;00AB2AD3&quot;/&gt;&lt;wsp:rsid wsp:val=&quot;00AB2CFC&quot;/&gt;&lt;wsp:rsid wsp:val=&quot;00AB31CC&quot;/&gt;&lt;wsp:rsid wsp:val=&quot;00AB3470&quot;/&gt;&lt;wsp:rsid wsp:val=&quot;00AB3511&quot;/&gt;&lt;wsp:rsid wsp:val=&quot;00AB396E&quot;/&gt;&lt;wsp:rsid wsp:val=&quot;00AB39DC&quot;/&gt;&lt;wsp:rsid wsp:val=&quot;00AB3D12&quot;/&gt;&lt;wsp:rsid wsp:val=&quot;00AB41D2&quot;/&gt;&lt;wsp:rsid wsp:val=&quot;00AB423A&quot;/&gt;&lt;wsp:rsid wsp:val=&quot;00AB4264&quot;/&gt;&lt;wsp:rsid wsp:val=&quot;00AB42E1&quot;/&gt;&lt;wsp:rsid wsp:val=&quot;00AB4C94&quot;/&gt;&lt;wsp:rsid wsp:val=&quot;00AB5175&quot;/&gt;&lt;wsp:rsid wsp:val=&quot;00AB5802&quot;/&gt;&lt;wsp:rsid wsp:val=&quot;00AB5921&quot;/&gt;&lt;wsp:rsid wsp:val=&quot;00AB60FE&quot;/&gt;&lt;wsp:rsid wsp:val=&quot;00AB6366&quot;/&gt;&lt;wsp:rsid wsp:val=&quot;00AB6415&quot;/&gt;&lt;wsp:rsid wsp:val=&quot;00AB6C21&quot;/&gt;&lt;wsp:rsid wsp:val=&quot;00AB6E89&quot;/&gt;&lt;wsp:rsid wsp:val=&quot;00AB6EC1&quot;/&gt;&lt;wsp:rsid wsp:val=&quot;00AB7713&quot;/&gt;&lt;wsp:rsid wsp:val=&quot;00AB7BB5&quot;/&gt;&lt;wsp:rsid wsp:val=&quot;00AB7C12&quot;/&gt;&lt;wsp:rsid wsp:val=&quot;00AB7F7B&quot;/&gt;&lt;wsp:rsid wsp:val=&quot;00AB7F7E&quot;/&gt;&lt;wsp:rsid wsp:val=&quot;00AC10C2&quot;/&gt;&lt;wsp:rsid wsp:val=&quot;00AC155A&quot;/&gt;&lt;wsp:rsid wsp:val=&quot;00AC1683&quot;/&gt;&lt;wsp:rsid wsp:val=&quot;00AC16F7&quot;/&gt;&lt;wsp:rsid wsp:val=&quot;00AC17A1&quot;/&gt;&lt;wsp:rsid wsp:val=&quot;00AC1B5C&quot;/&gt;&lt;wsp:rsid wsp:val=&quot;00AC1CC2&quot;/&gt;&lt;wsp:rsid wsp:val=&quot;00AC1F45&quot;/&gt;&lt;wsp:rsid wsp:val=&quot;00AC2587&quot;/&gt;&lt;wsp:rsid wsp:val=&quot;00AC277F&quot;/&gt;&lt;wsp:rsid wsp:val=&quot;00AC2900&quot;/&gt;&lt;wsp:rsid wsp:val=&quot;00AC2BD1&quot;/&gt;&lt;wsp:rsid wsp:val=&quot;00AC311F&quot;/&gt;&lt;wsp:rsid wsp:val=&quot;00AC31CF&quot;/&gt;&lt;wsp:rsid wsp:val=&quot;00AC3360&quot;/&gt;&lt;wsp:rsid wsp:val=&quot;00AC34D5&quot;/&gt;&lt;wsp:rsid wsp:val=&quot;00AC3639&quot;/&gt;&lt;wsp:rsid wsp:val=&quot;00AC37A9&quot;/&gt;&lt;wsp:rsid wsp:val=&quot;00AC3BCF&quot;/&gt;&lt;wsp:rsid wsp:val=&quot;00AC44CF&quot;/&gt;&lt;wsp:rsid wsp:val=&quot;00AC470C&quot;/&gt;&lt;wsp:rsid wsp:val=&quot;00AC477F&quot;/&gt;&lt;wsp:rsid wsp:val=&quot;00AC4B48&quot;/&gt;&lt;wsp:rsid wsp:val=&quot;00AC5228&quot;/&gt;&lt;wsp:rsid wsp:val=&quot;00AC538B&quot;/&gt;&lt;wsp:rsid wsp:val=&quot;00AC5614&quot;/&gt;&lt;wsp:rsid wsp:val=&quot;00AC5948&quot;/&gt;&lt;wsp:rsid wsp:val=&quot;00AC6000&quot;/&gt;&lt;wsp:rsid wsp:val=&quot;00AC614E&quot;/&gt;&lt;wsp:rsid wsp:val=&quot;00AC64A7&quot;/&gt;&lt;wsp:rsid wsp:val=&quot;00AC64A8&quot;/&gt;&lt;wsp:rsid wsp:val=&quot;00AC6A43&quot;/&gt;&lt;wsp:rsid wsp:val=&quot;00AC7298&quot;/&gt;&lt;wsp:rsid wsp:val=&quot;00AC7DEA&quot;/&gt;&lt;wsp:rsid wsp:val=&quot;00AC7EBE&quot;/&gt;&lt;wsp:rsid wsp:val=&quot;00AC7FA8&quot;/&gt;&lt;wsp:rsid wsp:val=&quot;00AD0737&quot;/&gt;&lt;wsp:rsid wsp:val=&quot;00AD0CAE&quot;/&gt;&lt;wsp:rsid wsp:val=&quot;00AD0D2E&quot;/&gt;&lt;wsp:rsid wsp:val=&quot;00AD0D6A&quot;/&gt;&lt;wsp:rsid wsp:val=&quot;00AD11E3&quot;/&gt;&lt;wsp:rsid wsp:val=&quot;00AD1A22&quot;/&gt;&lt;wsp:rsid wsp:val=&quot;00AD1EF8&quot;/&gt;&lt;wsp:rsid wsp:val=&quot;00AD2478&quot;/&gt;&lt;wsp:rsid wsp:val=&quot;00AD2585&quot;/&gt;&lt;wsp:rsid wsp:val=&quot;00AD2A93&quot;/&gt;&lt;wsp:rsid wsp:val=&quot;00AD2CA4&quot;/&gt;&lt;wsp:rsid wsp:val=&quot;00AD2D8D&quot;/&gt;&lt;wsp:rsid wsp:val=&quot;00AD315A&quot;/&gt;&lt;wsp:rsid wsp:val=&quot;00AD31E7&quot;/&gt;&lt;wsp:rsid wsp:val=&quot;00AD3A61&quot;/&gt;&lt;wsp:rsid wsp:val=&quot;00AD3C6B&quot;/&gt;&lt;wsp:rsid wsp:val=&quot;00AD4059&quot;/&gt;&lt;wsp:rsid wsp:val=&quot;00AD4584&quot;/&gt;&lt;wsp:rsid wsp:val=&quot;00AD4671&quot;/&gt;&lt;wsp:rsid wsp:val=&quot;00AD49B0&quot;/&gt;&lt;wsp:rsid wsp:val=&quot;00AD4D0D&quot;/&gt;&lt;wsp:rsid wsp:val=&quot;00AD5248&quot;/&gt;&lt;wsp:rsid wsp:val=&quot;00AD596A&quot;/&gt;&lt;wsp:rsid wsp:val=&quot;00AD659D&quot;/&gt;&lt;wsp:rsid wsp:val=&quot;00AD7350&quot;/&gt;&lt;wsp:rsid wsp:val=&quot;00AD74FD&quot;/&gt;&lt;wsp:rsid wsp:val=&quot;00AE004E&quot;/&gt;&lt;wsp:rsid wsp:val=&quot;00AE063B&quot;/&gt;&lt;wsp:rsid wsp:val=&quot;00AE0C85&quot;/&gt;&lt;wsp:rsid wsp:val=&quot;00AE0E08&quot;/&gt;&lt;wsp:rsid wsp:val=&quot;00AE0FD9&quot;/&gt;&lt;wsp:rsid wsp:val=&quot;00AE106C&quot;/&gt;&lt;wsp:rsid wsp:val=&quot;00AE18CB&quot;/&gt;&lt;wsp:rsid wsp:val=&quot;00AE1D2B&quot;/&gt;&lt;wsp:rsid wsp:val=&quot;00AE1F2D&quot;/&gt;&lt;wsp:rsid wsp:val=&quot;00AE2D52&quot;/&gt;&lt;wsp:rsid wsp:val=&quot;00AE3073&quot;/&gt;&lt;wsp:rsid wsp:val=&quot;00AE364F&quot;/&gt;&lt;wsp:rsid wsp:val=&quot;00AE3805&quot;/&gt;&lt;wsp:rsid wsp:val=&quot;00AE3AD8&quot;/&gt;&lt;wsp:rsid wsp:val=&quot;00AE3C5F&quot;/&gt;&lt;wsp:rsid wsp:val=&quot;00AE3EDB&quot;/&gt;&lt;wsp:rsid wsp:val=&quot;00AE431A&quot;/&gt;&lt;wsp:rsid wsp:val=&quot;00AE4593&quot;/&gt;&lt;wsp:rsid wsp:val=&quot;00AE4BC8&quot;/&gt;&lt;wsp:rsid wsp:val=&quot;00AE50F3&quot;/&gt;&lt;wsp:rsid wsp:val=&quot;00AE53A4&quot;/&gt;&lt;wsp:rsid wsp:val=&quot;00AE5869&quot;/&gt;&lt;wsp:rsid wsp:val=&quot;00AE5892&quot;/&gt;&lt;wsp:rsid wsp:val=&quot;00AE5C86&quot;/&gt;&lt;wsp:rsid wsp:val=&quot;00AE5EBB&quot;/&gt;&lt;wsp:rsid wsp:val=&quot;00AE6507&quot;/&gt;&lt;wsp:rsid wsp:val=&quot;00AE650A&quot;/&gt;&lt;wsp:rsid wsp:val=&quot;00AE6A0C&quot;/&gt;&lt;wsp:rsid wsp:val=&quot;00AE6CF7&quot;/&gt;&lt;wsp:rsid wsp:val=&quot;00AE6EF1&quot;/&gt;&lt;wsp:rsid wsp:val=&quot;00AE7076&quot;/&gt;&lt;wsp:rsid wsp:val=&quot;00AE740D&quot;/&gt;&lt;wsp:rsid wsp:val=&quot;00AE7468&quot;/&gt;&lt;wsp:rsid wsp:val=&quot;00AE7A36&quot;/&gt;&lt;wsp:rsid wsp:val=&quot;00AF006B&quot;/&gt;&lt;wsp:rsid wsp:val=&quot;00AF0407&quot;/&gt;&lt;wsp:rsid wsp:val=&quot;00AF0B39&quot;/&gt;&lt;wsp:rsid wsp:val=&quot;00AF0B6B&quot;/&gt;&lt;wsp:rsid wsp:val=&quot;00AF0C28&quot;/&gt;&lt;wsp:rsid wsp:val=&quot;00AF179D&quot;/&gt;&lt;wsp:rsid wsp:val=&quot;00AF1942&quot;/&gt;&lt;wsp:rsid wsp:val=&quot;00AF1C34&quot;/&gt;&lt;wsp:rsid wsp:val=&quot;00AF200E&quot;/&gt;&lt;wsp:rsid wsp:val=&quot;00AF2333&quot;/&gt;&lt;wsp:rsid wsp:val=&quot;00AF2465&quot;/&gt;&lt;wsp:rsid wsp:val=&quot;00AF2467&quot;/&gt;&lt;wsp:rsid wsp:val=&quot;00AF28B0&quot;/&gt;&lt;wsp:rsid wsp:val=&quot;00AF2C26&quot;/&gt;&lt;wsp:rsid wsp:val=&quot;00AF3B5A&quot;/&gt;&lt;wsp:rsid wsp:val=&quot;00AF3F43&quot;/&gt;&lt;wsp:rsid wsp:val=&quot;00AF3F47&quot;/&gt;&lt;wsp:rsid wsp:val=&quot;00AF44F3&quot;/&gt;&lt;wsp:rsid wsp:val=&quot;00AF4F86&quot;/&gt;&lt;wsp:rsid wsp:val=&quot;00AF585A&quot;/&gt;&lt;wsp:rsid wsp:val=&quot;00AF5E93&quot;/&gt;&lt;wsp:rsid wsp:val=&quot;00AF5EBF&quot;/&gt;&lt;wsp:rsid wsp:val=&quot;00AF5F7E&quot;/&gt;&lt;wsp:rsid wsp:val=&quot;00AF5FE3&quot;/&gt;&lt;wsp:rsid wsp:val=&quot;00AF61A6&quot;/&gt;&lt;wsp:rsid wsp:val=&quot;00AF61D1&quot;/&gt;&lt;wsp:rsid wsp:val=&quot;00AF632A&quot;/&gt;&lt;wsp:rsid wsp:val=&quot;00AF64D4&quot;/&gt;&lt;wsp:rsid wsp:val=&quot;00AF6699&quot;/&gt;&lt;wsp:rsid wsp:val=&quot;00AF6711&quot;/&gt;&lt;wsp:rsid wsp:val=&quot;00AF69F1&quot;/&gt;&lt;wsp:rsid wsp:val=&quot;00AF6A53&quot;/&gt;&lt;wsp:rsid wsp:val=&quot;00AF6AC5&quot;/&gt;&lt;wsp:rsid wsp:val=&quot;00AF6BF5&quot;/&gt;&lt;wsp:rsid wsp:val=&quot;00AF72DA&quot;/&gt;&lt;wsp:rsid wsp:val=&quot;00AF760D&quot;/&gt;&lt;wsp:rsid wsp:val=&quot;00AF77A1&quot;/&gt;&lt;wsp:rsid wsp:val=&quot;00AF7A53&quot;/&gt;&lt;wsp:rsid wsp:val=&quot;00AF7BD5&quot;/&gt;&lt;wsp:rsid wsp:val=&quot;00B00241&quot;/&gt;&lt;wsp:rsid wsp:val=&quot;00B007AB&quot;/&gt;&lt;wsp:rsid wsp:val=&quot;00B00960&quot;/&gt;&lt;wsp:rsid wsp:val=&quot;00B01A83&quot;/&gt;&lt;wsp:rsid wsp:val=&quot;00B01E12&quot;/&gt;&lt;wsp:rsid wsp:val=&quot;00B022A9&quot;/&gt;&lt;wsp:rsid wsp:val=&quot;00B022DF&quot;/&gt;&lt;wsp:rsid wsp:val=&quot;00B0232D&quot;/&gt;&lt;wsp:rsid wsp:val=&quot;00B0253B&quot;/&gt;&lt;wsp:rsid wsp:val=&quot;00B02660&quot;/&gt;&lt;wsp:rsid wsp:val=&quot;00B02A9B&quot;/&gt;&lt;wsp:rsid wsp:val=&quot;00B02FD4&quot;/&gt;&lt;wsp:rsid wsp:val=&quot;00B030BE&quot;/&gt;&lt;wsp:rsid wsp:val=&quot;00B030E8&quot;/&gt;&lt;wsp:rsid wsp:val=&quot;00B03151&quot;/&gt;&lt;wsp:rsid wsp:val=&quot;00B03307&quot;/&gt;&lt;wsp:rsid wsp:val=&quot;00B042DE&quot;/&gt;&lt;wsp:rsid wsp:val=&quot;00B0466E&quot;/&gt;&lt;wsp:rsid wsp:val=&quot;00B04A02&quot;/&gt;&lt;wsp:rsid wsp:val=&quot;00B04B59&quot;/&gt;&lt;wsp:rsid wsp:val=&quot;00B04B89&quot;/&gt;&lt;wsp:rsid wsp:val=&quot;00B04F51&quot;/&gt;&lt;wsp:rsid wsp:val=&quot;00B0503D&quot;/&gt;&lt;wsp:rsid wsp:val=&quot;00B0522A&quot;/&gt;&lt;wsp:rsid wsp:val=&quot;00B056A6&quot;/&gt;&lt;wsp:rsid wsp:val=&quot;00B0591F&quot;/&gt;&lt;wsp:rsid wsp:val=&quot;00B05B34&quot;/&gt;&lt;wsp:rsid wsp:val=&quot;00B05C0B&quot;/&gt;&lt;wsp:rsid wsp:val=&quot;00B05EDB&quot;/&gt;&lt;wsp:rsid wsp:val=&quot;00B0654B&quot;/&gt;&lt;wsp:rsid wsp:val=&quot;00B06608&quot;/&gt;&lt;wsp:rsid wsp:val=&quot;00B06A19&quot;/&gt;&lt;wsp:rsid wsp:val=&quot;00B06B16&quot;/&gt;&lt;wsp:rsid wsp:val=&quot;00B074C8&quot;/&gt;&lt;wsp:rsid wsp:val=&quot;00B07852&quot;/&gt;&lt;wsp:rsid wsp:val=&quot;00B10230&quot;/&gt;&lt;wsp:rsid wsp:val=&quot;00B10414&quot;/&gt;&lt;wsp:rsid wsp:val=&quot;00B10667&quot;/&gt;&lt;wsp:rsid wsp:val=&quot;00B10753&quot;/&gt;&lt;wsp:rsid wsp:val=&quot;00B10A39&quot;/&gt;&lt;wsp:rsid wsp:val=&quot;00B10F06&quot;/&gt;&lt;wsp:rsid wsp:val=&quot;00B11031&quot;/&gt;&lt;wsp:rsid wsp:val=&quot;00B112B6&quot;/&gt;&lt;wsp:rsid wsp:val=&quot;00B11F2A&quot;/&gt;&lt;wsp:rsid wsp:val=&quot;00B1218E&quot;/&gt;&lt;wsp:rsid wsp:val=&quot;00B12276&quot;/&gt;&lt;wsp:rsid wsp:val=&quot;00B123FB&quot;/&gt;&lt;wsp:rsid wsp:val=&quot;00B12432&quot;/&gt;&lt;wsp:rsid wsp:val=&quot;00B125E8&quot;/&gt;&lt;wsp:rsid wsp:val=&quot;00B1317F&quot;/&gt;&lt;wsp:rsid wsp:val=&quot;00B13473&quot;/&gt;&lt;wsp:rsid wsp:val=&quot;00B134AC&quot;/&gt;&lt;wsp:rsid wsp:val=&quot;00B13891&quot;/&gt;&lt;wsp:rsid wsp:val=&quot;00B13DCD&quot;/&gt;&lt;wsp:rsid wsp:val=&quot;00B13DFC&quot;/&gt;&lt;wsp:rsid wsp:val=&quot;00B143FA&quot;/&gt;&lt;wsp:rsid wsp:val=&quot;00B1449A&quot;/&gt;&lt;wsp:rsid wsp:val=&quot;00B145B4&quot;/&gt;&lt;wsp:rsid wsp:val=&quot;00B1462B&quot;/&gt;&lt;wsp:rsid wsp:val=&quot;00B14959&quot;/&gt;&lt;wsp:rsid wsp:val=&quot;00B14D4D&quot;/&gt;&lt;wsp:rsid wsp:val=&quot;00B14E3A&quot;/&gt;&lt;wsp:rsid wsp:val=&quot;00B14E77&quot;/&gt;&lt;wsp:rsid wsp:val=&quot;00B152BF&quot;/&gt;&lt;wsp:rsid wsp:val=&quot;00B15332&quot;/&gt;&lt;wsp:rsid wsp:val=&quot;00B15491&quot;/&gt;&lt;wsp:rsid wsp:val=&quot;00B159F7&quot;/&gt;&lt;wsp:rsid wsp:val=&quot;00B15A9A&quot;/&gt;&lt;wsp:rsid wsp:val=&quot;00B16053&quot;/&gt;&lt;wsp:rsid wsp:val=&quot;00B163F0&quot;/&gt;&lt;wsp:rsid wsp:val=&quot;00B1682B&quot;/&gt;&lt;wsp:rsid wsp:val=&quot;00B16AE9&quot;/&gt;&lt;wsp:rsid wsp:val=&quot;00B16EF8&quot;/&gt;&lt;wsp:rsid wsp:val=&quot;00B16F20&quot;/&gt;&lt;wsp:rsid wsp:val=&quot;00B1705A&quot;/&gt;&lt;wsp:rsid wsp:val=&quot;00B17308&quot;/&gt;&lt;wsp:rsid wsp:val=&quot;00B17366&quot;/&gt;&lt;wsp:rsid wsp:val=&quot;00B2008F&quot;/&gt;&lt;wsp:rsid wsp:val=&quot;00B201A3&quot;/&gt;&lt;wsp:rsid wsp:val=&quot;00B20239&quot;/&gt;&lt;wsp:rsid wsp:val=&quot;00B2079D&quot;/&gt;&lt;wsp:rsid wsp:val=&quot;00B20912&quot;/&gt;&lt;wsp:rsid wsp:val=&quot;00B20AFC&quot;/&gt;&lt;wsp:rsid wsp:val=&quot;00B20E80&quot;/&gt;&lt;wsp:rsid wsp:val=&quot;00B20F4E&quot;/&gt;&lt;wsp:rsid wsp:val=&quot;00B21345&quot;/&gt;&lt;wsp:rsid wsp:val=&quot;00B21803&quot;/&gt;&lt;wsp:rsid wsp:val=&quot;00B21E59&quot;/&gt;&lt;wsp:rsid wsp:val=&quot;00B21FA2&quot;/&gt;&lt;wsp:rsid wsp:val=&quot;00B2248A&quot;/&gt;&lt;wsp:rsid wsp:val=&quot;00B2269D&quot;/&gt;&lt;wsp:rsid wsp:val=&quot;00B228F9&quot;/&gt;&lt;wsp:rsid wsp:val=&quot;00B22DCB&quot;/&gt;&lt;wsp:rsid wsp:val=&quot;00B232CE&quot;/&gt;&lt;wsp:rsid wsp:val=&quot;00B23883&quot;/&gt;&lt;wsp:rsid wsp:val=&quot;00B23AC1&quot;/&gt;&lt;wsp:rsid wsp:val=&quot;00B23B62&quot;/&gt;&lt;wsp:rsid wsp:val=&quot;00B241D6&quot;/&gt;&lt;wsp:rsid wsp:val=&quot;00B243B5&quot;/&gt;&lt;wsp:rsid wsp:val=&quot;00B2485D&quot;/&gt;&lt;wsp:rsid wsp:val=&quot;00B24871&quot;/&gt;&lt;wsp:rsid wsp:val=&quot;00B24A2D&quot;/&gt;&lt;wsp:rsid wsp:val=&quot;00B24ED5&quot;/&gt;&lt;wsp:rsid wsp:val=&quot;00B25597&quot;/&gt;&lt;wsp:rsid wsp:val=&quot;00B25814&quot;/&gt;&lt;wsp:rsid wsp:val=&quot;00B259E3&quot;/&gt;&lt;wsp:rsid wsp:val=&quot;00B25B2F&quot;/&gt;&lt;wsp:rsid wsp:val=&quot;00B260A5&quot;/&gt;&lt;wsp:rsid wsp:val=&quot;00B2672F&quot;/&gt;&lt;wsp:rsid wsp:val=&quot;00B26864&quot;/&gt;&lt;wsp:rsid wsp:val=&quot;00B268F8&quot;/&gt;&lt;wsp:rsid wsp:val=&quot;00B268FD&quot;/&gt;&lt;wsp:rsid wsp:val=&quot;00B2693A&quot;/&gt;&lt;wsp:rsid wsp:val=&quot;00B2695F&quot;/&gt;&lt;wsp:rsid wsp:val=&quot;00B269A9&quot;/&gt;&lt;wsp:rsid wsp:val=&quot;00B26C60&quot;/&gt;&lt;wsp:rsid wsp:val=&quot;00B26CE2&quot;/&gt;&lt;wsp:rsid wsp:val=&quot;00B26DD6&quot;/&gt;&lt;wsp:rsid wsp:val=&quot;00B26E72&quot;/&gt;&lt;wsp:rsid wsp:val=&quot;00B26EAF&quot;/&gt;&lt;wsp:rsid wsp:val=&quot;00B26FBF&quot;/&gt;&lt;wsp:rsid wsp:val=&quot;00B2714A&quot;/&gt;&lt;wsp:rsid wsp:val=&quot;00B27692&quot;/&gt;&lt;wsp:rsid wsp:val=&quot;00B27941&quot;/&gt;&lt;wsp:rsid wsp:val=&quot;00B30105&quot;/&gt;&lt;wsp:rsid wsp:val=&quot;00B30CE2&quot;/&gt;&lt;wsp:rsid wsp:val=&quot;00B3103F&quot;/&gt;&lt;wsp:rsid wsp:val=&quot;00B316A7&quot;/&gt;&lt;wsp:rsid wsp:val=&quot;00B31975&quot;/&gt;&lt;wsp:rsid wsp:val=&quot;00B324A3&quot;/&gt;&lt;wsp:rsid wsp:val=&quot;00B32D7D&quot;/&gt;&lt;wsp:rsid wsp:val=&quot;00B32ED6&quot;/&gt;&lt;wsp:rsid wsp:val=&quot;00B3314B&quot;/&gt;&lt;wsp:rsid wsp:val=&quot;00B332CF&quot;/&gt;&lt;wsp:rsid wsp:val=&quot;00B33B44&quot;/&gt;&lt;wsp:rsid wsp:val=&quot;00B33C0A&quot;/&gt;&lt;wsp:rsid wsp:val=&quot;00B34032&quot;/&gt;&lt;wsp:rsid wsp:val=&quot;00B34F8F&quot;/&gt;&lt;wsp:rsid wsp:val=&quot;00B351CC&quot;/&gt;&lt;wsp:rsid wsp:val=&quot;00B35705&quot;/&gt;&lt;wsp:rsid wsp:val=&quot;00B35AB5&quot;/&gt;&lt;wsp:rsid wsp:val=&quot;00B361BD&quot;/&gt;&lt;wsp:rsid wsp:val=&quot;00B364BB&quot;/&gt;&lt;wsp:rsid wsp:val=&quot;00B368FB&quot;/&gt;&lt;wsp:rsid wsp:val=&quot;00B36F44&quot;/&gt;&lt;wsp:rsid wsp:val=&quot;00B3702B&quot;/&gt;&lt;wsp:rsid wsp:val=&quot;00B3715A&quot;/&gt;&lt;wsp:rsid wsp:val=&quot;00B3755C&quot;/&gt;&lt;wsp:rsid wsp:val=&quot;00B37936&quot;/&gt;&lt;wsp:rsid wsp:val=&quot;00B37D9E&quot;/&gt;&lt;wsp:rsid wsp:val=&quot;00B37DA1&quot;/&gt;&lt;wsp:rsid wsp:val=&quot;00B37E94&quot;/&gt;&lt;wsp:rsid wsp:val=&quot;00B40155&quot;/&gt;&lt;wsp:rsid wsp:val=&quot;00B40412&quot;/&gt;&lt;wsp:rsid wsp:val=&quot;00B40A4A&quot;/&gt;&lt;wsp:rsid wsp:val=&quot;00B40AB5&quot;/&gt;&lt;wsp:rsid wsp:val=&quot;00B40F89&quot;/&gt;&lt;wsp:rsid wsp:val=&quot;00B413C7&quot;/&gt;&lt;wsp:rsid wsp:val=&quot;00B41E99&quot;/&gt;&lt;wsp:rsid wsp:val=&quot;00B42177&quot;/&gt;&lt;wsp:rsid wsp:val=&quot;00B42FC0&quot;/&gt;&lt;wsp:rsid wsp:val=&quot;00B431FD&quot;/&gt;&lt;wsp:rsid wsp:val=&quot;00B434B7&quot;/&gt;&lt;wsp:rsid wsp:val=&quot;00B43BFF&quot;/&gt;&lt;wsp:rsid wsp:val=&quot;00B43D61&quot;/&gt;&lt;wsp:rsid wsp:val=&quot;00B43F7D&quot;/&gt;&lt;wsp:rsid wsp:val=&quot;00B44299&quot;/&gt;&lt;wsp:rsid wsp:val=&quot;00B443C4&quot;/&gt;&lt;wsp:rsid wsp:val=&quot;00B44855&quot;/&gt;&lt;wsp:rsid wsp:val=&quot;00B44B6A&quot;/&gt;&lt;wsp:rsid wsp:val=&quot;00B451D2&quot;/&gt;&lt;wsp:rsid wsp:val=&quot;00B454BF&quot;/&gt;&lt;wsp:rsid wsp:val=&quot;00B4577C&quot;/&gt;&lt;wsp:rsid wsp:val=&quot;00B459FE&quot;/&gt;&lt;wsp:rsid wsp:val=&quot;00B45A6A&quot;/&gt;&lt;wsp:rsid wsp:val=&quot;00B45B7A&quot;/&gt;&lt;wsp:rsid wsp:val=&quot;00B45DB0&quot;/&gt;&lt;wsp:rsid wsp:val=&quot;00B45F8E&quot;/&gt;&lt;wsp:rsid wsp:val=&quot;00B4624A&quot;/&gt;&lt;wsp:rsid wsp:val=&quot;00B4630D&quot;/&gt;&lt;wsp:rsid wsp:val=&quot;00B463B6&quot;/&gt;&lt;wsp:rsid wsp:val=&quot;00B467D5&quot;/&gt;&lt;wsp:rsid wsp:val=&quot;00B46894&quot;/&gt;&lt;wsp:rsid wsp:val=&quot;00B47B72&quot;/&gt;&lt;wsp:rsid wsp:val=&quot;00B47C6D&quot;/&gt;&lt;wsp:rsid wsp:val=&quot;00B47CA4&quot;/&gt;&lt;wsp:rsid wsp:val=&quot;00B47E6F&quot;/&gt;&lt;wsp:rsid wsp:val=&quot;00B50710&quot;/&gt;&lt;wsp:rsid wsp:val=&quot;00B50B12&quot;/&gt;&lt;wsp:rsid wsp:val=&quot;00B50B35&quot;/&gt;&lt;wsp:rsid wsp:val=&quot;00B50C03&quot;/&gt;&lt;wsp:rsid wsp:val=&quot;00B51B38&quot;/&gt;&lt;wsp:rsid wsp:val=&quot;00B51B58&quot;/&gt;&lt;wsp:rsid wsp:val=&quot;00B51FF6&quot;/&gt;&lt;wsp:rsid wsp:val=&quot;00B521AE&quot;/&gt;&lt;wsp:rsid wsp:val=&quot;00B52447&quot;/&gt;&lt;wsp:rsid wsp:val=&quot;00B52689&quot;/&gt;&lt;wsp:rsid wsp:val=&quot;00B52803&quot;/&gt;&lt;wsp:rsid wsp:val=&quot;00B528CC&quot;/&gt;&lt;wsp:rsid wsp:val=&quot;00B52A65&quot;/&gt;&lt;wsp:rsid wsp:val=&quot;00B52AE5&quot;/&gt;&lt;wsp:rsid wsp:val=&quot;00B531AC&quot;/&gt;&lt;wsp:rsid wsp:val=&quot;00B533C0&quot;/&gt;&lt;wsp:rsid wsp:val=&quot;00B535CF&quot;/&gt;&lt;wsp:rsid wsp:val=&quot;00B53737&quot;/&gt;&lt;wsp:rsid wsp:val=&quot;00B53DBA&quot;/&gt;&lt;wsp:rsid wsp:val=&quot;00B547CB&quot;/&gt;&lt;wsp:rsid wsp:val=&quot;00B5481E&quot;/&gt;&lt;wsp:rsid wsp:val=&quot;00B548F6&quot;/&gt;&lt;wsp:rsid wsp:val=&quot;00B54927&quot;/&gt;&lt;wsp:rsid wsp:val=&quot;00B549EC&quot;/&gt;&lt;wsp:rsid wsp:val=&quot;00B552F7&quot;/&gt;&lt;wsp:rsid wsp:val=&quot;00B56C32&quot;/&gt;&lt;wsp:rsid wsp:val=&quot;00B56E79&quot;/&gt;&lt;wsp:rsid wsp:val=&quot;00B57068&quot;/&gt;&lt;wsp:rsid wsp:val=&quot;00B572E7&quot;/&gt;&lt;wsp:rsid wsp:val=&quot;00B5743D&quot;/&gt;&lt;wsp:rsid wsp:val=&quot;00B57485&quot;/&gt;&lt;wsp:rsid wsp:val=&quot;00B578C2&quot;/&gt;&lt;wsp:rsid wsp:val=&quot;00B57997&quot;/&gt;&lt;wsp:rsid wsp:val=&quot;00B57C15&quot;/&gt;&lt;wsp:rsid wsp:val=&quot;00B60055&quot;/&gt;&lt;wsp:rsid wsp:val=&quot;00B603A6&quot;/&gt;&lt;wsp:rsid wsp:val=&quot;00B605D8&quot;/&gt;&lt;wsp:rsid wsp:val=&quot;00B6079D&quot;/&gt;&lt;wsp:rsid wsp:val=&quot;00B60AA8&quot;/&gt;&lt;wsp:rsid wsp:val=&quot;00B61321&quot;/&gt;&lt;wsp:rsid wsp:val=&quot;00B6178C&quot;/&gt;&lt;wsp:rsid wsp:val=&quot;00B61C2F&quot;/&gt;&lt;wsp:rsid wsp:val=&quot;00B61C88&quot;/&gt;&lt;wsp:rsid wsp:val=&quot;00B6217D&quot;/&gt;&lt;wsp:rsid wsp:val=&quot;00B6226D&quot;/&gt;&lt;wsp:rsid wsp:val=&quot;00B6283F&quot;/&gt;&lt;wsp:rsid wsp:val=&quot;00B62919&quot;/&gt;&lt;wsp:rsid wsp:val=&quot;00B633A2&quot;/&gt;&lt;wsp:rsid wsp:val=&quot;00B64083&quot;/&gt;&lt;wsp:rsid wsp:val=&quot;00B64157&quot;/&gt;&lt;wsp:rsid wsp:val=&quot;00B64375&quot;/&gt;&lt;wsp:rsid wsp:val=&quot;00B6493B&quot;/&gt;&lt;wsp:rsid wsp:val=&quot;00B64A92&quot;/&gt;&lt;wsp:rsid wsp:val=&quot;00B64BF1&quot;/&gt;&lt;wsp:rsid wsp:val=&quot;00B65267&quot;/&gt;&lt;wsp:rsid wsp:val=&quot;00B658FF&quot;/&gt;&lt;wsp:rsid wsp:val=&quot;00B65D83&quot;/&gt;&lt;wsp:rsid wsp:val=&quot;00B65FB5&quot;/&gt;&lt;wsp:rsid wsp:val=&quot;00B6609A&quot;/&gt;&lt;wsp:rsid wsp:val=&quot;00B6682A&quot;/&gt;&lt;wsp:rsid wsp:val=&quot;00B66D40&quot;/&gt;&lt;wsp:rsid wsp:val=&quot;00B66EE1&quot;/&gt;&lt;wsp:rsid wsp:val=&quot;00B67516&quot;/&gt;&lt;wsp:rsid wsp:val=&quot;00B70805&quot;/&gt;&lt;wsp:rsid wsp:val=&quot;00B7084E&quot;/&gt;&lt;wsp:rsid wsp:val=&quot;00B7095C&quot;/&gt;&lt;wsp:rsid wsp:val=&quot;00B70B06&quot;/&gt;&lt;wsp:rsid wsp:val=&quot;00B70B6D&quot;/&gt;&lt;wsp:rsid wsp:val=&quot;00B714C3&quot;/&gt;&lt;wsp:rsid wsp:val=&quot;00B714ED&quot;/&gt;&lt;wsp:rsid wsp:val=&quot;00B71508&quot;/&gt;&lt;wsp:rsid wsp:val=&quot;00B71607&quot;/&gt;&lt;wsp:rsid wsp:val=&quot;00B7189B&quot;/&gt;&lt;wsp:rsid wsp:val=&quot;00B71B9A&quot;/&gt;&lt;wsp:rsid wsp:val=&quot;00B71D75&quot;/&gt;&lt;wsp:rsid wsp:val=&quot;00B727C3&quot;/&gt;&lt;wsp:rsid wsp:val=&quot;00B729F0&quot;/&gt;&lt;wsp:rsid wsp:val=&quot;00B731C2&quot;/&gt;&lt;wsp:rsid wsp:val=&quot;00B73288&quot;/&gt;&lt;wsp:rsid wsp:val=&quot;00B736E7&quot;/&gt;&lt;wsp:rsid wsp:val=&quot;00B736F5&quot;/&gt;&lt;wsp:rsid wsp:val=&quot;00B738A1&quot;/&gt;&lt;wsp:rsid wsp:val=&quot;00B74FE9&quot;/&gt;&lt;wsp:rsid wsp:val=&quot;00B750D2&quot;/&gt;&lt;wsp:rsid wsp:val=&quot;00B7534B&quot;/&gt;&lt;wsp:rsid wsp:val=&quot;00B75FCF&quot;/&gt;&lt;wsp:rsid wsp:val=&quot;00B760B0&quot;/&gt;&lt;wsp:rsid wsp:val=&quot;00B764FC&quot;/&gt;&lt;wsp:rsid wsp:val=&quot;00B76683&quot;/&gt;&lt;wsp:rsid wsp:val=&quot;00B7678C&quot;/&gt;&lt;wsp:rsid wsp:val=&quot;00B76C0C&quot;/&gt;&lt;wsp:rsid wsp:val=&quot;00B76D57&quot;/&gt;&lt;wsp:rsid wsp:val=&quot;00B76DC9&quot;/&gt;&lt;wsp:rsid wsp:val=&quot;00B76FB8&quot;/&gt;&lt;wsp:rsid wsp:val=&quot;00B77044&quot;/&gt;&lt;wsp:rsid wsp:val=&quot;00B77216&quot;/&gt;&lt;wsp:rsid wsp:val=&quot;00B7728F&quot;/&gt;&lt;wsp:rsid wsp:val=&quot;00B77438&quot;/&gt;&lt;wsp:rsid wsp:val=&quot;00B8007C&quot;/&gt;&lt;wsp:rsid wsp:val=&quot;00B80223&quot;/&gt;&lt;wsp:rsid wsp:val=&quot;00B80368&quot;/&gt;&lt;wsp:rsid wsp:val=&quot;00B80DCA&quot;/&gt;&lt;wsp:rsid wsp:val=&quot;00B8209F&quot;/&gt;&lt;wsp:rsid wsp:val=&quot;00B821B5&quot;/&gt;&lt;wsp:rsid wsp:val=&quot;00B8244C&quot;/&gt;&lt;wsp:rsid wsp:val=&quot;00B82498&quot;/&gt;&lt;wsp:rsid wsp:val=&quot;00B826B0&quot;/&gt;&lt;wsp:rsid wsp:val=&quot;00B827DE&quot;/&gt;&lt;wsp:rsid wsp:val=&quot;00B82C03&quot;/&gt;&lt;wsp:rsid wsp:val=&quot;00B83198&quot;/&gt;&lt;wsp:rsid wsp:val=&quot;00B8372A&quot;/&gt;&lt;wsp:rsid wsp:val=&quot;00B83943&quot;/&gt;&lt;wsp:rsid wsp:val=&quot;00B83D0E&quot;/&gt;&lt;wsp:rsid wsp:val=&quot;00B8410B&quot;/&gt;&lt;wsp:rsid wsp:val=&quot;00B847C9&quot;/&gt;&lt;wsp:rsid wsp:val=&quot;00B848D9&quot;/&gt;&lt;wsp:rsid wsp:val=&quot;00B84AFF&quot;/&gt;&lt;wsp:rsid wsp:val=&quot;00B853C6&quot;/&gt;&lt;wsp:rsid wsp:val=&quot;00B85840&quot;/&gt;&lt;wsp:rsid wsp:val=&quot;00B85BC9&quot;/&gt;&lt;wsp:rsid wsp:val=&quot;00B85F15&quot;/&gt;&lt;wsp:rsid wsp:val=&quot;00B86A33&quot;/&gt;&lt;wsp:rsid wsp:val=&quot;00B86BCA&quot;/&gt;&lt;wsp:rsid wsp:val=&quot;00B86C1F&quot;/&gt;&lt;wsp:rsid wsp:val=&quot;00B86CAE&quot;/&gt;&lt;wsp:rsid wsp:val=&quot;00B86F33&quot;/&gt;&lt;wsp:rsid wsp:val=&quot;00B87210&quot;/&gt;&lt;wsp:rsid wsp:val=&quot;00B87407&quot;/&gt;&lt;wsp:rsid wsp:val=&quot;00B87B18&quot;/&gt;&lt;wsp:rsid wsp:val=&quot;00B90213&quot;/&gt;&lt;wsp:rsid wsp:val=&quot;00B905FF&quot;/&gt;&lt;wsp:rsid wsp:val=&quot;00B90E94&quot;/&gt;&lt;wsp:rsid wsp:val=&quot;00B91283&quot;/&gt;&lt;wsp:rsid wsp:val=&quot;00B91448&quot;/&gt;&lt;wsp:rsid wsp:val=&quot;00B918E3&quot;/&gt;&lt;wsp:rsid wsp:val=&quot;00B91E74&quot;/&gt;&lt;wsp:rsid wsp:val=&quot;00B91F87&quot;/&gt;&lt;wsp:rsid wsp:val=&quot;00B92031&quot;/&gt;&lt;wsp:rsid wsp:val=&quot;00B92614&quot;/&gt;&lt;wsp:rsid wsp:val=&quot;00B9296A&quot;/&gt;&lt;wsp:rsid wsp:val=&quot;00B929BF&quot;/&gt;&lt;wsp:rsid wsp:val=&quot;00B92E4D&quot;/&gt;&lt;wsp:rsid wsp:val=&quot;00B93103&quot;/&gt;&lt;wsp:rsid wsp:val=&quot;00B933F4&quot;/&gt;&lt;wsp:rsid wsp:val=&quot;00B93704&quot;/&gt;&lt;wsp:rsid wsp:val=&quot;00B94604&quot;/&gt;&lt;wsp:rsid wsp:val=&quot;00B94C3D&quot;/&gt;&lt;wsp:rsid wsp:val=&quot;00B94E21&quot;/&gt;&lt;wsp:rsid wsp:val=&quot;00B94ED8&quot;/&gt;&lt;wsp:rsid wsp:val=&quot;00B94F0C&quot;/&gt;&lt;wsp:rsid wsp:val=&quot;00B95120&quot;/&gt;&lt;wsp:rsid wsp:val=&quot;00B953CD&quot;/&gt;&lt;wsp:rsid wsp:val=&quot;00B95828&quot;/&gt;&lt;wsp:rsid wsp:val=&quot;00B95D4B&quot;/&gt;&lt;wsp:rsid wsp:val=&quot;00B9627D&quot;/&gt;&lt;wsp:rsid wsp:val=&quot;00B968C0&quot;/&gt;&lt;wsp:rsid wsp:val=&quot;00B975E7&quot;/&gt;&lt;wsp:rsid wsp:val=&quot;00B977C9&quot;/&gt;&lt;wsp:rsid wsp:val=&quot;00B977DA&quot;/&gt;&lt;wsp:rsid wsp:val=&quot;00B97AA4&quot;/&gt;&lt;wsp:rsid wsp:val=&quot;00B97CCB&quot;/&gt;&lt;wsp:rsid wsp:val=&quot;00BA05FA&quot;/&gt;&lt;wsp:rsid wsp:val=&quot;00BA07AD&quot;/&gt;&lt;wsp:rsid wsp:val=&quot;00BA08D3&quot;/&gt;&lt;wsp:rsid wsp:val=&quot;00BA095B&quot;/&gt;&lt;wsp:rsid wsp:val=&quot;00BA0C58&quot;/&gt;&lt;wsp:rsid wsp:val=&quot;00BA0CCF&quot;/&gt;&lt;wsp:rsid wsp:val=&quot;00BA1089&quot;/&gt;&lt;wsp:rsid wsp:val=&quot;00BA12DC&quot;/&gt;&lt;wsp:rsid wsp:val=&quot;00BA14DB&quot;/&gt;&lt;wsp:rsid wsp:val=&quot;00BA2346&quot;/&gt;&lt;wsp:rsid wsp:val=&quot;00BA2537&quot;/&gt;&lt;wsp:rsid wsp:val=&quot;00BA2565&quot;/&gt;&lt;wsp:rsid wsp:val=&quot;00BA2DFA&quot;/&gt;&lt;wsp:rsid wsp:val=&quot;00BA32FA&quot;/&gt;&lt;wsp:rsid wsp:val=&quot;00BA34EC&quot;/&gt;&lt;wsp:rsid wsp:val=&quot;00BA3DA2&quot;/&gt;&lt;wsp:rsid wsp:val=&quot;00BA402D&quot;/&gt;&lt;wsp:rsid wsp:val=&quot;00BA41F9&quot;/&gt;&lt;wsp:rsid wsp:val=&quot;00BA4305&quot;/&gt;&lt;wsp:rsid wsp:val=&quot;00BA46FB&quot;/&gt;&lt;wsp:rsid wsp:val=&quot;00BA4856&quot;/&gt;&lt;wsp:rsid wsp:val=&quot;00BA4942&quot;/&gt;&lt;wsp:rsid wsp:val=&quot;00BA4CB4&quot;/&gt;&lt;wsp:rsid wsp:val=&quot;00BA4D3F&quot;/&gt;&lt;wsp:rsid wsp:val=&quot;00BA4E45&quot;/&gt;&lt;wsp:rsid wsp:val=&quot;00BA50A8&quot;/&gt;&lt;wsp:rsid wsp:val=&quot;00BA51BF&quot;/&gt;&lt;wsp:rsid wsp:val=&quot;00BA521B&quot;/&gt;&lt;wsp:rsid wsp:val=&quot;00BA5A6C&quot;/&gt;&lt;wsp:rsid wsp:val=&quot;00BA667D&quot;/&gt;&lt;wsp:rsid wsp:val=&quot;00BA6A83&quot;/&gt;&lt;wsp:rsid wsp:val=&quot;00BA6C47&quot;/&gt;&lt;wsp:rsid wsp:val=&quot;00BA730C&quot;/&gt;&lt;wsp:rsid wsp:val=&quot;00BA741C&quot;/&gt;&lt;wsp:rsid wsp:val=&quot;00BA7CD7&quot;/&gt;&lt;wsp:rsid wsp:val=&quot;00BB0783&quot;/&gt;&lt;wsp:rsid wsp:val=&quot;00BB094B&quot;/&gt;&lt;wsp:rsid wsp:val=&quot;00BB0D38&quot;/&gt;&lt;wsp:rsid wsp:val=&quot;00BB10AB&quot;/&gt;&lt;wsp:rsid wsp:val=&quot;00BB1200&quot;/&gt;&lt;wsp:rsid wsp:val=&quot;00BB1329&quot;/&gt;&lt;wsp:rsid wsp:val=&quot;00BB13A4&quot;/&gt;&lt;wsp:rsid wsp:val=&quot;00BB140F&quot;/&gt;&lt;wsp:rsid wsp:val=&quot;00BB1A9E&quot;/&gt;&lt;wsp:rsid wsp:val=&quot;00BB1B3C&quot;/&gt;&lt;wsp:rsid wsp:val=&quot;00BB1D0D&quot;/&gt;&lt;wsp:rsid wsp:val=&quot;00BB1F27&quot;/&gt;&lt;wsp:rsid wsp:val=&quot;00BB1F53&quot;/&gt;&lt;wsp:rsid wsp:val=&quot;00BB27A2&quot;/&gt;&lt;wsp:rsid wsp:val=&quot;00BB2BF1&quot;/&gt;&lt;wsp:rsid wsp:val=&quot;00BB311A&quot;/&gt;&lt;wsp:rsid wsp:val=&quot;00BB3276&quot;/&gt;&lt;wsp:rsid wsp:val=&quot;00BB3620&quot;/&gt;&lt;wsp:rsid wsp:val=&quot;00BB36AB&quot;/&gt;&lt;wsp:rsid wsp:val=&quot;00BB3796&quot;/&gt;&lt;wsp:rsid wsp:val=&quot;00BB3B2F&quot;/&gt;&lt;wsp:rsid wsp:val=&quot;00BB3B53&quot;/&gt;&lt;wsp:rsid wsp:val=&quot;00BB4640&quot;/&gt;&lt;wsp:rsid wsp:val=&quot;00BB471A&quot;/&gt;&lt;wsp:rsid wsp:val=&quot;00BB49CD&quot;/&gt;&lt;wsp:rsid wsp:val=&quot;00BB5262&quot;/&gt;&lt;wsp:rsid wsp:val=&quot;00BB5500&quot;/&gt;&lt;wsp:rsid wsp:val=&quot;00BB55FA&quot;/&gt;&lt;wsp:rsid wsp:val=&quot;00BB571F&quot;/&gt;&lt;wsp:rsid wsp:val=&quot;00BB572D&quot;/&gt;&lt;wsp:rsid wsp:val=&quot;00BB5A30&quot;/&gt;&lt;wsp:rsid wsp:val=&quot;00BB5B01&quot;/&gt;&lt;wsp:rsid wsp:val=&quot;00BB6678&quot;/&gt;&lt;wsp:rsid wsp:val=&quot;00BB6872&quot;/&gt;&lt;wsp:rsid wsp:val=&quot;00BB6AF6&quot;/&gt;&lt;wsp:rsid wsp:val=&quot;00BB7092&quot;/&gt;&lt;wsp:rsid wsp:val=&quot;00BB70C0&quot;/&gt;&lt;wsp:rsid wsp:val=&quot;00BB7254&quot;/&gt;&lt;wsp:rsid wsp:val=&quot;00BB72E2&quot;/&gt;&lt;wsp:rsid wsp:val=&quot;00BB7758&quot;/&gt;&lt;wsp:rsid wsp:val=&quot;00BC04DC&quot;/&gt;&lt;wsp:rsid wsp:val=&quot;00BC055D&quot;/&gt;&lt;wsp:rsid wsp:val=&quot;00BC0867&quot;/&gt;&lt;wsp:rsid wsp:val=&quot;00BC0E2B&quot;/&gt;&lt;wsp:rsid wsp:val=&quot;00BC15F7&quot;/&gt;&lt;wsp:rsid wsp:val=&quot;00BC1AC5&quot;/&gt;&lt;wsp:rsid wsp:val=&quot;00BC1C9B&quot;/&gt;&lt;wsp:rsid wsp:val=&quot;00BC1E27&quot;/&gt;&lt;wsp:rsid wsp:val=&quot;00BC2B5B&quot;/&gt;&lt;wsp:rsid wsp:val=&quot;00BC316A&quot;/&gt;&lt;wsp:rsid wsp:val=&quot;00BC38D4&quot;/&gt;&lt;wsp:rsid wsp:val=&quot;00BC3CA7&quot;/&gt;&lt;wsp:rsid wsp:val=&quot;00BC4116&quot;/&gt;&lt;wsp:rsid wsp:val=&quot;00BC46AD&quot;/&gt;&lt;wsp:rsid wsp:val=&quot;00BC4BAD&quot;/&gt;&lt;wsp:rsid wsp:val=&quot;00BC500B&quot;/&gt;&lt;wsp:rsid wsp:val=&quot;00BC5BD7&quot;/&gt;&lt;wsp:rsid wsp:val=&quot;00BC5BF0&quot;/&gt;&lt;wsp:rsid wsp:val=&quot;00BC65B6&quot;/&gt;&lt;wsp:rsid wsp:val=&quot;00BC6B41&quot;/&gt;&lt;wsp:rsid wsp:val=&quot;00BC6B74&quot;/&gt;&lt;wsp:rsid wsp:val=&quot;00BC6EF1&quot;/&gt;&lt;wsp:rsid wsp:val=&quot;00BC7793&quot;/&gt;&lt;wsp:rsid wsp:val=&quot;00BC7DC1&quot;/&gt;&lt;wsp:rsid wsp:val=&quot;00BD002D&quot;/&gt;&lt;wsp:rsid wsp:val=&quot;00BD03BF&quot;/&gt;&lt;wsp:rsid wsp:val=&quot;00BD0483&quot;/&gt;&lt;wsp:rsid wsp:val=&quot;00BD0516&quot;/&gt;&lt;wsp:rsid wsp:val=&quot;00BD06F3&quot;/&gt;&lt;wsp:rsid wsp:val=&quot;00BD0879&quot;/&gt;&lt;wsp:rsid wsp:val=&quot;00BD08F7&quot;/&gt;&lt;wsp:rsid wsp:val=&quot;00BD0AF8&quot;/&gt;&lt;wsp:rsid wsp:val=&quot;00BD0D25&quot;/&gt;&lt;wsp:rsid wsp:val=&quot;00BD0FCA&quot;/&gt;&lt;wsp:rsid wsp:val=&quot;00BD1071&quot;/&gt;&lt;wsp:rsid wsp:val=&quot;00BD1771&quot;/&gt;&lt;wsp:rsid wsp:val=&quot;00BD1E27&quot;/&gt;&lt;wsp:rsid wsp:val=&quot;00BD1EEB&quot;/&gt;&lt;wsp:rsid wsp:val=&quot;00BD1FBC&quot;/&gt;&lt;wsp:rsid wsp:val=&quot;00BD2133&quot;/&gt;&lt;wsp:rsid wsp:val=&quot;00BD242C&quot;/&gt;&lt;wsp:rsid wsp:val=&quot;00BD2B5B&quot;/&gt;&lt;wsp:rsid wsp:val=&quot;00BD2E64&quot;/&gt;&lt;wsp:rsid wsp:val=&quot;00BD2FFC&quot;/&gt;&lt;wsp:rsid wsp:val=&quot;00BD33CF&quot;/&gt;&lt;wsp:rsid wsp:val=&quot;00BD33D4&quot;/&gt;&lt;wsp:rsid wsp:val=&quot;00BD35B0&quot;/&gt;&lt;wsp:rsid wsp:val=&quot;00BD36F8&quot;/&gt;&lt;wsp:rsid wsp:val=&quot;00BD3A45&quot;/&gt;&lt;wsp:rsid wsp:val=&quot;00BD3E8B&quot;/&gt;&lt;wsp:rsid wsp:val=&quot;00BD3ECE&quot;/&gt;&lt;wsp:rsid wsp:val=&quot;00BD4170&quot;/&gt;&lt;wsp:rsid wsp:val=&quot;00BD41C7&quot;/&gt;&lt;wsp:rsid wsp:val=&quot;00BD45CA&quot;/&gt;&lt;wsp:rsid wsp:val=&quot;00BD4869&quot;/&gt;&lt;wsp:rsid wsp:val=&quot;00BD4935&quot;/&gt;&lt;wsp:rsid wsp:val=&quot;00BD4CA8&quot;/&gt;&lt;wsp:rsid wsp:val=&quot;00BD4E1A&quot;/&gt;&lt;wsp:rsid wsp:val=&quot;00BD4F08&quot;/&gt;&lt;wsp:rsid wsp:val=&quot;00BD62E8&quot;/&gt;&lt;wsp:rsid wsp:val=&quot;00BD64CC&quot;/&gt;&lt;wsp:rsid wsp:val=&quot;00BD66AF&quot;/&gt;&lt;wsp:rsid wsp:val=&quot;00BD67F8&quot;/&gt;&lt;wsp:rsid wsp:val=&quot;00BD6A55&quot;/&gt;&lt;wsp:rsid wsp:val=&quot;00BD7034&quot;/&gt;&lt;wsp:rsid wsp:val=&quot;00BD734F&quot;/&gt;&lt;wsp:rsid wsp:val=&quot;00BD7FAC&quot;/&gt;&lt;wsp:rsid wsp:val=&quot;00BE00CE&quot;/&gt;&lt;wsp:rsid wsp:val=&quot;00BE0389&quot;/&gt;&lt;wsp:rsid wsp:val=&quot;00BE0800&quot;/&gt;&lt;wsp:rsid wsp:val=&quot;00BE0875&quot;/&gt;&lt;wsp:rsid wsp:val=&quot;00BE0D3E&quot;/&gt;&lt;wsp:rsid wsp:val=&quot;00BE1999&quot;/&gt;&lt;wsp:rsid wsp:val=&quot;00BE2076&quot;/&gt;&lt;wsp:rsid wsp:val=&quot;00BE2D90&quot;/&gt;&lt;wsp:rsid wsp:val=&quot;00BE2EDE&quot;/&gt;&lt;wsp:rsid wsp:val=&quot;00BE30F8&quot;/&gt;&lt;wsp:rsid wsp:val=&quot;00BE334B&quot;/&gt;&lt;wsp:rsid wsp:val=&quot;00BE3C03&quot;/&gt;&lt;wsp:rsid wsp:val=&quot;00BE3E66&quot;/&gt;&lt;wsp:rsid wsp:val=&quot;00BE4389&quot;/&gt;&lt;wsp:rsid wsp:val=&quot;00BE4431&quot;/&gt;&lt;wsp:rsid wsp:val=&quot;00BE48CE&quot;/&gt;&lt;wsp:rsid wsp:val=&quot;00BE4B4B&quot;/&gt;&lt;wsp:rsid wsp:val=&quot;00BE4EB4&quot;/&gt;&lt;wsp:rsid wsp:val=&quot;00BE56AB&quot;/&gt;&lt;wsp:rsid wsp:val=&quot;00BE57BC&quot;/&gt;&lt;wsp:rsid wsp:val=&quot;00BE58C7&quot;/&gt;&lt;wsp:rsid wsp:val=&quot;00BE637B&quot;/&gt;&lt;wsp:rsid wsp:val=&quot;00BE6896&quot;/&gt;&lt;wsp:rsid wsp:val=&quot;00BE68C4&quot;/&gt;&lt;wsp:rsid wsp:val=&quot;00BE6C31&quot;/&gt;&lt;wsp:rsid wsp:val=&quot;00BE7A13&quot;/&gt;&lt;wsp:rsid wsp:val=&quot;00BE7A34&quot;/&gt;&lt;wsp:rsid wsp:val=&quot;00BF013F&quot;/&gt;&lt;wsp:rsid wsp:val=&quot;00BF032A&quot;/&gt;&lt;wsp:rsid wsp:val=&quot;00BF04E1&quot;/&gt;&lt;wsp:rsid wsp:val=&quot;00BF0A66&quot;/&gt;&lt;wsp:rsid wsp:val=&quot;00BF0F69&quot;/&gt;&lt;wsp:rsid wsp:val=&quot;00BF11A7&quot;/&gt;&lt;wsp:rsid wsp:val=&quot;00BF1C61&quot;/&gt;&lt;wsp:rsid wsp:val=&quot;00BF1CC1&quot;/&gt;&lt;wsp:rsid wsp:val=&quot;00BF1F43&quot;/&gt;&lt;wsp:rsid wsp:val=&quot;00BF2338&quot;/&gt;&lt;wsp:rsid wsp:val=&quot;00BF248A&quot;/&gt;&lt;wsp:rsid wsp:val=&quot;00BF2635&quot;/&gt;&lt;wsp:rsid wsp:val=&quot;00BF2FC7&quot;/&gt;&lt;wsp:rsid wsp:val=&quot;00BF315A&quot;/&gt;&lt;wsp:rsid wsp:val=&quot;00BF36F8&quot;/&gt;&lt;wsp:rsid wsp:val=&quot;00BF42D7&quot;/&gt;&lt;wsp:rsid wsp:val=&quot;00BF475E&quot;/&gt;&lt;wsp:rsid wsp:val=&quot;00BF4B03&quot;/&gt;&lt;wsp:rsid wsp:val=&quot;00BF522B&quot;/&gt;&lt;wsp:rsid wsp:val=&quot;00BF5A2B&quot;/&gt;&lt;wsp:rsid wsp:val=&quot;00BF662C&quot;/&gt;&lt;wsp:rsid wsp:val=&quot;00BF6875&quot;/&gt;&lt;wsp:rsid wsp:val=&quot;00BF691F&quot;/&gt;&lt;wsp:rsid wsp:val=&quot;00BF6A62&quot;/&gt;&lt;wsp:rsid wsp:val=&quot;00BF6F36&quot;/&gt;&lt;wsp:rsid wsp:val=&quot;00BF7620&quot;/&gt;&lt;wsp:rsid wsp:val=&quot;00BF774B&quot;/&gt;&lt;wsp:rsid wsp:val=&quot;00BF79CE&quot;/&gt;&lt;wsp:rsid wsp:val=&quot;00BF7B66&quot;/&gt;&lt;wsp:rsid wsp:val=&quot;00BF7C12&quot;/&gt;&lt;wsp:rsid wsp:val=&quot;00C00040&quot;/&gt;&lt;wsp:rsid wsp:val=&quot;00C00500&quot;/&gt;&lt;wsp:rsid wsp:val=&quot;00C0054B&quot;/&gt;&lt;wsp:rsid wsp:val=&quot;00C00791&quot;/&gt;&lt;wsp:rsid wsp:val=&quot;00C00872&quot;/&gt;&lt;wsp:rsid wsp:val=&quot;00C00F89&quot;/&gt;&lt;wsp:rsid wsp:val=&quot;00C015CC&quot;/&gt;&lt;wsp:rsid wsp:val=&quot;00C0184F&quot;/&gt;&lt;wsp:rsid wsp:val=&quot;00C01B50&quot;/&gt;&lt;wsp:rsid wsp:val=&quot;00C01DB8&quot;/&gt;&lt;wsp:rsid wsp:val=&quot;00C01DF3&quot;/&gt;&lt;wsp:rsid wsp:val=&quot;00C02271&quot;/&gt;&lt;wsp:rsid wsp:val=&quot;00C0244F&quot;/&gt;&lt;wsp:rsid wsp:val=&quot;00C0257F&quot;/&gt;&lt;wsp:rsid wsp:val=&quot;00C02768&quot;/&gt;&lt;wsp:rsid wsp:val=&quot;00C02861&quot;/&gt;&lt;wsp:rsid wsp:val=&quot;00C02B04&quot;/&gt;&lt;wsp:rsid wsp:val=&quot;00C02DD7&quot;/&gt;&lt;wsp:rsid wsp:val=&quot;00C03035&quot;/&gt;&lt;wsp:rsid wsp:val=&quot;00C03285&quot;/&gt;&lt;wsp:rsid wsp:val=&quot;00C03464&quot;/&gt;&lt;wsp:rsid wsp:val=&quot;00C03873&quot;/&gt;&lt;wsp:rsid wsp:val=&quot;00C03928&quot;/&gt;&lt;wsp:rsid wsp:val=&quot;00C03AD5&quot;/&gt;&lt;wsp:rsid wsp:val=&quot;00C03DF0&quot;/&gt;&lt;wsp:rsid wsp:val=&quot;00C04C21&quot;/&gt;&lt;wsp:rsid wsp:val=&quot;00C0505B&quot;/&gt;&lt;wsp:rsid wsp:val=&quot;00C0548B&quot;/&gt;&lt;wsp:rsid wsp:val=&quot;00C055AB&quot;/&gt;&lt;wsp:rsid wsp:val=&quot;00C057DB&quot;/&gt;&lt;wsp:rsid wsp:val=&quot;00C05A56&quot;/&gt;&lt;wsp:rsid wsp:val=&quot;00C05B90&quot;/&gt;&lt;wsp:rsid wsp:val=&quot;00C05D4A&quot;/&gt;&lt;wsp:rsid wsp:val=&quot;00C05EB2&quot;/&gt;&lt;wsp:rsid wsp:val=&quot;00C064F0&quot;/&gt;&lt;wsp:rsid wsp:val=&quot;00C06F91&quot;/&gt;&lt;wsp:rsid wsp:val=&quot;00C070FC&quot;/&gt;&lt;wsp:rsid wsp:val=&quot;00C07452&quot;/&gt;&lt;wsp:rsid wsp:val=&quot;00C07C34&quot;/&gt;&lt;wsp:rsid wsp:val=&quot;00C1012B&quot;/&gt;&lt;wsp:rsid wsp:val=&quot;00C11C03&quot;/&gt;&lt;wsp:rsid wsp:val=&quot;00C11CA4&quot;/&gt;&lt;wsp:rsid wsp:val=&quot;00C11D15&quot;/&gt;&lt;wsp:rsid wsp:val=&quot;00C11FB8&quot;/&gt;&lt;wsp:rsid wsp:val=&quot;00C127D4&quot;/&gt;&lt;wsp:rsid wsp:val=&quot;00C12811&quot;/&gt;&lt;wsp:rsid wsp:val=&quot;00C12C4A&quot;/&gt;&lt;wsp:rsid wsp:val=&quot;00C130BC&quot;/&gt;&lt;wsp:rsid wsp:val=&quot;00C131D1&quot;/&gt;&lt;wsp:rsid wsp:val=&quot;00C13377&quot;/&gt;&lt;wsp:rsid wsp:val=&quot;00C13783&quot;/&gt;&lt;wsp:rsid wsp:val=&quot;00C13855&quot;/&gt;&lt;wsp:rsid wsp:val=&quot;00C13D78&quot;/&gt;&lt;wsp:rsid wsp:val=&quot;00C13F12&quot;/&gt;&lt;wsp:rsid wsp:val=&quot;00C1454A&quot;/&gt;&lt;wsp:rsid wsp:val=&quot;00C148F0&quot;/&gt;&lt;wsp:rsid wsp:val=&quot;00C14AF9&quot;/&gt;&lt;wsp:rsid wsp:val=&quot;00C14C72&quot;/&gt;&lt;wsp:rsid wsp:val=&quot;00C152D9&quot;/&gt;&lt;wsp:rsid wsp:val=&quot;00C155BB&quot;/&gt;&lt;wsp:rsid wsp:val=&quot;00C1562E&quot;/&gt;&lt;wsp:rsid wsp:val=&quot;00C1586E&quot;/&gt;&lt;wsp:rsid wsp:val=&quot;00C1593B&quot;/&gt;&lt;wsp:rsid wsp:val=&quot;00C15EEF&quot;/&gt;&lt;wsp:rsid wsp:val=&quot;00C16040&quot;/&gt;&lt;wsp:rsid wsp:val=&quot;00C16454&quot;/&gt;&lt;wsp:rsid wsp:val=&quot;00C166AF&quot;/&gt;&lt;wsp:rsid wsp:val=&quot;00C167B4&quot;/&gt;&lt;wsp:rsid wsp:val=&quot;00C168FB&quot;/&gt;&lt;wsp:rsid wsp:val=&quot;00C16AD2&quot;/&gt;&lt;wsp:rsid wsp:val=&quot;00C16B33&quot;/&gt;&lt;wsp:rsid wsp:val=&quot;00C16BC9&quot;/&gt;&lt;wsp:rsid wsp:val=&quot;00C16BCF&quot;/&gt;&lt;wsp:rsid wsp:val=&quot;00C16D99&quot;/&gt;&lt;wsp:rsid wsp:val=&quot;00C176CA&quot;/&gt;&lt;wsp:rsid wsp:val=&quot;00C176E2&quot;/&gt;&lt;wsp:rsid wsp:val=&quot;00C17E16&quot;/&gt;&lt;wsp:rsid wsp:val=&quot;00C20130&quot;/&gt;&lt;wsp:rsid wsp:val=&quot;00C20FDA&quot;/&gt;&lt;wsp:rsid wsp:val=&quot;00C211BE&quot;/&gt;&lt;wsp:rsid wsp:val=&quot;00C2183E&quot;/&gt;&lt;wsp:rsid wsp:val=&quot;00C21937&quot;/&gt;&lt;wsp:rsid wsp:val=&quot;00C219BD&quot;/&gt;&lt;wsp:rsid wsp:val=&quot;00C22719&quot;/&gt;&lt;wsp:rsid wsp:val=&quot;00C229CE&quot;/&gt;&lt;wsp:rsid wsp:val=&quot;00C22EF1&quot;/&gt;&lt;wsp:rsid wsp:val=&quot;00C2336F&quot;/&gt;&lt;wsp:rsid wsp:val=&quot;00C237A5&quot;/&gt;&lt;wsp:rsid wsp:val=&quot;00C23CA7&quot;/&gt;&lt;wsp:rsid wsp:val=&quot;00C248D6&quot;/&gt;&lt;wsp:rsid wsp:val=&quot;00C24977&quot;/&gt;&lt;wsp:rsid wsp:val=&quot;00C249E2&quot;/&gt;&lt;wsp:rsid wsp:val=&quot;00C24A1E&quot;/&gt;&lt;wsp:rsid wsp:val=&quot;00C24D09&quot;/&gt;&lt;wsp:rsid wsp:val=&quot;00C24FD3&quot;/&gt;&lt;wsp:rsid wsp:val=&quot;00C250CB&quot;/&gt;&lt;wsp:rsid wsp:val=&quot;00C257A8&quot;/&gt;&lt;wsp:rsid wsp:val=&quot;00C25BCF&quot;/&gt;&lt;wsp:rsid wsp:val=&quot;00C262AF&quot;/&gt;&lt;wsp:rsid wsp:val=&quot;00C26325&quot;/&gt;&lt;wsp:rsid wsp:val=&quot;00C264D0&quot;/&gt;&lt;wsp:rsid wsp:val=&quot;00C26B97&quot;/&gt;&lt;wsp:rsid wsp:val=&quot;00C273BB&quot;/&gt;&lt;wsp:rsid wsp:val=&quot;00C27A28&quot;/&gt;&lt;wsp:rsid wsp:val=&quot;00C27D16&quot;/&gt;&lt;wsp:rsid wsp:val=&quot;00C27E16&quot;/&gt;&lt;wsp:rsid wsp:val=&quot;00C27E65&quot;/&gt;&lt;wsp:rsid wsp:val=&quot;00C27EF3&quot;/&gt;&lt;wsp:rsid wsp:val=&quot;00C3073B&quot;/&gt;&lt;wsp:rsid wsp:val=&quot;00C3086D&quot;/&gt;&lt;wsp:rsid wsp:val=&quot;00C30D9D&quot;/&gt;&lt;wsp:rsid wsp:val=&quot;00C30F45&quot;/&gt;&lt;wsp:rsid wsp:val=&quot;00C30FE3&quot;/&gt;&lt;wsp:rsid wsp:val=&quot;00C31041&quot;/&gt;&lt;wsp:rsid wsp:val=&quot;00C312C3&quot;/&gt;&lt;wsp:rsid wsp:val=&quot;00C31337&quot;/&gt;&lt;wsp:rsid wsp:val=&quot;00C316BC&quot;/&gt;&lt;wsp:rsid wsp:val=&quot;00C318E1&quot;/&gt;&lt;wsp:rsid wsp:val=&quot;00C31A60&quot;/&gt;&lt;wsp:rsid wsp:val=&quot;00C31AA3&quot;/&gt;&lt;wsp:rsid wsp:val=&quot;00C31B0B&quot;/&gt;&lt;wsp:rsid wsp:val=&quot;00C31B34&quot;/&gt;&lt;wsp:rsid wsp:val=&quot;00C31E42&quot;/&gt;&lt;wsp:rsid wsp:val=&quot;00C3201D&quot;/&gt;&lt;wsp:rsid wsp:val=&quot;00C322EB&quot;/&gt;&lt;wsp:rsid wsp:val=&quot;00C328E4&quot;/&gt;&lt;wsp:rsid wsp:val=&quot;00C32EF6&quot;/&gt;&lt;wsp:rsid wsp:val=&quot;00C3306E&quot;/&gt;&lt;wsp:rsid wsp:val=&quot;00C330B0&quot;/&gt;&lt;wsp:rsid wsp:val=&quot;00C330E4&quot;/&gt;&lt;wsp:rsid wsp:val=&quot;00C335D5&quot;/&gt;&lt;wsp:rsid wsp:val=&quot;00C337E8&quot;/&gt;&lt;wsp:rsid wsp:val=&quot;00C33989&quot;/&gt;&lt;wsp:rsid wsp:val=&quot;00C33A35&quot;/&gt;&lt;wsp:rsid wsp:val=&quot;00C3410B&quot;/&gt;&lt;wsp:rsid wsp:val=&quot;00C3410F&quot;/&gt;&lt;wsp:rsid wsp:val=&quot;00C34309&quot;/&gt;&lt;wsp:rsid wsp:val=&quot;00C34426&quot;/&gt;&lt;wsp:rsid wsp:val=&quot;00C34440&quot;/&gt;&lt;wsp:rsid wsp:val=&quot;00C34F97&quot;/&gt;&lt;wsp:rsid wsp:val=&quot;00C35878&quot;/&gt;&lt;wsp:rsid wsp:val=&quot;00C358C8&quot;/&gt;&lt;wsp:rsid wsp:val=&quot;00C35DE2&quot;/&gt;&lt;wsp:rsid wsp:val=&quot;00C36179&quot;/&gt;&lt;wsp:rsid wsp:val=&quot;00C36412&quot;/&gt;&lt;wsp:rsid wsp:val=&quot;00C36564&quot;/&gt;&lt;wsp:rsid wsp:val=&quot;00C3678D&quot;/&gt;&lt;wsp:rsid wsp:val=&quot;00C36FEA&quot;/&gt;&lt;wsp:rsid wsp:val=&quot;00C3719C&quot;/&gt;&lt;wsp:rsid wsp:val=&quot;00C37336&quot;/&gt;&lt;wsp:rsid wsp:val=&quot;00C3794B&quot;/&gt;&lt;wsp:rsid wsp:val=&quot;00C3796C&quot;/&gt;&lt;wsp:rsid wsp:val=&quot;00C37A6F&quot;/&gt;&lt;wsp:rsid wsp:val=&quot;00C37AA6&quot;/&gt;&lt;wsp:rsid wsp:val=&quot;00C37B47&quot;/&gt;&lt;wsp:rsid wsp:val=&quot;00C37E7E&quot;/&gt;&lt;wsp:rsid wsp:val=&quot;00C403B4&quot;/&gt;&lt;wsp:rsid wsp:val=&quot;00C40489&quot;/&gt;&lt;wsp:rsid wsp:val=&quot;00C40741&quot;/&gt;&lt;wsp:rsid wsp:val=&quot;00C40792&quot;/&gt;&lt;wsp:rsid wsp:val=&quot;00C40839&quot;/&gt;&lt;wsp:rsid wsp:val=&quot;00C40A32&quot;/&gt;&lt;wsp:rsid wsp:val=&quot;00C40ADB&quot;/&gt;&lt;wsp:rsid wsp:val=&quot;00C411B8&quot;/&gt;&lt;wsp:rsid wsp:val=&quot;00C41523&quot;/&gt;&lt;wsp:rsid wsp:val=&quot;00C416E1&quot;/&gt;&lt;wsp:rsid wsp:val=&quot;00C4186F&quot;/&gt;&lt;wsp:rsid wsp:val=&quot;00C419BE&quot;/&gt;&lt;wsp:rsid wsp:val=&quot;00C41C18&quot;/&gt;&lt;wsp:rsid wsp:val=&quot;00C41C48&quot;/&gt;&lt;wsp:rsid wsp:val=&quot;00C424DE&quot;/&gt;&lt;wsp:rsid wsp:val=&quot;00C426F6&quot;/&gt;&lt;wsp:rsid wsp:val=&quot;00C42C34&quot;/&gt;&lt;wsp:rsid wsp:val=&quot;00C43030&quot;/&gt;&lt;wsp:rsid wsp:val=&quot;00C433A8&quot;/&gt;&lt;wsp:rsid wsp:val=&quot;00C436D2&quot;/&gt;&lt;wsp:rsid wsp:val=&quot;00C438DD&quot;/&gt;&lt;wsp:rsid wsp:val=&quot;00C439FB&quot;/&gt;&lt;wsp:rsid wsp:val=&quot;00C43F01&quot;/&gt;&lt;wsp:rsid wsp:val=&quot;00C446A8&quot;/&gt;&lt;wsp:rsid wsp:val=&quot;00C44858&quot;/&gt;&lt;wsp:rsid wsp:val=&quot;00C44EB2&quot;/&gt;&lt;wsp:rsid wsp:val=&quot;00C450A1&quot;/&gt;&lt;wsp:rsid wsp:val=&quot;00C451CA&quot;/&gt;&lt;wsp:rsid wsp:val=&quot;00C462C8&quot;/&gt;&lt;wsp:rsid wsp:val=&quot;00C472E8&quot;/&gt;&lt;wsp:rsid wsp:val=&quot;00C47584&quot;/&gt;&lt;wsp:rsid wsp:val=&quot;00C4782E&quot;/&gt;&lt;wsp:rsid wsp:val=&quot;00C47A6E&quot;/&gt;&lt;wsp:rsid wsp:val=&quot;00C5022D&quot;/&gt;&lt;wsp:rsid wsp:val=&quot;00C502C0&quot;/&gt;&lt;wsp:rsid wsp:val=&quot;00C5098D&quot;/&gt;&lt;wsp:rsid wsp:val=&quot;00C50C54&quot;/&gt;&lt;wsp:rsid wsp:val=&quot;00C50D77&quot;/&gt;&lt;wsp:rsid wsp:val=&quot;00C51305&quot;/&gt;&lt;wsp:rsid wsp:val=&quot;00C513A1&quot;/&gt;&lt;wsp:rsid wsp:val=&quot;00C5146A&quot;/&gt;&lt;wsp:rsid wsp:val=&quot;00C5159C&quot;/&gt;&lt;wsp:rsid wsp:val=&quot;00C51B4F&quot;/&gt;&lt;wsp:rsid wsp:val=&quot;00C5246C&quot;/&gt;&lt;wsp:rsid wsp:val=&quot;00C53732&quot;/&gt;&lt;wsp:rsid wsp:val=&quot;00C53847&quot;/&gt;&lt;wsp:rsid wsp:val=&quot;00C5384F&quot;/&gt;&lt;wsp:rsid wsp:val=&quot;00C5412F&quot;/&gt;&lt;wsp:rsid wsp:val=&quot;00C54130&quot;/&gt;&lt;wsp:rsid wsp:val=&quot;00C5423B&quot;/&gt;&lt;wsp:rsid wsp:val=&quot;00C542A1&quot;/&gt;&lt;wsp:rsid wsp:val=&quot;00C549C4&quot;/&gt;&lt;wsp:rsid wsp:val=&quot;00C549DE&quot;/&gt;&lt;wsp:rsid wsp:val=&quot;00C54BC7&quot;/&gt;&lt;wsp:rsid wsp:val=&quot;00C54ED7&quot;/&gt;&lt;wsp:rsid wsp:val=&quot;00C556E5&quot;/&gt;&lt;wsp:rsid wsp:val=&quot;00C55765&quot;/&gt;&lt;wsp:rsid wsp:val=&quot;00C55FE6&quot;/&gt;&lt;wsp:rsid wsp:val=&quot;00C56184&quot;/&gt;&lt;wsp:rsid wsp:val=&quot;00C5641D&quot;/&gt;&lt;wsp:rsid wsp:val=&quot;00C569CE&quot;/&gt;&lt;wsp:rsid wsp:val=&quot;00C57054&quot;/&gt;&lt;wsp:rsid wsp:val=&quot;00C574D9&quot;/&gt;&lt;wsp:rsid wsp:val=&quot;00C576AE&quot;/&gt;&lt;wsp:rsid wsp:val=&quot;00C57EAE&quot;/&gt;&lt;wsp:rsid wsp:val=&quot;00C57EBF&quot;/&gt;&lt;wsp:rsid wsp:val=&quot;00C57F97&quot;/&gt;&lt;wsp:rsid wsp:val=&quot;00C60061&quot;/&gt;&lt;wsp:rsid wsp:val=&quot;00C600FC&quot;/&gt;&lt;wsp:rsid wsp:val=&quot;00C602D6&quot;/&gt;&lt;wsp:rsid wsp:val=&quot;00C60F37&quot;/&gt;&lt;wsp:rsid wsp:val=&quot;00C6107B&quot;/&gt;&lt;wsp:rsid wsp:val=&quot;00C614DF&quot;/&gt;&lt;wsp:rsid wsp:val=&quot;00C6167F&quot;/&gt;&lt;wsp:rsid wsp:val=&quot;00C618F0&quot;/&gt;&lt;wsp:rsid wsp:val=&quot;00C61AC1&quot;/&gt;&lt;wsp:rsid wsp:val=&quot;00C61B47&quot;/&gt;&lt;wsp:rsid wsp:val=&quot;00C61DFC&quot;/&gt;&lt;wsp:rsid wsp:val=&quot;00C61EAD&quot;/&gt;&lt;wsp:rsid wsp:val=&quot;00C6201B&quot;/&gt;&lt;wsp:rsid wsp:val=&quot;00C621D2&quot;/&gt;&lt;wsp:rsid wsp:val=&quot;00C6255C&quot;/&gt;&lt;wsp:rsid wsp:val=&quot;00C62843&quot;/&gt;&lt;wsp:rsid wsp:val=&quot;00C63930&quot;/&gt;&lt;wsp:rsid wsp:val=&quot;00C63A79&quot;/&gt;&lt;wsp:rsid wsp:val=&quot;00C63EC0&quot;/&gt;&lt;wsp:rsid wsp:val=&quot;00C6413D&quot;/&gt;&lt;wsp:rsid wsp:val=&quot;00C642F2&quot;/&gt;&lt;wsp:rsid wsp:val=&quot;00C647BB&quot;/&gt;&lt;wsp:rsid wsp:val=&quot;00C6497F&quot;/&gt;&lt;wsp:rsid wsp:val=&quot;00C64AC5&quot;/&gt;&lt;wsp:rsid wsp:val=&quot;00C64B61&quot;/&gt;&lt;wsp:rsid wsp:val=&quot;00C64BB1&quot;/&gt;&lt;wsp:rsid wsp:val=&quot;00C64FFC&quot;/&gt;&lt;wsp:rsid wsp:val=&quot;00C65344&quot;/&gt;&lt;wsp:rsid wsp:val=&quot;00C65602&quot;/&gt;&lt;wsp:rsid wsp:val=&quot;00C65606&quot;/&gt;&lt;wsp:rsid wsp:val=&quot;00C65830&quot;/&gt;&lt;wsp:rsid wsp:val=&quot;00C65998&quot;/&gt;&lt;wsp:rsid wsp:val=&quot;00C65F67&quot;/&gt;&lt;wsp:rsid wsp:val=&quot;00C6658D&quot;/&gt;&lt;wsp:rsid wsp:val=&quot;00C66956&quot;/&gt;&lt;wsp:rsid wsp:val=&quot;00C66B87&quot;/&gt;&lt;wsp:rsid wsp:val=&quot;00C66C74&quot;/&gt;&lt;wsp:rsid wsp:val=&quot;00C670EB&quot;/&gt;&lt;wsp:rsid wsp:val=&quot;00C6720D&quot;/&gt;&lt;wsp:rsid wsp:val=&quot;00C674ED&quot;/&gt;&lt;wsp:rsid wsp:val=&quot;00C67A51&quot;/&gt;&lt;wsp:rsid wsp:val=&quot;00C67D97&quot;/&gt;&lt;wsp:rsid wsp:val=&quot;00C67EC1&quot;/&gt;&lt;wsp:rsid wsp:val=&quot;00C67F40&quot;/&gt;&lt;wsp:rsid wsp:val=&quot;00C7017F&quot;/&gt;&lt;wsp:rsid wsp:val=&quot;00C7027B&quot;/&gt;&lt;wsp:rsid wsp:val=&quot;00C705FE&quot;/&gt;&lt;wsp:rsid wsp:val=&quot;00C70991&quot;/&gt;&lt;wsp:rsid wsp:val=&quot;00C70CA8&quot;/&gt;&lt;wsp:rsid wsp:val=&quot;00C712CB&quot;/&gt;&lt;wsp:rsid wsp:val=&quot;00C7156C&quot;/&gt;&lt;wsp:rsid wsp:val=&quot;00C715BA&quot;/&gt;&lt;wsp:rsid wsp:val=&quot;00C71941&quot;/&gt;&lt;wsp:rsid wsp:val=&quot;00C719D0&quot;/&gt;&lt;wsp:rsid wsp:val=&quot;00C71D80&quot;/&gt;&lt;wsp:rsid wsp:val=&quot;00C71F79&quot;/&gt;&lt;wsp:rsid wsp:val=&quot;00C726D5&quot;/&gt;&lt;wsp:rsid wsp:val=&quot;00C7270A&quot;/&gt;&lt;wsp:rsid wsp:val=&quot;00C72879&quot;/&gt;&lt;wsp:rsid wsp:val=&quot;00C72AA2&quot;/&gt;&lt;wsp:rsid wsp:val=&quot;00C72B25&quot;/&gt;&lt;wsp:rsid wsp:val=&quot;00C72C66&quot;/&gt;&lt;wsp:rsid wsp:val=&quot;00C72FD8&quot;/&gt;&lt;wsp:rsid wsp:val=&quot;00C7378D&quot;/&gt;&lt;wsp:rsid wsp:val=&quot;00C73889&quot;/&gt;&lt;wsp:rsid wsp:val=&quot;00C74898&quot;/&gt;&lt;wsp:rsid wsp:val=&quot;00C75098&quot;/&gt;&lt;wsp:rsid wsp:val=&quot;00C75839&quot;/&gt;&lt;wsp:rsid wsp:val=&quot;00C75CA9&quot;/&gt;&lt;wsp:rsid wsp:val=&quot;00C75F02&quot;/&gt;&lt;wsp:rsid wsp:val=&quot;00C764F6&quot;/&gt;&lt;wsp:rsid wsp:val=&quot;00C76F3E&quot;/&gt;&lt;wsp:rsid wsp:val=&quot;00C76F9A&quot;/&gt;&lt;wsp:rsid wsp:val=&quot;00C77430&quot;/&gt;&lt;wsp:rsid wsp:val=&quot;00C77751&quot;/&gt;&lt;wsp:rsid wsp:val=&quot;00C77868&quot;/&gt;&lt;wsp:rsid wsp:val=&quot;00C80218&quot;/&gt;&lt;wsp:rsid wsp:val=&quot;00C802EE&quot;/&gt;&lt;wsp:rsid wsp:val=&quot;00C804BF&quot;/&gt;&lt;wsp:rsid wsp:val=&quot;00C80740&quot;/&gt;&lt;wsp:rsid wsp:val=&quot;00C80B24&quot;/&gt;&lt;wsp:rsid wsp:val=&quot;00C812BE&quot;/&gt;&lt;wsp:rsid wsp:val=&quot;00C81422&quot;/&gt;&lt;wsp:rsid wsp:val=&quot;00C81882&quot;/&gt;&lt;wsp:rsid wsp:val=&quot;00C81A1F&quot;/&gt;&lt;wsp:rsid wsp:val=&quot;00C81E69&quot;/&gt;&lt;wsp:rsid wsp:val=&quot;00C824F6&quot;/&gt;&lt;wsp:rsid wsp:val=&quot;00C82B84&quot;/&gt;&lt;wsp:rsid wsp:val=&quot;00C82C6F&quot;/&gt;&lt;wsp:rsid wsp:val=&quot;00C83251&quot;/&gt;&lt;wsp:rsid wsp:val=&quot;00C832D4&quot;/&gt;&lt;wsp:rsid wsp:val=&quot;00C837DC&quot;/&gt;&lt;wsp:rsid wsp:val=&quot;00C839E2&quot;/&gt;&lt;wsp:rsid wsp:val=&quot;00C83C53&quot;/&gt;&lt;wsp:rsid wsp:val=&quot;00C83F91&quot;/&gt;&lt;wsp:rsid wsp:val=&quot;00C83FD1&quot;/&gt;&lt;wsp:rsid wsp:val=&quot;00C84201&quot;/&gt;&lt;wsp:rsid wsp:val=&quot;00C843DA&quot;/&gt;&lt;wsp:rsid wsp:val=&quot;00C8452C&quot;/&gt;&lt;wsp:rsid wsp:val=&quot;00C857B7&quot;/&gt;&lt;wsp:rsid wsp:val=&quot;00C85996&quot;/&gt;&lt;wsp:rsid wsp:val=&quot;00C86202&quot;/&gt;&lt;wsp:rsid wsp:val=&quot;00C86215&quot;/&gt;&lt;wsp:rsid wsp:val=&quot;00C8630D&quot;/&gt;&lt;wsp:rsid wsp:val=&quot;00C86947&quot;/&gt;&lt;wsp:rsid wsp:val=&quot;00C869E1&quot;/&gt;&lt;wsp:rsid wsp:val=&quot;00C86CD3&quot;/&gt;&lt;wsp:rsid wsp:val=&quot;00C86FBF&quot;/&gt;&lt;wsp:rsid wsp:val=&quot;00C871D9&quot;/&gt;&lt;wsp:rsid wsp:val=&quot;00C8775E&quot;/&gt;&lt;wsp:rsid wsp:val=&quot;00C87FEC&quot;/&gt;&lt;wsp:rsid wsp:val=&quot;00C90730&quot;/&gt;&lt;wsp:rsid wsp:val=&quot;00C90AC3&quot;/&gt;&lt;wsp:rsid wsp:val=&quot;00C90CE1&quot;/&gt;&lt;wsp:rsid wsp:val=&quot;00C91094&quot;/&gt;&lt;wsp:rsid wsp:val=&quot;00C910C9&quot;/&gt;&lt;wsp:rsid wsp:val=&quot;00C9147D&quot;/&gt;&lt;wsp:rsid wsp:val=&quot;00C91E4B&quot;/&gt;&lt;wsp:rsid wsp:val=&quot;00C92002&quot;/&gt;&lt;wsp:rsid wsp:val=&quot;00C92205&quot;/&gt;&lt;wsp:rsid wsp:val=&quot;00C922B8&quot;/&gt;&lt;wsp:rsid wsp:val=&quot;00C92677&quot;/&gt;&lt;wsp:rsid wsp:val=&quot;00C9275D&quot;/&gt;&lt;wsp:rsid wsp:val=&quot;00C928D7&quot;/&gt;&lt;wsp:rsid wsp:val=&quot;00C92B2A&quot;/&gt;&lt;wsp:rsid wsp:val=&quot;00C92DEE&quot;/&gt;&lt;wsp:rsid wsp:val=&quot;00C930EC&quot;/&gt;&lt;wsp:rsid wsp:val=&quot;00C931A4&quot;/&gt;&lt;wsp:rsid wsp:val=&quot;00C935F8&quot;/&gt;&lt;wsp:rsid wsp:val=&quot;00C93E2A&quot;/&gt;&lt;wsp:rsid wsp:val=&quot;00C93EC3&quot;/&gt;&lt;wsp:rsid wsp:val=&quot;00C9426F&quot;/&gt;&lt;wsp:rsid wsp:val=&quot;00C94979&quot;/&gt;&lt;wsp:rsid wsp:val=&quot;00C949E7&quot;/&gt;&lt;wsp:rsid wsp:val=&quot;00C94A55&quot;/&gt;&lt;wsp:rsid wsp:val=&quot;00C94B01&quot;/&gt;&lt;wsp:rsid wsp:val=&quot;00C95341&quot;/&gt;&lt;wsp:rsid wsp:val=&quot;00C95582&quot;/&gt;&lt;wsp:rsid wsp:val=&quot;00C95B43&quot;/&gt;&lt;wsp:rsid wsp:val=&quot;00C95BD2&quot;/&gt;&lt;wsp:rsid wsp:val=&quot;00C95BD4&quot;/&gt;&lt;wsp:rsid wsp:val=&quot;00C95C82&quot;/&gt;&lt;wsp:rsid wsp:val=&quot;00C95D8C&quot;/&gt;&lt;wsp:rsid wsp:val=&quot;00C9661E&quot;/&gt;&lt;wsp:rsid wsp:val=&quot;00C96A52&quot;/&gt;&lt;wsp:rsid wsp:val=&quot;00C96EEF&quot;/&gt;&lt;wsp:rsid wsp:val=&quot;00C97016&quot;/&gt;&lt;wsp:rsid wsp:val=&quot;00C9751C&quot;/&gt;&lt;wsp:rsid wsp:val=&quot;00C9752D&quot;/&gt;&lt;wsp:rsid wsp:val=&quot;00C97569&quot;/&gt;&lt;wsp:rsid wsp:val=&quot;00C97C6D&quot;/&gt;&lt;wsp:rsid wsp:val=&quot;00CA01CE&quot;/&gt;&lt;wsp:rsid wsp:val=&quot;00CA01D2&quot;/&gt;&lt;wsp:rsid wsp:val=&quot;00CA04FB&quot;/&gt;&lt;wsp:rsid wsp:val=&quot;00CA07BF&quot;/&gt;&lt;wsp:rsid wsp:val=&quot;00CA0801&quot;/&gt;&lt;wsp:rsid wsp:val=&quot;00CA162B&quot;/&gt;&lt;wsp:rsid wsp:val=&quot;00CA1F81&quot;/&gt;&lt;wsp:rsid wsp:val=&quot;00CA1FA6&quot;/&gt;&lt;wsp:rsid wsp:val=&quot;00CA211D&quot;/&gt;&lt;wsp:rsid wsp:val=&quot;00CA2179&quot;/&gt;&lt;wsp:rsid wsp:val=&quot;00CA248C&quot;/&gt;&lt;wsp:rsid wsp:val=&quot;00CA2679&quot;/&gt;&lt;wsp:rsid wsp:val=&quot;00CA2B97&quot;/&gt;&lt;wsp:rsid wsp:val=&quot;00CA36FE&quot;/&gt;&lt;wsp:rsid wsp:val=&quot;00CA3F7F&quot;/&gt;&lt;wsp:rsid wsp:val=&quot;00CA3FD3&quot;/&gt;&lt;wsp:rsid wsp:val=&quot;00CA3FFB&quot;/&gt;&lt;wsp:rsid wsp:val=&quot;00CA4038&quot;/&gt;&lt;wsp:rsid wsp:val=&quot;00CA4085&quot;/&gt;&lt;wsp:rsid wsp:val=&quot;00CA4579&quot;/&gt;&lt;wsp:rsid wsp:val=&quot;00CA4869&quot;/&gt;&lt;wsp:rsid wsp:val=&quot;00CA4ABE&quot;/&gt;&lt;wsp:rsid wsp:val=&quot;00CA4D91&quot;/&gt;&lt;wsp:rsid wsp:val=&quot;00CA4F97&quot;/&gt;&lt;wsp:rsid wsp:val=&quot;00CA5411&quot;/&gt;&lt;wsp:rsid wsp:val=&quot;00CA566E&quot;/&gt;&lt;wsp:rsid wsp:val=&quot;00CA5785&quot;/&gt;&lt;wsp:rsid wsp:val=&quot;00CA5995&quot;/&gt;&lt;wsp:rsid wsp:val=&quot;00CA59BD&quot;/&gt;&lt;wsp:rsid wsp:val=&quot;00CA59CE&quot;/&gt;&lt;wsp:rsid wsp:val=&quot;00CA5A03&quot;/&gt;&lt;wsp:rsid wsp:val=&quot;00CA5E9D&quot;/&gt;&lt;wsp:rsid wsp:val=&quot;00CA5F9D&quot;/&gt;&lt;wsp:rsid wsp:val=&quot;00CA6226&quot;/&gt;&lt;wsp:rsid wsp:val=&quot;00CA6DD1&quot;/&gt;&lt;wsp:rsid wsp:val=&quot;00CA6F17&quot;/&gt;&lt;wsp:rsid wsp:val=&quot;00CA710D&quot;/&gt;&lt;wsp:rsid wsp:val=&quot;00CA75DC&quot;/&gt;&lt;wsp:rsid wsp:val=&quot;00CA77C5&quot;/&gt;&lt;wsp:rsid wsp:val=&quot;00CA7B22&quot;/&gt;&lt;wsp:rsid wsp:val=&quot;00CA7B5B&quot;/&gt;&lt;wsp:rsid wsp:val=&quot;00CB003B&quot;/&gt;&lt;wsp:rsid wsp:val=&quot;00CB0156&quot;/&gt;&lt;wsp:rsid wsp:val=&quot;00CB0202&quot;/&gt;&lt;wsp:rsid wsp:val=&quot;00CB0573&quot;/&gt;&lt;wsp:rsid wsp:val=&quot;00CB0D41&quot;/&gt;&lt;wsp:rsid wsp:val=&quot;00CB1083&quot;/&gt;&lt;wsp:rsid wsp:val=&quot;00CB1320&quot;/&gt;&lt;wsp:rsid wsp:val=&quot;00CB132D&quot;/&gt;&lt;wsp:rsid wsp:val=&quot;00CB151F&quot;/&gt;&lt;wsp:rsid wsp:val=&quot;00CB1689&quot;/&gt;&lt;wsp:rsid wsp:val=&quot;00CB172E&quot;/&gt;&lt;wsp:rsid wsp:val=&quot;00CB199D&quot;/&gt;&lt;wsp:rsid wsp:val=&quot;00CB1A7B&quot;/&gt;&lt;wsp:rsid wsp:val=&quot;00CB1B1D&quot;/&gt;&lt;wsp:rsid wsp:val=&quot;00CB1B82&quot;/&gt;&lt;wsp:rsid wsp:val=&quot;00CB202C&quot;/&gt;&lt;wsp:rsid wsp:val=&quot;00CB2516&quot;/&gt;&lt;wsp:rsid wsp:val=&quot;00CB27B5&quot;/&gt;&lt;wsp:rsid wsp:val=&quot;00CB2B89&quot;/&gt;&lt;wsp:rsid wsp:val=&quot;00CB328F&quot;/&gt;&lt;wsp:rsid wsp:val=&quot;00CB329C&quot;/&gt;&lt;wsp:rsid wsp:val=&quot;00CB3909&quot;/&gt;&lt;wsp:rsid wsp:val=&quot;00CB4593&quot;/&gt;&lt;wsp:rsid wsp:val=&quot;00CB483B&quot;/&gt;&lt;wsp:rsid wsp:val=&quot;00CB4AFB&quot;/&gt;&lt;wsp:rsid wsp:val=&quot;00CB4CD8&quot;/&gt;&lt;wsp:rsid wsp:val=&quot;00CB4D49&quot;/&gt;&lt;wsp:rsid wsp:val=&quot;00CB4FA1&quot;/&gt;&lt;wsp:rsid wsp:val=&quot;00CB5103&quot;/&gt;&lt;wsp:rsid wsp:val=&quot;00CB5152&quot;/&gt;&lt;wsp:rsid wsp:val=&quot;00CB546D&quot;/&gt;&lt;wsp:rsid wsp:val=&quot;00CB5929&quot;/&gt;&lt;wsp:rsid wsp:val=&quot;00CB5C42&quot;/&gt;&lt;wsp:rsid wsp:val=&quot;00CB5F5C&quot;/&gt;&lt;wsp:rsid wsp:val=&quot;00CB6043&quot;/&gt;&lt;wsp:rsid wsp:val=&quot;00CB6682&quot;/&gt;&lt;wsp:rsid wsp:val=&quot;00CB6751&quot;/&gt;&lt;wsp:rsid wsp:val=&quot;00CB6E9C&quot;/&gt;&lt;wsp:rsid wsp:val=&quot;00CB6F1A&quot;/&gt;&lt;wsp:rsid wsp:val=&quot;00CB72FE&quot;/&gt;&lt;wsp:rsid wsp:val=&quot;00CB74E2&quot;/&gt;&lt;wsp:rsid wsp:val=&quot;00CB7B92&quot;/&gt;&lt;wsp:rsid wsp:val=&quot;00CC0AC6&quot;/&gt;&lt;wsp:rsid wsp:val=&quot;00CC0BEE&quot;/&gt;&lt;wsp:rsid wsp:val=&quot;00CC0DEA&quot;/&gt;&lt;wsp:rsid wsp:val=&quot;00CC11F2&quot;/&gt;&lt;wsp:rsid wsp:val=&quot;00CC1C55&quot;/&gt;&lt;wsp:rsid wsp:val=&quot;00CC2005&quot;/&gt;&lt;wsp:rsid wsp:val=&quot;00CC209D&quot;/&gt;&lt;wsp:rsid wsp:val=&quot;00CC20AB&quot;/&gt;&lt;wsp:rsid wsp:val=&quot;00CC2728&quot;/&gt;&lt;wsp:rsid wsp:val=&quot;00CC2F68&quot;/&gt;&lt;wsp:rsid wsp:val=&quot;00CC34AF&quot;/&gt;&lt;wsp:rsid wsp:val=&quot;00CC3542&quot;/&gt;&lt;wsp:rsid wsp:val=&quot;00CC38F1&quot;/&gt;&lt;wsp:rsid wsp:val=&quot;00CC3DF6&quot;/&gt;&lt;wsp:rsid wsp:val=&quot;00CC4085&quot;/&gt;&lt;wsp:rsid wsp:val=&quot;00CC4262&quot;/&gt;&lt;wsp:rsid wsp:val=&quot;00CC4441&quot;/&gt;&lt;wsp:rsid wsp:val=&quot;00CC467E&quot;/&gt;&lt;wsp:rsid wsp:val=&quot;00CC471B&quot;/&gt;&lt;wsp:rsid wsp:val=&quot;00CC47EC&quot;/&gt;&lt;wsp:rsid wsp:val=&quot;00CC498E&quot;/&gt;&lt;wsp:rsid wsp:val=&quot;00CC4A83&quot;/&gt;&lt;wsp:rsid wsp:val=&quot;00CC4BB8&quot;/&gt;&lt;wsp:rsid wsp:val=&quot;00CC4BCF&quot;/&gt;&lt;wsp:rsid wsp:val=&quot;00CC4D1E&quot;/&gt;&lt;wsp:rsid wsp:val=&quot;00CC5463&quot;/&gt;&lt;wsp:rsid wsp:val=&quot;00CC5C7C&quot;/&gt;&lt;wsp:rsid wsp:val=&quot;00CC5CCC&quot;/&gt;&lt;wsp:rsid wsp:val=&quot;00CC5ED7&quot;/&gt;&lt;wsp:rsid wsp:val=&quot;00CC6171&quot;/&gt;&lt;wsp:rsid wsp:val=&quot;00CC6272&quot;/&gt;&lt;wsp:rsid wsp:val=&quot;00CC6688&quot;/&gt;&lt;wsp:rsid wsp:val=&quot;00CC699F&quot;/&gt;&lt;wsp:rsid wsp:val=&quot;00CC6FE8&quot;/&gt;&lt;wsp:rsid wsp:val=&quot;00CC726C&quot;/&gt;&lt;wsp:rsid wsp:val=&quot;00CC727D&quot;/&gt;&lt;wsp:rsid wsp:val=&quot;00CC742A&quot;/&gt;&lt;wsp:rsid wsp:val=&quot;00CC7468&quot;/&gt;&lt;wsp:rsid wsp:val=&quot;00CC785A&quot;/&gt;&lt;wsp:rsid wsp:val=&quot;00CC78B3&quot;/&gt;&lt;wsp:rsid wsp:val=&quot;00CC797D&quot;/&gt;&lt;wsp:rsid wsp:val=&quot;00CD01C7&quot;/&gt;&lt;wsp:rsid wsp:val=&quot;00CD045F&quot;/&gt;&lt;wsp:rsid wsp:val=&quot;00CD061A&quot;/&gt;&lt;wsp:rsid wsp:val=&quot;00CD08BC&quot;/&gt;&lt;wsp:rsid wsp:val=&quot;00CD0FAA&quot;/&gt;&lt;wsp:rsid wsp:val=&quot;00CD12C9&quot;/&gt;&lt;wsp:rsid wsp:val=&quot;00CD1393&quot;/&gt;&lt;wsp:rsid wsp:val=&quot;00CD1C3A&quot;/&gt;&lt;wsp:rsid wsp:val=&quot;00CD26F4&quot;/&gt;&lt;wsp:rsid wsp:val=&quot;00CD2867&quot;/&gt;&lt;wsp:rsid wsp:val=&quot;00CD2B4B&quot;/&gt;&lt;wsp:rsid wsp:val=&quot;00CD2BAE&quot;/&gt;&lt;wsp:rsid wsp:val=&quot;00CD2EB1&quot;/&gt;&lt;wsp:rsid wsp:val=&quot;00CD3520&quot;/&gt;&lt;wsp:rsid wsp:val=&quot;00CD355B&quot;/&gt;&lt;wsp:rsid wsp:val=&quot;00CD404A&quot;/&gt;&lt;wsp:rsid wsp:val=&quot;00CD430B&quot;/&gt;&lt;wsp:rsid wsp:val=&quot;00CD48FF&quot;/&gt;&lt;wsp:rsid wsp:val=&quot;00CD4C7F&quot;/&gt;&lt;wsp:rsid wsp:val=&quot;00CD5C81&quot;/&gt;&lt;wsp:rsid wsp:val=&quot;00CD6220&quot;/&gt;&lt;wsp:rsid wsp:val=&quot;00CD6441&quot;/&gt;&lt;wsp:rsid wsp:val=&quot;00CD6504&quot;/&gt;&lt;wsp:rsid wsp:val=&quot;00CD6E20&quot;/&gt;&lt;wsp:rsid wsp:val=&quot;00CD7198&quot;/&gt;&lt;wsp:rsid wsp:val=&quot;00CD7668&quot;/&gt;&lt;wsp:rsid wsp:val=&quot;00CD7804&quot;/&gt;&lt;wsp:rsid wsp:val=&quot;00CD7AC7&quot;/&gt;&lt;wsp:rsid wsp:val=&quot;00CD7ACE&quot;/&gt;&lt;wsp:rsid wsp:val=&quot;00CD7B2C&quot;/&gt;&lt;wsp:rsid wsp:val=&quot;00CD7B44&quot;/&gt;&lt;wsp:rsid wsp:val=&quot;00CE0081&quot;/&gt;&lt;wsp:rsid wsp:val=&quot;00CE058A&quot;/&gt;&lt;wsp:rsid wsp:val=&quot;00CE0631&quot;/&gt;&lt;wsp:rsid wsp:val=&quot;00CE129C&quot;/&gt;&lt;wsp:rsid wsp:val=&quot;00CE12A5&quot;/&gt;&lt;wsp:rsid wsp:val=&quot;00CE155F&quot;/&gt;&lt;wsp:rsid wsp:val=&quot;00CE1A5E&quot;/&gt;&lt;wsp:rsid wsp:val=&quot;00CE26A0&quot;/&gt;&lt;wsp:rsid wsp:val=&quot;00CE28BA&quot;/&gt;&lt;wsp:rsid wsp:val=&quot;00CE2D73&quot;/&gt;&lt;wsp:rsid wsp:val=&quot;00CE3AC2&quot;/&gt;&lt;wsp:rsid wsp:val=&quot;00CE3FD4&quot;/&gt;&lt;wsp:rsid wsp:val=&quot;00CE41C2&quot;/&gt;&lt;wsp:rsid wsp:val=&quot;00CE4428&quot;/&gt;&lt;wsp:rsid wsp:val=&quot;00CE44C9&quot;/&gt;&lt;wsp:rsid wsp:val=&quot;00CE476C&quot;/&gt;&lt;wsp:rsid wsp:val=&quot;00CE4CBD&quot;/&gt;&lt;wsp:rsid wsp:val=&quot;00CE4DBB&quot;/&gt;&lt;wsp:rsid wsp:val=&quot;00CE5383&quot;/&gt;&lt;wsp:rsid wsp:val=&quot;00CE5797&quot;/&gt;&lt;wsp:rsid wsp:val=&quot;00CE593C&quot;/&gt;&lt;wsp:rsid wsp:val=&quot;00CE5C31&quot;/&gt;&lt;wsp:rsid wsp:val=&quot;00CE60FB&quot;/&gt;&lt;wsp:rsid wsp:val=&quot;00CE629A&quot;/&gt;&lt;wsp:rsid wsp:val=&quot;00CE64A0&quot;/&gt;&lt;wsp:rsid wsp:val=&quot;00CE6BF3&quot;/&gt;&lt;wsp:rsid wsp:val=&quot;00CE6BFC&quot;/&gt;&lt;wsp:rsid wsp:val=&quot;00CE6C66&quot;/&gt;&lt;wsp:rsid wsp:val=&quot;00CE6F6E&quot;/&gt;&lt;wsp:rsid wsp:val=&quot;00CE6FE1&quot;/&gt;&lt;wsp:rsid wsp:val=&quot;00CE727C&quot;/&gt;&lt;wsp:rsid wsp:val=&quot;00CE72DB&quot;/&gt;&lt;wsp:rsid wsp:val=&quot;00CE7640&quot;/&gt;&lt;wsp:rsid wsp:val=&quot;00CE784A&quot;/&gt;&lt;wsp:rsid wsp:val=&quot;00CE786B&quot;/&gt;&lt;wsp:rsid wsp:val=&quot;00CE7AFA&quot;/&gt;&lt;wsp:rsid wsp:val=&quot;00CF05C5&quot;/&gt;&lt;wsp:rsid wsp:val=&quot;00CF0B15&quot;/&gt;&lt;wsp:rsid wsp:val=&quot;00CF0B87&quot;/&gt;&lt;wsp:rsid wsp:val=&quot;00CF0E09&quot;/&gt;&lt;wsp:rsid wsp:val=&quot;00CF1211&quot;/&gt;&lt;wsp:rsid wsp:val=&quot;00CF1532&quot;/&gt;&lt;wsp:rsid wsp:val=&quot;00CF194C&quot;/&gt;&lt;wsp:rsid wsp:val=&quot;00CF1B1D&quot;/&gt;&lt;wsp:rsid wsp:val=&quot;00CF1B33&quot;/&gt;&lt;wsp:rsid wsp:val=&quot;00CF1BAA&quot;/&gt;&lt;wsp:rsid wsp:val=&quot;00CF25D4&quot;/&gt;&lt;wsp:rsid wsp:val=&quot;00CF26E8&quot;/&gt;&lt;wsp:rsid wsp:val=&quot;00CF274C&quot;/&gt;&lt;wsp:rsid wsp:val=&quot;00CF29C2&quot;/&gt;&lt;wsp:rsid wsp:val=&quot;00CF2D6F&quot;/&gt;&lt;wsp:rsid wsp:val=&quot;00CF2DF1&quot;/&gt;&lt;wsp:rsid wsp:val=&quot;00CF302F&quot;/&gt;&lt;wsp:rsid wsp:val=&quot;00CF3EA1&quot;/&gt;&lt;wsp:rsid wsp:val=&quot;00CF41C1&quot;/&gt;&lt;wsp:rsid wsp:val=&quot;00CF46F7&quot;/&gt;&lt;wsp:rsid wsp:val=&quot;00CF4FF9&quot;/&gt;&lt;wsp:rsid wsp:val=&quot;00CF523B&quot;/&gt;&lt;wsp:rsid wsp:val=&quot;00CF59C8&quot;/&gt;&lt;wsp:rsid wsp:val=&quot;00CF6182&quot;/&gt;&lt;wsp:rsid wsp:val=&quot;00CF65C2&quot;/&gt;&lt;wsp:rsid wsp:val=&quot;00CF6972&quot;/&gt;&lt;wsp:rsid wsp:val=&quot;00CF7501&quot;/&gt;&lt;wsp:rsid wsp:val=&quot;00CF7B8A&quot;/&gt;&lt;wsp:rsid wsp:val=&quot;00CF7D29&quot;/&gt;&lt;wsp:rsid wsp:val=&quot;00D0020A&quot;/&gt;&lt;wsp:rsid wsp:val=&quot;00D00667&quot;/&gt;&lt;wsp:rsid wsp:val=&quot;00D00EBD&quot;/&gt;&lt;wsp:rsid wsp:val=&quot;00D01230&quot;/&gt;&lt;wsp:rsid wsp:val=&quot;00D01265&quot;/&gt;&lt;wsp:rsid wsp:val=&quot;00D01332&quot;/&gt;&lt;wsp:rsid wsp:val=&quot;00D016B2&quot;/&gt;&lt;wsp:rsid wsp:val=&quot;00D016DA&quot;/&gt;&lt;wsp:rsid wsp:val=&quot;00D017F8&quot;/&gt;&lt;wsp:rsid wsp:val=&quot;00D0190A&quot;/&gt;&lt;wsp:rsid wsp:val=&quot;00D01E63&quot;/&gt;&lt;wsp:rsid wsp:val=&quot;00D01F91&quot;/&gt;&lt;wsp:rsid wsp:val=&quot;00D022EC&quot;/&gt;&lt;wsp:rsid wsp:val=&quot;00D02351&quot;/&gt;&lt;wsp:rsid wsp:val=&quot;00D029B2&quot;/&gt;&lt;wsp:rsid wsp:val=&quot;00D02A42&quot;/&gt;&lt;wsp:rsid wsp:val=&quot;00D02CF2&quot;/&gt;&lt;wsp:rsid wsp:val=&quot;00D02D0B&quot;/&gt;&lt;wsp:rsid wsp:val=&quot;00D03088&quot;/&gt;&lt;wsp:rsid wsp:val=&quot;00D0319C&quot;/&gt;&lt;wsp:rsid wsp:val=&quot;00D03DBF&quot;/&gt;&lt;wsp:rsid wsp:val=&quot;00D05685&quot;/&gt;&lt;wsp:rsid wsp:val=&quot;00D05748&quot;/&gt;&lt;wsp:rsid wsp:val=&quot;00D058C3&quot;/&gt;&lt;wsp:rsid wsp:val=&quot;00D05A7A&quot;/&gt;&lt;wsp:rsid wsp:val=&quot;00D05BFC&quot;/&gt;&lt;wsp:rsid wsp:val=&quot;00D05E04&quot;/&gt;&lt;wsp:rsid wsp:val=&quot;00D06AA5&quot;/&gt;&lt;wsp:rsid wsp:val=&quot;00D06AB9&quot;/&gt;&lt;wsp:rsid wsp:val=&quot;00D06C5F&quot;/&gt;&lt;wsp:rsid wsp:val=&quot;00D073D3&quot;/&gt;&lt;wsp:rsid wsp:val=&quot;00D07537&quot;/&gt;&lt;wsp:rsid wsp:val=&quot;00D07572&quot;/&gt;&lt;wsp:rsid wsp:val=&quot;00D076EE&quot;/&gt;&lt;wsp:rsid wsp:val=&quot;00D0775A&quot;/&gt;&lt;wsp:rsid wsp:val=&quot;00D0795C&quot;/&gt;&lt;wsp:rsid wsp:val=&quot;00D07C74&quot;/&gt;&lt;wsp:rsid wsp:val=&quot;00D07C7F&quot;/&gt;&lt;wsp:rsid wsp:val=&quot;00D07D01&quot;/&gt;&lt;wsp:rsid wsp:val=&quot;00D07DB6&quot;/&gt;&lt;wsp:rsid wsp:val=&quot;00D07DEF&quot;/&gt;&lt;wsp:rsid wsp:val=&quot;00D07FE7&quot;/&gt;&lt;wsp:rsid wsp:val=&quot;00D10430&quot;/&gt;&lt;wsp:rsid wsp:val=&quot;00D10910&quot;/&gt;&lt;wsp:rsid wsp:val=&quot;00D109BF&quot;/&gt;&lt;wsp:rsid wsp:val=&quot;00D10D11&quot;/&gt;&lt;wsp:rsid wsp:val=&quot;00D10D61&quot;/&gt;&lt;wsp:rsid wsp:val=&quot;00D111D1&quot;/&gt;&lt;wsp:rsid wsp:val=&quot;00D11589&quot;/&gt;&lt;wsp:rsid wsp:val=&quot;00D115E9&quot;/&gt;&lt;wsp:rsid wsp:val=&quot;00D116F1&quot;/&gt;&lt;wsp:rsid wsp:val=&quot;00D1188F&quot;/&gt;&lt;wsp:rsid wsp:val=&quot;00D11C23&quot;/&gt;&lt;wsp:rsid wsp:val=&quot;00D11EAC&quot;/&gt;&lt;wsp:rsid wsp:val=&quot;00D129DD&quot;/&gt;&lt;wsp:rsid wsp:val=&quot;00D12A82&quot;/&gt;&lt;wsp:rsid wsp:val=&quot;00D13744&quot;/&gt;&lt;wsp:rsid wsp:val=&quot;00D1408A&quot;/&gt;&lt;wsp:rsid wsp:val=&quot;00D1431E&quot;/&gt;&lt;wsp:rsid wsp:val=&quot;00D143B4&quot;/&gt;&lt;wsp:rsid wsp:val=&quot;00D143BE&quot;/&gt;&lt;wsp:rsid wsp:val=&quot;00D14435&quot;/&gt;&lt;wsp:rsid wsp:val=&quot;00D14E71&quot;/&gt;&lt;wsp:rsid wsp:val=&quot;00D1523A&quot;/&gt;&lt;wsp:rsid wsp:val=&quot;00D155A9&quot;/&gt;&lt;wsp:rsid wsp:val=&quot;00D15A67&quot;/&gt;&lt;wsp:rsid wsp:val=&quot;00D15F4F&quot;/&gt;&lt;wsp:rsid wsp:val=&quot;00D1600F&quot;/&gt;&lt;wsp:rsid wsp:val=&quot;00D160D9&quot;/&gt;&lt;wsp:rsid wsp:val=&quot;00D1650A&quot;/&gt;&lt;wsp:rsid wsp:val=&quot;00D16FE4&quot;/&gt;&lt;wsp:rsid wsp:val=&quot;00D17024&quot;/&gt;&lt;wsp:rsid wsp:val=&quot;00D17222&quot;/&gt;&lt;wsp:rsid wsp:val=&quot;00D17560&quot;/&gt;&lt;wsp:rsid wsp:val=&quot;00D17821&quot;/&gt;&lt;wsp:rsid wsp:val=&quot;00D17A67&quot;/&gt;&lt;wsp:rsid wsp:val=&quot;00D17B73&quot;/&gt;&lt;wsp:rsid wsp:val=&quot;00D17BA2&quot;/&gt;&lt;wsp:rsid wsp:val=&quot;00D17CF4&quot;/&gt;&lt;wsp:rsid wsp:val=&quot;00D20B61&quot;/&gt;&lt;wsp:rsid wsp:val=&quot;00D218E0&quot;/&gt;&lt;wsp:rsid wsp:val=&quot;00D21CB4&quot;/&gt;&lt;wsp:rsid wsp:val=&quot;00D21D30&quot;/&gt;&lt;wsp:rsid wsp:val=&quot;00D22121&quot;/&gt;&lt;wsp:rsid wsp:val=&quot;00D222EF&quot;/&gt;&lt;wsp:rsid wsp:val=&quot;00D22652&quot;/&gt;&lt;wsp:rsid wsp:val=&quot;00D22C6A&quot;/&gt;&lt;wsp:rsid wsp:val=&quot;00D22D7C&quot;/&gt;&lt;wsp:rsid wsp:val=&quot;00D22E98&quot;/&gt;&lt;wsp:rsid wsp:val=&quot;00D2313D&quot;/&gt;&lt;wsp:rsid wsp:val=&quot;00D23C9E&quot;/&gt;&lt;wsp:rsid wsp:val=&quot;00D23E27&quot;/&gt;&lt;wsp:rsid wsp:val=&quot;00D23E33&quot;/&gt;&lt;wsp:rsid wsp:val=&quot;00D24612&quot;/&gt;&lt;wsp:rsid wsp:val=&quot;00D24A52&quot;/&gt;&lt;wsp:rsid wsp:val=&quot;00D24A93&quot;/&gt;&lt;wsp:rsid wsp:val=&quot;00D24D8E&quot;/&gt;&lt;wsp:rsid wsp:val=&quot;00D24E19&quot;/&gt;&lt;wsp:rsid wsp:val=&quot;00D24FEB&quot;/&gt;&lt;wsp:rsid wsp:val=&quot;00D2516A&quot;/&gt;&lt;wsp:rsid wsp:val=&quot;00D255E5&quot;/&gt;&lt;wsp:rsid wsp:val=&quot;00D25B70&quot;/&gt;&lt;wsp:rsid wsp:val=&quot;00D262FD&quot;/&gt;&lt;wsp:rsid wsp:val=&quot;00D26377&quot;/&gt;&lt;wsp:rsid wsp:val=&quot;00D26398&quot;/&gt;&lt;wsp:rsid wsp:val=&quot;00D266A1&quot;/&gt;&lt;wsp:rsid wsp:val=&quot;00D268E1&quot;/&gt;&lt;wsp:rsid wsp:val=&quot;00D269E2&quot;/&gt;&lt;wsp:rsid wsp:val=&quot;00D26FB1&quot;/&gt;&lt;wsp:rsid wsp:val=&quot;00D272AE&quot;/&gt;&lt;wsp:rsid wsp:val=&quot;00D27C40&quot;/&gt;&lt;wsp:rsid wsp:val=&quot;00D302C4&quot;/&gt;&lt;wsp:rsid wsp:val=&quot;00D30340&quot;/&gt;&lt;wsp:rsid wsp:val=&quot;00D305D7&quot;/&gt;&lt;wsp:rsid wsp:val=&quot;00D30B22&quot;/&gt;&lt;wsp:rsid wsp:val=&quot;00D30B9B&quot;/&gt;&lt;wsp:rsid wsp:val=&quot;00D311C3&quot;/&gt;&lt;wsp:rsid wsp:val=&quot;00D31281&quot;/&gt;&lt;wsp:rsid wsp:val=&quot;00D31345&quot;/&gt;&lt;wsp:rsid wsp:val=&quot;00D31357&quot;/&gt;&lt;wsp:rsid wsp:val=&quot;00D313CF&quot;/&gt;&lt;wsp:rsid wsp:val=&quot;00D31845&quot;/&gt;&lt;wsp:rsid wsp:val=&quot;00D3184D&quot;/&gt;&lt;wsp:rsid wsp:val=&quot;00D31E30&quot;/&gt;&lt;wsp:rsid wsp:val=&quot;00D32084&quot;/&gt;&lt;wsp:rsid wsp:val=&quot;00D321B5&quot;/&gt;&lt;wsp:rsid wsp:val=&quot;00D322BE&quot;/&gt;&lt;wsp:rsid wsp:val=&quot;00D32A27&quot;/&gt;&lt;wsp:rsid wsp:val=&quot;00D32A29&quot;/&gt;&lt;wsp:rsid wsp:val=&quot;00D339E8&quot;/&gt;&lt;wsp:rsid wsp:val=&quot;00D33E24&quot;/&gt;&lt;wsp:rsid wsp:val=&quot;00D33ECF&quot;/&gt;&lt;wsp:rsid wsp:val=&quot;00D33EE7&quot;/&gt;&lt;wsp:rsid wsp:val=&quot;00D34053&quot;/&gt;&lt;wsp:rsid wsp:val=&quot;00D34338&quot;/&gt;&lt;wsp:rsid wsp:val=&quot;00D3434B&quot;/&gt;&lt;wsp:rsid wsp:val=&quot;00D34394&quot;/&gt;&lt;wsp:rsid wsp:val=&quot;00D34685&quot;/&gt;&lt;wsp:rsid wsp:val=&quot;00D347F9&quot;/&gt;&lt;wsp:rsid wsp:val=&quot;00D34913&quot;/&gt;&lt;wsp:rsid wsp:val=&quot;00D353AB&quot;/&gt;&lt;wsp:rsid wsp:val=&quot;00D353E7&quot;/&gt;&lt;wsp:rsid wsp:val=&quot;00D3540C&quot;/&gt;&lt;wsp:rsid wsp:val=&quot;00D3573F&quot;/&gt;&lt;wsp:rsid wsp:val=&quot;00D35BBE&quot;/&gt;&lt;wsp:rsid wsp:val=&quot;00D3641D&quot;/&gt;&lt;wsp:rsid wsp:val=&quot;00D366FF&quot;/&gt;&lt;wsp:rsid wsp:val=&quot;00D3682E&quot;/&gt;&lt;wsp:rsid wsp:val=&quot;00D36A97&quot;/&gt;&lt;wsp:rsid wsp:val=&quot;00D36F18&quot;/&gt;&lt;wsp:rsid wsp:val=&quot;00D37446&quot;/&gt;&lt;wsp:rsid wsp:val=&quot;00D374BC&quot;/&gt;&lt;wsp:rsid wsp:val=&quot;00D3787C&quot;/&gt;&lt;wsp:rsid wsp:val=&quot;00D37A50&quot;/&gt;&lt;wsp:rsid wsp:val=&quot;00D37BE2&quot;/&gt;&lt;wsp:rsid wsp:val=&quot;00D37BF0&quot;/&gt;&lt;wsp:rsid wsp:val=&quot;00D37E4B&quot;/&gt;&lt;wsp:rsid wsp:val=&quot;00D407DA&quot;/&gt;&lt;wsp:rsid wsp:val=&quot;00D40ABF&quot;/&gt;&lt;wsp:rsid wsp:val=&quot;00D40C3E&quot;/&gt;&lt;wsp:rsid wsp:val=&quot;00D40E65&quot;/&gt;&lt;wsp:rsid wsp:val=&quot;00D40FE9&quot;/&gt;&lt;wsp:rsid wsp:val=&quot;00D416C7&quot;/&gt;&lt;wsp:rsid wsp:val=&quot;00D41C2B&quot;/&gt;&lt;wsp:rsid wsp:val=&quot;00D41E6E&quot;/&gt;&lt;wsp:rsid wsp:val=&quot;00D4221C&quot;/&gt;&lt;wsp:rsid wsp:val=&quot;00D4245B&quot;/&gt;&lt;wsp:rsid wsp:val=&quot;00D424FA&quot;/&gt;&lt;wsp:rsid wsp:val=&quot;00D426A7&quot;/&gt;&lt;wsp:rsid wsp:val=&quot;00D42A7B&quot;/&gt;&lt;wsp:rsid wsp:val=&quot;00D42D3A&quot;/&gt;&lt;wsp:rsid wsp:val=&quot;00D42E16&quot;/&gt;&lt;wsp:rsid wsp:val=&quot;00D430CD&quot;/&gt;&lt;wsp:rsid wsp:val=&quot;00D431F0&quot;/&gt;&lt;wsp:rsid wsp:val=&quot;00D432F8&quot;/&gt;&lt;wsp:rsid wsp:val=&quot;00D4410D&quot;/&gt;&lt;wsp:rsid wsp:val=&quot;00D44206&quot;/&gt;&lt;wsp:rsid wsp:val=&quot;00D445BB&quot;/&gt;&lt;wsp:rsid wsp:val=&quot;00D445FD&quot;/&gt;&lt;wsp:rsid wsp:val=&quot;00D45140&quot;/&gt;&lt;wsp:rsid wsp:val=&quot;00D45359&quot;/&gt;&lt;wsp:rsid wsp:val=&quot;00D4539F&quot;/&gt;&lt;wsp:rsid wsp:val=&quot;00D454EE&quot;/&gt;&lt;wsp:rsid wsp:val=&quot;00D457AA&quot;/&gt;&lt;wsp:rsid wsp:val=&quot;00D45803&quot;/&gt;&lt;wsp:rsid wsp:val=&quot;00D45B5D&quot;/&gt;&lt;wsp:rsid wsp:val=&quot;00D45D7D&quot;/&gt;&lt;wsp:rsid wsp:val=&quot;00D461B7&quot;/&gt;&lt;wsp:rsid wsp:val=&quot;00D464C3&quot;/&gt;&lt;wsp:rsid wsp:val=&quot;00D46B60&quot;/&gt;&lt;wsp:rsid wsp:val=&quot;00D46C68&quot;/&gt;&lt;wsp:rsid wsp:val=&quot;00D47092&quot;/&gt;&lt;wsp:rsid wsp:val=&quot;00D47156&quot;/&gt;&lt;wsp:rsid wsp:val=&quot;00D4717C&quot;/&gt;&lt;wsp:rsid wsp:val=&quot;00D474EB&quot;/&gt;&lt;wsp:rsid wsp:val=&quot;00D478EC&quot;/&gt;&lt;wsp:rsid wsp:val=&quot;00D479C1&quot;/&gt;&lt;wsp:rsid wsp:val=&quot;00D47BEC&quot;/&gt;&lt;wsp:rsid wsp:val=&quot;00D47D77&quot;/&gt;&lt;wsp:rsid wsp:val=&quot;00D47E1C&quot;/&gt;&lt;wsp:rsid wsp:val=&quot;00D506B5&quot;/&gt;&lt;wsp:rsid wsp:val=&quot;00D50A59&quot;/&gt;&lt;wsp:rsid wsp:val=&quot;00D50C38&quot;/&gt;&lt;wsp:rsid wsp:val=&quot;00D50CE0&quot;/&gt;&lt;wsp:rsid wsp:val=&quot;00D50DEF&quot;/&gt;&lt;wsp:rsid wsp:val=&quot;00D5119A&quot;/&gt;&lt;wsp:rsid wsp:val=&quot;00D514F8&quot;/&gt;&lt;wsp:rsid wsp:val=&quot;00D51684&quot;/&gt;&lt;wsp:rsid wsp:val=&quot;00D519D2&quot;/&gt;&lt;wsp:rsid wsp:val=&quot;00D52201&quot;/&gt;&lt;wsp:rsid wsp:val=&quot;00D52C29&quot;/&gt;&lt;wsp:rsid wsp:val=&quot;00D52C40&quot;/&gt;&lt;wsp:rsid wsp:val=&quot;00D52D99&quot;/&gt;&lt;wsp:rsid wsp:val=&quot;00D53A9D&quot;/&gt;&lt;wsp:rsid wsp:val=&quot;00D53C3D&quot;/&gt;&lt;wsp:rsid wsp:val=&quot;00D540A9&quot;/&gt;&lt;wsp:rsid wsp:val=&quot;00D54222&quot;/&gt;&lt;wsp:rsid wsp:val=&quot;00D54784&quot;/&gt;&lt;wsp:rsid wsp:val=&quot;00D54889&quot;/&gt;&lt;wsp:rsid wsp:val=&quot;00D554CF&quot;/&gt;&lt;wsp:rsid wsp:val=&quot;00D554E7&quot;/&gt;&lt;wsp:rsid wsp:val=&quot;00D558A6&quot;/&gt;&lt;wsp:rsid wsp:val=&quot;00D55B1E&quot;/&gt;&lt;wsp:rsid wsp:val=&quot;00D55B7B&quot;/&gt;&lt;wsp:rsid wsp:val=&quot;00D55DDA&quot;/&gt;&lt;wsp:rsid wsp:val=&quot;00D55EA8&quot;/&gt;&lt;wsp:rsid wsp:val=&quot;00D5603A&quot;/&gt;&lt;wsp:rsid wsp:val=&quot;00D5614C&quot;/&gt;&lt;wsp:rsid wsp:val=&quot;00D561AA&quot;/&gt;&lt;wsp:rsid wsp:val=&quot;00D5639B&quot;/&gt;&lt;wsp:rsid wsp:val=&quot;00D5655C&quot;/&gt;&lt;wsp:rsid wsp:val=&quot;00D568D7&quot;/&gt;&lt;wsp:rsid wsp:val=&quot;00D56927&quot;/&gt;&lt;wsp:rsid wsp:val=&quot;00D56B30&quot;/&gt;&lt;wsp:rsid wsp:val=&quot;00D56E9A&quot;/&gt;&lt;wsp:rsid wsp:val=&quot;00D56F33&quot;/&gt;&lt;wsp:rsid wsp:val=&quot;00D57369&quot;/&gt;&lt;wsp:rsid wsp:val=&quot;00D57444&quot;/&gt;&lt;wsp:rsid wsp:val=&quot;00D57D29&quot;/&gt;&lt;wsp:rsid wsp:val=&quot;00D57D89&quot;/&gt;&lt;wsp:rsid wsp:val=&quot;00D6083B&quot;/&gt;&lt;wsp:rsid wsp:val=&quot;00D60BE2&quot;/&gt;&lt;wsp:rsid wsp:val=&quot;00D60C02&quot;/&gt;&lt;wsp:rsid wsp:val=&quot;00D60F96&quot;/&gt;&lt;wsp:rsid wsp:val=&quot;00D61008&quot;/&gt;&lt;wsp:rsid wsp:val=&quot;00D61164&quot;/&gt;&lt;wsp:rsid wsp:val=&quot;00D6129C&quot;/&gt;&lt;wsp:rsid wsp:val=&quot;00D6147C&quot;/&gt;&lt;wsp:rsid wsp:val=&quot;00D618D5&quot;/&gt;&lt;wsp:rsid wsp:val=&quot;00D61BEC&quot;/&gt;&lt;wsp:rsid wsp:val=&quot;00D6218C&quot;/&gt;&lt;wsp:rsid wsp:val=&quot;00D622E0&quot;/&gt;&lt;wsp:rsid wsp:val=&quot;00D62D55&quot;/&gt;&lt;wsp:rsid wsp:val=&quot;00D63071&quot;/&gt;&lt;wsp:rsid wsp:val=&quot;00D63913&quot;/&gt;&lt;wsp:rsid wsp:val=&quot;00D648A8&quot;/&gt;&lt;wsp:rsid wsp:val=&quot;00D64DA8&quot;/&gt;&lt;wsp:rsid wsp:val=&quot;00D64F3C&quot;/&gt;&lt;wsp:rsid wsp:val=&quot;00D6548B&quot;/&gt;&lt;wsp:rsid wsp:val=&quot;00D65B4E&quot;/&gt;&lt;wsp:rsid wsp:val=&quot;00D65FF0&quot;/&gt;&lt;wsp:rsid wsp:val=&quot;00D660C5&quot;/&gt;&lt;wsp:rsid wsp:val=&quot;00D66231&quot;/&gt;&lt;wsp:rsid wsp:val=&quot;00D6624D&quot;/&gt;&lt;wsp:rsid wsp:val=&quot;00D662B3&quot;/&gt;&lt;wsp:rsid wsp:val=&quot;00D66756&quot;/&gt;&lt;wsp:rsid wsp:val=&quot;00D6685E&quot;/&gt;&lt;wsp:rsid wsp:val=&quot;00D66C63&quot;/&gt;&lt;wsp:rsid wsp:val=&quot;00D67184&quot;/&gt;&lt;wsp:rsid wsp:val=&quot;00D672C0&quot;/&gt;&lt;wsp:rsid wsp:val=&quot;00D67A6E&quot;/&gt;&lt;wsp:rsid wsp:val=&quot;00D67DE9&quot;/&gt;&lt;wsp:rsid wsp:val=&quot;00D7013B&quot;/&gt;&lt;wsp:rsid wsp:val=&quot;00D7076D&quot;/&gt;&lt;wsp:rsid wsp:val=&quot;00D707E1&quot;/&gt;&lt;wsp:rsid wsp:val=&quot;00D70823&quot;/&gt;&lt;wsp:rsid wsp:val=&quot;00D716C4&quot;/&gt;&lt;wsp:rsid wsp:val=&quot;00D721EA&quot;/&gt;&lt;wsp:rsid wsp:val=&quot;00D72373&quot;/&gt;&lt;wsp:rsid wsp:val=&quot;00D723EB&quot;/&gt;&lt;wsp:rsid wsp:val=&quot;00D72681&quot;/&gt;&lt;wsp:rsid wsp:val=&quot;00D72769&quot;/&gt;&lt;wsp:rsid wsp:val=&quot;00D72BCD&quot;/&gt;&lt;wsp:rsid wsp:val=&quot;00D72E56&quot;/&gt;&lt;wsp:rsid wsp:val=&quot;00D72F53&quot;/&gt;&lt;wsp:rsid wsp:val=&quot;00D730E8&quot;/&gt;&lt;wsp:rsid wsp:val=&quot;00D7370C&quot;/&gt;&lt;wsp:rsid wsp:val=&quot;00D73D53&quot;/&gt;&lt;wsp:rsid wsp:val=&quot;00D73F86&quot;/&gt;&lt;wsp:rsid wsp:val=&quot;00D74094&quot;/&gt;&lt;wsp:rsid wsp:val=&quot;00D74481&quot;/&gt;&lt;wsp:rsid wsp:val=&quot;00D74527&quot;/&gt;&lt;wsp:rsid wsp:val=&quot;00D7481B&quot;/&gt;&lt;wsp:rsid wsp:val=&quot;00D749FC&quot;/&gt;&lt;wsp:rsid wsp:val=&quot;00D74C11&quot;/&gt;&lt;wsp:rsid wsp:val=&quot;00D74D3F&quot;/&gt;&lt;wsp:rsid wsp:val=&quot;00D751DB&quot;/&gt;&lt;wsp:rsid wsp:val=&quot;00D7528F&quot;/&gt;&lt;wsp:rsid wsp:val=&quot;00D75433&quot;/&gt;&lt;wsp:rsid wsp:val=&quot;00D755AD&quot;/&gt;&lt;wsp:rsid wsp:val=&quot;00D75A80&quot;/&gt;&lt;wsp:rsid wsp:val=&quot;00D75AA0&quot;/&gt;&lt;wsp:rsid wsp:val=&quot;00D75B77&quot;/&gt;&lt;wsp:rsid wsp:val=&quot;00D75EAE&quot;/&gt;&lt;wsp:rsid wsp:val=&quot;00D760E9&quot;/&gt;&lt;wsp:rsid wsp:val=&quot;00D763BB&quot;/&gt;&lt;wsp:rsid wsp:val=&quot;00D7658D&quot;/&gt;&lt;wsp:rsid wsp:val=&quot;00D76CEC&quot;/&gt;&lt;wsp:rsid wsp:val=&quot;00D76EDF&quot;/&gt;&lt;wsp:rsid wsp:val=&quot;00D77616&quot;/&gt;&lt;wsp:rsid wsp:val=&quot;00D77691&quot;/&gt;&lt;wsp:rsid wsp:val=&quot;00D778A2&quot;/&gt;&lt;wsp:rsid wsp:val=&quot;00D779C4&quot;/&gt;&lt;wsp:rsid wsp:val=&quot;00D77E2B&quot;/&gt;&lt;wsp:rsid wsp:val=&quot;00D77E95&quot;/&gt;&lt;wsp:rsid wsp:val=&quot;00D77F70&quot;/&gt;&lt;wsp:rsid wsp:val=&quot;00D80520&quot;/&gt;&lt;wsp:rsid wsp:val=&quot;00D8058C&quot;/&gt;&lt;wsp:rsid wsp:val=&quot;00D806FA&quot;/&gt;&lt;wsp:rsid wsp:val=&quot;00D807EF&quot;/&gt;&lt;wsp:rsid wsp:val=&quot;00D80938&quot;/&gt;&lt;wsp:rsid wsp:val=&quot;00D80ACF&quot;/&gt;&lt;wsp:rsid wsp:val=&quot;00D80CDC&quot;/&gt;&lt;wsp:rsid wsp:val=&quot;00D80FB9&quot;/&gt;&lt;wsp:rsid wsp:val=&quot;00D81494&quot;/&gt;&lt;wsp:rsid wsp:val=&quot;00D8149E&quot;/&gt;&lt;wsp:rsid wsp:val=&quot;00D814F1&quot;/&gt;&lt;wsp:rsid wsp:val=&quot;00D816B7&quot;/&gt;&lt;wsp:rsid wsp:val=&quot;00D81E90&quot;/&gt;&lt;wsp:rsid wsp:val=&quot;00D81EAF&quot;/&gt;&lt;wsp:rsid wsp:val=&quot;00D81FC4&quot;/&gt;&lt;wsp:rsid wsp:val=&quot;00D82BD0&quot;/&gt;&lt;wsp:rsid wsp:val=&quot;00D830D9&quot;/&gt;&lt;wsp:rsid wsp:val=&quot;00D831CE&quot;/&gt;&lt;wsp:rsid wsp:val=&quot;00D8322F&quot;/&gt;&lt;wsp:rsid wsp:val=&quot;00D839DB&quot;/&gt;&lt;wsp:rsid wsp:val=&quot;00D83BAE&quot;/&gt;&lt;wsp:rsid wsp:val=&quot;00D84562&quot;/&gt;&lt;wsp:rsid wsp:val=&quot;00D8475F&quot;/&gt;&lt;wsp:rsid wsp:val=&quot;00D84BB3&quot;/&gt;&lt;wsp:rsid wsp:val=&quot;00D857FC&quot;/&gt;&lt;wsp:rsid wsp:val=&quot;00D85809&quot;/&gt;&lt;wsp:rsid wsp:val=&quot;00D85D20&quot;/&gt;&lt;wsp:rsid wsp:val=&quot;00D85D5B&quot;/&gt;&lt;wsp:rsid wsp:val=&quot;00D85DA6&quot;/&gt;&lt;wsp:rsid wsp:val=&quot;00D85EB2&quot;/&gt;&lt;wsp:rsid wsp:val=&quot;00D85FA7&quot;/&gt;&lt;wsp:rsid wsp:val=&quot;00D865C4&quot;/&gt;&lt;wsp:rsid wsp:val=&quot;00D866FE&quot;/&gt;&lt;wsp:rsid wsp:val=&quot;00D87019&quot;/&gt;&lt;wsp:rsid wsp:val=&quot;00D90090&quot;/&gt;&lt;wsp:rsid wsp:val=&quot;00D90246&quot;/&gt;&lt;wsp:rsid wsp:val=&quot;00D90342&quot;/&gt;&lt;wsp:rsid wsp:val=&quot;00D908AD&quot;/&gt;&lt;wsp:rsid wsp:val=&quot;00D91043&quot;/&gt;&lt;wsp:rsid wsp:val=&quot;00D912C9&quot;/&gt;&lt;wsp:rsid wsp:val=&quot;00D912E2&quot;/&gt;&lt;wsp:rsid wsp:val=&quot;00D91952&quot;/&gt;&lt;wsp:rsid wsp:val=&quot;00D91F67&quot;/&gt;&lt;wsp:rsid wsp:val=&quot;00D9213D&quot;/&gt;&lt;wsp:rsid wsp:val=&quot;00D92144&quot;/&gt;&lt;wsp:rsid wsp:val=&quot;00D92415&quot;/&gt;&lt;wsp:rsid wsp:val=&quot;00D927CC&quot;/&gt;&lt;wsp:rsid wsp:val=&quot;00D9305D&quot;/&gt;&lt;wsp:rsid wsp:val=&quot;00D935D7&quot;/&gt;&lt;wsp:rsid wsp:val=&quot;00D93760&quot;/&gt;&lt;wsp:rsid wsp:val=&quot;00D93C85&quot;/&gt;&lt;wsp:rsid wsp:val=&quot;00D93DF8&quot;/&gt;&lt;wsp:rsid wsp:val=&quot;00D94218&quot;/&gt;&lt;wsp:rsid wsp:val=&quot;00D94519&quot;/&gt;&lt;wsp:rsid wsp:val=&quot;00D94ECC&quot;/&gt;&lt;wsp:rsid wsp:val=&quot;00D95096&quot;/&gt;&lt;wsp:rsid wsp:val=&quot;00D95B00&quot;/&gt;&lt;wsp:rsid wsp:val=&quot;00D95D66&quot;/&gt;&lt;wsp:rsid wsp:val=&quot;00D95DA7&quot;/&gt;&lt;wsp:rsid wsp:val=&quot;00D95E0B&quot;/&gt;&lt;wsp:rsid wsp:val=&quot;00D9629F&quot;/&gt;&lt;wsp:rsid wsp:val=&quot;00D9646A&quot;/&gt;&lt;wsp:rsid wsp:val=&quot;00D96549&quot;/&gt;&lt;wsp:rsid wsp:val=&quot;00D966E7&quot;/&gt;&lt;wsp:rsid wsp:val=&quot;00D97049&quot;/&gt;&lt;wsp:rsid wsp:val=&quot;00D97138&quot;/&gt;&lt;wsp:rsid wsp:val=&quot;00D972AC&quot;/&gt;&lt;wsp:rsid wsp:val=&quot;00D9734F&quot;/&gt;&lt;wsp:rsid wsp:val=&quot;00D97D4F&quot;/&gt;&lt;wsp:rsid wsp:val=&quot;00D97D96&quot;/&gt;&lt;wsp:rsid wsp:val=&quot;00DA016B&quot;/&gt;&lt;wsp:rsid wsp:val=&quot;00DA05F1&quot;/&gt;&lt;wsp:rsid wsp:val=&quot;00DA1068&quot;/&gt;&lt;wsp:rsid wsp:val=&quot;00DA1272&quot;/&gt;&lt;wsp:rsid wsp:val=&quot;00DA1B0B&quot;/&gt;&lt;wsp:rsid wsp:val=&quot;00DA205E&quot;/&gt;&lt;wsp:rsid wsp:val=&quot;00DA2380&quot;/&gt;&lt;wsp:rsid wsp:val=&quot;00DA23F4&quot;/&gt;&lt;wsp:rsid wsp:val=&quot;00DA252E&quot;/&gt;&lt;wsp:rsid wsp:val=&quot;00DA259B&quot;/&gt;&lt;wsp:rsid wsp:val=&quot;00DA291C&quot;/&gt;&lt;wsp:rsid wsp:val=&quot;00DA3002&quot;/&gt;&lt;wsp:rsid wsp:val=&quot;00DA3287&quot;/&gt;&lt;wsp:rsid wsp:val=&quot;00DA3439&quot;/&gt;&lt;wsp:rsid wsp:val=&quot;00DA375D&quot;/&gt;&lt;wsp:rsid wsp:val=&quot;00DA3BA7&quot;/&gt;&lt;wsp:rsid wsp:val=&quot;00DA45ED&quot;/&gt;&lt;wsp:rsid wsp:val=&quot;00DA4797&quot;/&gt;&lt;wsp:rsid wsp:val=&quot;00DA4920&quot;/&gt;&lt;wsp:rsid wsp:val=&quot;00DA49C9&quot;/&gt;&lt;wsp:rsid wsp:val=&quot;00DA4B18&quot;/&gt;&lt;wsp:rsid wsp:val=&quot;00DA4E56&quot;/&gt;&lt;wsp:rsid wsp:val=&quot;00DA5182&quot;/&gt;&lt;wsp:rsid wsp:val=&quot;00DA5399&quot;/&gt;&lt;wsp:rsid wsp:val=&quot;00DA559B&quot;/&gt;&lt;wsp:rsid wsp:val=&quot;00DA57C5&quot;/&gt;&lt;wsp:rsid wsp:val=&quot;00DA6183&quot;/&gt;&lt;wsp:rsid wsp:val=&quot;00DA63FB&quot;/&gt;&lt;wsp:rsid wsp:val=&quot;00DA64BB&quot;/&gt;&lt;wsp:rsid wsp:val=&quot;00DA6535&quot;/&gt;&lt;wsp:rsid wsp:val=&quot;00DA71E6&quot;/&gt;&lt;wsp:rsid wsp:val=&quot;00DA734B&quot;/&gt;&lt;wsp:rsid wsp:val=&quot;00DA78AD&quot;/&gt;&lt;wsp:rsid wsp:val=&quot;00DA79B8&quot;/&gt;&lt;wsp:rsid wsp:val=&quot;00DA7B0C&quot;/&gt;&lt;wsp:rsid wsp:val=&quot;00DA7F6F&quot;/&gt;&lt;wsp:rsid wsp:val=&quot;00DB0C4C&quot;/&gt;&lt;wsp:rsid wsp:val=&quot;00DB0CD3&quot;/&gt;&lt;wsp:rsid wsp:val=&quot;00DB0DFC&quot;/&gt;&lt;wsp:rsid wsp:val=&quot;00DB0F63&quot;/&gt;&lt;wsp:rsid wsp:val=&quot;00DB1097&quot;/&gt;&lt;wsp:rsid wsp:val=&quot;00DB1198&quot;/&gt;&lt;wsp:rsid wsp:val=&quot;00DB192E&quot;/&gt;&lt;wsp:rsid wsp:val=&quot;00DB1D5D&quot;/&gt;&lt;wsp:rsid wsp:val=&quot;00DB2083&quot;/&gt;&lt;wsp:rsid wsp:val=&quot;00DB220D&quot;/&gt;&lt;wsp:rsid wsp:val=&quot;00DB2738&quot;/&gt;&lt;wsp:rsid wsp:val=&quot;00DB2AC5&quot;/&gt;&lt;wsp:rsid wsp:val=&quot;00DB2BCA&quot;/&gt;&lt;wsp:rsid wsp:val=&quot;00DB2D22&quot;/&gt;&lt;wsp:rsid wsp:val=&quot;00DB2FFB&quot;/&gt;&lt;wsp:rsid wsp:val=&quot;00DB3079&quot;/&gt;&lt;wsp:rsid wsp:val=&quot;00DB369C&quot;/&gt;&lt;wsp:rsid wsp:val=&quot;00DB3954&quot;/&gt;&lt;wsp:rsid wsp:val=&quot;00DB3A69&quot;/&gt;&lt;wsp:rsid wsp:val=&quot;00DB4050&quot;/&gt;&lt;wsp:rsid wsp:val=&quot;00DB43F5&quot;/&gt;&lt;wsp:rsid wsp:val=&quot;00DB4985&quot;/&gt;&lt;wsp:rsid wsp:val=&quot;00DB4A25&quot;/&gt;&lt;wsp:rsid wsp:val=&quot;00DB4D39&quot;/&gt;&lt;wsp:rsid wsp:val=&quot;00DB4DF8&quot;/&gt;&lt;wsp:rsid wsp:val=&quot;00DB4EAD&quot;/&gt;&lt;wsp:rsid wsp:val=&quot;00DB52A9&quot;/&gt;&lt;wsp:rsid wsp:val=&quot;00DB567B&quot;/&gt;&lt;wsp:rsid wsp:val=&quot;00DB5889&quot;/&gt;&lt;wsp:rsid wsp:val=&quot;00DB5A45&quot;/&gt;&lt;wsp:rsid wsp:val=&quot;00DB5C64&quot;/&gt;&lt;wsp:rsid wsp:val=&quot;00DB5C79&quot;/&gt;&lt;wsp:rsid wsp:val=&quot;00DB61E7&quot;/&gt;&lt;wsp:rsid wsp:val=&quot;00DB6580&quot;/&gt;&lt;wsp:rsid wsp:val=&quot;00DB66BF&quot;/&gt;&lt;wsp:rsid wsp:val=&quot;00DB670F&quot;/&gt;&lt;wsp:rsid wsp:val=&quot;00DB6C4F&quot;/&gt;&lt;wsp:rsid wsp:val=&quot;00DB6EC6&quot;/&gt;&lt;wsp:rsid wsp:val=&quot;00DB73DD&quot;/&gt;&lt;wsp:rsid wsp:val=&quot;00DB7844&quot;/&gt;&lt;wsp:rsid wsp:val=&quot;00DC0061&quot;/&gt;&lt;wsp:rsid wsp:val=&quot;00DC02BE&quot;/&gt;&lt;wsp:rsid wsp:val=&quot;00DC0547&quot;/&gt;&lt;wsp:rsid wsp:val=&quot;00DC054E&quot;/&gt;&lt;wsp:rsid wsp:val=&quot;00DC06A0&quot;/&gt;&lt;wsp:rsid wsp:val=&quot;00DC08EF&quot;/&gt;&lt;wsp:rsid wsp:val=&quot;00DC0B00&quot;/&gt;&lt;wsp:rsid wsp:val=&quot;00DC0C84&quot;/&gt;&lt;wsp:rsid wsp:val=&quot;00DC12E5&quot;/&gt;&lt;wsp:rsid wsp:val=&quot;00DC12E7&quot;/&gt;&lt;wsp:rsid wsp:val=&quot;00DC1682&quot;/&gt;&lt;wsp:rsid wsp:val=&quot;00DC194E&quot;/&gt;&lt;wsp:rsid wsp:val=&quot;00DC1BF7&quot;/&gt;&lt;wsp:rsid wsp:val=&quot;00DC23B6&quot;/&gt;&lt;wsp:rsid wsp:val=&quot;00DC299C&quot;/&gt;&lt;wsp:rsid wsp:val=&quot;00DC2FA9&quot;/&gt;&lt;wsp:rsid wsp:val=&quot;00DC30D5&quot;/&gt;&lt;wsp:rsid wsp:val=&quot;00DC310E&quot;/&gt;&lt;wsp:rsid wsp:val=&quot;00DC33F6&quot;/&gt;&lt;wsp:rsid wsp:val=&quot;00DC396F&quot;/&gt;&lt;wsp:rsid wsp:val=&quot;00DC4406&quot;/&gt;&lt;wsp:rsid wsp:val=&quot;00DC4547&quot;/&gt;&lt;wsp:rsid wsp:val=&quot;00DC4CAB&quot;/&gt;&lt;wsp:rsid wsp:val=&quot;00DC4DE3&quot;/&gt;&lt;wsp:rsid wsp:val=&quot;00DC54B2&quot;/&gt;&lt;wsp:rsid wsp:val=&quot;00DC55C0&quot;/&gt;&lt;wsp:rsid wsp:val=&quot;00DC5982&quot;/&gt;&lt;wsp:rsid wsp:val=&quot;00DC59AF&quot;/&gt;&lt;wsp:rsid wsp:val=&quot;00DC5B31&quot;/&gt;&lt;wsp:rsid wsp:val=&quot;00DC5C7D&quot;/&gt;&lt;wsp:rsid wsp:val=&quot;00DC5F54&quot;/&gt;&lt;wsp:rsid wsp:val=&quot;00DC62F0&quot;/&gt;&lt;wsp:rsid wsp:val=&quot;00DC64EF&quot;/&gt;&lt;wsp:rsid wsp:val=&quot;00DC660C&quot;/&gt;&lt;wsp:rsid wsp:val=&quot;00DC66EE&quot;/&gt;&lt;wsp:rsid wsp:val=&quot;00DC6993&quot;/&gt;&lt;wsp:rsid wsp:val=&quot;00DC704C&quot;/&gt;&lt;wsp:rsid wsp:val=&quot;00DC75EF&quot;/&gt;&lt;wsp:rsid wsp:val=&quot;00DC7650&quot;/&gt;&lt;wsp:rsid wsp:val=&quot;00DC79B3&quot;/&gt;&lt;wsp:rsid wsp:val=&quot;00DC7D2A&quot;/&gt;&lt;wsp:rsid wsp:val=&quot;00DC7D71&quot;/&gt;&lt;wsp:rsid wsp:val=&quot;00DC7FB6&quot;/&gt;&lt;wsp:rsid wsp:val=&quot;00DD002F&quot;/&gt;&lt;wsp:rsid wsp:val=&quot;00DD04CB&quot;/&gt;&lt;wsp:rsid wsp:val=&quot;00DD0836&quot;/&gt;&lt;wsp:rsid wsp:val=&quot;00DD11A2&quot;/&gt;&lt;wsp:rsid wsp:val=&quot;00DD139C&quot;/&gt;&lt;wsp:rsid wsp:val=&quot;00DD16BE&quot;/&gt;&lt;wsp:rsid wsp:val=&quot;00DD1868&quot;/&gt;&lt;wsp:rsid wsp:val=&quot;00DD1DF7&quot;/&gt;&lt;wsp:rsid wsp:val=&quot;00DD1F0E&quot;/&gt;&lt;wsp:rsid wsp:val=&quot;00DD251A&quot;/&gt;&lt;wsp:rsid wsp:val=&quot;00DD26AB&quot;/&gt;&lt;wsp:rsid wsp:val=&quot;00DD2867&quot;/&gt;&lt;wsp:rsid wsp:val=&quot;00DD2FB8&quot;/&gt;&lt;wsp:rsid wsp:val=&quot;00DD3877&quot;/&gt;&lt;wsp:rsid wsp:val=&quot;00DD3AC3&quot;/&gt;&lt;wsp:rsid wsp:val=&quot;00DD3D26&quot;/&gt;&lt;wsp:rsid wsp:val=&quot;00DD3E5E&quot;/&gt;&lt;wsp:rsid wsp:val=&quot;00DD50BB&quot;/&gt;&lt;wsp:rsid wsp:val=&quot;00DD5418&quot;/&gt;&lt;wsp:rsid wsp:val=&quot;00DD59F6&quot;/&gt;&lt;wsp:rsid wsp:val=&quot;00DD5A44&quot;/&gt;&lt;wsp:rsid wsp:val=&quot;00DD5C4D&quot;/&gt;&lt;wsp:rsid wsp:val=&quot;00DD5DB7&quot;/&gt;&lt;wsp:rsid wsp:val=&quot;00DD6197&quot;/&gt;&lt;wsp:rsid wsp:val=&quot;00DD6683&quot;/&gt;&lt;wsp:rsid wsp:val=&quot;00DD6B21&quot;/&gt;&lt;wsp:rsid wsp:val=&quot;00DD76C4&quot;/&gt;&lt;wsp:rsid wsp:val=&quot;00DD7735&quot;/&gt;&lt;wsp:rsid wsp:val=&quot;00DD77AE&quot;/&gt;&lt;wsp:rsid wsp:val=&quot;00DD78D1&quot;/&gt;&lt;wsp:rsid wsp:val=&quot;00DD7D19&quot;/&gt;&lt;wsp:rsid wsp:val=&quot;00DD7E87&quot;/&gt;&lt;wsp:rsid wsp:val=&quot;00DE049A&quot;/&gt;&lt;wsp:rsid wsp:val=&quot;00DE0BA7&quot;/&gt;&lt;wsp:rsid wsp:val=&quot;00DE0D6C&quot;/&gt;&lt;wsp:rsid wsp:val=&quot;00DE0FB7&quot;/&gt;&lt;wsp:rsid wsp:val=&quot;00DE1421&quot;/&gt;&lt;wsp:rsid wsp:val=&quot;00DE167B&quot;/&gt;&lt;wsp:rsid wsp:val=&quot;00DE1B14&quot;/&gt;&lt;wsp:rsid wsp:val=&quot;00DE1D34&quot;/&gt;&lt;wsp:rsid wsp:val=&quot;00DE2300&quot;/&gt;&lt;wsp:rsid wsp:val=&quot;00DE261A&quot;/&gt;&lt;wsp:rsid wsp:val=&quot;00DE2668&quot;/&gt;&lt;wsp:rsid wsp:val=&quot;00DE2871&quot;/&gt;&lt;wsp:rsid wsp:val=&quot;00DE2A8D&quot;/&gt;&lt;wsp:rsid wsp:val=&quot;00DE3711&quot;/&gt;&lt;wsp:rsid wsp:val=&quot;00DE3864&quot;/&gt;&lt;wsp:rsid wsp:val=&quot;00DE3AEA&quot;/&gt;&lt;wsp:rsid wsp:val=&quot;00DE4083&quot;/&gt;&lt;wsp:rsid wsp:val=&quot;00DE419B&quot;/&gt;&lt;wsp:rsid wsp:val=&quot;00DE4673&quot;/&gt;&lt;wsp:rsid wsp:val=&quot;00DE47FA&quot;/&gt;&lt;wsp:rsid wsp:val=&quot;00DE48BA&quot;/&gt;&lt;wsp:rsid wsp:val=&quot;00DE48E8&quot;/&gt;&lt;wsp:rsid wsp:val=&quot;00DE49FC&quot;/&gt;&lt;wsp:rsid wsp:val=&quot;00DE501C&quot;/&gt;&lt;wsp:rsid wsp:val=&quot;00DE50E7&quot;/&gt;&lt;wsp:rsid wsp:val=&quot;00DE5769&quot;/&gt;&lt;wsp:rsid wsp:val=&quot;00DE5A39&quot;/&gt;&lt;wsp:rsid wsp:val=&quot;00DE6137&quot;/&gt;&lt;wsp:rsid wsp:val=&quot;00DE6AB8&quot;/&gt;&lt;wsp:rsid wsp:val=&quot;00DE7265&quot;/&gt;&lt;wsp:rsid wsp:val=&quot;00DE7275&quot;/&gt;&lt;wsp:rsid wsp:val=&quot;00DE73CF&quot;/&gt;&lt;wsp:rsid wsp:val=&quot;00DE73DF&quot;/&gt;&lt;wsp:rsid wsp:val=&quot;00DE79D5&quot;/&gt;&lt;wsp:rsid wsp:val=&quot;00DF038C&quot;/&gt;&lt;wsp:rsid wsp:val=&quot;00DF04F2&quot;/&gt;&lt;wsp:rsid wsp:val=&quot;00DF0946&quot;/&gt;&lt;wsp:rsid wsp:val=&quot;00DF0959&quot;/&gt;&lt;wsp:rsid wsp:val=&quot;00DF0A81&quot;/&gt;&lt;wsp:rsid wsp:val=&quot;00DF0C80&quot;/&gt;&lt;wsp:rsid wsp:val=&quot;00DF0E3F&quot;/&gt;&lt;wsp:rsid wsp:val=&quot;00DF0E9C&quot;/&gt;&lt;wsp:rsid wsp:val=&quot;00DF0EDF&quot;/&gt;&lt;wsp:rsid wsp:val=&quot;00DF12EB&quot;/&gt;&lt;wsp:rsid wsp:val=&quot;00DF135F&quot;/&gt;&lt;wsp:rsid wsp:val=&quot;00DF1553&quot;/&gt;&lt;wsp:rsid wsp:val=&quot;00DF1638&quot;/&gt;&lt;wsp:rsid wsp:val=&quot;00DF1ACC&quot;/&gt;&lt;wsp:rsid wsp:val=&quot;00DF1BFA&quot;/&gt;&lt;wsp:rsid wsp:val=&quot;00DF1D1B&quot;/&gt;&lt;wsp:rsid wsp:val=&quot;00DF1ECB&quot;/&gt;&lt;wsp:rsid wsp:val=&quot;00DF1F1F&quot;/&gt;&lt;wsp:rsid wsp:val=&quot;00DF2128&quot;/&gt;&lt;wsp:rsid wsp:val=&quot;00DF22D8&quot;/&gt;&lt;wsp:rsid wsp:val=&quot;00DF23DF&quot;/&gt;&lt;wsp:rsid wsp:val=&quot;00DF2672&quot;/&gt;&lt;wsp:rsid wsp:val=&quot;00DF297B&quot;/&gt;&lt;wsp:rsid wsp:val=&quot;00DF2ADB&quot;/&gt;&lt;wsp:rsid wsp:val=&quot;00DF2D7D&quot;/&gt;&lt;wsp:rsid wsp:val=&quot;00DF2DA5&quot;/&gt;&lt;wsp:rsid wsp:val=&quot;00DF2E4F&quot;/&gt;&lt;wsp:rsid wsp:val=&quot;00DF2E6B&quot;/&gt;&lt;wsp:rsid wsp:val=&quot;00DF30FD&quot;/&gt;&lt;wsp:rsid wsp:val=&quot;00DF35E5&quot;/&gt;&lt;wsp:rsid wsp:val=&quot;00DF38FD&quot;/&gt;&lt;wsp:rsid wsp:val=&quot;00DF3B3C&quot;/&gt;&lt;wsp:rsid wsp:val=&quot;00DF3D5A&quot;/&gt;&lt;wsp:rsid wsp:val=&quot;00DF462C&quot;/&gt;&lt;wsp:rsid wsp:val=&quot;00DF468B&quot;/&gt;&lt;wsp:rsid wsp:val=&quot;00DF4758&quot;/&gt;&lt;wsp:rsid wsp:val=&quot;00DF5967&quot;/&gt;&lt;wsp:rsid wsp:val=&quot;00DF5F05&quot;/&gt;&lt;wsp:rsid wsp:val=&quot;00DF618D&quot;/&gt;&lt;wsp:rsid wsp:val=&quot;00DF63FA&quot;/&gt;&lt;wsp:rsid wsp:val=&quot;00DF6533&quot;/&gt;&lt;wsp:rsid wsp:val=&quot;00DF65EF&quot;/&gt;&lt;wsp:rsid wsp:val=&quot;00DF6F16&quot;/&gt;&lt;wsp:rsid wsp:val=&quot;00DF70A9&quot;/&gt;&lt;wsp:rsid wsp:val=&quot;00DF712C&quot;/&gt;&lt;wsp:rsid wsp:val=&quot;00DF75C0&quot;/&gt;&lt;wsp:rsid wsp:val=&quot;00DF78BF&quot;/&gt;&lt;wsp:rsid wsp:val=&quot;00DF7E18&quot;/&gt;&lt;wsp:rsid wsp:val=&quot;00DF7F5A&quot;/&gt;&lt;wsp:rsid wsp:val=&quot;00E00C7E&quot;/&gt;&lt;wsp:rsid wsp:val=&quot;00E00D20&quot;/&gt;&lt;wsp:rsid wsp:val=&quot;00E00DC8&quot;/&gt;&lt;wsp:rsid wsp:val=&quot;00E01334&quot;/&gt;&lt;wsp:rsid wsp:val=&quot;00E01886&quot;/&gt;&lt;wsp:rsid wsp:val=&quot;00E01D8E&quot;/&gt;&lt;wsp:rsid wsp:val=&quot;00E0232D&quot;/&gt;&lt;wsp:rsid wsp:val=&quot;00E02AD2&quot;/&gt;&lt;wsp:rsid wsp:val=&quot;00E030A7&quot;/&gt;&lt;wsp:rsid wsp:val=&quot;00E03662&quot;/&gt;&lt;wsp:rsid wsp:val=&quot;00E0374A&quot;/&gt;&lt;wsp:rsid wsp:val=&quot;00E03767&quot;/&gt;&lt;wsp:rsid wsp:val=&quot;00E03843&quot;/&gt;&lt;wsp:rsid wsp:val=&quot;00E03CF1&quot;/&gt;&lt;wsp:rsid wsp:val=&quot;00E0468D&quot;/&gt;&lt;wsp:rsid wsp:val=&quot;00E04A82&quot;/&gt;&lt;wsp:rsid wsp:val=&quot;00E04BB6&quot;/&gt;&lt;wsp:rsid wsp:val=&quot;00E05773&quot;/&gt;&lt;wsp:rsid wsp:val=&quot;00E057C5&quot;/&gt;&lt;wsp:rsid wsp:val=&quot;00E05AA1&quot;/&gt;&lt;wsp:rsid wsp:val=&quot;00E06033&quot;/&gt;&lt;wsp:rsid wsp:val=&quot;00E06263&quot;/&gt;&lt;wsp:rsid wsp:val=&quot;00E06317&quot;/&gt;&lt;wsp:rsid wsp:val=&quot;00E06571&quot;/&gt;&lt;wsp:rsid wsp:val=&quot;00E0670D&quot;/&gt;&lt;wsp:rsid wsp:val=&quot;00E06756&quot;/&gt;&lt;wsp:rsid wsp:val=&quot;00E06BCE&quot;/&gt;&lt;wsp:rsid wsp:val=&quot;00E06BEA&quot;/&gt;&lt;wsp:rsid wsp:val=&quot;00E0744F&quot;/&gt;&lt;wsp:rsid wsp:val=&quot;00E07787&quot;/&gt;&lt;wsp:rsid wsp:val=&quot;00E07C9F&quot;/&gt;&lt;wsp:rsid wsp:val=&quot;00E10362&quot;/&gt;&lt;wsp:rsid wsp:val=&quot;00E1059A&quot;/&gt;&lt;wsp:rsid wsp:val=&quot;00E1085C&quot;/&gt;&lt;wsp:rsid wsp:val=&quot;00E10A20&quot;/&gt;&lt;wsp:rsid wsp:val=&quot;00E10EA4&quot;/&gt;&lt;wsp:rsid wsp:val=&quot;00E10F5D&quot;/&gt;&lt;wsp:rsid wsp:val=&quot;00E1194D&quot;/&gt;&lt;wsp:rsid wsp:val=&quot;00E1194F&quot;/&gt;&lt;wsp:rsid wsp:val=&quot;00E11B33&quot;/&gt;&lt;wsp:rsid wsp:val=&quot;00E11F6A&quot;/&gt;&lt;wsp:rsid wsp:val=&quot;00E1236C&quot;/&gt;&lt;wsp:rsid wsp:val=&quot;00E12838&quot;/&gt;&lt;wsp:rsid wsp:val=&quot;00E12C71&quot;/&gt;&lt;wsp:rsid wsp:val=&quot;00E12FC2&quot;/&gt;&lt;wsp:rsid wsp:val=&quot;00E12FF0&quot;/&gt;&lt;wsp:rsid wsp:val=&quot;00E13055&quot;/&gt;&lt;wsp:rsid wsp:val=&quot;00E131F7&quot;/&gt;&lt;wsp:rsid wsp:val=&quot;00E137C7&quot;/&gt;&lt;wsp:rsid wsp:val=&quot;00E137D4&quot;/&gt;&lt;wsp:rsid wsp:val=&quot;00E13B43&quot;/&gt;&lt;wsp:rsid wsp:val=&quot;00E13D44&quot;/&gt;&lt;wsp:rsid wsp:val=&quot;00E13D5B&quot;/&gt;&lt;wsp:rsid wsp:val=&quot;00E13F9D&quot;/&gt;&lt;wsp:rsid wsp:val=&quot;00E1432D&quot;/&gt;&lt;wsp:rsid wsp:val=&quot;00E14498&quot;/&gt;&lt;wsp:rsid wsp:val=&quot;00E1485E&quot;/&gt;&lt;wsp:rsid wsp:val=&quot;00E14DB8&quot;/&gt;&lt;wsp:rsid wsp:val=&quot;00E154FD&quot;/&gt;&lt;wsp:rsid wsp:val=&quot;00E1590C&quot;/&gt;&lt;wsp:rsid wsp:val=&quot;00E15B4B&quot;/&gt;&lt;wsp:rsid wsp:val=&quot;00E15D92&quot;/&gt;&lt;wsp:rsid wsp:val=&quot;00E15F59&quot;/&gt;&lt;wsp:rsid wsp:val=&quot;00E16385&quot;/&gt;&lt;wsp:rsid wsp:val=&quot;00E1661A&quot;/&gt;&lt;wsp:rsid wsp:val=&quot;00E1661F&quot;/&gt;&lt;wsp:rsid wsp:val=&quot;00E16D2F&quot;/&gt;&lt;wsp:rsid wsp:val=&quot;00E16DAC&quot;/&gt;&lt;wsp:rsid wsp:val=&quot;00E16F47&quot;/&gt;&lt;wsp:rsid wsp:val=&quot;00E17546&quot;/&gt;&lt;wsp:rsid wsp:val=&quot;00E1781A&quot;/&gt;&lt;wsp:rsid wsp:val=&quot;00E17B6C&quot;/&gt;&lt;wsp:rsid wsp:val=&quot;00E17DA5&quot;/&gt;&lt;wsp:rsid wsp:val=&quot;00E202B1&quot;/&gt;&lt;wsp:rsid wsp:val=&quot;00E203C2&quot;/&gt;&lt;wsp:rsid wsp:val=&quot;00E21731&quot;/&gt;&lt;wsp:rsid wsp:val=&quot;00E21B8A&quot;/&gt;&lt;wsp:rsid wsp:val=&quot;00E21D79&quot;/&gt;&lt;wsp:rsid wsp:val=&quot;00E21ECE&quot;/&gt;&lt;wsp:rsid wsp:val=&quot;00E220AC&quot;/&gt;&lt;wsp:rsid wsp:val=&quot;00E224E9&quot;/&gt;&lt;wsp:rsid wsp:val=&quot;00E2265F&quot;/&gt;&lt;wsp:rsid wsp:val=&quot;00E227AA&quot;/&gt;&lt;wsp:rsid wsp:val=&quot;00E22C67&quot;/&gt;&lt;wsp:rsid wsp:val=&quot;00E23089&quot;/&gt;&lt;wsp:rsid wsp:val=&quot;00E231BD&quot;/&gt;&lt;wsp:rsid wsp:val=&quot;00E233E1&quot;/&gt;&lt;wsp:rsid wsp:val=&quot;00E23579&quot;/&gt;&lt;wsp:rsid wsp:val=&quot;00E237AF&quot;/&gt;&lt;wsp:rsid wsp:val=&quot;00E23C04&quot;/&gt;&lt;wsp:rsid wsp:val=&quot;00E242D5&quot;/&gt;&lt;wsp:rsid wsp:val=&quot;00E24457&quot;/&gt;&lt;wsp:rsid wsp:val=&quot;00E24708&quot;/&gt;&lt;wsp:rsid wsp:val=&quot;00E247E8&quot;/&gt;&lt;wsp:rsid wsp:val=&quot;00E24C17&quot;/&gt;&lt;wsp:rsid wsp:val=&quot;00E24CD0&quot;/&gt;&lt;wsp:rsid wsp:val=&quot;00E24FC3&quot;/&gt;&lt;wsp:rsid wsp:val=&quot;00E25606&quot;/&gt;&lt;wsp:rsid wsp:val=&quot;00E25B74&quot;/&gt;&lt;wsp:rsid wsp:val=&quot;00E25BFC&quot;/&gt;&lt;wsp:rsid wsp:val=&quot;00E2617C&quot;/&gt;&lt;wsp:rsid wsp:val=&quot;00E263A7&quot;/&gt;&lt;wsp:rsid wsp:val=&quot;00E272CC&quot;/&gt;&lt;wsp:rsid wsp:val=&quot;00E273B4&quot;/&gt;&lt;wsp:rsid wsp:val=&quot;00E273FD&quot;/&gt;&lt;wsp:rsid wsp:val=&quot;00E27BD3&quot;/&gt;&lt;wsp:rsid wsp:val=&quot;00E27FB8&quot;/&gt;&lt;wsp:rsid wsp:val=&quot;00E300FB&quot;/&gt;&lt;wsp:rsid wsp:val=&quot;00E30255&quot;/&gt;&lt;wsp:rsid wsp:val=&quot;00E311C9&quot;/&gt;&lt;wsp:rsid wsp:val=&quot;00E31214&quot;/&gt;&lt;wsp:rsid wsp:val=&quot;00E31411&quot;/&gt;&lt;wsp:rsid wsp:val=&quot;00E3145C&quot;/&gt;&lt;wsp:rsid wsp:val=&quot;00E316A5&quot;/&gt;&lt;wsp:rsid wsp:val=&quot;00E31938&quot;/&gt;&lt;wsp:rsid wsp:val=&quot;00E31960&quot;/&gt;&lt;wsp:rsid wsp:val=&quot;00E31CC8&quot;/&gt;&lt;wsp:rsid wsp:val=&quot;00E32305&quot;/&gt;&lt;wsp:rsid wsp:val=&quot;00E323A2&quot;/&gt;&lt;wsp:rsid wsp:val=&quot;00E3286B&quot;/&gt;&lt;wsp:rsid wsp:val=&quot;00E3304E&quot;/&gt;&lt;wsp:rsid wsp:val=&quot;00E33413&quot;/&gt;&lt;wsp:rsid wsp:val=&quot;00E33928&quot;/&gt;&lt;wsp:rsid wsp:val=&quot;00E33AC7&quot;/&gt;&lt;wsp:rsid wsp:val=&quot;00E346DA&quot;/&gt;&lt;wsp:rsid wsp:val=&quot;00E34C1A&quot;/&gt;&lt;wsp:rsid wsp:val=&quot;00E35091&quot;/&gt;&lt;wsp:rsid wsp:val=&quot;00E354FE&quot;/&gt;&lt;wsp:rsid wsp:val=&quot;00E35538&quot;/&gt;&lt;wsp:rsid wsp:val=&quot;00E357DD&quot;/&gt;&lt;wsp:rsid wsp:val=&quot;00E36118&quot;/&gt;&lt;wsp:rsid wsp:val=&quot;00E3615F&quot;/&gt;&lt;wsp:rsid wsp:val=&quot;00E3623E&quot;/&gt;&lt;wsp:rsid wsp:val=&quot;00E36AB8&quot;/&gt;&lt;wsp:rsid wsp:val=&quot;00E36B96&quot;/&gt;&lt;wsp:rsid wsp:val=&quot;00E36C75&quot;/&gt;&lt;wsp:rsid wsp:val=&quot;00E36D5C&quot;/&gt;&lt;wsp:rsid wsp:val=&quot;00E37094&quot;/&gt;&lt;wsp:rsid wsp:val=&quot;00E377FA&quot;/&gt;&lt;wsp:rsid wsp:val=&quot;00E37AB4&quot;/&gt;&lt;wsp:rsid wsp:val=&quot;00E37B2E&quot;/&gt;&lt;wsp:rsid wsp:val=&quot;00E37C83&quot;/&gt;&lt;wsp:rsid wsp:val=&quot;00E37DE2&quot;/&gt;&lt;wsp:rsid wsp:val=&quot;00E403F7&quot;/&gt;&lt;wsp:rsid wsp:val=&quot;00E40C26&quot;/&gt;&lt;wsp:rsid wsp:val=&quot;00E40EDF&quot;/&gt;&lt;wsp:rsid wsp:val=&quot;00E40F09&quot;/&gt;&lt;wsp:rsid wsp:val=&quot;00E419D1&quot;/&gt;&lt;wsp:rsid wsp:val=&quot;00E41A31&quot;/&gt;&lt;wsp:rsid wsp:val=&quot;00E41D57&quot;/&gt;&lt;wsp:rsid wsp:val=&quot;00E42254&quot;/&gt;&lt;wsp:rsid wsp:val=&quot;00E4229F&quot;/&gt;&lt;wsp:rsid wsp:val=&quot;00E42529&quot;/&gt;&lt;wsp:rsid wsp:val=&quot;00E42680&quot;/&gt;&lt;wsp:rsid wsp:val=&quot;00E42AEB&quot;/&gt;&lt;wsp:rsid wsp:val=&quot;00E42E5B&quot;/&gt;&lt;wsp:rsid wsp:val=&quot;00E42FD7&quot;/&gt;&lt;wsp:rsid wsp:val=&quot;00E4327F&quot;/&gt;&lt;wsp:rsid wsp:val=&quot;00E433D2&quot;/&gt;&lt;wsp:rsid wsp:val=&quot;00E4367E&quot;/&gt;&lt;wsp:rsid wsp:val=&quot;00E43703&quot;/&gt;&lt;wsp:rsid wsp:val=&quot;00E4390D&quot;/&gt;&lt;wsp:rsid wsp:val=&quot;00E4393A&quot;/&gt;&lt;wsp:rsid wsp:val=&quot;00E43DDC&quot;/&gt;&lt;wsp:rsid wsp:val=&quot;00E43FA8&quot;/&gt;&lt;wsp:rsid wsp:val=&quot;00E44189&quot;/&gt;&lt;wsp:rsid wsp:val=&quot;00E4476D&quot;/&gt;&lt;wsp:rsid wsp:val=&quot;00E44818&quot;/&gt;&lt;wsp:rsid wsp:val=&quot;00E44A12&quot;/&gt;&lt;wsp:rsid wsp:val=&quot;00E44BBC&quot;/&gt;&lt;wsp:rsid wsp:val=&quot;00E44F26&quot;/&gt;&lt;wsp:rsid wsp:val=&quot;00E4509C&quot;/&gt;&lt;wsp:rsid wsp:val=&quot;00E450B5&quot;/&gt;&lt;wsp:rsid wsp:val=&quot;00E458EC&quot;/&gt;&lt;wsp:rsid wsp:val=&quot;00E45AEE&quot;/&gt;&lt;wsp:rsid wsp:val=&quot;00E45E95&quot;/&gt;&lt;wsp:rsid wsp:val=&quot;00E45EEC&quot;/&gt;&lt;wsp:rsid wsp:val=&quot;00E46178&quot;/&gt;&lt;wsp:rsid wsp:val=&quot;00E46265&quot;/&gt;&lt;wsp:rsid wsp:val=&quot;00E466B6&quot;/&gt;&lt;wsp:rsid wsp:val=&quot;00E46CCF&quot;/&gt;&lt;wsp:rsid wsp:val=&quot;00E4745D&quot;/&gt;&lt;wsp:rsid wsp:val=&quot;00E474EA&quot;/&gt;&lt;wsp:rsid wsp:val=&quot;00E47D28&quot;/&gt;&lt;wsp:rsid wsp:val=&quot;00E47E28&quot;/&gt;&lt;wsp:rsid wsp:val=&quot;00E50248&quot;/&gt;&lt;wsp:rsid wsp:val=&quot;00E503CB&quot;/&gt;&lt;wsp:rsid wsp:val=&quot;00E50456&quot;/&gt;&lt;wsp:rsid wsp:val=&quot;00E50872&quot;/&gt;&lt;wsp:rsid wsp:val=&quot;00E5099C&quot;/&gt;&lt;wsp:rsid wsp:val=&quot;00E5101E&quot;/&gt;&lt;wsp:rsid wsp:val=&quot;00E51A46&quot;/&gt;&lt;wsp:rsid wsp:val=&quot;00E51F9F&quot;/&gt;&lt;wsp:rsid wsp:val=&quot;00E52187&quot;/&gt;&lt;wsp:rsid wsp:val=&quot;00E5245F&quot;/&gt;&lt;wsp:rsid wsp:val=&quot;00E52558&quot;/&gt;&lt;wsp:rsid wsp:val=&quot;00E52674&quot;/&gt;&lt;wsp:rsid wsp:val=&quot;00E52B41&quot;/&gt;&lt;wsp:rsid wsp:val=&quot;00E52C32&quot;/&gt;&lt;wsp:rsid wsp:val=&quot;00E5303F&quot;/&gt;&lt;wsp:rsid wsp:val=&quot;00E53A2C&quot;/&gt;&lt;wsp:rsid wsp:val=&quot;00E53A80&quot;/&gt;&lt;wsp:rsid wsp:val=&quot;00E53D13&quot;/&gt;&lt;wsp:rsid wsp:val=&quot;00E53E48&quot;/&gt;&lt;wsp:rsid wsp:val=&quot;00E54202&quot;/&gt;&lt;wsp:rsid wsp:val=&quot;00E54297&quot;/&gt;&lt;wsp:rsid wsp:val=&quot;00E542D6&quot;/&gt;&lt;wsp:rsid wsp:val=&quot;00E543C8&quot;/&gt;&lt;wsp:rsid wsp:val=&quot;00E54477&quot;/&gt;&lt;wsp:rsid wsp:val=&quot;00E54A78&quot;/&gt;&lt;wsp:rsid wsp:val=&quot;00E551FD&quot;/&gt;&lt;wsp:rsid wsp:val=&quot;00E5524C&quot;/&gt;&lt;wsp:rsid wsp:val=&quot;00E5549B&quot;/&gt;&lt;wsp:rsid wsp:val=&quot;00E55AB0&quot;/&gt;&lt;wsp:rsid wsp:val=&quot;00E55BCE&quot;/&gt;&lt;wsp:rsid wsp:val=&quot;00E5609B&quot;/&gt;&lt;wsp:rsid wsp:val=&quot;00E5644E&quot;/&gt;&lt;wsp:rsid wsp:val=&quot;00E565AF&quot;/&gt;&lt;wsp:rsid wsp:val=&quot;00E56891&quot;/&gt;&lt;wsp:rsid wsp:val=&quot;00E56AB2&quot;/&gt;&lt;wsp:rsid wsp:val=&quot;00E56D46&quot;/&gt;&lt;wsp:rsid wsp:val=&quot;00E57712&quot;/&gt;&lt;wsp:rsid wsp:val=&quot;00E57AF9&quot;/&gt;&lt;wsp:rsid wsp:val=&quot;00E57BEE&quot;/&gt;&lt;wsp:rsid wsp:val=&quot;00E6001F&quot;/&gt;&lt;wsp:rsid wsp:val=&quot;00E6015A&quot;/&gt;&lt;wsp:rsid wsp:val=&quot;00E60400&quot;/&gt;&lt;wsp:rsid wsp:val=&quot;00E60B18&quot;/&gt;&lt;wsp:rsid wsp:val=&quot;00E60E0A&quot;/&gt;&lt;wsp:rsid wsp:val=&quot;00E61403&quot;/&gt;&lt;wsp:rsid wsp:val=&quot;00E61485&quot;/&gt;&lt;wsp:rsid wsp:val=&quot;00E61488&quot;/&gt;&lt;wsp:rsid wsp:val=&quot;00E6170B&quot;/&gt;&lt;wsp:rsid wsp:val=&quot;00E619A0&quot;/&gt;&lt;wsp:rsid wsp:val=&quot;00E61AF2&quot;/&gt;&lt;wsp:rsid wsp:val=&quot;00E61D0E&quot;/&gt;&lt;wsp:rsid wsp:val=&quot;00E61EAC&quot;/&gt;&lt;wsp:rsid wsp:val=&quot;00E62305&quot;/&gt;&lt;wsp:rsid wsp:val=&quot;00E62309&quot;/&gt;&lt;wsp:rsid wsp:val=&quot;00E623C6&quot;/&gt;&lt;wsp:rsid wsp:val=&quot;00E62459&quot;/&gt;&lt;wsp:rsid wsp:val=&quot;00E62562&quot;/&gt;&lt;wsp:rsid wsp:val=&quot;00E629E1&quot;/&gt;&lt;wsp:rsid wsp:val=&quot;00E62CF2&quot;/&gt;&lt;wsp:rsid wsp:val=&quot;00E62E47&quot;/&gt;&lt;wsp:rsid wsp:val=&quot;00E62FBF&quot;/&gt;&lt;wsp:rsid wsp:val=&quot;00E634F4&quot;/&gt;&lt;wsp:rsid wsp:val=&quot;00E639F9&quot;/&gt;&lt;wsp:rsid wsp:val=&quot;00E63A27&quot;/&gt;&lt;wsp:rsid wsp:val=&quot;00E643A5&quot;/&gt;&lt;wsp:rsid wsp:val=&quot;00E64884&quot;/&gt;&lt;wsp:rsid wsp:val=&quot;00E64AD0&quot;/&gt;&lt;wsp:rsid wsp:val=&quot;00E64E2C&quot;/&gt;&lt;wsp:rsid wsp:val=&quot;00E64F45&quot;/&gt;&lt;wsp:rsid wsp:val=&quot;00E6540A&quot;/&gt;&lt;wsp:rsid wsp:val=&quot;00E65754&quot;/&gt;&lt;wsp:rsid wsp:val=&quot;00E6586C&quot;/&gt;&lt;wsp:rsid wsp:val=&quot;00E658A0&quot;/&gt;&lt;wsp:rsid wsp:val=&quot;00E658DB&quot;/&gt;&lt;wsp:rsid wsp:val=&quot;00E6614A&quot;/&gt;&lt;wsp:rsid wsp:val=&quot;00E66237&quot;/&gt;&lt;wsp:rsid wsp:val=&quot;00E66587&quot;/&gt;&lt;wsp:rsid wsp:val=&quot;00E666BD&quot;/&gt;&lt;wsp:rsid wsp:val=&quot;00E669F6&quot;/&gt;&lt;wsp:rsid wsp:val=&quot;00E66A9F&quot;/&gt;&lt;wsp:rsid wsp:val=&quot;00E66B09&quot;/&gt;&lt;wsp:rsid wsp:val=&quot;00E670E9&quot;/&gt;&lt;wsp:rsid wsp:val=&quot;00E671C0&quot;/&gt;&lt;wsp:rsid wsp:val=&quot;00E67228&quot;/&gt;&lt;wsp:rsid wsp:val=&quot;00E67336&quot;/&gt;&lt;wsp:rsid wsp:val=&quot;00E6737E&quot;/&gt;&lt;wsp:rsid wsp:val=&quot;00E67A8D&quot;/&gt;&lt;wsp:rsid wsp:val=&quot;00E67CCB&quot;/&gt;&lt;wsp:rsid wsp:val=&quot;00E700AF&quot;/&gt;&lt;wsp:rsid wsp:val=&quot;00E70409&quot;/&gt;&lt;wsp:rsid wsp:val=&quot;00E70D80&quot;/&gt;&lt;wsp:rsid wsp:val=&quot;00E70FC0&quot;/&gt;&lt;wsp:rsid wsp:val=&quot;00E7122E&quot;/&gt;&lt;wsp:rsid wsp:val=&quot;00E71B27&quot;/&gt;&lt;wsp:rsid wsp:val=&quot;00E71B8B&quot;/&gt;&lt;wsp:rsid wsp:val=&quot;00E71D0F&quot;/&gt;&lt;wsp:rsid wsp:val=&quot;00E7220A&quot;/&gt;&lt;wsp:rsid wsp:val=&quot;00E72428&quot;/&gt;&lt;wsp:rsid wsp:val=&quot;00E72DB4&quot;/&gt;&lt;wsp:rsid wsp:val=&quot;00E73015&quot;/&gt;&lt;wsp:rsid wsp:val=&quot;00E73061&quot;/&gt;&lt;wsp:rsid wsp:val=&quot;00E73414&quot;/&gt;&lt;wsp:rsid wsp:val=&quot;00E73574&quot;/&gt;&lt;wsp:rsid wsp:val=&quot;00E73686&quot;/&gt;&lt;wsp:rsid wsp:val=&quot;00E73EC3&quot;/&gt;&lt;wsp:rsid wsp:val=&quot;00E7428E&quot;/&gt;&lt;wsp:rsid wsp:val=&quot;00E74F2E&quot;/&gt;&lt;wsp:rsid wsp:val=&quot;00E75158&quot;/&gt;&lt;wsp:rsid wsp:val=&quot;00E7522A&quot;/&gt;&lt;wsp:rsid wsp:val=&quot;00E75544&quot;/&gt;&lt;wsp:rsid wsp:val=&quot;00E75579&quot;/&gt;&lt;wsp:rsid wsp:val=&quot;00E7579B&quot;/&gt;&lt;wsp:rsid wsp:val=&quot;00E757A5&quot;/&gt;&lt;wsp:rsid wsp:val=&quot;00E75F96&quot;/&gt;&lt;wsp:rsid wsp:val=&quot;00E75FF8&quot;/&gt;&lt;wsp:rsid wsp:val=&quot;00E76412&quot;/&gt;&lt;wsp:rsid wsp:val=&quot;00E7680C&quot;/&gt;&lt;wsp:rsid wsp:val=&quot;00E76A72&quot;/&gt;&lt;wsp:rsid wsp:val=&quot;00E76A7F&quot;/&gt;&lt;wsp:rsid wsp:val=&quot;00E76DAC&quot;/&gt;&lt;wsp:rsid wsp:val=&quot;00E76F6D&quot;/&gt;&lt;wsp:rsid wsp:val=&quot;00E775BB&quot;/&gt;&lt;wsp:rsid wsp:val=&quot;00E77A7A&quot;/&gt;&lt;wsp:rsid wsp:val=&quot;00E80082&quot;/&gt;&lt;wsp:rsid wsp:val=&quot;00E80255&quot;/&gt;&lt;wsp:rsid wsp:val=&quot;00E8041E&quot;/&gt;&lt;wsp:rsid wsp:val=&quot;00E807CA&quot;/&gt;&lt;wsp:rsid wsp:val=&quot;00E809A2&quot;/&gt;&lt;wsp:rsid wsp:val=&quot;00E809CF&quot;/&gt;&lt;wsp:rsid wsp:val=&quot;00E80C7C&quot;/&gt;&lt;wsp:rsid wsp:val=&quot;00E811D8&quot;/&gt;&lt;wsp:rsid wsp:val=&quot;00E812C4&quot;/&gt;&lt;wsp:rsid wsp:val=&quot;00E8158C&quot;/&gt;&lt;wsp:rsid wsp:val=&quot;00E81ACD&quot;/&gt;&lt;wsp:rsid wsp:val=&quot;00E81BB9&quot;/&gt;&lt;wsp:rsid wsp:val=&quot;00E82093&quot;/&gt;&lt;wsp:rsid wsp:val=&quot;00E820C9&quot;/&gt;&lt;wsp:rsid wsp:val=&quot;00E820DC&quot;/&gt;&lt;wsp:rsid wsp:val=&quot;00E8279E&quot;/&gt;&lt;wsp:rsid wsp:val=&quot;00E82E09&quot;/&gt;&lt;wsp:rsid wsp:val=&quot;00E82E6D&quot;/&gt;&lt;wsp:rsid wsp:val=&quot;00E82FC3&quot;/&gt;&lt;wsp:rsid wsp:val=&quot;00E830F6&quot;/&gt;&lt;wsp:rsid wsp:val=&quot;00E83132&quot;/&gt;&lt;wsp:rsid wsp:val=&quot;00E8319B&quot;/&gt;&lt;wsp:rsid wsp:val=&quot;00E83385&quot;/&gt;&lt;wsp:rsid wsp:val=&quot;00E8366D&quot;/&gt;&lt;wsp:rsid wsp:val=&quot;00E836C6&quot;/&gt;&lt;wsp:rsid wsp:val=&quot;00E8381E&quot;/&gt;&lt;wsp:rsid wsp:val=&quot;00E83DAD&quot;/&gt;&lt;wsp:rsid wsp:val=&quot;00E8418F&quot;/&gt;&lt;wsp:rsid wsp:val=&quot;00E8419C&quot;/&gt;&lt;wsp:rsid wsp:val=&quot;00E843DB&quot;/&gt;&lt;wsp:rsid wsp:val=&quot;00E8463B&quot;/&gt;&lt;wsp:rsid wsp:val=&quot;00E846EE&quot;/&gt;&lt;wsp:rsid wsp:val=&quot;00E84AA9&quot;/&gt;&lt;wsp:rsid wsp:val=&quot;00E84CAD&quot;/&gt;&lt;wsp:rsid wsp:val=&quot;00E85421&quot;/&gt;&lt;wsp:rsid wsp:val=&quot;00E859C3&quot;/&gt;&lt;wsp:rsid wsp:val=&quot;00E85B27&quot;/&gt;&lt;wsp:rsid wsp:val=&quot;00E85D46&quot;/&gt;&lt;wsp:rsid wsp:val=&quot;00E85EB2&quot;/&gt;&lt;wsp:rsid wsp:val=&quot;00E85EBE&quot;/&gt;&lt;wsp:rsid wsp:val=&quot;00E86060&quot;/&gt;&lt;wsp:rsid wsp:val=&quot;00E862EB&quot;/&gt;&lt;wsp:rsid wsp:val=&quot;00E862F8&quot;/&gt;&lt;wsp:rsid wsp:val=&quot;00E8695A&quot;/&gt;&lt;wsp:rsid wsp:val=&quot;00E87060&quot;/&gt;&lt;wsp:rsid wsp:val=&quot;00E87397&quot;/&gt;&lt;wsp:rsid wsp:val=&quot;00E8751A&quot;/&gt;&lt;wsp:rsid wsp:val=&quot;00E87776&quot;/&gt;&lt;wsp:rsid wsp:val=&quot;00E87C97&quot;/&gt;&lt;wsp:rsid wsp:val=&quot;00E90192&quot;/&gt;&lt;wsp:rsid wsp:val=&quot;00E9022A&quot;/&gt;&lt;wsp:rsid wsp:val=&quot;00E902B5&quot;/&gt;&lt;wsp:rsid wsp:val=&quot;00E902D6&quot;/&gt;&lt;wsp:rsid wsp:val=&quot;00E90538&quot;/&gt;&lt;wsp:rsid wsp:val=&quot;00E9055C&quot;/&gt;&lt;wsp:rsid wsp:val=&quot;00E90FAA&quot;/&gt;&lt;wsp:rsid wsp:val=&quot;00E916DE&quot;/&gt;&lt;wsp:rsid wsp:val=&quot;00E91A6B&quot;/&gt;&lt;wsp:rsid wsp:val=&quot;00E91BAD&quot;/&gt;&lt;wsp:rsid wsp:val=&quot;00E92059&quot;/&gt;&lt;wsp:rsid wsp:val=&quot;00E92485&quot;/&gt;&lt;wsp:rsid wsp:val=&quot;00E92A27&quot;/&gt;&lt;wsp:rsid wsp:val=&quot;00E92EB2&quot;/&gt;&lt;wsp:rsid wsp:val=&quot;00E93511&quot;/&gt;&lt;wsp:rsid wsp:val=&quot;00E938AF&quot;/&gt;&lt;wsp:rsid wsp:val=&quot;00E93EF8&quot;/&gt;&lt;wsp:rsid wsp:val=&quot;00E94256&quot;/&gt;&lt;wsp:rsid wsp:val=&quot;00E94373&quot;/&gt;&lt;wsp:rsid wsp:val=&quot;00E947C4&quot;/&gt;&lt;wsp:rsid wsp:val=&quot;00E9489D&quot;/&gt;&lt;wsp:rsid wsp:val=&quot;00E94DE2&quot;/&gt;&lt;wsp:rsid wsp:val=&quot;00E95594&quot;/&gt;&lt;wsp:rsid wsp:val=&quot;00E955D2&quot;/&gt;&lt;wsp:rsid wsp:val=&quot;00E95D36&quot;/&gt;&lt;wsp:rsid wsp:val=&quot;00E95E82&quot;/&gt;&lt;wsp:rsid wsp:val=&quot;00E95FEF&quot;/&gt;&lt;wsp:rsid wsp:val=&quot;00E9601B&quot;/&gt;&lt;wsp:rsid wsp:val=&quot;00E96142&quot;/&gt;&lt;wsp:rsid wsp:val=&quot;00E961DB&quot;/&gt;&lt;wsp:rsid wsp:val=&quot;00E968C8&quot;/&gt;&lt;wsp:rsid wsp:val=&quot;00E96944&quot;/&gt;&lt;wsp:rsid wsp:val=&quot;00E96B1B&quot;/&gt;&lt;wsp:rsid wsp:val=&quot;00E96B20&quot;/&gt;&lt;wsp:rsid wsp:val=&quot;00E972CC&quot;/&gt;&lt;wsp:rsid wsp:val=&quot;00E97600&quot;/&gt;&lt;wsp:rsid wsp:val=&quot;00E977DF&quot;/&gt;&lt;wsp:rsid wsp:val=&quot;00E979C1&quot;/&gt;&lt;wsp:rsid wsp:val=&quot;00E97B85&quot;/&gt;&lt;wsp:rsid wsp:val=&quot;00E97C28&quot;/&gt;&lt;wsp:rsid wsp:val=&quot;00E97CA4&quot;/&gt;&lt;wsp:rsid wsp:val=&quot;00E97CE2&quot;/&gt;&lt;wsp:rsid wsp:val=&quot;00EA03F5&quot;/&gt;&lt;wsp:rsid wsp:val=&quot;00EA048C&quot;/&gt;&lt;wsp:rsid wsp:val=&quot;00EA0E87&quot;/&gt;&lt;wsp:rsid wsp:val=&quot;00EA0F0F&quot;/&gt;&lt;wsp:rsid wsp:val=&quot;00EA17EB&quot;/&gt;&lt;wsp:rsid wsp:val=&quot;00EA189D&quot;/&gt;&lt;wsp:rsid wsp:val=&quot;00EA1B03&quot;/&gt;&lt;wsp:rsid wsp:val=&quot;00EA2485&quot;/&gt;&lt;wsp:rsid wsp:val=&quot;00EA25AB&quot;/&gt;&lt;wsp:rsid wsp:val=&quot;00EA2B80&quot;/&gt;&lt;wsp:rsid wsp:val=&quot;00EA30E3&quot;/&gt;&lt;wsp:rsid wsp:val=&quot;00EA3403&quot;/&gt;&lt;wsp:rsid wsp:val=&quot;00EA3C7E&quot;/&gt;&lt;wsp:rsid wsp:val=&quot;00EA3E9A&quot;/&gt;&lt;wsp:rsid wsp:val=&quot;00EA4064&quot;/&gt;&lt;wsp:rsid wsp:val=&quot;00EA4156&quot;/&gt;&lt;wsp:rsid wsp:val=&quot;00EA4312&quot;/&gt;&lt;wsp:rsid wsp:val=&quot;00EA4468&quot;/&gt;&lt;wsp:rsid wsp:val=&quot;00EA4AD1&quot;/&gt;&lt;wsp:rsid wsp:val=&quot;00EA4ADA&quot;/&gt;&lt;wsp:rsid wsp:val=&quot;00EA4B8D&quot;/&gt;&lt;wsp:rsid wsp:val=&quot;00EA5462&quot;/&gt;&lt;wsp:rsid wsp:val=&quot;00EA57B5&quot;/&gt;&lt;wsp:rsid wsp:val=&quot;00EA594E&quot;/&gt;&lt;wsp:rsid wsp:val=&quot;00EA59B2&quot;/&gt;&lt;wsp:rsid wsp:val=&quot;00EA6B7E&quot;/&gt;&lt;wsp:rsid wsp:val=&quot;00EA6C8E&quot;/&gt;&lt;wsp:rsid wsp:val=&quot;00EA71BC&quot;/&gt;&lt;wsp:rsid wsp:val=&quot;00EA741F&quot;/&gt;&lt;wsp:rsid wsp:val=&quot;00EA7872&quot;/&gt;&lt;wsp:rsid wsp:val=&quot;00EA7CD1&quot;/&gt;&lt;wsp:rsid wsp:val=&quot;00EA7E6F&quot;/&gt;&lt;wsp:rsid wsp:val=&quot;00EB0067&quot;/&gt;&lt;wsp:rsid wsp:val=&quot;00EB02EC&quot;/&gt;&lt;wsp:rsid wsp:val=&quot;00EB0554&quot;/&gt;&lt;wsp:rsid wsp:val=&quot;00EB0A8E&quot;/&gt;&lt;wsp:rsid wsp:val=&quot;00EB1715&quot;/&gt;&lt;wsp:rsid wsp:val=&quot;00EB19DD&quot;/&gt;&lt;wsp:rsid wsp:val=&quot;00EB1AA2&quot;/&gt;&lt;wsp:rsid wsp:val=&quot;00EB264F&quot;/&gt;&lt;wsp:rsid wsp:val=&quot;00EB3080&quot;/&gt;&lt;wsp:rsid wsp:val=&quot;00EB3579&quot;/&gt;&lt;wsp:rsid wsp:val=&quot;00EB3634&quot;/&gt;&lt;wsp:rsid wsp:val=&quot;00EB38C5&quot;/&gt;&lt;wsp:rsid wsp:val=&quot;00EB3A0D&quot;/&gt;&lt;wsp:rsid wsp:val=&quot;00EB4165&quot;/&gt;&lt;wsp:rsid wsp:val=&quot;00EB418C&quot;/&gt;&lt;wsp:rsid wsp:val=&quot;00EB4AE9&quot;/&gt;&lt;wsp:rsid wsp:val=&quot;00EB4B76&quot;/&gt;&lt;wsp:rsid wsp:val=&quot;00EB4C2F&quot;/&gt;&lt;wsp:rsid wsp:val=&quot;00EB4EFC&quot;/&gt;&lt;wsp:rsid wsp:val=&quot;00EB50F2&quot;/&gt;&lt;wsp:rsid wsp:val=&quot;00EB521D&quot;/&gt;&lt;wsp:rsid wsp:val=&quot;00EB5426&quot;/&gt;&lt;wsp:rsid wsp:val=&quot;00EB5447&quot;/&gt;&lt;wsp:rsid wsp:val=&quot;00EB5707&quot;/&gt;&lt;wsp:rsid wsp:val=&quot;00EB6240&quot;/&gt;&lt;wsp:rsid wsp:val=&quot;00EB647C&quot;/&gt;&lt;wsp:rsid wsp:val=&quot;00EB6907&quot;/&gt;&lt;wsp:rsid wsp:val=&quot;00EB6B0C&quot;/&gt;&lt;wsp:rsid wsp:val=&quot;00EB738F&quot;/&gt;&lt;wsp:rsid wsp:val=&quot;00EB78D1&quot;/&gt;&lt;wsp:rsid wsp:val=&quot;00EB7B3D&quot;/&gt;&lt;wsp:rsid wsp:val=&quot;00EB7DBC&quot;/&gt;&lt;wsp:rsid wsp:val=&quot;00EC0155&quot;/&gt;&lt;wsp:rsid wsp:val=&quot;00EC020C&quot;/&gt;&lt;wsp:rsid wsp:val=&quot;00EC04EC&quot;/&gt;&lt;wsp:rsid wsp:val=&quot;00EC0767&quot;/&gt;&lt;wsp:rsid wsp:val=&quot;00EC08C0&quot;/&gt;&lt;wsp:rsid wsp:val=&quot;00EC0C57&quot;/&gt;&lt;wsp:rsid wsp:val=&quot;00EC0FF1&quot;/&gt;&lt;wsp:rsid wsp:val=&quot;00EC1030&quot;/&gt;&lt;wsp:rsid wsp:val=&quot;00EC122A&quot;/&gt;&lt;wsp:rsid wsp:val=&quot;00EC1315&quot;/&gt;&lt;wsp:rsid wsp:val=&quot;00EC1373&quot;/&gt;&lt;wsp:rsid wsp:val=&quot;00EC15AB&quot;/&gt;&lt;wsp:rsid wsp:val=&quot;00EC1B54&quot;/&gt;&lt;wsp:rsid wsp:val=&quot;00EC1DDD&quot;/&gt;&lt;wsp:rsid wsp:val=&quot;00EC1EA4&quot;/&gt;&lt;wsp:rsid wsp:val=&quot;00EC284A&quot;/&gt;&lt;wsp:rsid wsp:val=&quot;00EC2A72&quot;/&gt;&lt;wsp:rsid wsp:val=&quot;00EC2ACB&quot;/&gt;&lt;wsp:rsid wsp:val=&quot;00EC2BE0&quot;/&gt;&lt;wsp:rsid wsp:val=&quot;00EC3075&quot;/&gt;&lt;wsp:rsid wsp:val=&quot;00EC30EC&quot;/&gt;&lt;wsp:rsid wsp:val=&quot;00EC3262&quot;/&gt;&lt;wsp:rsid wsp:val=&quot;00EC3815&quot;/&gt;&lt;wsp:rsid wsp:val=&quot;00EC4A79&quot;/&gt;&lt;wsp:rsid wsp:val=&quot;00EC4B36&quot;/&gt;&lt;wsp:rsid wsp:val=&quot;00EC4B5D&quot;/&gt;&lt;wsp:rsid wsp:val=&quot;00EC4D55&quot;/&gt;&lt;wsp:rsid wsp:val=&quot;00EC4E32&quot;/&gt;&lt;wsp:rsid wsp:val=&quot;00EC5043&quot;/&gt;&lt;wsp:rsid wsp:val=&quot;00EC5658&quot;/&gt;&lt;wsp:rsid wsp:val=&quot;00EC5B98&quot;/&gt;&lt;wsp:rsid wsp:val=&quot;00EC67D3&quot;/&gt;&lt;wsp:rsid wsp:val=&quot;00EC681A&quot;/&gt;&lt;wsp:rsid wsp:val=&quot;00EC69C0&quot;/&gt;&lt;wsp:rsid wsp:val=&quot;00EC7571&quot;/&gt;&lt;wsp:rsid wsp:val=&quot;00EC7CFA&quot;/&gt;&lt;wsp:rsid wsp:val=&quot;00EC7FB7&quot;/&gt;&lt;wsp:rsid wsp:val=&quot;00EC7FC7&quot;/&gt;&lt;wsp:rsid wsp:val=&quot;00ED004A&quot;/&gt;&lt;wsp:rsid wsp:val=&quot;00ED02B3&quot;/&gt;&lt;wsp:rsid wsp:val=&quot;00ED0704&quot;/&gt;&lt;wsp:rsid wsp:val=&quot;00ED09B1&quot;/&gt;&lt;wsp:rsid wsp:val=&quot;00ED0ADB&quot;/&gt;&lt;wsp:rsid wsp:val=&quot;00ED0F1C&quot;/&gt;&lt;wsp:rsid wsp:val=&quot;00ED1091&quot;/&gt;&lt;wsp:rsid wsp:val=&quot;00ED1180&quot;/&gt;&lt;wsp:rsid wsp:val=&quot;00ED11BF&quot;/&gt;&lt;wsp:rsid wsp:val=&quot;00ED12F6&quot;/&gt;&lt;wsp:rsid wsp:val=&quot;00ED154A&quot;/&gt;&lt;wsp:rsid wsp:val=&quot;00ED1B9C&quot;/&gt;&lt;wsp:rsid wsp:val=&quot;00ED2505&quot;/&gt;&lt;wsp:rsid wsp:val=&quot;00ED25C4&quot;/&gt;&lt;wsp:rsid wsp:val=&quot;00ED2963&quot;/&gt;&lt;wsp:rsid wsp:val=&quot;00ED2BDB&quot;/&gt;&lt;wsp:rsid wsp:val=&quot;00ED2DAC&quot;/&gt;&lt;wsp:rsid wsp:val=&quot;00ED2DB6&quot;/&gt;&lt;wsp:rsid wsp:val=&quot;00ED2F97&quot;/&gt;&lt;wsp:rsid wsp:val=&quot;00ED3491&quot;/&gt;&lt;wsp:rsid wsp:val=&quot;00ED3506&quot;/&gt;&lt;wsp:rsid wsp:val=&quot;00ED35A0&quot;/&gt;&lt;wsp:rsid wsp:val=&quot;00ED37C6&quot;/&gt;&lt;wsp:rsid wsp:val=&quot;00ED3FC8&quot;/&gt;&lt;wsp:rsid wsp:val=&quot;00ED44E2&quot;/&gt;&lt;wsp:rsid wsp:val=&quot;00ED4555&quot;/&gt;&lt;wsp:rsid wsp:val=&quot;00ED4CD8&quot;/&gt;&lt;wsp:rsid wsp:val=&quot;00ED512D&quot;/&gt;&lt;wsp:rsid wsp:val=&quot;00ED5240&quot;/&gt;&lt;wsp:rsid wsp:val=&quot;00ED53FB&quot;/&gt;&lt;wsp:rsid wsp:val=&quot;00ED564E&quot;/&gt;&lt;wsp:rsid wsp:val=&quot;00ED59C0&quot;/&gt;&lt;wsp:rsid wsp:val=&quot;00ED5B51&quot;/&gt;&lt;wsp:rsid wsp:val=&quot;00ED5C59&quot;/&gt;&lt;wsp:rsid wsp:val=&quot;00ED6050&quot;/&gt;&lt;wsp:rsid wsp:val=&quot;00ED64C6&quot;/&gt;&lt;wsp:rsid wsp:val=&quot;00ED6B3A&quot;/&gt;&lt;wsp:rsid wsp:val=&quot;00ED6CF5&quot;/&gt;&lt;wsp:rsid wsp:val=&quot;00ED6E42&quot;/&gt;&lt;wsp:rsid wsp:val=&quot;00ED7B20&quot;/&gt;&lt;wsp:rsid wsp:val=&quot;00ED7B36&quot;/&gt;&lt;wsp:rsid wsp:val=&quot;00ED7BA7&quot;/&gt;&lt;wsp:rsid wsp:val=&quot;00EE0058&quot;/&gt;&lt;wsp:rsid wsp:val=&quot;00EE05B8&quot;/&gt;&lt;wsp:rsid wsp:val=&quot;00EE1DA1&quot;/&gt;&lt;wsp:rsid wsp:val=&quot;00EE210A&quot;/&gt;&lt;wsp:rsid wsp:val=&quot;00EE23DD&quot;/&gt;&lt;wsp:rsid wsp:val=&quot;00EE25DD&quot;/&gt;&lt;wsp:rsid wsp:val=&quot;00EE2748&quot;/&gt;&lt;wsp:rsid wsp:val=&quot;00EE2836&quot;/&gt;&lt;wsp:rsid wsp:val=&quot;00EE28B9&quot;/&gt;&lt;wsp:rsid wsp:val=&quot;00EE2BC6&quot;/&gt;&lt;wsp:rsid wsp:val=&quot;00EE2C04&quot;/&gt;&lt;wsp:rsid wsp:val=&quot;00EE32F0&quot;/&gt;&lt;wsp:rsid wsp:val=&quot;00EE40E6&quot;/&gt;&lt;wsp:rsid wsp:val=&quot;00EE4394&quot;/&gt;&lt;wsp:rsid wsp:val=&quot;00EE4598&quot;/&gt;&lt;wsp:rsid wsp:val=&quot;00EE4740&quot;/&gt;&lt;wsp:rsid wsp:val=&quot;00EE49E8&quot;/&gt;&lt;wsp:rsid wsp:val=&quot;00EE4D92&quot;/&gt;&lt;wsp:rsid wsp:val=&quot;00EE4DDF&quot;/&gt;&lt;wsp:rsid wsp:val=&quot;00EE502A&quot;/&gt;&lt;wsp:rsid wsp:val=&quot;00EE53E1&quot;/&gt;&lt;wsp:rsid wsp:val=&quot;00EE5422&quot;/&gt;&lt;wsp:rsid wsp:val=&quot;00EE5876&quot;/&gt;&lt;wsp:rsid wsp:val=&quot;00EE5F38&quot;/&gt;&lt;wsp:rsid wsp:val=&quot;00EE5F73&quot;/&gt;&lt;wsp:rsid wsp:val=&quot;00EE5FDA&quot;/&gt;&lt;wsp:rsid wsp:val=&quot;00EE60AD&quot;/&gt;&lt;wsp:rsid wsp:val=&quot;00EE7168&quot;/&gt;&lt;wsp:rsid wsp:val=&quot;00EE719F&quot;/&gt;&lt;wsp:rsid wsp:val=&quot;00EE71B8&quot;/&gt;&lt;wsp:rsid wsp:val=&quot;00EE71F1&quot;/&gt;&lt;wsp:rsid wsp:val=&quot;00EE7703&quot;/&gt;&lt;wsp:rsid wsp:val=&quot;00EE7811&quot;/&gt;&lt;wsp:rsid wsp:val=&quot;00EE7BE4&quot;/&gt;&lt;wsp:rsid wsp:val=&quot;00EE7F1B&quot;/&gt;&lt;wsp:rsid wsp:val=&quot;00EE7F55&quot;/&gt;&lt;wsp:rsid wsp:val=&quot;00EF0191&quot;/&gt;&lt;wsp:rsid wsp:val=&quot;00EF0624&quot;/&gt;&lt;wsp:rsid wsp:val=&quot;00EF0B82&quot;/&gt;&lt;wsp:rsid wsp:val=&quot;00EF0EB9&quot;/&gt;&lt;wsp:rsid wsp:val=&quot;00EF106F&quot;/&gt;&lt;wsp:rsid wsp:val=&quot;00EF1414&quot;/&gt;&lt;wsp:rsid wsp:val=&quot;00EF1923&quot;/&gt;&lt;wsp:rsid wsp:val=&quot;00EF19E1&quot;/&gt;&lt;wsp:rsid wsp:val=&quot;00EF2EB3&quot;/&gt;&lt;wsp:rsid wsp:val=&quot;00EF30AA&quot;/&gt;&lt;wsp:rsid wsp:val=&quot;00EF31C9&quot;/&gt;&lt;wsp:rsid wsp:val=&quot;00EF3408&quot;/&gt;&lt;wsp:rsid wsp:val=&quot;00EF341C&quot;/&gt;&lt;wsp:rsid wsp:val=&quot;00EF344C&quot;/&gt;&lt;wsp:rsid wsp:val=&quot;00EF3D24&quot;/&gt;&lt;wsp:rsid wsp:val=&quot;00EF4476&quot;/&gt;&lt;wsp:rsid wsp:val=&quot;00EF47D5&quot;/&gt;&lt;wsp:rsid wsp:val=&quot;00EF4DBD&quot;/&gt;&lt;wsp:rsid wsp:val=&quot;00EF4E47&quot;/&gt;&lt;wsp:rsid wsp:val=&quot;00EF5259&quot;/&gt;&lt;wsp:rsid wsp:val=&quot;00EF5761&quot;/&gt;&lt;wsp:rsid wsp:val=&quot;00EF5D66&quot;/&gt;&lt;wsp:rsid wsp:val=&quot;00EF5DB5&quot;/&gt;&lt;wsp:rsid wsp:val=&quot;00EF62DF&quot;/&gt;&lt;wsp:rsid wsp:val=&quot;00EF6409&quot;/&gt;&lt;wsp:rsid wsp:val=&quot;00EF68E9&quot;/&gt;&lt;wsp:rsid wsp:val=&quot;00EF69B1&quot;/&gt;&lt;wsp:rsid wsp:val=&quot;00EF6AF0&quot;/&gt;&lt;wsp:rsid wsp:val=&quot;00EF6BCE&quot;/&gt;&lt;wsp:rsid wsp:val=&quot;00EF6F94&quot;/&gt;&lt;wsp:rsid wsp:val=&quot;00EF73A8&quot;/&gt;&lt;wsp:rsid wsp:val=&quot;00EF790C&quot;/&gt;&lt;wsp:rsid wsp:val=&quot;00F000B4&quot;/&gt;&lt;wsp:rsid wsp:val=&quot;00F006B9&quot;/&gt;&lt;wsp:rsid wsp:val=&quot;00F00929&quot;/&gt;&lt;wsp:rsid wsp:val=&quot;00F00959&quot;/&gt;&lt;wsp:rsid wsp:val=&quot;00F00A82&quot;/&gt;&lt;wsp:rsid wsp:val=&quot;00F01263&quot;/&gt;&lt;wsp:rsid wsp:val=&quot;00F01762&quot;/&gt;&lt;wsp:rsid wsp:val=&quot;00F01D7D&quot;/&gt;&lt;wsp:rsid wsp:val=&quot;00F01F74&quot;/&gt;&lt;wsp:rsid wsp:val=&quot;00F024B8&quot;/&gt;&lt;wsp:rsid wsp:val=&quot;00F02748&quot;/&gt;&lt;wsp:rsid wsp:val=&quot;00F02B35&quot;/&gt;&lt;wsp:rsid wsp:val=&quot;00F02C52&quot;/&gt;&lt;wsp:rsid wsp:val=&quot;00F02EF5&quot;/&gt;&lt;wsp:rsid wsp:val=&quot;00F02F19&quot;/&gt;&lt;wsp:rsid wsp:val=&quot;00F0305F&quot;/&gt;&lt;wsp:rsid wsp:val=&quot;00F030CF&quot;/&gt;&lt;wsp:rsid wsp:val=&quot;00F03161&quot;/&gt;&lt;wsp:rsid wsp:val=&quot;00F03168&quot;/&gt;&lt;wsp:rsid wsp:val=&quot;00F037AA&quot;/&gt;&lt;wsp:rsid wsp:val=&quot;00F03BE3&quot;/&gt;&lt;wsp:rsid wsp:val=&quot;00F03EBA&quot;/&gt;&lt;wsp:rsid wsp:val=&quot;00F03F06&quot;/&gt;&lt;wsp:rsid wsp:val=&quot;00F04041&quot;/&gt;&lt;wsp:rsid wsp:val=&quot;00F042FB&quot;/&gt;&lt;wsp:rsid wsp:val=&quot;00F0447F&quot;/&gt;&lt;wsp:rsid wsp:val=&quot;00F044E5&quot;/&gt;&lt;wsp:rsid wsp:val=&quot;00F0465C&quot;/&gt;&lt;wsp:rsid wsp:val=&quot;00F04AD9&quot;/&gt;&lt;wsp:rsid wsp:val=&quot;00F04B01&quot;/&gt;&lt;wsp:rsid wsp:val=&quot;00F04CD3&quot;/&gt;&lt;wsp:rsid wsp:val=&quot;00F05813&quot;/&gt;&lt;wsp:rsid wsp:val=&quot;00F05881&quot;/&gt;&lt;wsp:rsid wsp:val=&quot;00F058BE&quot;/&gt;&lt;wsp:rsid wsp:val=&quot;00F05A72&quot;/&gt;&lt;wsp:rsid wsp:val=&quot;00F05CC8&quot;/&gt;&lt;wsp:rsid wsp:val=&quot;00F06008&quot;/&gt;&lt;wsp:rsid wsp:val=&quot;00F060D7&quot;/&gt;&lt;wsp:rsid wsp:val=&quot;00F06386&quot;/&gt;&lt;wsp:rsid wsp:val=&quot;00F0679F&quot;/&gt;&lt;wsp:rsid wsp:val=&quot;00F067AA&quot;/&gt;&lt;wsp:rsid wsp:val=&quot;00F067EB&quot;/&gt;&lt;wsp:rsid wsp:val=&quot;00F06833&quot;/&gt;&lt;wsp:rsid wsp:val=&quot;00F068B0&quot;/&gt;&lt;wsp:rsid wsp:val=&quot;00F06944&quot;/&gt;&lt;wsp:rsid wsp:val=&quot;00F06A4E&quot;/&gt;&lt;wsp:rsid wsp:val=&quot;00F06CBF&quot;/&gt;&lt;wsp:rsid wsp:val=&quot;00F06F05&quot;/&gt;&lt;wsp:rsid wsp:val=&quot;00F07DDE&quot;/&gt;&lt;wsp:rsid wsp:val=&quot;00F1013C&quot;/&gt;&lt;wsp:rsid wsp:val=&quot;00F1015C&quot;/&gt;&lt;wsp:rsid wsp:val=&quot;00F10381&quot;/&gt;&lt;wsp:rsid wsp:val=&quot;00F10871&quot;/&gt;&lt;wsp:rsid wsp:val=&quot;00F10AB5&quot;/&gt;&lt;wsp:rsid wsp:val=&quot;00F10CF3&quot;/&gt;&lt;wsp:rsid wsp:val=&quot;00F10E97&quot;/&gt;&lt;wsp:rsid wsp:val=&quot;00F11985&quot;/&gt;&lt;wsp:rsid wsp:val=&quot;00F11B41&quot;/&gt;&lt;wsp:rsid wsp:val=&quot;00F11E43&quot;/&gt;&lt;wsp:rsid wsp:val=&quot;00F11FAB&quot;/&gt;&lt;wsp:rsid wsp:val=&quot;00F12272&quot;/&gt;&lt;wsp:rsid wsp:val=&quot;00F1288F&quot;/&gt;&lt;wsp:rsid wsp:val=&quot;00F12B77&quot;/&gt;&lt;wsp:rsid wsp:val=&quot;00F12F3B&quot;/&gt;&lt;wsp:rsid wsp:val=&quot;00F13066&quot;/&gt;&lt;wsp:rsid wsp:val=&quot;00F131AC&quot;/&gt;&lt;wsp:rsid wsp:val=&quot;00F131CE&quot;/&gt;&lt;wsp:rsid wsp:val=&quot;00F136EA&quot;/&gt;&lt;wsp:rsid wsp:val=&quot;00F14D59&quot;/&gt;&lt;wsp:rsid wsp:val=&quot;00F15451&quot;/&gt;&lt;wsp:rsid wsp:val=&quot;00F161F7&quot;/&gt;&lt;wsp:rsid wsp:val=&quot;00F16578&quot;/&gt;&lt;wsp:rsid wsp:val=&quot;00F1664F&quot;/&gt;&lt;wsp:rsid wsp:val=&quot;00F16684&quot;/&gt;&lt;wsp:rsid wsp:val=&quot;00F16D36&quot;/&gt;&lt;wsp:rsid wsp:val=&quot;00F16D5C&quot;/&gt;&lt;wsp:rsid wsp:val=&quot;00F17001&quot;/&gt;&lt;wsp:rsid wsp:val=&quot;00F1722A&quot;/&gt;&lt;wsp:rsid wsp:val=&quot;00F175C9&quot;/&gt;&lt;wsp:rsid wsp:val=&quot;00F1795C&quot;/&gt;&lt;wsp:rsid wsp:val=&quot;00F201A8&quot;/&gt;&lt;wsp:rsid wsp:val=&quot;00F20320&quot;/&gt;&lt;wsp:rsid wsp:val=&quot;00F2091B&quot;/&gt;&lt;wsp:rsid wsp:val=&quot;00F20932&quot;/&gt;&lt;wsp:rsid wsp:val=&quot;00F20B24&quot;/&gt;&lt;wsp:rsid wsp:val=&quot;00F20B56&quot;/&gt;&lt;wsp:rsid wsp:val=&quot;00F20B9A&quot;/&gt;&lt;wsp:rsid wsp:val=&quot;00F21730&quot;/&gt;&lt;wsp:rsid wsp:val=&quot;00F21765&quot;/&gt;&lt;wsp:rsid wsp:val=&quot;00F21862&quot;/&gt;&lt;wsp:rsid wsp:val=&quot;00F220C1&quot;/&gt;&lt;wsp:rsid wsp:val=&quot;00F222D8&quot;/&gt;&lt;wsp:rsid wsp:val=&quot;00F22360&quot;/&gt;&lt;wsp:rsid wsp:val=&quot;00F228AF&quot;/&gt;&lt;wsp:rsid wsp:val=&quot;00F232D0&quot;/&gt;&lt;wsp:rsid wsp:val=&quot;00F2336A&quot;/&gt;&lt;wsp:rsid wsp:val=&quot;00F23755&quot;/&gt;&lt;wsp:rsid wsp:val=&quot;00F24079&quot;/&gt;&lt;wsp:rsid wsp:val=&quot;00F2443A&quot;/&gt;&lt;wsp:rsid wsp:val=&quot;00F2460B&quot;/&gt;&lt;wsp:rsid wsp:val=&quot;00F247F2&quot;/&gt;&lt;wsp:rsid wsp:val=&quot;00F2485F&quot;/&gt;&lt;wsp:rsid wsp:val=&quot;00F250A5&quot;/&gt;&lt;wsp:rsid wsp:val=&quot;00F25235&quot;/&gt;&lt;wsp:rsid wsp:val=&quot;00F2539E&quot;/&gt;&lt;wsp:rsid wsp:val=&quot;00F255EF&quot;/&gt;&lt;wsp:rsid wsp:val=&quot;00F25711&quot;/&gt;&lt;wsp:rsid wsp:val=&quot;00F25945&quot;/&gt;&lt;wsp:rsid wsp:val=&quot;00F25B91&quot;/&gt;&lt;wsp:rsid wsp:val=&quot;00F2698E&quot;/&gt;&lt;wsp:rsid wsp:val=&quot;00F26999&quot;/&gt;&lt;wsp:rsid wsp:val=&quot;00F26A34&quot;/&gt;&lt;wsp:rsid wsp:val=&quot;00F26B4E&quot;/&gt;&lt;wsp:rsid wsp:val=&quot;00F26B91&quot;/&gt;&lt;wsp:rsid wsp:val=&quot;00F27326&quot;/&gt;&lt;wsp:rsid wsp:val=&quot;00F276FA&quot;/&gt;&lt;wsp:rsid wsp:val=&quot;00F27702&quot;/&gt;&lt;wsp:rsid wsp:val=&quot;00F2795C&quot;/&gt;&lt;wsp:rsid wsp:val=&quot;00F30669&quot;/&gt;&lt;wsp:rsid wsp:val=&quot;00F30A4C&quot;/&gt;&lt;wsp:rsid wsp:val=&quot;00F31395&quot;/&gt;&lt;wsp:rsid wsp:val=&quot;00F316F5&quot;/&gt;&lt;wsp:rsid wsp:val=&quot;00F31A8C&quot;/&gt;&lt;wsp:rsid wsp:val=&quot;00F32059&quot;/&gt;&lt;wsp:rsid wsp:val=&quot;00F32626&quot;/&gt;&lt;wsp:rsid wsp:val=&quot;00F33035&quot;/&gt;&lt;wsp:rsid wsp:val=&quot;00F33097&quot;/&gt;&lt;wsp:rsid wsp:val=&quot;00F33BFA&quot;/&gt;&lt;wsp:rsid wsp:val=&quot;00F33C51&quot;/&gt;&lt;wsp:rsid wsp:val=&quot;00F345BA&quot;/&gt;&lt;wsp:rsid wsp:val=&quot;00F34F1E&quot;/&gt;&lt;wsp:rsid wsp:val=&quot;00F353D0&quot;/&gt;&lt;wsp:rsid wsp:val=&quot;00F35B81&quot;/&gt;&lt;wsp:rsid wsp:val=&quot;00F35BCC&quot;/&gt;&lt;wsp:rsid wsp:val=&quot;00F35F1A&quot;/&gt;&lt;wsp:rsid wsp:val=&quot;00F36337&quot;/&gt;&lt;wsp:rsid wsp:val=&quot;00F365B0&quot;/&gt;&lt;wsp:rsid wsp:val=&quot;00F366C9&quot;/&gt;&lt;wsp:rsid wsp:val=&quot;00F36CFD&quot;/&gt;&lt;wsp:rsid wsp:val=&quot;00F36E07&quot;/&gt;&lt;wsp:rsid wsp:val=&quot;00F374D0&quot;/&gt;&lt;wsp:rsid wsp:val=&quot;00F37821&quot;/&gt;&lt;wsp:rsid wsp:val=&quot;00F378FA&quot;/&gt;&lt;wsp:rsid wsp:val=&quot;00F37953&quot;/&gt;&lt;wsp:rsid wsp:val=&quot;00F37B61&quot;/&gt;&lt;wsp:rsid wsp:val=&quot;00F37CB4&quot;/&gt;&lt;wsp:rsid wsp:val=&quot;00F4023D&quot;/&gt;&lt;wsp:rsid wsp:val=&quot;00F40B1C&quot;/&gt;&lt;wsp:rsid wsp:val=&quot;00F40FDE&quot;/&gt;&lt;wsp:rsid wsp:val=&quot;00F40FE1&quot;/&gt;&lt;wsp:rsid wsp:val=&quot;00F41601&quot;/&gt;&lt;wsp:rsid wsp:val=&quot;00F416FC&quot;/&gt;&lt;wsp:rsid wsp:val=&quot;00F41854&quot;/&gt;&lt;wsp:rsid wsp:val=&quot;00F41E4F&quot;/&gt;&lt;wsp:rsid wsp:val=&quot;00F43215&quot;/&gt;&lt;wsp:rsid wsp:val=&quot;00F43240&quot;/&gt;&lt;wsp:rsid wsp:val=&quot;00F433AE&quot;/&gt;&lt;wsp:rsid wsp:val=&quot;00F435D3&quot;/&gt;&lt;wsp:rsid wsp:val=&quot;00F43765&quot;/&gt;&lt;wsp:rsid wsp:val=&quot;00F4384F&quot;/&gt;&lt;wsp:rsid wsp:val=&quot;00F43A2E&quot;/&gt;&lt;wsp:rsid wsp:val=&quot;00F43D50&quot;/&gt;&lt;wsp:rsid wsp:val=&quot;00F44325&quot;/&gt;&lt;wsp:rsid wsp:val=&quot;00F443CE&quot;/&gt;&lt;wsp:rsid wsp:val=&quot;00F4475C&quot;/&gt;&lt;wsp:rsid wsp:val=&quot;00F44921&quot;/&gt;&lt;wsp:rsid wsp:val=&quot;00F44A39&quot;/&gt;&lt;wsp:rsid wsp:val=&quot;00F453EC&quot;/&gt;&lt;wsp:rsid wsp:val=&quot;00F45CE5&quot;/&gt;&lt;wsp:rsid wsp:val=&quot;00F460FC&quot;/&gt;&lt;wsp:rsid wsp:val=&quot;00F46386&quot;/&gt;&lt;wsp:rsid wsp:val=&quot;00F463B8&quot;/&gt;&lt;wsp:rsid wsp:val=&quot;00F46612&quot;/&gt;&lt;wsp:rsid wsp:val=&quot;00F467EA&quot;/&gt;&lt;wsp:rsid wsp:val=&quot;00F469C6&quot;/&gt;&lt;wsp:rsid wsp:val=&quot;00F46C3D&quot;/&gt;&lt;wsp:rsid wsp:val=&quot;00F471A7&quot;/&gt;&lt;wsp:rsid wsp:val=&quot;00F47231&quot;/&gt;&lt;wsp:rsid wsp:val=&quot;00F474DD&quot;/&gt;&lt;wsp:rsid wsp:val=&quot;00F5029E&quot;/&gt;&lt;wsp:rsid wsp:val=&quot;00F504EF&quot;/&gt;&lt;wsp:rsid wsp:val=&quot;00F50641&quot;/&gt;&lt;wsp:rsid wsp:val=&quot;00F50CBC&quot;/&gt;&lt;wsp:rsid wsp:val=&quot;00F5109D&quot;/&gt;&lt;wsp:rsid wsp:val=&quot;00F512C4&quot;/&gt;&lt;wsp:rsid wsp:val=&quot;00F51661&quot;/&gt;&lt;wsp:rsid wsp:val=&quot;00F51DE9&quot;/&gt;&lt;wsp:rsid wsp:val=&quot;00F51E6A&quot;/&gt;&lt;wsp:rsid wsp:val=&quot;00F5255F&quot;/&gt;&lt;wsp:rsid wsp:val=&quot;00F5300C&quot;/&gt;&lt;wsp:rsid wsp:val=&quot;00F5332D&quot;/&gt;&lt;wsp:rsid wsp:val=&quot;00F5333A&quot;/&gt;&lt;wsp:rsid wsp:val=&quot;00F53D35&quot;/&gt;&lt;wsp:rsid wsp:val=&quot;00F54586&quot;/&gt;&lt;wsp:rsid wsp:val=&quot;00F547C7&quot;/&gt;&lt;wsp:rsid wsp:val=&quot;00F54860&quot;/&gt;&lt;wsp:rsid wsp:val=&quot;00F549C0&quot;/&gt;&lt;wsp:rsid wsp:val=&quot;00F54FC3&quot;/&gt;&lt;wsp:rsid wsp:val=&quot;00F553A1&quot;/&gt;&lt;wsp:rsid wsp:val=&quot;00F55457&quot;/&gt;&lt;wsp:rsid wsp:val=&quot;00F558F2&quot;/&gt;&lt;wsp:rsid wsp:val=&quot;00F55C5F&quot;/&gt;&lt;wsp:rsid wsp:val=&quot;00F55D80&quot;/&gt;&lt;wsp:rsid wsp:val=&quot;00F55FFC&quot;/&gt;&lt;wsp:rsid wsp:val=&quot;00F56A9D&quot;/&gt;&lt;wsp:rsid wsp:val=&quot;00F56F1B&quot;/&gt;&lt;wsp:rsid wsp:val=&quot;00F5726E&quot;/&gt;&lt;wsp:rsid wsp:val=&quot;00F57384&quot;/&gt;&lt;wsp:rsid wsp:val=&quot;00F573C4&quot;/&gt;&lt;wsp:rsid wsp:val=&quot;00F575B7&quot;/&gt;&lt;wsp:rsid wsp:val=&quot;00F577A1&quot;/&gt;&lt;wsp:rsid wsp:val=&quot;00F579A7&quot;/&gt;&lt;wsp:rsid wsp:val=&quot;00F57B96&quot;/&gt;&lt;wsp:rsid wsp:val=&quot;00F600C7&quot;/&gt;&lt;wsp:rsid wsp:val=&quot;00F601C7&quot;/&gt;&lt;wsp:rsid wsp:val=&quot;00F603F5&quot;/&gt;&lt;wsp:rsid wsp:val=&quot;00F6049B&quot;/&gt;&lt;wsp:rsid wsp:val=&quot;00F606C0&quot;/&gt;&lt;wsp:rsid wsp:val=&quot;00F60E71&quot;/&gt;&lt;wsp:rsid wsp:val=&quot;00F61074&quot;/&gt;&lt;wsp:rsid wsp:val=&quot;00F613AA&quot;/&gt;&lt;wsp:rsid wsp:val=&quot;00F61549&quot;/&gt;&lt;wsp:rsid wsp:val=&quot;00F62582&quot;/&gt;&lt;wsp:rsid wsp:val=&quot;00F62895&quot;/&gt;&lt;wsp:rsid wsp:val=&quot;00F6292E&quot;/&gt;&lt;wsp:rsid wsp:val=&quot;00F62E90&quot;/&gt;&lt;wsp:rsid wsp:val=&quot;00F63479&quot;/&gt;&lt;wsp:rsid wsp:val=&quot;00F63651&quot;/&gt;&lt;wsp:rsid wsp:val=&quot;00F638F6&quot;/&gt;&lt;wsp:rsid wsp:val=&quot;00F63D2F&quot;/&gt;&lt;wsp:rsid wsp:val=&quot;00F63E24&quot;/&gt;&lt;wsp:rsid wsp:val=&quot;00F63F27&quot;/&gt;&lt;wsp:rsid wsp:val=&quot;00F6530D&quot;/&gt;&lt;wsp:rsid wsp:val=&quot;00F65378&quot;/&gt;&lt;wsp:rsid wsp:val=&quot;00F6538F&quot;/&gt;&lt;wsp:rsid wsp:val=&quot;00F65B7B&quot;/&gt;&lt;wsp:rsid wsp:val=&quot;00F65C78&quot;/&gt;&lt;wsp:rsid wsp:val=&quot;00F65F32&quot;/&gt;&lt;wsp:rsid wsp:val=&quot;00F66075&quot;/&gt;&lt;wsp:rsid wsp:val=&quot;00F66844&quot;/&gt;&lt;wsp:rsid wsp:val=&quot;00F66B04&quot;/&gt;&lt;wsp:rsid wsp:val=&quot;00F671F0&quot;/&gt;&lt;wsp:rsid wsp:val=&quot;00F677B3&quot;/&gt;&lt;wsp:rsid wsp:val=&quot;00F67813&quot;/&gt;&lt;wsp:rsid wsp:val=&quot;00F67868&quot;/&gt;&lt;wsp:rsid wsp:val=&quot;00F67A4E&quot;/&gt;&lt;wsp:rsid wsp:val=&quot;00F70198&quot;/&gt;&lt;wsp:rsid wsp:val=&quot;00F7021F&quot;/&gt;&lt;wsp:rsid wsp:val=&quot;00F70550&quot;/&gt;&lt;wsp:rsid wsp:val=&quot;00F707D6&quot;/&gt;&lt;wsp:rsid wsp:val=&quot;00F708CD&quot;/&gt;&lt;wsp:rsid wsp:val=&quot;00F70A2C&quot;/&gt;&lt;wsp:rsid wsp:val=&quot;00F7102B&quot;/&gt;&lt;wsp:rsid wsp:val=&quot;00F716C5&quot;/&gt;&lt;wsp:rsid wsp:val=&quot;00F72211&quot;/&gt;&lt;wsp:rsid wsp:val=&quot;00F723E9&quot;/&gt;&lt;wsp:rsid wsp:val=&quot;00F72D29&quot;/&gt;&lt;wsp:rsid wsp:val=&quot;00F732AE&quot;/&gt;&lt;wsp:rsid wsp:val=&quot;00F734C0&quot;/&gt;&lt;wsp:rsid wsp:val=&quot;00F7350F&quot;/&gt;&lt;wsp:rsid wsp:val=&quot;00F73541&quot;/&gt;&lt;wsp:rsid wsp:val=&quot;00F73603&quot;/&gt;&lt;wsp:rsid wsp:val=&quot;00F73656&quot;/&gt;&lt;wsp:rsid wsp:val=&quot;00F7374D&quot;/&gt;&lt;wsp:rsid wsp:val=&quot;00F73DAC&quot;/&gt;&lt;wsp:rsid wsp:val=&quot;00F73DEC&quot;/&gt;&lt;wsp:rsid wsp:val=&quot;00F740A8&quot;/&gt;&lt;wsp:rsid wsp:val=&quot;00F741E7&quot;/&gt;&lt;wsp:rsid wsp:val=&quot;00F74334&quot;/&gt;&lt;wsp:rsid wsp:val=&quot;00F74A0F&quot;/&gt;&lt;wsp:rsid wsp:val=&quot;00F74B0D&quot;/&gt;&lt;wsp:rsid wsp:val=&quot;00F74E22&quot;/&gt;&lt;wsp:rsid wsp:val=&quot;00F74E25&quot;/&gt;&lt;wsp:rsid wsp:val=&quot;00F7553D&quot;/&gt;&lt;wsp:rsid wsp:val=&quot;00F75608&quot;/&gt;&lt;wsp:rsid wsp:val=&quot;00F75679&quot;/&gt;&lt;wsp:rsid wsp:val=&quot;00F75707&quot;/&gt;&lt;wsp:rsid wsp:val=&quot;00F758F8&quot;/&gt;&lt;wsp:rsid wsp:val=&quot;00F75E46&quot;/&gt;&lt;wsp:rsid wsp:val=&quot;00F76E5F&quot;/&gt;&lt;wsp:rsid wsp:val=&quot;00F77FE4&quot;/&gt;&lt;wsp:rsid wsp:val=&quot;00F80179&quot;/&gt;&lt;wsp:rsid wsp:val=&quot;00F80BC3&quot;/&gt;&lt;wsp:rsid wsp:val=&quot;00F80BD0&quot;/&gt;&lt;wsp:rsid wsp:val=&quot;00F80F71&quot;/&gt;&lt;wsp:rsid wsp:val=&quot;00F81565&quot;/&gt;&lt;wsp:rsid wsp:val=&quot;00F81A3B&quot;/&gt;&lt;wsp:rsid wsp:val=&quot;00F81AAF&quot;/&gt;&lt;wsp:rsid wsp:val=&quot;00F8234A&quot;/&gt;&lt;wsp:rsid wsp:val=&quot;00F82B4B&quot;/&gt;&lt;wsp:rsid wsp:val=&quot;00F82B66&quot;/&gt;&lt;wsp:rsid wsp:val=&quot;00F82D30&quot;/&gt;&lt;wsp:rsid wsp:val=&quot;00F8331F&quot;/&gt;&lt;wsp:rsid wsp:val=&quot;00F8453E&quot;/&gt;&lt;wsp:rsid wsp:val=&quot;00F8459F&quot;/&gt;&lt;wsp:rsid wsp:val=&quot;00F845D1&quot;/&gt;&lt;wsp:rsid wsp:val=&quot;00F84A06&quot;/&gt;&lt;wsp:rsid wsp:val=&quot;00F84DC9&quot;/&gt;&lt;wsp:rsid wsp:val=&quot;00F84E6B&quot;/&gt;&lt;wsp:rsid wsp:val=&quot;00F84E7C&quot;/&gt;&lt;wsp:rsid wsp:val=&quot;00F85370&quot;/&gt;&lt;wsp:rsid wsp:val=&quot;00F85453&quot;/&gt;&lt;wsp:rsid wsp:val=&quot;00F8554E&quot;/&gt;&lt;wsp:rsid wsp:val=&quot;00F8581B&quot;/&gt;&lt;wsp:rsid wsp:val=&quot;00F85844&quot;/&gt;&lt;wsp:rsid wsp:val=&quot;00F85DBD&quot;/&gt;&lt;wsp:rsid wsp:val=&quot;00F8650D&quot;/&gt;&lt;wsp:rsid wsp:val=&quot;00F86AF1&quot;/&gt;&lt;wsp:rsid wsp:val=&quot;00F876C9&quot;/&gt;&lt;wsp:rsid wsp:val=&quot;00F87774&quot;/&gt;&lt;wsp:rsid wsp:val=&quot;00F8793A&quot;/&gt;&lt;wsp:rsid wsp:val=&quot;00F87F4C&quot;/&gt;&lt;wsp:rsid wsp:val=&quot;00F90110&quot;/&gt;&lt;wsp:rsid wsp:val=&quot;00F90590&quot;/&gt;&lt;wsp:rsid wsp:val=&quot;00F905D3&quot;/&gt;&lt;wsp:rsid wsp:val=&quot;00F9068F&quot;/&gt;&lt;wsp:rsid wsp:val=&quot;00F90792&quot;/&gt;&lt;wsp:rsid wsp:val=&quot;00F9084B&quot;/&gt;&lt;wsp:rsid wsp:val=&quot;00F91314&quot;/&gt;&lt;wsp:rsid wsp:val=&quot;00F9146E&quot;/&gt;&lt;wsp:rsid wsp:val=&quot;00F91585&quot;/&gt;&lt;wsp:rsid wsp:val=&quot;00F91591&quot;/&gt;&lt;wsp:rsid wsp:val=&quot;00F91A53&quot;/&gt;&lt;wsp:rsid wsp:val=&quot;00F91B6A&quot;/&gt;&lt;wsp:rsid wsp:val=&quot;00F91BB1&quot;/&gt;&lt;wsp:rsid wsp:val=&quot;00F91DF7&quot;/&gt;&lt;wsp:rsid wsp:val=&quot;00F9210F&quot;/&gt;&lt;wsp:rsid wsp:val=&quot;00F9214A&quot;/&gt;&lt;wsp:rsid wsp:val=&quot;00F924E4&quot;/&gt;&lt;wsp:rsid wsp:val=&quot;00F92524&quot;/&gt;&lt;wsp:rsid wsp:val=&quot;00F92977&quot;/&gt;&lt;wsp:rsid wsp:val=&quot;00F9344A&quot;/&gt;&lt;wsp:rsid wsp:val=&quot;00F93A87&quot;/&gt;&lt;wsp:rsid wsp:val=&quot;00F93E4E&quot;/&gt;&lt;wsp:rsid wsp:val=&quot;00F93FE4&quot;/&gt;&lt;wsp:rsid wsp:val=&quot;00F93FF4&quot;/&gt;&lt;wsp:rsid wsp:val=&quot;00F94238&quot;/&gt;&lt;wsp:rsid wsp:val=&quot;00F942EB&quot;/&gt;&lt;wsp:rsid wsp:val=&quot;00F94362&quot;/&gt;&lt;wsp:rsid wsp:val=&quot;00F944C1&quot;/&gt;&lt;wsp:rsid wsp:val=&quot;00F94685&quot;/&gt;&lt;wsp:rsid wsp:val=&quot;00F946C2&quot;/&gt;&lt;wsp:rsid wsp:val=&quot;00F948C3&quot;/&gt;&lt;wsp:rsid wsp:val=&quot;00F9494D&quot;/&gt;&lt;wsp:rsid wsp:val=&quot;00F94DE8&quot;/&gt;&lt;wsp:rsid wsp:val=&quot;00F95941&quot;/&gt;&lt;wsp:rsid wsp:val=&quot;00F95ABF&quot;/&gt;&lt;wsp:rsid wsp:val=&quot;00F9613F&quot;/&gt;&lt;wsp:rsid wsp:val=&quot;00F96D8B&quot;/&gt;&lt;wsp:rsid wsp:val=&quot;00F96DE6&quot;/&gt;&lt;wsp:rsid wsp:val=&quot;00F96F19&quot;/&gt;&lt;wsp:rsid wsp:val=&quot;00F975A1&quot;/&gt;&lt;wsp:rsid wsp:val=&quot;00F977BC&quot;/&gt;&lt;wsp:rsid wsp:val=&quot;00FA0314&quot;/&gt;&lt;wsp:rsid wsp:val=&quot;00FA0C64&quot;/&gt;&lt;wsp:rsid wsp:val=&quot;00FA1131&quot;/&gt;&lt;wsp:rsid wsp:val=&quot;00FA17EC&quot;/&gt;&lt;wsp:rsid wsp:val=&quot;00FA1A45&quot;/&gt;&lt;wsp:rsid wsp:val=&quot;00FA1D7F&quot;/&gt;&lt;wsp:rsid wsp:val=&quot;00FA1DCC&quot;/&gt;&lt;wsp:rsid wsp:val=&quot;00FA2970&quot;/&gt;&lt;wsp:rsid wsp:val=&quot;00FA2E02&quot;/&gt;&lt;wsp:rsid wsp:val=&quot;00FA2F56&quot;/&gt;&lt;wsp:rsid wsp:val=&quot;00FA36E1&quot;/&gt;&lt;wsp:rsid wsp:val=&quot;00FA3B87&quot;/&gt;&lt;wsp:rsid wsp:val=&quot;00FA3C42&quot;/&gt;&lt;wsp:rsid wsp:val=&quot;00FA3EAE&quot;/&gt;&lt;wsp:rsid wsp:val=&quot;00FA408C&quot;/&gt;&lt;wsp:rsid wsp:val=&quot;00FA478F&quot;/&gt;&lt;wsp:rsid wsp:val=&quot;00FA4DED&quot;/&gt;&lt;wsp:rsid wsp:val=&quot;00FA4FA9&quot;/&gt;&lt;wsp:rsid wsp:val=&quot;00FA554D&quot;/&gt;&lt;wsp:rsid wsp:val=&quot;00FA5C92&quot;/&gt;&lt;wsp:rsid wsp:val=&quot;00FA5FA5&quot;/&gt;&lt;wsp:rsid wsp:val=&quot;00FA623D&quot;/&gt;&lt;wsp:rsid wsp:val=&quot;00FA6287&quot;/&gt;&lt;wsp:rsid wsp:val=&quot;00FA642B&quot;/&gt;&lt;wsp:rsid wsp:val=&quot;00FA6B9F&quot;/&gt;&lt;wsp:rsid wsp:val=&quot;00FA6DD6&quot;/&gt;&lt;wsp:rsid wsp:val=&quot;00FA7091&quot;/&gt;&lt;wsp:rsid wsp:val=&quot;00FA71E7&quot;/&gt;&lt;wsp:rsid wsp:val=&quot;00FA78F6&quot;/&gt;&lt;wsp:rsid wsp:val=&quot;00FA7EAE&quot;/&gt;&lt;wsp:rsid wsp:val=&quot;00FB0041&quot;/&gt;&lt;wsp:rsid wsp:val=&quot;00FB009D&quot;/&gt;&lt;wsp:rsid wsp:val=&quot;00FB016A&quot;/&gt;&lt;wsp:rsid wsp:val=&quot;00FB0174&quot;/&gt;&lt;wsp:rsid wsp:val=&quot;00FB0257&quot;/&gt;&lt;wsp:rsid wsp:val=&quot;00FB0507&quot;/&gt;&lt;wsp:rsid wsp:val=&quot;00FB06C8&quot;/&gt;&lt;wsp:rsid wsp:val=&quot;00FB0705&quot;/&gt;&lt;wsp:rsid wsp:val=&quot;00FB0843&quot;/&gt;&lt;wsp:rsid wsp:val=&quot;00FB0CB7&quot;/&gt;&lt;wsp:rsid wsp:val=&quot;00FB0F2E&quot;/&gt;&lt;wsp:rsid wsp:val=&quot;00FB0F91&quot;/&gt;&lt;wsp:rsid wsp:val=&quot;00FB102D&quot;/&gt;&lt;wsp:rsid wsp:val=&quot;00FB125C&quot;/&gt;&lt;wsp:rsid wsp:val=&quot;00FB136C&quot;/&gt;&lt;wsp:rsid wsp:val=&quot;00FB1651&quot;/&gt;&lt;wsp:rsid wsp:val=&quot;00FB1729&quot;/&gt;&lt;wsp:rsid wsp:val=&quot;00FB19EB&quot;/&gt;&lt;wsp:rsid wsp:val=&quot;00FB1A28&quot;/&gt;&lt;wsp:rsid wsp:val=&quot;00FB1B84&quot;/&gt;&lt;wsp:rsid wsp:val=&quot;00FB222E&quot;/&gt;&lt;wsp:rsid wsp:val=&quot;00FB2395&quot;/&gt;&lt;wsp:rsid wsp:val=&quot;00FB2501&quot;/&gt;&lt;wsp:rsid wsp:val=&quot;00FB26F6&quot;/&gt;&lt;wsp:rsid wsp:val=&quot;00FB2A99&quot;/&gt;&lt;wsp:rsid wsp:val=&quot;00FB2B4B&quot;/&gt;&lt;wsp:rsid wsp:val=&quot;00FB2C6B&quot;/&gt;&lt;wsp:rsid wsp:val=&quot;00FB2CCB&quot;/&gt;&lt;wsp:rsid wsp:val=&quot;00FB2D94&quot;/&gt;&lt;wsp:rsid wsp:val=&quot;00FB2E4D&quot;/&gt;&lt;wsp:rsid wsp:val=&quot;00FB34E0&quot;/&gt;&lt;wsp:rsid wsp:val=&quot;00FB34F2&quot;/&gt;&lt;wsp:rsid wsp:val=&quot;00FB3697&quot;/&gt;&lt;wsp:rsid wsp:val=&quot;00FB38EA&quot;/&gt;&lt;wsp:rsid wsp:val=&quot;00FB38F8&quot;/&gt;&lt;wsp:rsid wsp:val=&quot;00FB3B96&quot;/&gt;&lt;wsp:rsid wsp:val=&quot;00FB3E47&quot;/&gt;&lt;wsp:rsid wsp:val=&quot;00FB4326&quot;/&gt;&lt;wsp:rsid wsp:val=&quot;00FB4657&quot;/&gt;&lt;wsp:rsid wsp:val=&quot;00FB5072&quot;/&gt;&lt;wsp:rsid wsp:val=&quot;00FB59BC&quot;/&gt;&lt;wsp:rsid wsp:val=&quot;00FB5AC8&quot;/&gt;&lt;wsp:rsid wsp:val=&quot;00FB6255&quot;/&gt;&lt;wsp:rsid wsp:val=&quot;00FB6329&quot;/&gt;&lt;wsp:rsid wsp:val=&quot;00FB643C&quot;/&gt;&lt;wsp:rsid wsp:val=&quot;00FB658F&quot;/&gt;&lt;wsp:rsid wsp:val=&quot;00FB6BEB&quot;/&gt;&lt;wsp:rsid wsp:val=&quot;00FB6C44&quot;/&gt;&lt;wsp:rsid wsp:val=&quot;00FB714E&quot;/&gt;&lt;wsp:rsid wsp:val=&quot;00FB7850&quot;/&gt;&lt;wsp:rsid wsp:val=&quot;00FB7AD8&quot;/&gt;&lt;wsp:rsid wsp:val=&quot;00FC08A0&quot;/&gt;&lt;wsp:rsid wsp:val=&quot;00FC0DBF&quot;/&gt;&lt;wsp:rsid wsp:val=&quot;00FC0E18&quot;/&gt;&lt;wsp:rsid wsp:val=&quot;00FC16EB&quot;/&gt;&lt;wsp:rsid wsp:val=&quot;00FC17A1&quot;/&gt;&lt;wsp:rsid wsp:val=&quot;00FC1B3F&quot;/&gt;&lt;wsp:rsid wsp:val=&quot;00FC1D9C&quot;/&gt;&lt;wsp:rsid wsp:val=&quot;00FC219A&quot;/&gt;&lt;wsp:rsid wsp:val=&quot;00FC2216&quot;/&gt;&lt;wsp:rsid wsp:val=&quot;00FC26F6&quot;/&gt;&lt;wsp:rsid wsp:val=&quot;00FC2844&quot;/&gt;&lt;wsp:rsid wsp:val=&quot;00FC2EBC&quot;/&gt;&lt;wsp:rsid wsp:val=&quot;00FC3062&quot;/&gt;&lt;wsp:rsid wsp:val=&quot;00FC316B&quot;/&gt;&lt;wsp:rsid wsp:val=&quot;00FC32FC&quot;/&gt;&lt;wsp:rsid wsp:val=&quot;00FC36CB&quot;/&gt;&lt;wsp:rsid wsp:val=&quot;00FC383E&quot;/&gt;&lt;wsp:rsid wsp:val=&quot;00FC3D4F&quot;/&gt;&lt;wsp:rsid wsp:val=&quot;00FC3F6C&quot;/&gt;&lt;wsp:rsid wsp:val=&quot;00FC45F9&quot;/&gt;&lt;wsp:rsid wsp:val=&quot;00FC47F6&quot;/&gt;&lt;wsp:rsid wsp:val=&quot;00FC4D35&quot;/&gt;&lt;wsp:rsid wsp:val=&quot;00FC5080&quot;/&gt;&lt;wsp:rsid wsp:val=&quot;00FC55F6&quot;/&gt;&lt;wsp:rsid wsp:val=&quot;00FC5C83&quot;/&gt;&lt;wsp:rsid wsp:val=&quot;00FC616C&quot;/&gt;&lt;wsp:rsid wsp:val=&quot;00FC61F9&quot;/&gt;&lt;wsp:rsid wsp:val=&quot;00FC6886&quot;/&gt;&lt;wsp:rsid wsp:val=&quot;00FC71BA&quot;/&gt;&lt;wsp:rsid wsp:val=&quot;00FC75B2&quot;/&gt;&lt;wsp:rsid wsp:val=&quot;00FC78F5&quot;/&gt;&lt;wsp:rsid wsp:val=&quot;00FC7930&quot;/&gt;&lt;wsp:rsid wsp:val=&quot;00FC7AD2&quot;/&gt;&lt;wsp:rsid wsp:val=&quot;00FD02D9&quot;/&gt;&lt;wsp:rsid wsp:val=&quot;00FD0910&quot;/&gt;&lt;wsp:rsid wsp:val=&quot;00FD0AF0&quot;/&gt;&lt;wsp:rsid wsp:val=&quot;00FD0D54&quot;/&gt;&lt;wsp:rsid wsp:val=&quot;00FD11B3&quot;/&gt;&lt;wsp:rsid wsp:val=&quot;00FD1473&quot;/&gt;&lt;wsp:rsid wsp:val=&quot;00FD1758&quot;/&gt;&lt;wsp:rsid wsp:val=&quot;00FD179F&quot;/&gt;&lt;wsp:rsid wsp:val=&quot;00FD1A7D&quot;/&gt;&lt;wsp:rsid wsp:val=&quot;00FD20BC&quot;/&gt;&lt;wsp:rsid wsp:val=&quot;00FD26FE&quot;/&gt;&lt;wsp:rsid wsp:val=&quot;00FD2A01&quot;/&gt;&lt;wsp:rsid wsp:val=&quot;00FD314D&quot;/&gt;&lt;wsp:rsid wsp:val=&quot;00FD3403&quot;/&gt;&lt;wsp:rsid wsp:val=&quot;00FD36A2&quot;/&gt;&lt;wsp:rsid wsp:val=&quot;00FD3A5A&quot;/&gt;&lt;wsp:rsid wsp:val=&quot;00FD4EE0&quot;/&gt;&lt;wsp:rsid wsp:val=&quot;00FD5347&quot;/&gt;&lt;wsp:rsid wsp:val=&quot;00FD5B91&quot;/&gt;&lt;wsp:rsid wsp:val=&quot;00FD60E5&quot;/&gt;&lt;wsp:rsid wsp:val=&quot;00FD6246&quot;/&gt;&lt;wsp:rsid wsp:val=&quot;00FD63A2&quot;/&gt;&lt;wsp:rsid wsp:val=&quot;00FD63F4&quot;/&gt;&lt;wsp:rsid wsp:val=&quot;00FD6474&quot;/&gt;&lt;wsp:rsid wsp:val=&quot;00FD685C&quot;/&gt;&lt;wsp:rsid wsp:val=&quot;00FD7590&quot;/&gt;&lt;wsp:rsid wsp:val=&quot;00FD792C&quot;/&gt;&lt;wsp:rsid wsp:val=&quot;00FD79B0&quot;/&gt;&lt;wsp:rsid wsp:val=&quot;00FD7AAA&quot;/&gt;&lt;wsp:rsid wsp:val=&quot;00FD7DD4&quot;/&gt;&lt;wsp:rsid wsp:val=&quot;00FE03AB&quot;/&gt;&lt;wsp:rsid wsp:val=&quot;00FE054A&quot;/&gt;&lt;wsp:rsid wsp:val=&quot;00FE0846&quot;/&gt;&lt;wsp:rsid wsp:val=&quot;00FE0EA5&quot;/&gt;&lt;wsp:rsid wsp:val=&quot;00FE1047&quot;/&gt;&lt;wsp:rsid wsp:val=&quot;00FE1C7D&quot;/&gt;&lt;wsp:rsid wsp:val=&quot;00FE1DF0&quot;/&gt;&lt;wsp:rsid wsp:val=&quot;00FE1F5A&quot;/&gt;&lt;wsp:rsid wsp:val=&quot;00FE2B12&quot;/&gt;&lt;wsp:rsid wsp:val=&quot;00FE2C8D&quot;/&gt;&lt;wsp:rsid wsp:val=&quot;00FE2D7B&quot;/&gt;&lt;wsp:rsid wsp:val=&quot;00FE2E36&quot;/&gt;&lt;wsp:rsid wsp:val=&quot;00FE2F07&quot;/&gt;&lt;wsp:rsid wsp:val=&quot;00FE2F27&quot;/&gt;&lt;wsp:rsid wsp:val=&quot;00FE3778&quot;/&gt;&lt;wsp:rsid wsp:val=&quot;00FE3833&quot;/&gt;&lt;wsp:rsid wsp:val=&quot;00FE42A9&quot;/&gt;&lt;wsp:rsid wsp:val=&quot;00FE4804&quot;/&gt;&lt;wsp:rsid wsp:val=&quot;00FE4A98&quot;/&gt;&lt;wsp:rsid wsp:val=&quot;00FE4D7F&quot;/&gt;&lt;wsp:rsid wsp:val=&quot;00FE4FDC&quot;/&gt;&lt;wsp:rsid wsp:val=&quot;00FE50D8&quot;/&gt;&lt;wsp:rsid wsp:val=&quot;00FE5DF8&quot;/&gt;&lt;wsp:rsid wsp:val=&quot;00FE5FCB&quot;/&gt;&lt;wsp:rsid wsp:val=&quot;00FE66EC&quot;/&gt;&lt;wsp:rsid wsp:val=&quot;00FE681C&quot;/&gt;&lt;wsp:rsid wsp:val=&quot;00FE6836&quot;/&gt;&lt;wsp:rsid wsp:val=&quot;00FE68B9&quot;/&gt;&lt;wsp:rsid wsp:val=&quot;00FE6C42&quot;/&gt;&lt;wsp:rsid wsp:val=&quot;00FE6D43&quot;/&gt;&lt;wsp:rsid wsp:val=&quot;00FE6E65&quot;/&gt;&lt;wsp:rsid wsp:val=&quot;00FE6F04&quot;/&gt;&lt;wsp:rsid wsp:val=&quot;00FE77B3&quot;/&gt;&lt;wsp:rsid wsp:val=&quot;00FE7B91&quot;/&gt;&lt;wsp:rsid wsp:val=&quot;00FE7B9F&quot;/&gt;&lt;wsp:rsid wsp:val=&quot;00FE7F98&quot;/&gt;&lt;wsp:rsid wsp:val=&quot;00FF0133&quot;/&gt;&lt;wsp:rsid wsp:val=&quot;00FF08C1&quot;/&gt;&lt;wsp:rsid wsp:val=&quot;00FF115A&quot;/&gt;&lt;wsp:rsid wsp:val=&quot;00FF14A0&quot;/&gt;&lt;wsp:rsid wsp:val=&quot;00FF163A&quot;/&gt;&lt;wsp:rsid wsp:val=&quot;00FF1D9E&quot;/&gt;&lt;wsp:rsid wsp:val=&quot;00FF1E38&quot;/&gt;&lt;wsp:rsid wsp:val=&quot;00FF21CA&quot;/&gt;&lt;wsp:rsid wsp:val=&quot;00FF32DE&quot;/&gt;&lt;wsp:rsid wsp:val=&quot;00FF3504&quot;/&gt;&lt;wsp:rsid wsp:val=&quot;00FF38D7&quot;/&gt;&lt;wsp:rsid wsp:val=&quot;00FF3B7D&quot;/&gt;&lt;wsp:rsid wsp:val=&quot;00FF4011&quot;/&gt;&lt;wsp:rsid wsp:val=&quot;00FF4813&quot;/&gt;&lt;wsp:rsid wsp:val=&quot;00FF48C1&quot;/&gt;&lt;wsp:rsid wsp:val=&quot;00FF4964&quot;/&gt;&lt;wsp:rsid wsp:val=&quot;00FF4C59&quot;/&gt;&lt;wsp:rsid wsp:val=&quot;00FF4C69&quot;/&gt;&lt;wsp:rsid wsp:val=&quot;00FF58D0&quot;/&gt;&lt;wsp:rsid wsp:val=&quot;00FF6229&quot;/&gt;&lt;wsp:rsid wsp:val=&quot;00FF6947&quot;/&gt;&lt;wsp:rsid wsp:val=&quot;00FF6973&quot;/&gt;&lt;wsp:rsid wsp:val=&quot;00FF6A0D&quot;/&gt;&lt;wsp:rsid wsp:val=&quot;00FF6ADE&quot;/&gt;&lt;wsp:rsid wsp:val=&quot;00FF6BA2&quot;/&gt;&lt;wsp:rsid wsp:val=&quot;00FF6C31&quot;/&gt;&lt;wsp:rsid wsp:val=&quot;00FF7428&quot;/&gt;&lt;wsp:rsid wsp:val=&quot;00FF77A8&quot;/&gt;&lt;wsp:rsid wsp:val=&quot;00FF7AE3&quot;/&gt;&lt;wsp:rsid wsp:val=&quot;07BB1E2B&quot;/&gt;&lt;wsp:rsid wsp:val=&quot;11367B4D&quot;/&gt;&lt;wsp:rsid wsp:val=&quot;127C65E7&quot;/&gt;&lt;wsp:rsid wsp:val=&quot;311A20BE&quot;/&gt;&lt;wsp:rsid wsp:val=&quot;5FAE1C4A&quot;/&gt;&lt;wsp:rsid wsp:val=&quot;70A13097&quot;/&gt;&lt;/wsp:rsids&gt;&lt;/w:docPr&gt;&lt;w:body&gt;&lt;wx:sect&gt;&lt;w:p wsp:rsidR=&quot;00000000&quot; wsp:rsidRDefault=&quot;00E33928&quot; wsp:rsidP=&quot;00E33928&quot;&gt;&lt;m:oMathPara&gt;&lt;m:oMath&gt;&lt;m:r&gt;&lt;w:rPr&gt;&lt;w:rFonts w:ascii=&quot;Cambria Math&quot; w:h-ansi=&quot;Cambria Math&quot;/&gt;&lt;wx:font wx:val=&quot;Cambria Math&quot;/&gt;&lt;w:i/&gt;&lt;w:sz w:val=&quot;28&quot;/&gt;&lt;w:sz-cs w:val=&quot;28&quot;/&gt;&lt;/w:rPr&gt;&lt;m:t&gt;Q=φ∙K∙I∙A&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78" chromakey="#FFFFFF" o:title=""/>
            <o:lock v:ext="edit" aspectratio="t"/>
            <w10:wrap type="none"/>
            <w10:anchorlock/>
          </v:shape>
        </w:pict>
      </w:r>
      <w:r>
        <w:rPr>
          <w:rFonts w:ascii="Times New Roman" w:hAnsi="Times New Roman"/>
          <w:color w:val="auto"/>
          <w:sz w:val="28"/>
          <w:szCs w:val="28"/>
          <w:highlight w:val="none"/>
        </w:rPr>
        <w:fldChar w:fldCharType="end"/>
      </w:r>
      <w:r>
        <w:rPr>
          <w:rFonts w:hint="eastAsia" w:ascii="Times New Roman" w:hAnsi="Times New Roman"/>
          <w:color w:val="auto"/>
          <w:sz w:val="28"/>
          <w:szCs w:val="28"/>
          <w:highlight w:val="none"/>
          <w:lang w:val="en-US" w:eastAsia="zh-CN"/>
        </w:rPr>
        <w:t xml:space="preserve"> </w:t>
      </w:r>
    </w:p>
    <w:p w14:paraId="1DFD4650">
      <w:pPr>
        <w:widowControl w:val="0"/>
        <w:adjustRightInd w:val="0"/>
        <w:snapToGrid w:val="0"/>
        <w:spacing w:before="120" w:beforeLines="50" w:line="360" w:lineRule="auto"/>
        <w:ind w:firstLine="480" w:firstLineChars="200"/>
        <w:jc w:val="both"/>
        <w:rPr>
          <w:rFonts w:ascii="Times New Roman" w:hAnsi="Times New Roman"/>
          <w:snapToGrid w:val="0"/>
          <w:color w:val="auto"/>
          <w:sz w:val="24"/>
          <w:szCs w:val="24"/>
          <w:highlight w:val="none"/>
        </w:rPr>
      </w:pPr>
      <w:r>
        <w:rPr>
          <w:rFonts w:ascii="Times New Roman" w:hAnsi="Times New Roman"/>
          <w:snapToGrid w:val="0"/>
          <w:color w:val="auto"/>
          <w:sz w:val="24"/>
          <w:szCs w:val="24"/>
          <w:highlight w:val="none"/>
        </w:rPr>
        <w:t>式中：</w:t>
      </w:r>
    </w:p>
    <w:p w14:paraId="66CAFBB1">
      <w:pPr>
        <w:widowControl w:val="0"/>
        <w:adjustRightInd w:val="0"/>
        <w:snapToGrid w:val="0"/>
        <w:spacing w:line="360" w:lineRule="auto"/>
        <w:ind w:firstLine="480" w:firstLineChars="200"/>
        <w:jc w:val="both"/>
        <w:rPr>
          <w:rFonts w:ascii="Times New Roman" w:hAnsi="Times New Roman"/>
          <w:snapToGrid w:val="0"/>
          <w:color w:val="auto"/>
          <w:sz w:val="24"/>
          <w:szCs w:val="24"/>
          <w:highlight w:val="none"/>
        </w:rPr>
      </w:pPr>
      <w:r>
        <w:rPr>
          <w:rFonts w:ascii="Times New Roman" w:hAnsi="Times New Roman"/>
          <w:snapToGrid w:val="0"/>
          <w:color w:val="auto"/>
          <w:sz w:val="24"/>
          <w:szCs w:val="24"/>
          <w:highlight w:val="none"/>
        </w:rPr>
        <w:t>Q——渗漏量，m</w:t>
      </w:r>
      <w:r>
        <w:rPr>
          <w:rFonts w:ascii="Times New Roman" w:hAnsi="Times New Roman"/>
          <w:snapToGrid w:val="0"/>
          <w:color w:val="auto"/>
          <w:sz w:val="24"/>
          <w:szCs w:val="24"/>
          <w:highlight w:val="none"/>
          <w:vertAlign w:val="superscript"/>
        </w:rPr>
        <w:t>3</w:t>
      </w:r>
      <w:r>
        <w:rPr>
          <w:rFonts w:ascii="Times New Roman" w:hAnsi="Times New Roman"/>
          <w:snapToGrid w:val="0"/>
          <w:color w:val="auto"/>
          <w:sz w:val="24"/>
          <w:szCs w:val="24"/>
          <w:highlight w:val="none"/>
        </w:rPr>
        <w:t>/d或m</w:t>
      </w:r>
      <w:r>
        <w:rPr>
          <w:rFonts w:ascii="Times New Roman" w:hAnsi="Times New Roman"/>
          <w:snapToGrid w:val="0"/>
          <w:color w:val="auto"/>
          <w:sz w:val="24"/>
          <w:szCs w:val="24"/>
          <w:highlight w:val="none"/>
          <w:vertAlign w:val="superscript"/>
        </w:rPr>
        <w:t>3</w:t>
      </w:r>
      <w:r>
        <w:rPr>
          <w:rFonts w:ascii="Times New Roman" w:hAnsi="Times New Roman"/>
          <w:snapToGrid w:val="0"/>
          <w:color w:val="auto"/>
          <w:sz w:val="24"/>
          <w:szCs w:val="24"/>
          <w:highlight w:val="none"/>
        </w:rPr>
        <w:t>/a；</w:t>
      </w:r>
    </w:p>
    <w:p w14:paraId="6AABE762">
      <w:pPr>
        <w:widowControl w:val="0"/>
        <w:adjustRightInd w:val="0"/>
        <w:snapToGrid w:val="0"/>
        <w:spacing w:line="360" w:lineRule="auto"/>
        <w:ind w:firstLine="480" w:firstLineChars="200"/>
        <w:jc w:val="both"/>
        <w:rPr>
          <w:rFonts w:ascii="Times New Roman" w:hAnsi="Times New Roman"/>
          <w:snapToGrid w:val="0"/>
          <w:color w:val="auto"/>
          <w:sz w:val="24"/>
          <w:szCs w:val="24"/>
          <w:highlight w:val="none"/>
        </w:rPr>
      </w:pPr>
      <w:r>
        <w:rPr>
          <w:rFonts w:ascii="Times New Roman" w:hAnsi="Times New Roman"/>
          <w:snapToGrid w:val="0"/>
          <w:color w:val="auto"/>
          <w:sz w:val="24"/>
          <w:szCs w:val="24"/>
          <w:highlight w:val="none"/>
        </w:rPr>
        <w:t>K——防渗系统等效渗透系数，m/d，</w:t>
      </w:r>
      <w:r>
        <w:rPr>
          <w:rFonts w:ascii="Times New Roman" w:hAnsi="Times New Roman"/>
          <w:color w:val="auto"/>
          <w:kern w:val="2"/>
          <w:sz w:val="24"/>
          <w:szCs w:val="24"/>
          <w:highlight w:val="none"/>
        </w:rPr>
        <w:t>K为</w:t>
      </w:r>
      <w:r>
        <w:rPr>
          <w:rFonts w:hint="eastAsia" w:ascii="Times New Roman" w:hAnsi="Times New Roman"/>
          <w:color w:val="auto"/>
          <w:kern w:val="2"/>
          <w:sz w:val="24"/>
          <w:szCs w:val="24"/>
          <w:highlight w:val="none"/>
          <w:lang w:val="en-US" w:eastAsia="zh-CN"/>
        </w:rPr>
        <w:t>0.00005</w:t>
      </w:r>
      <w:r>
        <w:rPr>
          <w:rFonts w:ascii="Times New Roman" w:hAnsi="Times New Roman"/>
          <w:snapToGrid w:val="0"/>
          <w:color w:val="auto"/>
          <w:sz w:val="24"/>
          <w:szCs w:val="24"/>
          <w:highlight w:val="none"/>
        </w:rPr>
        <w:t>m/d；</w:t>
      </w:r>
    </w:p>
    <w:p w14:paraId="5C243B90">
      <w:pPr>
        <w:widowControl w:val="0"/>
        <w:adjustRightInd w:val="0"/>
        <w:snapToGrid w:val="0"/>
        <w:spacing w:line="360" w:lineRule="auto"/>
        <w:ind w:firstLine="480" w:firstLineChars="200"/>
        <w:jc w:val="both"/>
        <w:rPr>
          <w:rFonts w:ascii="Times New Roman" w:hAnsi="Times New Roman"/>
          <w:snapToGrid w:val="0"/>
          <w:color w:val="auto"/>
          <w:sz w:val="24"/>
          <w:szCs w:val="24"/>
          <w:highlight w:val="none"/>
        </w:rPr>
      </w:pPr>
      <w:r>
        <w:rPr>
          <w:rFonts w:ascii="Times New Roman" w:hAnsi="Times New Roman"/>
          <w:snapToGrid w:val="0"/>
          <w:color w:val="auto"/>
          <w:sz w:val="24"/>
          <w:szCs w:val="24"/>
          <w:highlight w:val="none"/>
        </w:rPr>
        <w:t>I——水力梯度，渗透地下水垂直于防渗层，在此取值为1；</w:t>
      </w:r>
    </w:p>
    <w:p w14:paraId="59545433">
      <w:pPr>
        <w:widowControl w:val="0"/>
        <w:adjustRightInd w:val="0"/>
        <w:snapToGrid w:val="0"/>
        <w:spacing w:line="360" w:lineRule="auto"/>
        <w:ind w:firstLine="480" w:firstLineChars="200"/>
        <w:jc w:val="both"/>
        <w:rPr>
          <w:rFonts w:ascii="Times New Roman" w:hAnsi="Times New Roman"/>
          <w:snapToGrid w:val="0"/>
          <w:color w:val="auto"/>
          <w:sz w:val="24"/>
          <w:szCs w:val="24"/>
          <w:highlight w:val="none"/>
        </w:rPr>
      </w:pPr>
      <w:r>
        <w:rPr>
          <w:rFonts w:ascii="Times New Roman" w:hAnsi="Times New Roman"/>
          <w:snapToGrid w:val="0"/>
          <w:color w:val="auto"/>
          <w:sz w:val="24"/>
          <w:szCs w:val="24"/>
          <w:highlight w:val="none"/>
        </w:rPr>
        <w:t>A——防渗面积，m</w:t>
      </w:r>
      <w:r>
        <w:rPr>
          <w:rFonts w:ascii="Times New Roman" w:hAnsi="Times New Roman"/>
          <w:snapToGrid w:val="0"/>
          <w:color w:val="auto"/>
          <w:sz w:val="24"/>
          <w:szCs w:val="24"/>
          <w:highlight w:val="none"/>
          <w:vertAlign w:val="superscript"/>
        </w:rPr>
        <w:t>2</w:t>
      </w:r>
      <w:r>
        <w:rPr>
          <w:rFonts w:ascii="Times New Roman" w:hAnsi="Times New Roman"/>
          <w:snapToGrid w:val="0"/>
          <w:color w:val="auto"/>
          <w:sz w:val="24"/>
          <w:szCs w:val="24"/>
          <w:highlight w:val="none"/>
        </w:rPr>
        <w:t>；防渗面积取30min泄漏量形成的液池面积，在此取面积</w:t>
      </w:r>
      <w:r>
        <w:rPr>
          <w:rFonts w:hint="eastAsia"/>
          <w:snapToGrid w:val="0"/>
          <w:color w:val="auto"/>
          <w:sz w:val="24"/>
          <w:szCs w:val="24"/>
          <w:highlight w:val="none"/>
          <w:lang w:val="en-US" w:eastAsia="zh-CN"/>
        </w:rPr>
        <w:t>85</w:t>
      </w:r>
      <w:r>
        <w:rPr>
          <w:rFonts w:ascii="Times New Roman" w:hAnsi="Times New Roman"/>
          <w:snapToGrid w:val="0"/>
          <w:color w:val="auto"/>
          <w:sz w:val="24"/>
          <w:szCs w:val="24"/>
          <w:highlight w:val="none"/>
        </w:rPr>
        <w:t>m</w:t>
      </w:r>
      <w:r>
        <w:rPr>
          <w:rFonts w:ascii="Times New Roman" w:hAnsi="Times New Roman"/>
          <w:snapToGrid w:val="0"/>
          <w:color w:val="auto"/>
          <w:sz w:val="24"/>
          <w:szCs w:val="24"/>
          <w:highlight w:val="none"/>
          <w:vertAlign w:val="superscript"/>
        </w:rPr>
        <w:t>2</w:t>
      </w:r>
      <w:r>
        <w:rPr>
          <w:rFonts w:ascii="Times New Roman" w:hAnsi="Times New Roman"/>
          <w:snapToGrid w:val="0"/>
          <w:color w:val="auto"/>
          <w:sz w:val="24"/>
          <w:szCs w:val="24"/>
          <w:highlight w:val="none"/>
        </w:rPr>
        <w:t>。</w:t>
      </w:r>
    </w:p>
    <w:p w14:paraId="3F84F7ED">
      <w:pPr>
        <w:widowControl w:val="0"/>
        <w:adjustRightInd w:val="0"/>
        <w:snapToGrid w:val="0"/>
        <w:spacing w:line="360" w:lineRule="auto"/>
        <w:ind w:firstLine="480" w:firstLineChars="200"/>
        <w:jc w:val="both"/>
        <w:rPr>
          <w:rFonts w:ascii="Times New Roman" w:hAnsi="Times New Roman"/>
          <w:snapToGrid w:val="0"/>
          <w:color w:val="auto"/>
          <w:sz w:val="24"/>
          <w:szCs w:val="24"/>
          <w:highlight w:val="none"/>
        </w:rPr>
      </w:pPr>
      <w:r>
        <w:rPr>
          <w:rFonts w:ascii="Times New Roman" w:hAnsi="Times New Roman"/>
          <w:snapToGrid w:val="0"/>
          <w:color w:val="auto"/>
          <w:sz w:val="24"/>
          <w:szCs w:val="24"/>
          <w:highlight w:val="none"/>
        </w:rPr>
        <w:t>φ——防渗结构失效率，通常单层膜结构防渗的取0.007%~0.013%，双层膜结构取0。保守考虑，防渗层本次评价按照单层膜结构取值0.013%。</w:t>
      </w:r>
    </w:p>
    <w:p w14:paraId="470D61DE">
      <w:pPr>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则泄漏量Q</w:t>
      </w:r>
      <w:r>
        <w:rPr>
          <w:rFonts w:ascii="Times New Roman" w:hAnsi="Times New Roman"/>
          <w:snapToGrid w:val="0"/>
          <w:color w:val="auto"/>
          <w:sz w:val="24"/>
          <w:szCs w:val="24"/>
          <w:highlight w:val="none"/>
        </w:rPr>
        <w:t>=</w:t>
      </w:r>
      <w:r>
        <w:rPr>
          <w:rFonts w:hint="eastAsia"/>
          <w:snapToGrid w:val="0"/>
          <w:color w:val="auto"/>
          <w:sz w:val="24"/>
          <w:szCs w:val="24"/>
          <w:highlight w:val="none"/>
          <w:lang w:val="en-US" w:eastAsia="zh-CN"/>
        </w:rPr>
        <w:t>5.5</w:t>
      </w:r>
      <w:r>
        <w:rPr>
          <w:rFonts w:ascii="Times New Roman" w:hAnsi="Times New Roman"/>
          <w:snapToGrid w:val="0"/>
          <w:color w:val="auto"/>
          <w:sz w:val="24"/>
          <w:szCs w:val="24"/>
          <w:highlight w:val="none"/>
        </w:rPr>
        <w:t>×10</w:t>
      </w:r>
      <w:r>
        <w:rPr>
          <w:rFonts w:ascii="Times New Roman" w:hAnsi="Times New Roman"/>
          <w:snapToGrid w:val="0"/>
          <w:color w:val="auto"/>
          <w:sz w:val="24"/>
          <w:szCs w:val="24"/>
          <w:highlight w:val="none"/>
          <w:vertAlign w:val="superscript"/>
        </w:rPr>
        <w:t>-</w:t>
      </w:r>
      <w:r>
        <w:rPr>
          <w:rFonts w:hint="eastAsia" w:ascii="Times New Roman" w:hAnsi="Times New Roman"/>
          <w:snapToGrid w:val="0"/>
          <w:color w:val="auto"/>
          <w:sz w:val="24"/>
          <w:szCs w:val="24"/>
          <w:highlight w:val="none"/>
          <w:vertAlign w:val="superscript"/>
          <w:lang w:val="en-US" w:eastAsia="zh-CN"/>
        </w:rPr>
        <w:t>7</w:t>
      </w:r>
      <w:r>
        <w:rPr>
          <w:rFonts w:ascii="Times New Roman" w:hAnsi="Times New Roman"/>
          <w:snapToGrid w:val="0"/>
          <w:color w:val="auto"/>
          <w:sz w:val="24"/>
          <w:szCs w:val="24"/>
          <w:highlight w:val="none"/>
        </w:rPr>
        <w:t>m</w:t>
      </w:r>
      <w:r>
        <w:rPr>
          <w:rFonts w:ascii="Times New Roman" w:hAnsi="Times New Roman"/>
          <w:snapToGrid w:val="0"/>
          <w:color w:val="auto"/>
          <w:sz w:val="24"/>
          <w:szCs w:val="24"/>
          <w:highlight w:val="none"/>
          <w:vertAlign w:val="superscript"/>
        </w:rPr>
        <w:t>3</w:t>
      </w:r>
      <w:r>
        <w:rPr>
          <w:rFonts w:ascii="Times New Roman" w:hAnsi="Times New Roman"/>
          <w:snapToGrid w:val="0"/>
          <w:color w:val="auto"/>
          <w:sz w:val="24"/>
          <w:szCs w:val="24"/>
          <w:highlight w:val="none"/>
        </w:rPr>
        <w:t>/d</w:t>
      </w:r>
      <w:r>
        <w:rPr>
          <w:rFonts w:hint="eastAsia" w:ascii="Times New Roman" w:hAnsi="Times New Roman"/>
          <w:snapToGrid w:val="0"/>
          <w:color w:val="auto"/>
          <w:sz w:val="24"/>
          <w:szCs w:val="24"/>
          <w:highlight w:val="none"/>
          <w:lang w:eastAsia="zh-CN"/>
        </w:rPr>
        <w:t>，</w:t>
      </w:r>
      <w:r>
        <w:rPr>
          <w:rFonts w:ascii="Times New Roman" w:hAnsi="Times New Roman"/>
          <w:color w:val="auto"/>
          <w:sz w:val="24"/>
          <w:szCs w:val="24"/>
          <w:highlight w:val="none"/>
        </w:rPr>
        <w:t>本项目选取</w:t>
      </w:r>
      <w:r>
        <w:rPr>
          <w:rFonts w:hint="eastAsia"/>
          <w:color w:val="auto"/>
          <w:sz w:val="24"/>
          <w:szCs w:val="24"/>
          <w:highlight w:val="none"/>
          <w:lang w:val="en-US" w:eastAsia="zh-CN"/>
        </w:rPr>
        <w:t>氟化物</w:t>
      </w:r>
      <w:r>
        <w:rPr>
          <w:rFonts w:ascii="Times New Roman" w:hAnsi="Times New Roman"/>
          <w:color w:val="auto"/>
          <w:sz w:val="24"/>
          <w:szCs w:val="24"/>
          <w:highlight w:val="none"/>
        </w:rPr>
        <w:t>作为本次预测因子。</w:t>
      </w:r>
      <w:r>
        <w:rPr>
          <w:rFonts w:hint="eastAsia"/>
          <w:color w:val="auto"/>
          <w:sz w:val="24"/>
          <w:szCs w:val="24"/>
          <w:highlight w:val="none"/>
          <w:lang w:val="en-US" w:eastAsia="zh-CN"/>
        </w:rPr>
        <w:t>浓度</w:t>
      </w:r>
      <w:r>
        <w:rPr>
          <w:rFonts w:hint="eastAsia" w:ascii="Times New Roman" w:hAnsi="Times New Roman"/>
          <w:color w:val="auto"/>
          <w:sz w:val="24"/>
          <w:szCs w:val="24"/>
          <w:highlight w:val="none"/>
          <w:lang w:val="en-US" w:eastAsia="zh-CN"/>
        </w:rPr>
        <w:t>计为</w:t>
      </w:r>
      <w:r>
        <w:rPr>
          <w:rFonts w:hint="eastAsia"/>
          <w:color w:val="auto"/>
          <w:sz w:val="24"/>
          <w:szCs w:val="24"/>
          <w:highlight w:val="none"/>
          <w:lang w:val="en-US" w:eastAsia="zh-CN"/>
        </w:rPr>
        <w:t>2</w:t>
      </w:r>
      <w:r>
        <w:rPr>
          <w:rFonts w:hint="eastAsia" w:ascii="Times New Roman" w:hAnsi="Times New Roman"/>
          <w:color w:val="auto"/>
          <w:sz w:val="24"/>
          <w:szCs w:val="24"/>
          <w:highlight w:val="none"/>
          <w:lang w:val="en-US" w:eastAsia="zh-CN"/>
        </w:rPr>
        <w:t>000</w:t>
      </w:r>
      <w:r>
        <w:rPr>
          <w:rFonts w:ascii="Times New Roman" w:hAnsi="Times New Roman"/>
          <w:color w:val="auto"/>
          <w:sz w:val="24"/>
          <w:szCs w:val="24"/>
          <w:highlight w:val="none"/>
        </w:rPr>
        <w:t>mg/L。</w:t>
      </w:r>
    </w:p>
    <w:p w14:paraId="15B16183">
      <w:pPr>
        <w:widowControl w:val="0"/>
        <w:snapToGrid w:val="0"/>
        <w:spacing w:line="360" w:lineRule="auto"/>
        <w:ind w:firstLine="482" w:firstLineChars="200"/>
        <w:jc w:val="both"/>
        <w:rPr>
          <w:rFonts w:ascii="Times New Roman" w:hAnsi="Times New Roman"/>
          <w:color w:val="auto"/>
          <w:sz w:val="24"/>
          <w:szCs w:val="24"/>
          <w:highlight w:val="none"/>
        </w:rPr>
      </w:pPr>
      <w:r>
        <w:rPr>
          <w:rFonts w:hint="eastAsia" w:ascii="Times New Roman" w:hAnsi="Times New Roman"/>
          <w:b/>
          <w:color w:val="auto"/>
          <w:kern w:val="2"/>
          <w:sz w:val="24"/>
          <w:szCs w:val="24"/>
          <w:highlight w:val="none"/>
          <w:lang w:val="en-US" w:eastAsia="zh-CN"/>
        </w:rPr>
        <w:t>6</w:t>
      </w:r>
      <w:r>
        <w:rPr>
          <w:rFonts w:ascii="Times New Roman" w:hAnsi="Times New Roman"/>
          <w:b/>
          <w:color w:val="auto"/>
          <w:kern w:val="2"/>
          <w:sz w:val="24"/>
          <w:szCs w:val="24"/>
          <w:highlight w:val="none"/>
        </w:rPr>
        <w:t>、预测模型</w:t>
      </w:r>
    </w:p>
    <w:p w14:paraId="49368352">
      <w:pPr>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当项目运转出现事故时，含有污染</w:t>
      </w:r>
      <w:r>
        <w:rPr>
          <w:rFonts w:hint="eastAsia" w:ascii="Times New Roman" w:hAnsi="Times New Roman"/>
          <w:color w:val="auto"/>
          <w:sz w:val="24"/>
          <w:szCs w:val="24"/>
          <w:highlight w:val="none"/>
          <w:lang w:val="en-US" w:eastAsia="zh-CN"/>
        </w:rPr>
        <w:t>物</w:t>
      </w:r>
      <w:r>
        <w:rPr>
          <w:rFonts w:ascii="Times New Roman" w:hAnsi="Times New Roman"/>
          <w:color w:val="auto"/>
          <w:sz w:val="24"/>
          <w:szCs w:val="24"/>
          <w:highlight w:val="none"/>
        </w:rPr>
        <w:t>质的废水极可能沿着大孔隙以捷径式入渗的方式快速进入含水层从而随地下水流进行迁移，为此本次模拟计算过程忽略污染物在包气带的运移过程（最不利的情况），这样使计算结果更为保守，符合工程设计的思想。</w:t>
      </w:r>
    </w:p>
    <w:p w14:paraId="2B1C842A">
      <w:pPr>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厂区以及附近区域并没有集中型供水水源地，地下水位动态稳定，因此污染物在浅层含水层中的迁移，可概化为连续注入示踪剂（平面连续点源）的一维稳定流动二维水动力弥散问题，当取平行地下水流动的方向为x轴正方向，垂直地下水流向为y方向时，则求取污染浓度分布模型如下：</w:t>
      </w:r>
    </w:p>
    <w:p w14:paraId="5AFABE61">
      <w:pPr>
        <w:spacing w:line="360" w:lineRule="auto"/>
        <w:jc w:val="center"/>
        <w:rPr>
          <w:rFonts w:ascii="Times New Roman" w:hAnsi="Times New Roman"/>
          <w:color w:val="auto"/>
          <w:sz w:val="24"/>
          <w:szCs w:val="24"/>
          <w:highlight w:val="none"/>
        </w:rPr>
      </w:pPr>
      <w:r>
        <w:rPr>
          <w:rFonts w:ascii="Times New Roman" w:hAnsi="Times New Roman"/>
          <w:color w:val="auto"/>
          <w:position w:val="-34"/>
          <w:sz w:val="24"/>
          <w:szCs w:val="24"/>
          <w:highlight w:val="none"/>
        </w:rPr>
        <w:object>
          <v:shape id="_x0000_i1039" o:spt="75" type="#_x0000_t75" style="height:40pt;width:265.95pt;" o:ole="t" filled="f" o:preferrelative="t" stroked="f" coordsize="21600,21600">
            <v:path/>
            <v:fill on="f" alignshape="1" focussize="0,0"/>
            <v:stroke on="f"/>
            <v:imagedata r:id="rId80" o:title=""/>
            <o:lock v:ext="edit" aspectratio="t"/>
            <w10:wrap type="none"/>
            <w10:anchorlock/>
          </v:shape>
          <o:OLEObject Type="Embed" ProgID="Equation.DSMT4" ShapeID="_x0000_i1039" DrawAspect="Content" ObjectID="_1468075741" r:id="rId79">
            <o:LockedField>false</o:LockedField>
          </o:OLEObject>
        </w:object>
      </w:r>
    </w:p>
    <w:p w14:paraId="294CCAB6">
      <w:pPr>
        <w:spacing w:line="360" w:lineRule="auto"/>
        <w:jc w:val="center"/>
        <w:rPr>
          <w:rFonts w:ascii="Times New Roman" w:hAnsi="Times New Roman"/>
          <w:color w:val="auto"/>
          <w:sz w:val="24"/>
          <w:szCs w:val="24"/>
          <w:highlight w:val="none"/>
        </w:rPr>
      </w:pPr>
      <w:r>
        <w:rPr>
          <w:rFonts w:ascii="Times New Roman" w:hAnsi="Times New Roman"/>
          <w:color w:val="auto"/>
          <w:position w:val="-32"/>
          <w:sz w:val="24"/>
          <w:szCs w:val="24"/>
          <w:highlight w:val="none"/>
        </w:rPr>
        <w:object>
          <v:shape id="_x0000_i1040" o:spt="75" type="#_x0000_t75" style="height:39pt;width:103.95pt;" o:ole="t" filled="f" o:preferrelative="t" stroked="f" coordsize="21600,21600">
            <v:path/>
            <v:fill on="f" alignshape="1" focussize="0,0"/>
            <v:stroke on="f"/>
            <v:imagedata r:id="rId82" o:title=""/>
            <o:lock v:ext="edit" aspectratio="t"/>
            <w10:wrap type="none"/>
            <w10:anchorlock/>
          </v:shape>
          <o:OLEObject Type="Embed" ProgID="Equation.DSMT4" ShapeID="_x0000_i1040" DrawAspect="Content" ObjectID="_1468075742" r:id="rId81">
            <o:LockedField>false</o:LockedField>
          </o:OLEObject>
        </w:object>
      </w:r>
    </w:p>
    <w:p w14:paraId="440F39FC">
      <w:pPr>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式中：x，y—计算点处的位置坐标；</w:t>
      </w:r>
    </w:p>
    <w:p w14:paraId="15E8C98B">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t—时间，d；</w:t>
      </w:r>
    </w:p>
    <w:p w14:paraId="606D26C9">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C(x，y，t)—t时刻点x，y处的示踪剂浓度，g/L；</w:t>
      </w:r>
    </w:p>
    <w:p w14:paraId="1BE90FA6">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M—承压含水层的厚度，m；</w:t>
      </w:r>
    </w:p>
    <w:p w14:paraId="0BAFD67C">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m</w:t>
      </w:r>
      <w:r>
        <w:rPr>
          <w:rFonts w:ascii="Times New Roman" w:hAnsi="Times New Roman"/>
          <w:color w:val="auto"/>
          <w:sz w:val="24"/>
          <w:szCs w:val="24"/>
          <w:highlight w:val="none"/>
          <w:vertAlign w:val="subscript"/>
        </w:rPr>
        <w:t>t</w:t>
      </w:r>
      <w:r>
        <w:rPr>
          <w:rFonts w:ascii="Times New Roman" w:hAnsi="Times New Roman"/>
          <w:color w:val="auto"/>
          <w:sz w:val="24"/>
          <w:szCs w:val="24"/>
          <w:highlight w:val="none"/>
        </w:rPr>
        <w:t>—单位时间注入示踪剂的质量，kg/d；</w:t>
      </w:r>
    </w:p>
    <w:p w14:paraId="6E8F3780">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u—水流速度，m/d；</w:t>
      </w:r>
    </w:p>
    <w:p w14:paraId="6B794976">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n—有效孔隙度，无量纲；</w:t>
      </w:r>
    </w:p>
    <w:p w14:paraId="576CB6B6">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D</w:t>
      </w:r>
      <w:r>
        <w:rPr>
          <w:rFonts w:ascii="Times New Roman" w:hAnsi="Times New Roman"/>
          <w:color w:val="auto"/>
          <w:sz w:val="24"/>
          <w:szCs w:val="24"/>
          <w:highlight w:val="none"/>
          <w:vertAlign w:val="subscript"/>
        </w:rPr>
        <w:t>L</w:t>
      </w:r>
      <w:r>
        <w:rPr>
          <w:rFonts w:ascii="Times New Roman" w:hAnsi="Times New Roman"/>
          <w:color w:val="auto"/>
          <w:sz w:val="24"/>
          <w:szCs w:val="24"/>
          <w:highlight w:val="none"/>
        </w:rPr>
        <w:t>—纵向x方向的弥散系数，m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/d；</w:t>
      </w:r>
    </w:p>
    <w:p w14:paraId="1D3C2042">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D</w:t>
      </w:r>
      <w:r>
        <w:rPr>
          <w:rFonts w:ascii="Times New Roman" w:hAnsi="Times New Roman"/>
          <w:color w:val="auto"/>
          <w:sz w:val="24"/>
          <w:szCs w:val="24"/>
          <w:highlight w:val="none"/>
          <w:vertAlign w:val="subscript"/>
        </w:rPr>
        <w:t>T</w:t>
      </w:r>
      <w:r>
        <w:rPr>
          <w:rFonts w:ascii="Times New Roman" w:hAnsi="Times New Roman"/>
          <w:color w:val="auto"/>
          <w:sz w:val="24"/>
          <w:szCs w:val="24"/>
          <w:highlight w:val="none"/>
        </w:rPr>
        <w:t>—横向y方向的弥散系数，m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/d；</w:t>
      </w:r>
    </w:p>
    <w:p w14:paraId="131CB168">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π—圆周率；</w:t>
      </w:r>
    </w:p>
    <w:p w14:paraId="3623C13D">
      <w:pPr>
        <w:spacing w:line="360" w:lineRule="auto"/>
        <w:ind w:firstLine="1440" w:firstLineChars="600"/>
        <w:rPr>
          <w:rFonts w:ascii="Times New Roman" w:hAnsi="Times New Roman"/>
          <w:color w:val="auto"/>
          <w:sz w:val="24"/>
          <w:szCs w:val="24"/>
          <w:highlight w:val="none"/>
        </w:rPr>
      </w:pPr>
      <w:r>
        <w:rPr>
          <w:rFonts w:ascii="Times New Roman" w:hAnsi="Times New Roman"/>
          <w:color w:val="auto"/>
          <w:sz w:val="24"/>
          <w:szCs w:val="24"/>
          <w:highlight w:val="none"/>
        </w:rPr>
        <w:t>K</w:t>
      </w:r>
      <w:r>
        <w:rPr>
          <w:rFonts w:ascii="Times New Roman" w:hAnsi="Times New Roman"/>
          <w:color w:val="auto"/>
          <w:sz w:val="24"/>
          <w:szCs w:val="24"/>
          <w:highlight w:val="none"/>
          <w:vertAlign w:val="subscript"/>
        </w:rPr>
        <w:t>0</w:t>
      </w:r>
      <w:r>
        <w:rPr>
          <w:rFonts w:ascii="Times New Roman" w:hAnsi="Times New Roman"/>
          <w:color w:val="auto"/>
          <w:sz w:val="24"/>
          <w:szCs w:val="24"/>
          <w:highlight w:val="none"/>
        </w:rPr>
        <w:t>(β)—第二类零阶修正贝塞尔函数；</w:t>
      </w:r>
    </w:p>
    <w:p w14:paraId="4E9EBA53">
      <w:pPr>
        <w:spacing w:line="360" w:lineRule="auto"/>
        <w:ind w:firstLine="1440" w:firstLineChars="600"/>
        <w:rPr>
          <w:rFonts w:ascii="Times New Roman" w:hAnsi="Times New Roman"/>
          <w:color w:val="auto"/>
          <w:sz w:val="24"/>
          <w:szCs w:val="24"/>
          <w:highlight w:val="none"/>
          <w:lang w:bidi="ar"/>
        </w:rPr>
      </w:pPr>
      <w:r>
        <w:rPr>
          <w:rFonts w:ascii="Times New Roman" w:hAnsi="Times New Roman"/>
          <w:color w:val="auto"/>
          <w:position w:val="-30"/>
          <w:sz w:val="24"/>
          <w:szCs w:val="24"/>
          <w:highlight w:val="none"/>
        </w:rPr>
        <w:object>
          <v:shape id="_x0000_i1041" o:spt="75" type="#_x0000_t75" style="height:36pt;width:59pt;" o:ole="t" filled="f" o:preferrelative="t" stroked="f" coordsize="21600,21600">
            <v:path/>
            <v:fill on="f" alignshape="1" focussize="0,0"/>
            <v:stroke on="f"/>
            <v:imagedata r:id="rId84" o:title=""/>
            <o:lock v:ext="edit" aspectratio="t"/>
            <w10:wrap type="none"/>
            <w10:anchorlock/>
          </v:shape>
          <o:OLEObject Type="Embed" ProgID="Equation.DSMT4" ShapeID="_x0000_i1041" DrawAspect="Content" ObjectID="_1468075743" r:id="rId83">
            <o:LockedField>false</o:LockedField>
          </o:OLEObject>
        </w:object>
      </w:r>
      <w:r>
        <w:rPr>
          <w:rFonts w:ascii="Times New Roman" w:hAnsi="Times New Roman"/>
          <w:color w:val="auto"/>
          <w:sz w:val="24"/>
          <w:szCs w:val="24"/>
          <w:highlight w:val="none"/>
        </w:rPr>
        <w:t>—</w:t>
      </w:r>
      <w:r>
        <w:rPr>
          <w:rFonts w:ascii="Times New Roman" w:hAnsi="Times New Roman"/>
          <w:color w:val="auto"/>
          <w:sz w:val="24"/>
          <w:szCs w:val="24"/>
          <w:highlight w:val="none"/>
          <w:lang w:bidi="ar"/>
        </w:rPr>
        <w:t>第一类越流系统井函数。</w:t>
      </w:r>
    </w:p>
    <w:p w14:paraId="676DA2A6">
      <w:pPr>
        <w:widowControl w:val="0"/>
        <w:snapToGrid w:val="0"/>
        <w:spacing w:line="360" w:lineRule="auto"/>
        <w:ind w:firstLine="480" w:firstLineChars="200"/>
        <w:jc w:val="both"/>
        <w:rPr>
          <w:rFonts w:ascii="Times New Roman" w:hAnsi="Times New Roman"/>
          <w:b w:val="0"/>
          <w:bCs/>
          <w:color w:val="auto"/>
          <w:kern w:val="2"/>
          <w:sz w:val="24"/>
          <w:szCs w:val="24"/>
          <w:highlight w:val="none"/>
        </w:rPr>
      </w:pPr>
      <w:r>
        <w:rPr>
          <w:rFonts w:hint="eastAsia" w:ascii="Times New Roman" w:hAnsi="Times New Roman"/>
          <w:b w:val="0"/>
          <w:bCs/>
          <w:color w:val="auto"/>
          <w:kern w:val="2"/>
          <w:sz w:val="24"/>
          <w:szCs w:val="24"/>
          <w:highlight w:val="none"/>
          <w:lang w:val="en-US" w:eastAsia="zh-CN"/>
        </w:rPr>
        <w:t>7</w:t>
      </w:r>
      <w:r>
        <w:rPr>
          <w:rFonts w:ascii="Times New Roman" w:hAnsi="Times New Roman"/>
          <w:b w:val="0"/>
          <w:bCs/>
          <w:color w:val="auto"/>
          <w:kern w:val="2"/>
          <w:sz w:val="24"/>
          <w:szCs w:val="24"/>
          <w:highlight w:val="none"/>
        </w:rPr>
        <w:t>、预测参数选取</w:t>
      </w:r>
    </w:p>
    <w:p w14:paraId="26D94A5D">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kern w:val="2"/>
          <w:sz w:val="24"/>
          <w:szCs w:val="24"/>
          <w:highlight w:val="none"/>
        </w:rPr>
        <w:t>本次预测所用模型需要的参数有：含水层厚度M、</w:t>
      </w:r>
      <w:r>
        <w:rPr>
          <w:rFonts w:ascii="Times New Roman" w:hAnsi="Times New Roman"/>
          <w:color w:val="auto"/>
          <w:sz w:val="24"/>
          <w:szCs w:val="24"/>
          <w:highlight w:val="none"/>
        </w:rPr>
        <w:t>单位时间注入示踪剂的质量、m</w:t>
      </w:r>
      <w:r>
        <w:rPr>
          <w:rFonts w:ascii="Times New Roman" w:hAnsi="Times New Roman"/>
          <w:color w:val="auto"/>
          <w:sz w:val="24"/>
          <w:szCs w:val="24"/>
          <w:highlight w:val="none"/>
          <w:vertAlign w:val="subscript"/>
        </w:rPr>
        <w:t>t</w:t>
      </w:r>
      <w:r>
        <w:rPr>
          <w:rFonts w:ascii="Times New Roman" w:hAnsi="Times New Roman"/>
          <w:color w:val="auto"/>
          <w:sz w:val="24"/>
          <w:szCs w:val="24"/>
          <w:highlight w:val="none"/>
        </w:rPr>
        <w:t>、</w:t>
      </w:r>
      <w:r>
        <w:rPr>
          <w:rFonts w:ascii="Times New Roman" w:hAnsi="Times New Roman"/>
          <w:color w:val="auto"/>
          <w:kern w:val="2"/>
          <w:sz w:val="24"/>
          <w:szCs w:val="24"/>
          <w:highlight w:val="none"/>
        </w:rPr>
        <w:t>岩层的有效孔隙度n、水流速度u、污染物纵向弥散系数D</w:t>
      </w:r>
      <w:r>
        <w:rPr>
          <w:rFonts w:ascii="Times New Roman" w:hAnsi="Times New Roman"/>
          <w:color w:val="auto"/>
          <w:kern w:val="2"/>
          <w:sz w:val="24"/>
          <w:szCs w:val="24"/>
          <w:highlight w:val="none"/>
          <w:vertAlign w:val="subscript"/>
        </w:rPr>
        <w:t>L</w:t>
      </w:r>
      <w:r>
        <w:rPr>
          <w:rFonts w:ascii="Times New Roman" w:hAnsi="Times New Roman"/>
          <w:color w:val="auto"/>
          <w:kern w:val="2"/>
          <w:sz w:val="24"/>
          <w:szCs w:val="24"/>
          <w:highlight w:val="none"/>
        </w:rPr>
        <w:t>，</w:t>
      </w:r>
      <w:r>
        <w:rPr>
          <w:rFonts w:ascii="Times New Roman" w:hAnsi="Times New Roman"/>
          <w:color w:val="auto"/>
          <w:sz w:val="24"/>
          <w:szCs w:val="24"/>
          <w:highlight w:val="none"/>
        </w:rPr>
        <w:t>横向y方向的弥散系数D</w:t>
      </w:r>
      <w:r>
        <w:rPr>
          <w:rFonts w:ascii="Times New Roman" w:hAnsi="Times New Roman"/>
          <w:color w:val="auto"/>
          <w:sz w:val="24"/>
          <w:szCs w:val="24"/>
          <w:highlight w:val="none"/>
          <w:vertAlign w:val="subscript"/>
        </w:rPr>
        <w:t>T</w:t>
      </w:r>
      <w:r>
        <w:rPr>
          <w:rFonts w:ascii="Times New Roman" w:hAnsi="Times New Roman"/>
          <w:color w:val="auto"/>
          <w:sz w:val="24"/>
          <w:szCs w:val="24"/>
          <w:highlight w:val="none"/>
        </w:rPr>
        <w:t>，</w:t>
      </w:r>
      <w:r>
        <w:rPr>
          <w:rFonts w:ascii="Times New Roman" w:hAnsi="Times New Roman"/>
          <w:color w:val="auto"/>
          <w:kern w:val="2"/>
          <w:sz w:val="24"/>
          <w:szCs w:val="24"/>
          <w:highlight w:val="none"/>
        </w:rPr>
        <w:t>这些参数类比区域勘察成果资料来确定。</w:t>
      </w:r>
    </w:p>
    <w:p w14:paraId="3F536919">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a、含水层的厚度M</w:t>
      </w:r>
    </w:p>
    <w:p w14:paraId="7202759E">
      <w:pPr>
        <w:widowControl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kern w:val="2"/>
          <w:sz w:val="24"/>
          <w:szCs w:val="24"/>
          <w:highlight w:val="none"/>
        </w:rPr>
        <w:t>本次评价主要考虑评价区地下水浅层含水层取平均</w:t>
      </w:r>
      <w:r>
        <w:rPr>
          <w:rFonts w:hint="eastAsia" w:ascii="Times New Roman" w:hAnsi="Times New Roman"/>
          <w:color w:val="auto"/>
          <w:kern w:val="2"/>
          <w:sz w:val="24"/>
          <w:szCs w:val="24"/>
          <w:highlight w:val="none"/>
          <w:lang w:val="en-US" w:eastAsia="zh-CN"/>
        </w:rPr>
        <w:t>10</w:t>
      </w:r>
      <w:r>
        <w:rPr>
          <w:rFonts w:ascii="Times New Roman" w:hAnsi="Times New Roman"/>
          <w:color w:val="auto"/>
          <w:kern w:val="2"/>
          <w:sz w:val="24"/>
          <w:szCs w:val="24"/>
          <w:highlight w:val="none"/>
        </w:rPr>
        <w:t>m</w:t>
      </w:r>
      <w:r>
        <w:rPr>
          <w:rFonts w:ascii="Times New Roman" w:hAnsi="Times New Roman"/>
          <w:color w:val="auto"/>
          <w:sz w:val="24"/>
          <w:szCs w:val="24"/>
          <w:highlight w:val="none"/>
        </w:rPr>
        <w:t>；</w:t>
      </w:r>
    </w:p>
    <w:p w14:paraId="147E3DB2">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b、示踪剂质量m</w:t>
      </w:r>
    </w:p>
    <w:p w14:paraId="541BCEF2">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在此取m=</w:t>
      </w:r>
      <w:r>
        <w:rPr>
          <w:rFonts w:hint="eastAsia"/>
          <w:color w:val="auto"/>
          <w:sz w:val="24"/>
          <w:szCs w:val="24"/>
          <w:highlight w:val="none"/>
          <w:lang w:val="en-US" w:eastAsia="zh-CN"/>
        </w:rPr>
        <w:t>0.0002</w:t>
      </w:r>
      <w:r>
        <w:rPr>
          <w:rFonts w:ascii="Times New Roman" w:hAnsi="Times New Roman"/>
          <w:color w:val="auto"/>
          <w:sz w:val="24"/>
          <w:szCs w:val="24"/>
          <w:highlight w:val="none"/>
        </w:rPr>
        <w:t>g/d；</w:t>
      </w:r>
    </w:p>
    <w:p w14:paraId="6D80B117">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c、含水层的平均有效孔隙度n</w:t>
      </w:r>
    </w:p>
    <w:p w14:paraId="0B947791">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kern w:val="2"/>
          <w:sz w:val="24"/>
          <w:szCs w:val="24"/>
          <w:highlight w:val="none"/>
        </w:rPr>
        <w:t>n取0.46</w:t>
      </w:r>
      <w:r>
        <w:rPr>
          <w:rFonts w:ascii="Times New Roman" w:hAnsi="Times New Roman"/>
          <w:color w:val="auto"/>
          <w:sz w:val="24"/>
          <w:szCs w:val="24"/>
          <w:highlight w:val="none"/>
        </w:rPr>
        <w:t>；</w:t>
      </w:r>
    </w:p>
    <w:p w14:paraId="5CD26365">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d、水流速度u</w:t>
      </w:r>
    </w:p>
    <w:p w14:paraId="648024C9">
      <w:pPr>
        <w:widowControl w:val="0"/>
        <w:snapToGrid w:val="0"/>
        <w:spacing w:line="360" w:lineRule="auto"/>
        <w:ind w:firstLine="480" w:firstLineChars="200"/>
        <w:jc w:val="both"/>
        <w:rPr>
          <w:rFonts w:ascii="Times New Roman" w:hAnsi="Times New Roman"/>
          <w:color w:val="auto"/>
          <w:kern w:val="2"/>
          <w:sz w:val="24"/>
          <w:szCs w:val="24"/>
          <w:highlight w:val="none"/>
        </w:rPr>
      </w:pPr>
      <w:r>
        <w:rPr>
          <w:rFonts w:ascii="Times New Roman" w:hAnsi="Times New Roman"/>
          <w:color w:val="auto"/>
          <w:kern w:val="2"/>
          <w:sz w:val="24"/>
          <w:szCs w:val="24"/>
          <w:highlight w:val="none"/>
        </w:rPr>
        <w:t>根据资料可知地下水的实际渗透速度</w:t>
      </w:r>
      <w:r>
        <w:rPr>
          <w:rFonts w:hint="eastAsia" w:ascii="Times New Roman" w:hAnsi="Times New Roman"/>
          <w:color w:val="auto"/>
          <w:kern w:val="2"/>
          <w:sz w:val="24"/>
          <w:szCs w:val="24"/>
          <w:highlight w:val="none"/>
          <w:lang w:val="en-US" w:eastAsia="zh-CN"/>
        </w:rPr>
        <w:t>及类似水文地质条件</w:t>
      </w:r>
      <w:r>
        <w:rPr>
          <w:rFonts w:ascii="Times New Roman" w:hAnsi="Times New Roman"/>
          <w:color w:val="auto"/>
          <w:kern w:val="2"/>
          <w:sz w:val="24"/>
          <w:szCs w:val="24"/>
          <w:highlight w:val="none"/>
        </w:rPr>
        <w:t>，u取0.00</w:t>
      </w:r>
      <w:r>
        <w:rPr>
          <w:rFonts w:hint="eastAsia" w:ascii="Times New Roman" w:hAnsi="Times New Roman"/>
          <w:color w:val="auto"/>
          <w:kern w:val="2"/>
          <w:sz w:val="24"/>
          <w:szCs w:val="24"/>
          <w:highlight w:val="none"/>
          <w:lang w:val="en-US" w:eastAsia="zh-CN"/>
        </w:rPr>
        <w:t>8</w:t>
      </w:r>
      <w:r>
        <w:rPr>
          <w:rFonts w:ascii="Times New Roman" w:hAnsi="Times New Roman"/>
          <w:color w:val="auto"/>
          <w:kern w:val="2"/>
          <w:sz w:val="24"/>
          <w:szCs w:val="24"/>
          <w:highlight w:val="none"/>
        </w:rPr>
        <w:t>m/d。</w:t>
      </w:r>
    </w:p>
    <w:p w14:paraId="5E6710D1">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e、纵向x方向的弥散系数D</w:t>
      </w:r>
      <w:r>
        <w:rPr>
          <w:rFonts w:ascii="Times New Roman" w:hAnsi="Times New Roman"/>
          <w:color w:val="auto"/>
          <w:sz w:val="24"/>
          <w:szCs w:val="24"/>
          <w:highlight w:val="none"/>
          <w:vertAlign w:val="subscript"/>
        </w:rPr>
        <w:t>L</w:t>
      </w:r>
    </w:p>
    <w:p w14:paraId="23803BC6">
      <w:pPr>
        <w:widowControl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kern w:val="2"/>
          <w:sz w:val="24"/>
          <w:szCs w:val="24"/>
          <w:highlight w:val="none"/>
        </w:rPr>
        <w:t>参考Gelhar等人关于纵向弥散度与观测尺度关系的理论，根据本次场地的研究尺度，D</w:t>
      </w:r>
      <w:r>
        <w:rPr>
          <w:rFonts w:ascii="Times New Roman" w:hAnsi="Times New Roman"/>
          <w:color w:val="auto"/>
          <w:kern w:val="2"/>
          <w:sz w:val="24"/>
          <w:szCs w:val="24"/>
          <w:highlight w:val="none"/>
          <w:vertAlign w:val="subscript"/>
        </w:rPr>
        <w:t>L</w:t>
      </w:r>
      <w:r>
        <w:rPr>
          <w:rFonts w:ascii="Times New Roman" w:hAnsi="Times New Roman"/>
          <w:color w:val="auto"/>
          <w:kern w:val="2"/>
          <w:sz w:val="24"/>
          <w:szCs w:val="24"/>
          <w:highlight w:val="none"/>
        </w:rPr>
        <w:t>=0.05m</w:t>
      </w:r>
      <w:r>
        <w:rPr>
          <w:rFonts w:ascii="Times New Roman" w:hAnsi="Times New Roman"/>
          <w:color w:val="auto"/>
          <w:kern w:val="2"/>
          <w:sz w:val="24"/>
          <w:szCs w:val="24"/>
          <w:highlight w:val="none"/>
          <w:vertAlign w:val="superscript"/>
        </w:rPr>
        <w:t>2</w:t>
      </w:r>
      <w:r>
        <w:rPr>
          <w:rFonts w:ascii="Times New Roman" w:hAnsi="Times New Roman"/>
          <w:color w:val="auto"/>
          <w:kern w:val="2"/>
          <w:sz w:val="24"/>
          <w:szCs w:val="24"/>
          <w:highlight w:val="none"/>
        </w:rPr>
        <w:t>/d</w:t>
      </w:r>
    </w:p>
    <w:p w14:paraId="605A43C9">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f、横向y方向的弥散系数D</w:t>
      </w:r>
      <w:r>
        <w:rPr>
          <w:rFonts w:ascii="Times New Roman" w:hAnsi="Times New Roman"/>
          <w:color w:val="auto"/>
          <w:sz w:val="24"/>
          <w:szCs w:val="24"/>
          <w:highlight w:val="none"/>
          <w:vertAlign w:val="subscript"/>
        </w:rPr>
        <w:t>T</w:t>
      </w:r>
    </w:p>
    <w:p w14:paraId="03199B4B">
      <w:pPr>
        <w:adjustRightInd w:val="0"/>
        <w:snapToGrid w:val="0"/>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参考《地下水弥散系数的测定》（宋树林）中细砂类型含水层，本环评取0.005m</w:t>
      </w:r>
      <w:r>
        <w:rPr>
          <w:rFonts w:ascii="Times New Roman" w:hAnsi="Times New Roman"/>
          <w:color w:val="auto"/>
          <w:sz w:val="24"/>
          <w:szCs w:val="24"/>
          <w:highlight w:val="none"/>
          <w:vertAlign w:val="superscript"/>
        </w:rPr>
        <w:t>2</w:t>
      </w:r>
      <w:r>
        <w:rPr>
          <w:rFonts w:ascii="Times New Roman" w:hAnsi="Times New Roman"/>
          <w:color w:val="auto"/>
          <w:sz w:val="24"/>
          <w:szCs w:val="24"/>
          <w:highlight w:val="none"/>
        </w:rPr>
        <w:t>/d。</w:t>
      </w:r>
    </w:p>
    <w:p w14:paraId="3B62396B">
      <w:pPr>
        <w:widowControl w:val="0"/>
        <w:adjustRightInd w:val="0"/>
        <w:snapToGrid w:val="0"/>
        <w:spacing w:line="360" w:lineRule="auto"/>
        <w:ind w:firstLine="480" w:firstLineChars="200"/>
        <w:jc w:val="both"/>
        <w:rPr>
          <w:rFonts w:ascii="Times New Roman" w:hAnsi="Times New Roman"/>
          <w:b w:val="0"/>
          <w:bCs/>
          <w:color w:val="auto"/>
          <w:sz w:val="24"/>
          <w:szCs w:val="24"/>
          <w:highlight w:val="none"/>
          <w:lang w:val="pt-BR"/>
        </w:rPr>
      </w:pPr>
      <w:r>
        <w:rPr>
          <w:rFonts w:hint="eastAsia" w:ascii="Times New Roman" w:hAnsi="Times New Roman"/>
          <w:b w:val="0"/>
          <w:bCs/>
          <w:color w:val="auto"/>
          <w:sz w:val="24"/>
          <w:szCs w:val="24"/>
          <w:highlight w:val="none"/>
          <w:lang w:val="en-US" w:eastAsia="zh-CN"/>
        </w:rPr>
        <w:t>8</w:t>
      </w:r>
      <w:r>
        <w:rPr>
          <w:rFonts w:ascii="Times New Roman" w:hAnsi="Times New Roman"/>
          <w:b w:val="0"/>
          <w:bCs/>
          <w:color w:val="auto"/>
          <w:sz w:val="24"/>
          <w:szCs w:val="24"/>
          <w:highlight w:val="none"/>
          <w:lang w:val="pt-BR"/>
        </w:rPr>
        <w:t>、预测结果</w:t>
      </w:r>
    </w:p>
    <w:p w14:paraId="77E6DDD6">
      <w:pPr>
        <w:spacing w:line="360" w:lineRule="auto"/>
        <w:ind w:firstLine="480" w:firstLineChars="200"/>
        <w:jc w:val="both"/>
        <w:rPr>
          <w:rFonts w:ascii="Times New Roman" w:hAnsi="Times New Roman"/>
          <w:color w:val="auto"/>
          <w:sz w:val="24"/>
          <w:szCs w:val="24"/>
          <w:highlight w:val="none"/>
        </w:rPr>
      </w:pPr>
      <w:r>
        <w:rPr>
          <w:rFonts w:ascii="Times New Roman" w:hAnsi="Times New Roman"/>
          <w:color w:val="auto"/>
          <w:sz w:val="24"/>
          <w:szCs w:val="24"/>
          <w:highlight w:val="none"/>
        </w:rPr>
        <w:t>根据预测结果可知，在发生渗漏后100d时，</w:t>
      </w:r>
      <w:r>
        <w:rPr>
          <w:rFonts w:hint="eastAsia" w:ascii="Times New Roman" w:hAnsi="Times New Roman"/>
          <w:color w:val="auto"/>
          <w:sz w:val="24"/>
          <w:szCs w:val="24"/>
          <w:highlight w:val="none"/>
        </w:rPr>
        <w:t>超标距离为下游0m，预测超标面积为：0m</w:t>
      </w:r>
      <w:r>
        <w:rPr>
          <w:rFonts w:hint="eastAsia" w:ascii="Times New Roman" w:hAnsi="Times New Roman"/>
          <w:color w:val="auto"/>
          <w:sz w:val="24"/>
          <w:szCs w:val="24"/>
          <w:highlight w:val="none"/>
          <w:vertAlign w:val="superscript"/>
        </w:rPr>
        <w:t>2</w:t>
      </w:r>
      <w:r>
        <w:rPr>
          <w:rFonts w:hint="eastAsia" w:ascii="Times New Roman" w:hAnsi="Times New Roman"/>
          <w:color w:val="auto"/>
          <w:sz w:val="24"/>
          <w:szCs w:val="24"/>
          <w:highlight w:val="none"/>
        </w:rPr>
        <w:t>；影响距离为下游0m，预测影响面积为：0m</w:t>
      </w:r>
      <w:r>
        <w:rPr>
          <w:rFonts w:hint="eastAsia" w:ascii="Times New Roman" w:hAnsi="Times New Roman"/>
          <w:color w:val="auto"/>
          <w:sz w:val="24"/>
          <w:szCs w:val="24"/>
          <w:highlight w:val="none"/>
          <w:vertAlign w:val="superscript"/>
        </w:rPr>
        <w:t>2</w:t>
      </w:r>
      <w:r>
        <w:rPr>
          <w:rFonts w:hint="eastAsia" w:ascii="Times New Roman" w:hAnsi="Times New Roman"/>
          <w:color w:val="auto"/>
          <w:sz w:val="24"/>
          <w:szCs w:val="24"/>
          <w:highlight w:val="none"/>
          <w:lang w:eastAsia="zh-CN"/>
        </w:rPr>
        <w:t>。1000</w:t>
      </w:r>
      <w:r>
        <w:rPr>
          <w:rFonts w:ascii="Times New Roman" w:hAnsi="Times New Roman"/>
          <w:color w:val="auto"/>
          <w:sz w:val="24"/>
          <w:szCs w:val="24"/>
          <w:highlight w:val="none"/>
        </w:rPr>
        <w:t>d时</w:t>
      </w:r>
      <w:r>
        <w:rPr>
          <w:rFonts w:hint="eastAsia" w:ascii="Times New Roman" w:hAnsi="Times New Roman"/>
          <w:color w:val="auto"/>
          <w:sz w:val="24"/>
          <w:szCs w:val="24"/>
          <w:highlight w:val="none"/>
          <w:lang w:eastAsia="zh-CN"/>
        </w:rPr>
        <w:t>，超标距离为下游0m，预测超标面积为：0</w:t>
      </w:r>
      <w:r>
        <w:rPr>
          <w:rFonts w:hint="eastAsia"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2</w:t>
      </w:r>
      <w:r>
        <w:rPr>
          <w:rFonts w:hint="eastAsia" w:ascii="Times New Roman" w:hAnsi="Times New Roman"/>
          <w:color w:val="auto"/>
          <w:sz w:val="24"/>
          <w:szCs w:val="24"/>
          <w:highlight w:val="none"/>
          <w:lang w:eastAsia="zh-CN"/>
        </w:rPr>
        <w:t>；影响距离为下游0m，预测影响面积为：0</w:t>
      </w:r>
      <w:r>
        <w:rPr>
          <w:rFonts w:hint="eastAsia"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2</w:t>
      </w:r>
      <w:r>
        <w:rPr>
          <w:rFonts w:hint="eastAsia" w:ascii="Times New Roman" w:hAnsi="Times New Roman"/>
          <w:color w:val="auto"/>
          <w:sz w:val="24"/>
          <w:szCs w:val="24"/>
          <w:highlight w:val="none"/>
          <w:lang w:eastAsia="zh-CN"/>
        </w:rPr>
        <w:t>。3650</w:t>
      </w:r>
      <w:r>
        <w:rPr>
          <w:rFonts w:ascii="Times New Roman" w:hAnsi="Times New Roman"/>
          <w:color w:val="auto"/>
          <w:sz w:val="24"/>
          <w:szCs w:val="24"/>
          <w:highlight w:val="none"/>
        </w:rPr>
        <w:t>d时</w:t>
      </w:r>
      <w:r>
        <w:rPr>
          <w:rFonts w:hint="eastAsia" w:ascii="Times New Roman" w:hAnsi="Times New Roman"/>
          <w:color w:val="auto"/>
          <w:sz w:val="24"/>
          <w:szCs w:val="24"/>
          <w:highlight w:val="none"/>
          <w:lang w:eastAsia="zh-CN"/>
        </w:rPr>
        <w:t>，超标距离为下游0m，预测超标面积为：0</w:t>
      </w:r>
      <w:r>
        <w:rPr>
          <w:rFonts w:hint="eastAsia"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2</w:t>
      </w:r>
      <w:r>
        <w:rPr>
          <w:rFonts w:hint="eastAsia" w:ascii="Times New Roman" w:hAnsi="Times New Roman"/>
          <w:color w:val="auto"/>
          <w:sz w:val="24"/>
          <w:szCs w:val="24"/>
          <w:highlight w:val="none"/>
          <w:lang w:eastAsia="zh-CN"/>
        </w:rPr>
        <w:t>；影响距离为下游0m，预测影响面积为：0</w:t>
      </w:r>
      <w:r>
        <w:rPr>
          <w:rFonts w:hint="eastAsia"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2</w:t>
      </w:r>
      <w:r>
        <w:rPr>
          <w:rFonts w:ascii="Times New Roman" w:hAnsi="Times New Roman"/>
          <w:color w:val="auto"/>
          <w:sz w:val="24"/>
          <w:szCs w:val="24"/>
          <w:highlight w:val="none"/>
        </w:rPr>
        <w:t>。各预测时期污染羽均未超出厂区边界。</w:t>
      </w:r>
    </w:p>
    <w:p w14:paraId="620A1249">
      <w:pPr>
        <w:spacing w:line="360" w:lineRule="auto"/>
        <w:ind w:firstLine="480" w:firstLineChars="200"/>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lang w:bidi="ar"/>
        </w:rPr>
        <w:t>本项目</w:t>
      </w:r>
      <w:r>
        <w:rPr>
          <w:rFonts w:hint="eastAsia" w:ascii="Times New Roman" w:hAnsi="Times New Roman" w:cs="Times New Roman"/>
          <w:color w:val="auto"/>
          <w:sz w:val="24"/>
          <w:szCs w:val="24"/>
          <w:highlight w:val="none"/>
          <w:lang w:val="en-US" w:eastAsia="zh-CN" w:bidi="ar"/>
        </w:rPr>
        <w:t>必须</w:t>
      </w:r>
      <w:r>
        <w:rPr>
          <w:rFonts w:hint="default" w:ascii="Times New Roman" w:hAnsi="Times New Roman" w:cs="Times New Roman"/>
          <w:color w:val="auto"/>
          <w:sz w:val="24"/>
          <w:szCs w:val="24"/>
          <w:highlight w:val="none"/>
          <w:lang w:bidi="ar"/>
        </w:rPr>
        <w:t>落实好各区域地面硬化、防雨、防腐、防渗，正常运营期间不会对地表径流造成影响，继而也不会因补给地下水造成影响。对危废仓库、车间地面、污水管网采取防渗处理，防止污水渗漏直接污染地下水。因此只要建设单位切实做好防渗防漏工作，本项目的建设对地下水环境影响较小。</w:t>
      </w:r>
    </w:p>
    <w:p w14:paraId="05E64E19">
      <w:pPr>
        <w:spacing w:line="360" w:lineRule="auto"/>
        <w:ind w:firstLine="480" w:firstLineChars="200"/>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lang w:bidi="ar"/>
        </w:rPr>
        <w:t>建设单位除做好防渗工作外，还需按照本次环评要求对地下水进行定期检测监控，一旦发现地下水污染问题，应逐项调查生产装置区、固废堆场等防渗层是否损坏，并根据损坏情况立即进行修正；并开展地下水修复工作，确保区域地下水不受影响。</w:t>
      </w:r>
    </w:p>
    <w:p w14:paraId="6F95EADE">
      <w:pPr>
        <w:tabs>
          <w:tab w:val="left" w:pos="7840"/>
        </w:tabs>
        <w:adjustRightInd w:val="0"/>
        <w:spacing w:line="360" w:lineRule="auto"/>
        <w:ind w:firstLine="482" w:firstLineChars="200"/>
        <w:jc w:val="left"/>
        <w:textAlignment w:val="baseline"/>
        <w:rPr>
          <w:rFonts w:hint="default" w:ascii="Times New Roman" w:hAnsi="Times New Roman" w:cs="Times New Roman"/>
          <w:color w:val="auto"/>
          <w:kern w:val="28"/>
          <w:sz w:val="24"/>
          <w:szCs w:val="20"/>
          <w:highlight w:val="none"/>
        </w:rPr>
      </w:pPr>
      <w:r>
        <w:rPr>
          <w:rFonts w:hint="default" w:ascii="Times New Roman" w:hAnsi="Times New Roman" w:cs="Times New Roman"/>
          <w:b/>
          <w:color w:val="auto"/>
          <w:kern w:val="28"/>
          <w:sz w:val="24"/>
          <w:szCs w:val="20"/>
          <w:highlight w:val="none"/>
        </w:rPr>
        <w:t>综上所述，只要做好全面的预防措施，本项目的建设对地下水环境影响较小。</w:t>
      </w:r>
    </w:p>
    <w:p w14:paraId="08409AF9">
      <w:pPr>
        <w:spacing w:line="360" w:lineRule="auto"/>
        <w:rPr>
          <w:color w:val="auto"/>
          <w:sz w:val="24"/>
        </w:rPr>
      </w:pPr>
      <w:bookmarkStart w:id="229" w:name="_Toc27433"/>
      <w:r>
        <w:rPr>
          <w:rFonts w:hint="eastAsia"/>
          <w:color w:val="auto"/>
          <w:sz w:val="24"/>
        </w:rPr>
        <w:t>9.6</w:t>
      </w:r>
      <w:r>
        <w:rPr>
          <w:color w:val="auto"/>
          <w:sz w:val="24"/>
        </w:rPr>
        <w:t>环境风险评价</w:t>
      </w:r>
      <w:bookmarkEnd w:id="229"/>
      <w:r>
        <w:rPr>
          <w:color w:val="auto"/>
          <w:sz w:val="24"/>
        </w:rPr>
        <w:t xml:space="preserve"> </w:t>
      </w:r>
    </w:p>
    <w:p w14:paraId="5202E541">
      <w:pPr>
        <w:spacing w:line="360" w:lineRule="auto"/>
        <w:ind w:firstLine="480" w:firstLineChars="200"/>
        <w:rPr>
          <w:color w:val="auto"/>
          <w:sz w:val="24"/>
        </w:rPr>
      </w:pPr>
      <w:bookmarkStart w:id="230" w:name="_Hlk2198314"/>
      <w:r>
        <w:rPr>
          <w:color w:val="auto"/>
          <w:sz w:val="24"/>
        </w:rPr>
        <w:t>1、大气环境风险评价</w:t>
      </w:r>
    </w:p>
    <w:p w14:paraId="6341892E">
      <w:pPr>
        <w:spacing w:line="360" w:lineRule="auto"/>
        <w:ind w:firstLine="480" w:firstLineChars="200"/>
        <w:rPr>
          <w:rFonts w:hint="eastAsia" w:eastAsia="宋体"/>
          <w:color w:val="auto"/>
          <w:sz w:val="24"/>
          <w:lang w:eastAsia="zh-CN"/>
        </w:rPr>
      </w:pPr>
      <w:r>
        <w:rPr>
          <w:color w:val="auto"/>
          <w:sz w:val="24"/>
        </w:rPr>
        <w:t>根据预测结果可知</w:t>
      </w:r>
      <w:r>
        <w:rPr>
          <w:rFonts w:hint="eastAsia"/>
          <w:color w:val="auto"/>
          <w:sz w:val="24"/>
          <w:lang w:eastAsia="zh-CN"/>
        </w:rPr>
        <w:t>：</w:t>
      </w:r>
    </w:p>
    <w:p w14:paraId="6DC81DD2">
      <w:pPr>
        <w:spacing w:line="360" w:lineRule="auto"/>
        <w:ind w:firstLine="480" w:firstLineChars="200"/>
        <w:rPr>
          <w:color w:val="auto"/>
          <w:sz w:val="24"/>
        </w:rPr>
      </w:pPr>
      <w:r>
        <w:rPr>
          <w:color w:val="auto"/>
          <w:sz w:val="24"/>
        </w:rPr>
        <w:t>最不利事故排放情况下</w:t>
      </w:r>
      <w:r>
        <w:rPr>
          <w:rFonts w:hint="eastAsia"/>
          <w:color w:val="auto"/>
          <w:sz w:val="24"/>
          <w:lang w:val="en-US" w:eastAsia="zh-CN"/>
        </w:rPr>
        <w:t>盐酸</w:t>
      </w:r>
      <w:r>
        <w:rPr>
          <w:color w:val="auto"/>
          <w:sz w:val="24"/>
        </w:rPr>
        <w:t>泄漏大气毒性终点浓度-1的最大影响范围为</w:t>
      </w:r>
      <w:r>
        <w:rPr>
          <w:rFonts w:hint="eastAsia"/>
          <w:color w:val="auto"/>
          <w:sz w:val="24"/>
          <w:lang w:val="en-US" w:eastAsia="zh-CN"/>
        </w:rPr>
        <w:t>310</w:t>
      </w:r>
      <w:r>
        <w:rPr>
          <w:color w:val="auto"/>
          <w:sz w:val="24"/>
        </w:rPr>
        <w:t>m，到达时间为</w:t>
      </w:r>
      <w:r>
        <w:rPr>
          <w:rFonts w:hint="eastAsia"/>
          <w:color w:val="auto"/>
          <w:sz w:val="24"/>
          <w:lang w:val="en-US" w:eastAsia="zh-CN"/>
        </w:rPr>
        <w:t>1.4</w:t>
      </w:r>
      <w:r>
        <w:rPr>
          <w:color w:val="auto"/>
          <w:sz w:val="24"/>
        </w:rPr>
        <w:t>min，涉及范围主要为厂内及周边企业职工，此范围能对人群造成生命威胁。</w:t>
      </w:r>
    </w:p>
    <w:p w14:paraId="75721069">
      <w:pPr>
        <w:spacing w:line="360" w:lineRule="auto"/>
        <w:ind w:firstLine="480" w:firstLineChars="200"/>
        <w:rPr>
          <w:color w:val="auto"/>
          <w:sz w:val="24"/>
        </w:rPr>
      </w:pPr>
      <w:r>
        <w:rPr>
          <w:color w:val="auto"/>
          <w:sz w:val="24"/>
        </w:rPr>
        <w:t>(1)、风险概率计算：</w:t>
      </w:r>
    </w:p>
    <w:p w14:paraId="2EAA516E">
      <w:pPr>
        <w:spacing w:line="360" w:lineRule="auto"/>
        <w:ind w:firstLine="480" w:firstLineChars="200"/>
        <w:rPr>
          <w:color w:val="auto"/>
          <w:sz w:val="24"/>
        </w:rPr>
      </w:pPr>
      <w:r>
        <w:rPr>
          <w:color w:val="auto"/>
          <w:sz w:val="24"/>
        </w:rPr>
        <w:t>根据导则附录I，中间量Y与接触毒物浓度及接触时间的关系为：</w:t>
      </w:r>
    </w:p>
    <w:p w14:paraId="4E28B809">
      <w:pPr>
        <w:jc w:val="center"/>
        <w:rPr>
          <w:color w:val="auto"/>
        </w:rPr>
      </w:pPr>
      <w:r>
        <w:rPr>
          <w:color w:val="auto"/>
        </w:rPr>
        <w:drawing>
          <wp:inline distT="0" distB="0" distL="0" distR="0">
            <wp:extent cx="1533525" cy="295275"/>
            <wp:effectExtent l="19050" t="0" r="9525" b="0"/>
            <wp:docPr id="3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7"/>
                    <pic:cNvPicPr>
                      <a:picLocks noChangeAspect="1" noChangeArrowheads="1"/>
                    </pic:cNvPicPr>
                  </pic:nvPicPr>
                  <pic:blipFill>
                    <a:blip r:embed="rId85"/>
                    <a:srcRect/>
                    <a:stretch>
                      <a:fillRect/>
                    </a:stretch>
                  </pic:blipFill>
                  <pic:spPr>
                    <a:xfrm>
                      <a:off x="0" y="0"/>
                      <a:ext cx="1533525" cy="295275"/>
                    </a:xfrm>
                    <a:prstGeom prst="rect">
                      <a:avLst/>
                    </a:prstGeom>
                    <a:noFill/>
                    <a:ln w="9525">
                      <a:noFill/>
                      <a:miter lim="800000"/>
                      <a:headEnd/>
                      <a:tailEnd/>
                    </a:ln>
                  </pic:spPr>
                </pic:pic>
              </a:graphicData>
            </a:graphic>
          </wp:inline>
        </w:drawing>
      </w:r>
    </w:p>
    <w:p w14:paraId="5C6CD600">
      <w:pPr>
        <w:spacing w:line="360" w:lineRule="auto"/>
        <w:ind w:firstLine="480" w:firstLineChars="200"/>
        <w:rPr>
          <w:color w:val="auto"/>
          <w:sz w:val="24"/>
        </w:rPr>
      </w:pPr>
      <w:r>
        <w:rPr>
          <w:color w:val="auto"/>
          <w:sz w:val="24"/>
        </w:rPr>
        <w:t>式中，At、Bt和n——取决于毒物性质的常数；</w:t>
      </w:r>
    </w:p>
    <w:p w14:paraId="38D4B38A">
      <w:pPr>
        <w:spacing w:line="360" w:lineRule="auto"/>
        <w:ind w:firstLine="480" w:firstLineChars="200"/>
        <w:rPr>
          <w:color w:val="auto"/>
          <w:sz w:val="24"/>
        </w:rPr>
      </w:pPr>
      <w:r>
        <w:rPr>
          <w:color w:val="auto"/>
          <w:sz w:val="24"/>
        </w:rPr>
        <w:t>C——接触的质量浓度，mg/m</w:t>
      </w:r>
      <w:r>
        <w:rPr>
          <w:color w:val="auto"/>
          <w:sz w:val="24"/>
          <w:vertAlign w:val="superscript"/>
        </w:rPr>
        <w:t>3</w:t>
      </w:r>
      <w:r>
        <w:rPr>
          <w:color w:val="auto"/>
          <w:sz w:val="24"/>
        </w:rPr>
        <w:t>；</w:t>
      </w:r>
    </w:p>
    <w:p w14:paraId="073C9317">
      <w:pPr>
        <w:spacing w:line="360" w:lineRule="auto"/>
        <w:ind w:firstLine="480" w:firstLineChars="200"/>
        <w:rPr>
          <w:color w:val="auto"/>
          <w:sz w:val="24"/>
        </w:rPr>
      </w:pPr>
      <w:r>
        <w:rPr>
          <w:color w:val="auto"/>
          <w:sz w:val="24"/>
        </w:rPr>
        <w:t>te——接触C质量浓度的时间，min。</w:t>
      </w:r>
    </w:p>
    <w:p w14:paraId="04A51C1C">
      <w:pPr>
        <w:spacing w:line="360" w:lineRule="auto"/>
        <w:ind w:firstLine="480" w:firstLineChars="200"/>
        <w:rPr>
          <w:color w:val="auto"/>
          <w:sz w:val="24"/>
        </w:rPr>
      </w:pPr>
      <w:r>
        <w:rPr>
          <w:color w:val="auto"/>
          <w:sz w:val="24"/>
        </w:rPr>
        <w:t>根据预测结果分析，氯化氢A、B及n分别为-37.3、3.69、1，计算得Y＝−1</w:t>
      </w:r>
      <w:r>
        <w:rPr>
          <w:rFonts w:hint="eastAsia"/>
          <w:color w:val="auto"/>
          <w:sz w:val="24"/>
          <w:lang w:val="en-US" w:eastAsia="zh-CN"/>
        </w:rPr>
        <w:t>5.3</w:t>
      </w:r>
      <w:r>
        <w:rPr>
          <w:color w:val="auto"/>
          <w:sz w:val="24"/>
        </w:rPr>
        <w:t>。</w:t>
      </w:r>
    </w:p>
    <w:p w14:paraId="25045BF6">
      <w:pPr>
        <w:spacing w:line="360" w:lineRule="auto"/>
        <w:ind w:firstLine="480" w:firstLineChars="200"/>
        <w:rPr>
          <w:color w:val="auto"/>
          <w:sz w:val="24"/>
        </w:rPr>
      </w:pPr>
      <w:r>
        <w:rPr>
          <w:color w:val="auto"/>
          <w:sz w:val="24"/>
        </w:rPr>
        <w:t>根据导则附录I中表1.1取值其事故死亡概率为0%，根据调查项目该范围内涉及园区内等企业，最大当班人数约100人左右，则死亡人数约0。</w:t>
      </w:r>
    </w:p>
    <w:p w14:paraId="23E9DB0E">
      <w:pPr>
        <w:spacing w:line="360" w:lineRule="auto"/>
        <w:ind w:firstLine="480" w:firstLineChars="200"/>
        <w:rPr>
          <w:color w:val="auto"/>
          <w:sz w:val="24"/>
        </w:rPr>
      </w:pPr>
      <w:r>
        <w:rPr>
          <w:color w:val="auto"/>
          <w:sz w:val="24"/>
        </w:rPr>
        <w:t>根据预测结果分析，氟化氢A、B及n分别为-8.4、1、1.5，计算得Y＝−2.5。</w:t>
      </w:r>
    </w:p>
    <w:p w14:paraId="7C23832D">
      <w:pPr>
        <w:spacing w:line="360" w:lineRule="auto"/>
        <w:ind w:firstLine="480" w:firstLineChars="200"/>
        <w:rPr>
          <w:color w:val="auto"/>
          <w:sz w:val="24"/>
        </w:rPr>
      </w:pPr>
      <w:r>
        <w:rPr>
          <w:color w:val="auto"/>
          <w:sz w:val="24"/>
        </w:rPr>
        <w:t>根据导则附录I中表1.1取值其事故死亡概率为0%，根据调查项目该范围内涉及园区内等企业，最大当班人数约100人左右，则死亡人数约0。</w:t>
      </w:r>
    </w:p>
    <w:p w14:paraId="519BB30F">
      <w:pPr>
        <w:spacing w:line="360" w:lineRule="auto"/>
        <w:ind w:firstLine="480" w:firstLineChars="200"/>
        <w:rPr>
          <w:color w:val="auto"/>
          <w:sz w:val="24"/>
        </w:rPr>
      </w:pPr>
      <w:r>
        <w:rPr>
          <w:color w:val="auto"/>
          <w:sz w:val="24"/>
        </w:rPr>
        <w:t>2、风险值计算</w:t>
      </w:r>
    </w:p>
    <w:p w14:paraId="1D206A60">
      <w:pPr>
        <w:spacing w:line="360" w:lineRule="auto"/>
        <w:ind w:firstLine="480" w:firstLineChars="200"/>
        <w:rPr>
          <w:color w:val="auto"/>
          <w:sz w:val="24"/>
        </w:rPr>
      </w:pPr>
      <w:r>
        <w:rPr>
          <w:color w:val="auto"/>
          <w:sz w:val="24"/>
        </w:rPr>
        <w:t>风险值是风险评价表征量，包括事故的发生概率和事故的危害程度。定义为：</w:t>
      </w:r>
    </w:p>
    <w:p w14:paraId="690C66D7">
      <w:pPr>
        <w:spacing w:line="360" w:lineRule="auto"/>
        <w:ind w:firstLine="480" w:firstLineChars="200"/>
        <w:rPr>
          <w:color w:val="auto"/>
          <w:sz w:val="24"/>
        </w:rPr>
      </w:pPr>
      <w:r>
        <w:rPr>
          <w:color w:val="auto"/>
          <w:sz w:val="24"/>
        </w:rPr>
        <w:object>
          <v:shape id="_x0000_i1042" o:spt="75" type="#_x0000_t75" style="height:33pt;width:280.5pt;" o:ole="t" filled="f" o:preferrelative="t" stroked="f" coordsize="21600,21600">
            <v:path/>
            <v:fill on="f" focussize="0,0"/>
            <v:stroke on="f" joinstyle="miter"/>
            <v:imagedata r:id="rId87" o:title=""/>
            <o:lock v:ext="edit" aspectratio="t"/>
            <w10:wrap type="none"/>
            <w10:anchorlock/>
          </v:shape>
          <o:OLEObject Type="Embed" ProgID="Equation.3" ShapeID="_x0000_i1042" DrawAspect="Content" ObjectID="_1468075744" r:id="rId86">
            <o:LockedField>false</o:LockedField>
          </o:OLEObject>
        </w:object>
      </w:r>
    </w:p>
    <w:p w14:paraId="135CBB5B">
      <w:pPr>
        <w:spacing w:line="360" w:lineRule="auto"/>
        <w:ind w:firstLine="480" w:firstLineChars="200"/>
        <w:rPr>
          <w:color w:val="auto"/>
          <w:sz w:val="24"/>
        </w:rPr>
      </w:pPr>
      <w:r>
        <w:rPr>
          <w:color w:val="auto"/>
          <w:sz w:val="24"/>
        </w:rPr>
        <w:t>其中计算公式为：R=P×C</w:t>
      </w:r>
    </w:p>
    <w:p w14:paraId="2173C954">
      <w:pPr>
        <w:spacing w:line="360" w:lineRule="auto"/>
        <w:ind w:firstLine="480" w:firstLineChars="200"/>
        <w:rPr>
          <w:color w:val="auto"/>
          <w:sz w:val="24"/>
        </w:rPr>
      </w:pPr>
      <w:r>
        <w:rPr>
          <w:color w:val="auto"/>
          <w:sz w:val="24"/>
        </w:rPr>
        <w:t>式中：R—风险值；</w:t>
      </w:r>
    </w:p>
    <w:p w14:paraId="01F98FCD">
      <w:pPr>
        <w:spacing w:line="360" w:lineRule="auto"/>
        <w:ind w:firstLine="480" w:firstLineChars="200"/>
        <w:rPr>
          <w:color w:val="auto"/>
          <w:sz w:val="24"/>
        </w:rPr>
      </w:pPr>
      <w:r>
        <w:rPr>
          <w:color w:val="auto"/>
          <w:sz w:val="24"/>
        </w:rPr>
        <w:t>P—最大可信事故概率(事件数/单位时间)；</w:t>
      </w:r>
    </w:p>
    <w:p w14:paraId="6D14B269">
      <w:pPr>
        <w:spacing w:line="360" w:lineRule="auto"/>
        <w:ind w:firstLine="480" w:firstLineChars="200"/>
        <w:rPr>
          <w:color w:val="auto"/>
          <w:sz w:val="24"/>
        </w:rPr>
      </w:pPr>
      <w:r>
        <w:rPr>
          <w:color w:val="auto"/>
          <w:sz w:val="24"/>
        </w:rPr>
        <w:t>C—最大可信事故造成的危害(损害/事件)；</w:t>
      </w:r>
    </w:p>
    <w:p w14:paraId="60203878">
      <w:pPr>
        <w:spacing w:line="360" w:lineRule="auto"/>
        <w:ind w:firstLine="480" w:firstLineChars="200"/>
        <w:rPr>
          <w:color w:val="auto"/>
          <w:sz w:val="24"/>
        </w:rPr>
      </w:pPr>
      <w:r>
        <w:rPr>
          <w:color w:val="auto"/>
          <w:sz w:val="24"/>
        </w:rPr>
        <w:t>最大可信事故造成的危害风险值计算如下：</w:t>
      </w:r>
    </w:p>
    <w:p w14:paraId="06127C35">
      <w:pPr>
        <w:spacing w:line="360" w:lineRule="auto"/>
        <w:ind w:firstLine="480" w:firstLineChars="200"/>
        <w:rPr>
          <w:color w:val="auto"/>
          <w:sz w:val="24"/>
        </w:rPr>
      </w:pPr>
      <w:r>
        <w:rPr>
          <w:color w:val="auto"/>
          <w:sz w:val="24"/>
        </w:rPr>
        <w:t>Rmax＝P×C＝5×10</w:t>
      </w:r>
      <w:r>
        <w:rPr>
          <w:color w:val="auto"/>
          <w:sz w:val="24"/>
          <w:vertAlign w:val="superscript"/>
        </w:rPr>
        <w:t>-7</w:t>
      </w:r>
      <w:r>
        <w:rPr>
          <w:color w:val="auto"/>
          <w:sz w:val="24"/>
        </w:rPr>
        <w:t>×2＝1×10</w:t>
      </w:r>
      <w:r>
        <w:rPr>
          <w:color w:val="auto"/>
          <w:sz w:val="24"/>
          <w:vertAlign w:val="superscript"/>
        </w:rPr>
        <w:t>-6</w:t>
      </w:r>
      <w:r>
        <w:rPr>
          <w:color w:val="auto"/>
          <w:sz w:val="24"/>
        </w:rPr>
        <w:t>死亡人数/年。</w:t>
      </w:r>
    </w:p>
    <w:p w14:paraId="17BD0DD1">
      <w:pPr>
        <w:spacing w:line="360" w:lineRule="auto"/>
        <w:ind w:firstLine="480" w:firstLineChars="200"/>
        <w:rPr>
          <w:color w:val="auto"/>
          <w:sz w:val="24"/>
        </w:rPr>
      </w:pPr>
      <w:r>
        <w:rPr>
          <w:color w:val="auto"/>
          <w:sz w:val="24"/>
        </w:rPr>
        <w:t>即项目风险值R为1×10</w:t>
      </w:r>
      <w:r>
        <w:rPr>
          <w:color w:val="auto"/>
          <w:sz w:val="24"/>
          <w:vertAlign w:val="superscript"/>
        </w:rPr>
        <w:t>-6</w:t>
      </w:r>
      <w:r>
        <w:rPr>
          <w:color w:val="auto"/>
          <w:sz w:val="24"/>
        </w:rPr>
        <w:t>。</w:t>
      </w:r>
    </w:p>
    <w:p w14:paraId="1F7374B6">
      <w:pPr>
        <w:spacing w:line="360" w:lineRule="auto"/>
        <w:ind w:firstLine="480" w:firstLineChars="200"/>
        <w:rPr>
          <w:color w:val="auto"/>
          <w:sz w:val="24"/>
        </w:rPr>
      </w:pPr>
      <w:r>
        <w:rPr>
          <w:color w:val="auto"/>
          <w:sz w:val="24"/>
        </w:rPr>
        <w:t>本次项目最大可信事故风险R＝1×10</w:t>
      </w:r>
      <w:r>
        <w:rPr>
          <w:color w:val="auto"/>
          <w:sz w:val="24"/>
          <w:vertAlign w:val="superscript"/>
        </w:rPr>
        <w:t>-6</w:t>
      </w:r>
      <w:r>
        <w:rPr>
          <w:color w:val="auto"/>
          <w:sz w:val="24"/>
        </w:rPr>
        <w:t>，小于可接受风险水平8.33×10</w:t>
      </w:r>
      <w:r>
        <w:rPr>
          <w:color w:val="auto"/>
          <w:sz w:val="24"/>
          <w:vertAlign w:val="superscript"/>
        </w:rPr>
        <w:t>-5</w:t>
      </w:r>
      <w:r>
        <w:rPr>
          <w:color w:val="auto"/>
          <w:sz w:val="24"/>
        </w:rPr>
        <w:t>(胡二邦《环境风险评价实用技术和方法》)，所以，本次项目的最大可信事故风险是可以接受的。</w:t>
      </w:r>
    </w:p>
    <w:p w14:paraId="6AF12DB9">
      <w:pPr>
        <w:spacing w:line="360" w:lineRule="auto"/>
        <w:ind w:firstLine="480" w:firstLineChars="200"/>
        <w:rPr>
          <w:rFonts w:hint="default" w:ascii="Times New Roman" w:hAnsi="Times New Roman" w:eastAsia="宋体" w:cs="Times New Roman"/>
          <w:color w:val="auto"/>
          <w:sz w:val="24"/>
        </w:rPr>
      </w:pPr>
      <w:bookmarkStart w:id="231" w:name="_Toc9364"/>
      <w:bookmarkStart w:id="232" w:name="_Toc16993"/>
      <w:bookmarkStart w:id="233" w:name="_Toc19749"/>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防护距离确定</w:t>
      </w:r>
      <w:bookmarkEnd w:id="231"/>
      <w:bookmarkEnd w:id="232"/>
      <w:bookmarkEnd w:id="233"/>
      <w:r>
        <w:rPr>
          <w:rFonts w:hint="default" w:ascii="Times New Roman" w:hAnsi="Times New Roman" w:eastAsia="宋体" w:cs="Times New Roman"/>
          <w:color w:val="auto"/>
          <w:sz w:val="24"/>
        </w:rPr>
        <w:t xml:space="preserve"> </w:t>
      </w:r>
    </w:p>
    <w:p w14:paraId="542CC19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）环境风险防护距离</w:t>
      </w:r>
    </w:p>
    <w:p w14:paraId="45E509E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根据风险预测结果，本项目</w:t>
      </w:r>
      <w:r>
        <w:rPr>
          <w:rFonts w:hint="eastAsia" w:ascii="Times New Roman" w:hAnsi="Times New Roman" w:eastAsia="宋体" w:cs="Times New Roman"/>
          <w:color w:val="auto"/>
          <w:sz w:val="24"/>
          <w:szCs w:val="24"/>
          <w:highlight w:val="none"/>
          <w:lang w:val="en-US" w:eastAsia="zh-CN"/>
        </w:rPr>
        <w:t>事故发生后</w:t>
      </w:r>
      <w:r>
        <w:rPr>
          <w:color w:val="auto"/>
          <w:sz w:val="24"/>
        </w:rPr>
        <w:t>在距排放源中心</w:t>
      </w:r>
      <w:r>
        <w:rPr>
          <w:rFonts w:hint="eastAsia"/>
          <w:color w:val="auto"/>
          <w:sz w:val="24"/>
          <w:lang w:val="en-US" w:eastAsia="zh-CN"/>
        </w:rPr>
        <w:t>最远310</w:t>
      </w:r>
      <w:r>
        <w:rPr>
          <w:color w:val="auto"/>
          <w:sz w:val="24"/>
        </w:rPr>
        <w:t>m的范围内能对人群造成生命威胁</w:t>
      </w:r>
      <w:r>
        <w:rPr>
          <w:rFonts w:hint="default" w:ascii="Times New Roman" w:hAnsi="Times New Roman" w:eastAsia="宋体" w:cs="Times New Roman"/>
          <w:color w:val="auto"/>
          <w:sz w:val="24"/>
          <w:szCs w:val="24"/>
          <w:highlight w:val="none"/>
        </w:rPr>
        <w:t>。</w:t>
      </w:r>
    </w:p>
    <w:p w14:paraId="5D70BD9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）卫生防护距离</w:t>
      </w:r>
    </w:p>
    <w:p w14:paraId="17730B70">
      <w:pPr>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本项目废气主要为颗粒物、氟化氢、氯化氢，无组织排放因子主要为颗粒物，</w:t>
      </w:r>
      <w:r>
        <w:rPr>
          <w:rFonts w:hint="default" w:ascii="Times New Roman" w:hAnsi="Times New Roman" w:eastAsia="宋体" w:cs="Times New Roman"/>
          <w:color w:val="auto"/>
          <w:sz w:val="24"/>
          <w:szCs w:val="24"/>
          <w:highlight w:val="none"/>
        </w:rPr>
        <w:t>参考《大气有害物质无组织排放卫生防护距离推导技术导则》(GB/T 39499-2020)中有关规定，确定建设项目产生区的卫生防护距离按下式计算：</w:t>
      </w:r>
    </w:p>
    <w:p w14:paraId="0894F684">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pict>
          <v:shape id="对象 92" o:spid="_x0000_s1037" o:spt="75" type="#_x0000_t75" style="position:absolute;left:0pt;margin-left:150.1pt;margin-top:2.8pt;height:32.3pt;width:131.95pt;z-index:251665408;mso-width-relative:page;mso-height-relative:page;" o:ole="t" filled="f" o:preferrelative="t" stroked="f" coordsize="21600,21600">
            <v:path/>
            <v:fill on="f" focussize="0,0"/>
            <v:stroke on="f"/>
            <v:imagedata r:id="rId89" o:title=""/>
            <o:lock v:ext="edit" aspectratio="t"/>
          </v:shape>
          <o:OLEObject Type="Embed" ProgID="Equation.3" ShapeID="对象 92" DrawAspect="Content" ObjectID="_1468075745" r:id="rId88">
            <o:LockedField>false</o:LockedField>
          </o:OLEObject>
        </w:pict>
      </w:r>
    </w:p>
    <w:p w14:paraId="22104A35">
      <w:pPr>
        <w:adjustRightInd/>
        <w:snapToGrid/>
        <w:ind w:firstLine="480"/>
        <w:rPr>
          <w:rFonts w:hint="default" w:ascii="Times New Roman" w:hAnsi="Times New Roman" w:eastAsia="宋体" w:cs="Times New Roman"/>
          <w:color w:val="auto"/>
          <w:kern w:val="0"/>
          <w:szCs w:val="20"/>
          <w:highlight w:val="none"/>
        </w:rPr>
      </w:pPr>
    </w:p>
    <w:p w14:paraId="4D06F82B">
      <w:pPr>
        <w:adjustRightInd/>
        <w:snapToGrid/>
        <w:spacing w:line="360" w:lineRule="auto"/>
        <w:ind w:firstLine="48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式中：Q</w:t>
      </w:r>
      <w:r>
        <w:rPr>
          <w:rFonts w:hint="default" w:ascii="Times New Roman" w:hAnsi="Times New Roman" w:eastAsia="宋体" w:cs="Times New Roman"/>
          <w:color w:val="auto"/>
          <w:kern w:val="0"/>
          <w:sz w:val="24"/>
          <w:szCs w:val="24"/>
          <w:highlight w:val="none"/>
          <w:vertAlign w:val="subscript"/>
        </w:rPr>
        <w:t>c</w:t>
      </w:r>
      <w:r>
        <w:rPr>
          <w:rFonts w:hint="default" w:ascii="Times New Roman" w:hAnsi="Times New Roman" w:eastAsia="宋体" w:cs="Times New Roman"/>
          <w:color w:val="auto"/>
          <w:kern w:val="0"/>
          <w:sz w:val="24"/>
          <w:szCs w:val="24"/>
          <w:highlight w:val="none"/>
        </w:rPr>
        <w:t>－为有害气体无组织排放量可以达到的控制水平(kg/h)；</w:t>
      </w:r>
    </w:p>
    <w:p w14:paraId="5BBEEF79">
      <w:pPr>
        <w:adjustRightInd/>
        <w:spacing w:line="360" w:lineRule="auto"/>
        <w:ind w:firstLine="1200" w:firstLineChars="5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w:t>
      </w:r>
      <w:r>
        <w:rPr>
          <w:rFonts w:hint="default" w:ascii="Times New Roman" w:hAnsi="Times New Roman" w:eastAsia="宋体" w:cs="Times New Roman"/>
          <w:color w:val="auto"/>
          <w:sz w:val="24"/>
          <w:szCs w:val="24"/>
          <w:highlight w:val="none"/>
          <w:vertAlign w:val="subscript"/>
        </w:rPr>
        <w:t>m</w:t>
      </w:r>
      <w:r>
        <w:rPr>
          <w:rFonts w:hint="default" w:ascii="Times New Roman" w:hAnsi="Times New Roman" w:eastAsia="宋体" w:cs="Times New Roman"/>
          <w:color w:val="auto"/>
          <w:sz w:val="24"/>
          <w:szCs w:val="24"/>
          <w:highlight w:val="none"/>
        </w:rPr>
        <w:t>－为标准浓度限值(mg/m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0BD4FC97">
      <w:pPr>
        <w:adjustRightInd/>
        <w:snapToGrid/>
        <w:spacing w:line="360" w:lineRule="auto"/>
        <w:ind w:firstLine="1200" w:firstLineChars="5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r－为无组织排放源的等效半径(m)；</w:t>
      </w:r>
    </w:p>
    <w:p w14:paraId="07D505FE">
      <w:pPr>
        <w:adjustRightInd/>
        <w:snapToGrid/>
        <w:spacing w:line="360" w:lineRule="auto"/>
        <w:ind w:firstLine="1200" w:firstLineChars="5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A、B、C、D－为卫生防护距离计算系数；</w:t>
      </w:r>
    </w:p>
    <w:p w14:paraId="05CDF9C4">
      <w:pPr>
        <w:adjustRightInd/>
        <w:snapToGrid/>
        <w:spacing w:line="360" w:lineRule="auto"/>
        <w:ind w:firstLine="1200" w:firstLineChars="5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L－为卫生防护距离(m)。</w:t>
      </w:r>
    </w:p>
    <w:p w14:paraId="1ED05D52">
      <w:pPr>
        <w:adjustRightInd/>
        <w:snapToGrid/>
        <w:spacing w:line="360" w:lineRule="auto"/>
        <w:ind w:firstLine="48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评价区域多年平均风速为2.</w:t>
      </w:r>
      <w:r>
        <w:rPr>
          <w:rFonts w:hint="eastAsia" w:ascii="Times New Roman" w:hAnsi="Times New Roman" w:eastAsia="宋体" w:cs="Times New Roman"/>
          <w:color w:val="auto"/>
          <w:kern w:val="0"/>
          <w:sz w:val="24"/>
          <w:szCs w:val="24"/>
          <w:highlight w:val="none"/>
          <w:lang w:val="en-US" w:eastAsia="zh-CN"/>
        </w:rPr>
        <w:t>27</w:t>
      </w:r>
      <w:r>
        <w:rPr>
          <w:rFonts w:hint="default" w:ascii="Times New Roman" w:hAnsi="Times New Roman" w:eastAsia="宋体" w:cs="Times New Roman"/>
          <w:color w:val="auto"/>
          <w:kern w:val="0"/>
          <w:sz w:val="24"/>
          <w:szCs w:val="24"/>
          <w:highlight w:val="none"/>
        </w:rPr>
        <w:t>m/s，A、B、C、D值的选取来源见下表</w:t>
      </w:r>
    </w:p>
    <w:p w14:paraId="10A2B1CA">
      <w:pPr>
        <w:adjustRightInd w:val="0"/>
        <w:snapToGrid w:val="0"/>
        <w:spacing w:beforeLines="25" w:afterLines="25"/>
        <w:ind w:firstLine="422"/>
        <w:jc w:val="center"/>
        <w:outlineLvl w:val="3"/>
        <w:rPr>
          <w:rFonts w:hint="default" w:ascii="Times New Roman" w:hAnsi="Times New Roman" w:eastAsia="宋体" w:cs="Times New Roman"/>
          <w:b/>
          <w:bCs/>
          <w:color w:val="auto"/>
          <w:szCs w:val="21"/>
          <w:lang w:val="zh-CN"/>
        </w:rPr>
      </w:pPr>
      <w:r>
        <w:rPr>
          <w:rFonts w:hint="default" w:ascii="Times New Roman" w:hAnsi="Times New Roman" w:eastAsia="宋体" w:cs="Times New Roman"/>
          <w:b/>
          <w:bCs/>
          <w:color w:val="auto"/>
          <w:szCs w:val="21"/>
          <w:lang w:val="zh-CN"/>
        </w:rPr>
        <w:t>表</w:t>
      </w:r>
      <w:r>
        <w:rPr>
          <w:rFonts w:hint="eastAsia" w:ascii="Times New Roman" w:hAnsi="Times New Roman" w:eastAsia="宋体" w:cs="Times New Roman"/>
          <w:b/>
          <w:bCs/>
          <w:color w:val="auto"/>
          <w:szCs w:val="21"/>
          <w:lang w:val="en-US" w:eastAsia="zh-CN"/>
        </w:rPr>
        <w:t>7.9-</w:t>
      </w:r>
      <w:r>
        <w:rPr>
          <w:rFonts w:hint="eastAsia" w:cs="Times New Roman"/>
          <w:b/>
          <w:bCs/>
          <w:color w:val="auto"/>
          <w:szCs w:val="21"/>
          <w:lang w:val="en-US" w:eastAsia="zh-CN"/>
        </w:rPr>
        <w:t>16</w:t>
      </w:r>
      <w:r>
        <w:rPr>
          <w:rFonts w:hint="default" w:ascii="Times New Roman" w:hAnsi="Times New Roman" w:eastAsia="宋体" w:cs="Times New Roman"/>
          <w:b/>
          <w:bCs/>
          <w:color w:val="auto"/>
          <w:szCs w:val="21"/>
        </w:rPr>
        <w:t xml:space="preserve"> </w:t>
      </w:r>
      <w:r>
        <w:rPr>
          <w:rFonts w:hint="default" w:ascii="Times New Roman" w:hAnsi="Times New Roman" w:eastAsia="宋体" w:cs="Times New Roman"/>
          <w:b/>
          <w:bCs/>
          <w:color w:val="auto"/>
          <w:szCs w:val="21"/>
          <w:lang w:val="zh-CN"/>
        </w:rPr>
        <w:t xml:space="preserve"> 卫生防护距离计算参数</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16"/>
        <w:gridCol w:w="1173"/>
        <w:gridCol w:w="775"/>
        <w:gridCol w:w="774"/>
        <w:gridCol w:w="785"/>
        <w:gridCol w:w="774"/>
        <w:gridCol w:w="774"/>
        <w:gridCol w:w="785"/>
        <w:gridCol w:w="774"/>
        <w:gridCol w:w="776"/>
        <w:gridCol w:w="793"/>
      </w:tblGrid>
      <w:tr w14:paraId="0E10F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vMerge w:val="restart"/>
            <w:noWrap w:val="0"/>
            <w:vAlign w:val="center"/>
          </w:tcPr>
          <w:p w14:paraId="2876CB16">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计算</w:t>
            </w:r>
          </w:p>
          <w:p w14:paraId="02204F0A">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系数</w:t>
            </w:r>
          </w:p>
        </w:tc>
        <w:tc>
          <w:tcPr>
            <w:tcW w:w="1217" w:type="dxa"/>
            <w:vMerge w:val="restart"/>
            <w:noWrap w:val="0"/>
            <w:vAlign w:val="center"/>
          </w:tcPr>
          <w:p w14:paraId="71A58DD4">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工业企业所在地区近五年平均风速(m/s)</w:t>
            </w:r>
          </w:p>
        </w:tc>
        <w:tc>
          <w:tcPr>
            <w:tcW w:w="7280" w:type="dxa"/>
            <w:gridSpan w:val="9"/>
            <w:noWrap w:val="0"/>
            <w:vAlign w:val="center"/>
          </w:tcPr>
          <w:p w14:paraId="09FEF793">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卫生防护距离L.m</w:t>
            </w:r>
          </w:p>
        </w:tc>
      </w:tr>
      <w:tr w14:paraId="092D9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vMerge w:val="continue"/>
            <w:noWrap w:val="0"/>
            <w:vAlign w:val="center"/>
          </w:tcPr>
          <w:p w14:paraId="0AAD51C0">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p>
        </w:tc>
        <w:tc>
          <w:tcPr>
            <w:tcW w:w="1217" w:type="dxa"/>
            <w:vMerge w:val="continue"/>
            <w:noWrap w:val="0"/>
            <w:vAlign w:val="center"/>
          </w:tcPr>
          <w:p w14:paraId="4B513B57">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p>
        </w:tc>
        <w:tc>
          <w:tcPr>
            <w:tcW w:w="2423" w:type="dxa"/>
            <w:gridSpan w:val="3"/>
            <w:noWrap w:val="0"/>
            <w:vAlign w:val="center"/>
          </w:tcPr>
          <w:p w14:paraId="479B6B91">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L≤1000</w:t>
            </w:r>
          </w:p>
        </w:tc>
        <w:tc>
          <w:tcPr>
            <w:tcW w:w="2423" w:type="dxa"/>
            <w:gridSpan w:val="3"/>
            <w:noWrap w:val="0"/>
            <w:vAlign w:val="center"/>
          </w:tcPr>
          <w:p w14:paraId="39DE8863">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1000＜L≤2000</w:t>
            </w:r>
          </w:p>
        </w:tc>
        <w:tc>
          <w:tcPr>
            <w:tcW w:w="2434" w:type="dxa"/>
            <w:gridSpan w:val="3"/>
            <w:noWrap w:val="0"/>
            <w:vAlign w:val="center"/>
          </w:tcPr>
          <w:p w14:paraId="3C66B1BA">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L＞2000</w:t>
            </w:r>
          </w:p>
        </w:tc>
      </w:tr>
      <w:tr w14:paraId="51048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vMerge w:val="continue"/>
            <w:noWrap w:val="0"/>
            <w:vAlign w:val="center"/>
          </w:tcPr>
          <w:p w14:paraId="6841F212">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p>
        </w:tc>
        <w:tc>
          <w:tcPr>
            <w:tcW w:w="1217" w:type="dxa"/>
            <w:vMerge w:val="continue"/>
            <w:noWrap w:val="0"/>
            <w:vAlign w:val="center"/>
          </w:tcPr>
          <w:p w14:paraId="3BE7243E">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p>
        </w:tc>
        <w:tc>
          <w:tcPr>
            <w:tcW w:w="7280" w:type="dxa"/>
            <w:gridSpan w:val="9"/>
            <w:noWrap w:val="0"/>
            <w:vAlign w:val="center"/>
          </w:tcPr>
          <w:p w14:paraId="46359680">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工业企业大气污染源构成类别</w:t>
            </w:r>
          </w:p>
        </w:tc>
      </w:tr>
      <w:tr w14:paraId="6751C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vMerge w:val="continue"/>
            <w:noWrap w:val="0"/>
            <w:vAlign w:val="center"/>
          </w:tcPr>
          <w:p w14:paraId="36F553E8">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p>
        </w:tc>
        <w:tc>
          <w:tcPr>
            <w:tcW w:w="1217" w:type="dxa"/>
            <w:vMerge w:val="continue"/>
            <w:noWrap w:val="0"/>
            <w:vAlign w:val="center"/>
          </w:tcPr>
          <w:p w14:paraId="261140E3">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p>
        </w:tc>
        <w:tc>
          <w:tcPr>
            <w:tcW w:w="804" w:type="dxa"/>
            <w:noWrap w:val="0"/>
            <w:vAlign w:val="center"/>
          </w:tcPr>
          <w:p w14:paraId="6B859C50">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Ⅰ</w:t>
            </w:r>
          </w:p>
        </w:tc>
        <w:tc>
          <w:tcPr>
            <w:tcW w:w="804" w:type="dxa"/>
            <w:noWrap w:val="0"/>
            <w:vAlign w:val="center"/>
          </w:tcPr>
          <w:p w14:paraId="640E23C6">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Ⅱ</w:t>
            </w:r>
          </w:p>
        </w:tc>
        <w:tc>
          <w:tcPr>
            <w:tcW w:w="815" w:type="dxa"/>
            <w:noWrap w:val="0"/>
            <w:vAlign w:val="center"/>
          </w:tcPr>
          <w:p w14:paraId="06D994F8">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Ⅲ</w:t>
            </w:r>
          </w:p>
        </w:tc>
        <w:tc>
          <w:tcPr>
            <w:tcW w:w="804" w:type="dxa"/>
            <w:noWrap w:val="0"/>
            <w:vAlign w:val="center"/>
          </w:tcPr>
          <w:p w14:paraId="0B22F8DD">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Ⅰ</w:t>
            </w:r>
          </w:p>
        </w:tc>
        <w:tc>
          <w:tcPr>
            <w:tcW w:w="804" w:type="dxa"/>
            <w:noWrap w:val="0"/>
            <w:vAlign w:val="center"/>
          </w:tcPr>
          <w:p w14:paraId="22CE7015">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Ⅱ</w:t>
            </w:r>
          </w:p>
        </w:tc>
        <w:tc>
          <w:tcPr>
            <w:tcW w:w="815" w:type="dxa"/>
            <w:noWrap w:val="0"/>
            <w:vAlign w:val="center"/>
          </w:tcPr>
          <w:p w14:paraId="18F4A74E">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Ⅲ</w:t>
            </w:r>
          </w:p>
        </w:tc>
        <w:tc>
          <w:tcPr>
            <w:tcW w:w="804" w:type="dxa"/>
            <w:noWrap w:val="0"/>
            <w:vAlign w:val="center"/>
          </w:tcPr>
          <w:p w14:paraId="2D32E1E7">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Ⅰ</w:t>
            </w:r>
          </w:p>
        </w:tc>
        <w:tc>
          <w:tcPr>
            <w:tcW w:w="806" w:type="dxa"/>
            <w:noWrap w:val="0"/>
            <w:vAlign w:val="center"/>
          </w:tcPr>
          <w:p w14:paraId="00A8099F">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Ⅱ</w:t>
            </w:r>
          </w:p>
        </w:tc>
        <w:tc>
          <w:tcPr>
            <w:tcW w:w="824" w:type="dxa"/>
            <w:noWrap w:val="0"/>
            <w:vAlign w:val="center"/>
          </w:tcPr>
          <w:p w14:paraId="275F2184">
            <w:pPr>
              <w:overflowPunct w:val="0"/>
              <w:adjustRightInd/>
              <w:snapToGrid/>
              <w:spacing w:line="240" w:lineRule="auto"/>
              <w:ind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Ⅲ</w:t>
            </w:r>
          </w:p>
        </w:tc>
      </w:tr>
      <w:tr w14:paraId="14640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noWrap w:val="0"/>
            <w:vAlign w:val="center"/>
          </w:tcPr>
          <w:p w14:paraId="6250E4BB">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p>
        </w:tc>
        <w:tc>
          <w:tcPr>
            <w:tcW w:w="1217" w:type="dxa"/>
            <w:noWrap w:val="0"/>
            <w:vAlign w:val="center"/>
          </w:tcPr>
          <w:p w14:paraId="6C424B1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p w14:paraId="02197AFC">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p w14:paraId="531D958C">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804" w:type="dxa"/>
            <w:noWrap w:val="0"/>
            <w:vAlign w:val="center"/>
          </w:tcPr>
          <w:p w14:paraId="1E23D48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p w14:paraId="0A1FB613">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700</w:t>
            </w:r>
          </w:p>
          <w:p w14:paraId="5F4D6372">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530</w:t>
            </w:r>
          </w:p>
        </w:tc>
        <w:tc>
          <w:tcPr>
            <w:tcW w:w="804" w:type="dxa"/>
            <w:noWrap w:val="0"/>
            <w:vAlign w:val="center"/>
          </w:tcPr>
          <w:p w14:paraId="0E91EBFF">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p w14:paraId="1E52B984">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470</w:t>
            </w:r>
          </w:p>
          <w:p w14:paraId="70208591">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350</w:t>
            </w:r>
          </w:p>
        </w:tc>
        <w:tc>
          <w:tcPr>
            <w:tcW w:w="815" w:type="dxa"/>
            <w:noWrap w:val="0"/>
            <w:vAlign w:val="center"/>
          </w:tcPr>
          <w:p w14:paraId="19BDA7E6">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p w14:paraId="5A9204E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350</w:t>
            </w:r>
          </w:p>
          <w:p w14:paraId="347496B2">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260</w:t>
            </w:r>
          </w:p>
        </w:tc>
        <w:tc>
          <w:tcPr>
            <w:tcW w:w="804" w:type="dxa"/>
            <w:noWrap w:val="0"/>
            <w:vAlign w:val="center"/>
          </w:tcPr>
          <w:p w14:paraId="32EFA643">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p w14:paraId="1088811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700</w:t>
            </w:r>
          </w:p>
          <w:p w14:paraId="3BAA50D4">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530</w:t>
            </w:r>
          </w:p>
        </w:tc>
        <w:tc>
          <w:tcPr>
            <w:tcW w:w="804" w:type="dxa"/>
            <w:noWrap w:val="0"/>
            <w:vAlign w:val="center"/>
          </w:tcPr>
          <w:p w14:paraId="0D0853FF">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p w14:paraId="3975FA88">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470</w:t>
            </w:r>
          </w:p>
          <w:p w14:paraId="53A01DB6">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350</w:t>
            </w:r>
          </w:p>
        </w:tc>
        <w:tc>
          <w:tcPr>
            <w:tcW w:w="815" w:type="dxa"/>
            <w:noWrap w:val="0"/>
            <w:vAlign w:val="center"/>
          </w:tcPr>
          <w:p w14:paraId="12D4A6D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p w14:paraId="17130AB5">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350</w:t>
            </w:r>
          </w:p>
          <w:p w14:paraId="06185EE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260</w:t>
            </w:r>
          </w:p>
        </w:tc>
        <w:tc>
          <w:tcPr>
            <w:tcW w:w="804" w:type="dxa"/>
            <w:noWrap w:val="0"/>
            <w:vAlign w:val="center"/>
          </w:tcPr>
          <w:p w14:paraId="7E46523B">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p w14:paraId="5FDF2FB4">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380</w:t>
            </w:r>
          </w:p>
          <w:p w14:paraId="3F71F072">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290</w:t>
            </w:r>
          </w:p>
        </w:tc>
        <w:tc>
          <w:tcPr>
            <w:tcW w:w="806" w:type="dxa"/>
            <w:noWrap w:val="0"/>
            <w:vAlign w:val="center"/>
          </w:tcPr>
          <w:p w14:paraId="78AF4CA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p w14:paraId="67BFBDB3">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p w14:paraId="43DFA826">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190</w:t>
            </w:r>
          </w:p>
        </w:tc>
        <w:tc>
          <w:tcPr>
            <w:tcW w:w="824" w:type="dxa"/>
            <w:noWrap w:val="0"/>
            <w:vAlign w:val="center"/>
          </w:tcPr>
          <w:p w14:paraId="4CC3D4ED">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p w14:paraId="16F2E5E8">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190</w:t>
            </w:r>
          </w:p>
          <w:p w14:paraId="71F3FE0D">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140</w:t>
            </w:r>
          </w:p>
        </w:tc>
      </w:tr>
      <w:tr w14:paraId="34399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noWrap w:val="0"/>
            <w:vAlign w:val="center"/>
          </w:tcPr>
          <w:p w14:paraId="4B4C8B29">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w:t>
            </w:r>
          </w:p>
        </w:tc>
        <w:tc>
          <w:tcPr>
            <w:tcW w:w="1217" w:type="dxa"/>
            <w:noWrap w:val="0"/>
            <w:vAlign w:val="center"/>
          </w:tcPr>
          <w:p w14:paraId="782B12F3">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p w14:paraId="58E9741B">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423" w:type="dxa"/>
            <w:gridSpan w:val="3"/>
            <w:noWrap w:val="0"/>
            <w:vAlign w:val="center"/>
          </w:tcPr>
          <w:p w14:paraId="7473ABCD">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p w14:paraId="2FDC6068">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0.021</w:t>
            </w:r>
          </w:p>
        </w:tc>
        <w:tc>
          <w:tcPr>
            <w:tcW w:w="2423" w:type="dxa"/>
            <w:gridSpan w:val="3"/>
            <w:noWrap w:val="0"/>
            <w:vAlign w:val="center"/>
          </w:tcPr>
          <w:p w14:paraId="35BBBCC0">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0.0015</w:t>
            </w:r>
          </w:p>
          <w:p w14:paraId="6E9013ED">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0.036</w:t>
            </w:r>
          </w:p>
        </w:tc>
        <w:tc>
          <w:tcPr>
            <w:tcW w:w="2434" w:type="dxa"/>
            <w:gridSpan w:val="3"/>
            <w:noWrap w:val="0"/>
            <w:vAlign w:val="center"/>
          </w:tcPr>
          <w:p w14:paraId="23C252F5">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0.015</w:t>
            </w:r>
          </w:p>
          <w:p w14:paraId="5D35069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0.036</w:t>
            </w:r>
          </w:p>
        </w:tc>
      </w:tr>
      <w:tr w14:paraId="0A9E2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noWrap w:val="0"/>
            <w:vAlign w:val="center"/>
          </w:tcPr>
          <w:p w14:paraId="4B0B7CE9">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p>
        </w:tc>
        <w:tc>
          <w:tcPr>
            <w:tcW w:w="1217" w:type="dxa"/>
            <w:noWrap w:val="0"/>
            <w:vAlign w:val="center"/>
          </w:tcPr>
          <w:p w14:paraId="6A751551">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p w14:paraId="4E875AD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423" w:type="dxa"/>
            <w:gridSpan w:val="3"/>
            <w:noWrap w:val="0"/>
            <w:vAlign w:val="center"/>
          </w:tcPr>
          <w:p w14:paraId="7FEBC45C">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1.85</w:t>
            </w:r>
          </w:p>
          <w:p w14:paraId="1DE93EA0">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1.85</w:t>
            </w:r>
          </w:p>
        </w:tc>
        <w:tc>
          <w:tcPr>
            <w:tcW w:w="2423" w:type="dxa"/>
            <w:gridSpan w:val="3"/>
            <w:noWrap w:val="0"/>
            <w:vAlign w:val="center"/>
          </w:tcPr>
          <w:p w14:paraId="236CDB53">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1.79</w:t>
            </w:r>
          </w:p>
          <w:p w14:paraId="0696289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1.77</w:t>
            </w:r>
          </w:p>
        </w:tc>
        <w:tc>
          <w:tcPr>
            <w:tcW w:w="2434" w:type="dxa"/>
            <w:gridSpan w:val="3"/>
            <w:noWrap w:val="0"/>
            <w:vAlign w:val="center"/>
          </w:tcPr>
          <w:p w14:paraId="6740571F">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1.79</w:t>
            </w:r>
          </w:p>
          <w:p w14:paraId="18D9ACA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1.77</w:t>
            </w:r>
          </w:p>
        </w:tc>
      </w:tr>
      <w:tr w14:paraId="4FA99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742" w:type="dxa"/>
            <w:noWrap w:val="0"/>
            <w:vAlign w:val="center"/>
          </w:tcPr>
          <w:p w14:paraId="62E48250">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t>
            </w:r>
          </w:p>
        </w:tc>
        <w:tc>
          <w:tcPr>
            <w:tcW w:w="1217" w:type="dxa"/>
            <w:noWrap w:val="0"/>
            <w:vAlign w:val="center"/>
          </w:tcPr>
          <w:p w14:paraId="36CF8479">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p w14:paraId="4E3CA0D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423" w:type="dxa"/>
            <w:gridSpan w:val="3"/>
            <w:noWrap w:val="0"/>
            <w:vAlign w:val="center"/>
          </w:tcPr>
          <w:p w14:paraId="30E5FF44">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0.78</w:t>
            </w:r>
          </w:p>
          <w:p w14:paraId="4F1213F3">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0.84</w:t>
            </w:r>
          </w:p>
        </w:tc>
        <w:tc>
          <w:tcPr>
            <w:tcW w:w="2423" w:type="dxa"/>
            <w:gridSpan w:val="3"/>
            <w:noWrap w:val="0"/>
            <w:vAlign w:val="center"/>
          </w:tcPr>
          <w:p w14:paraId="1C2CF4AF">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0.78</w:t>
            </w:r>
          </w:p>
          <w:p w14:paraId="642CB31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0.84</w:t>
            </w:r>
          </w:p>
        </w:tc>
        <w:tc>
          <w:tcPr>
            <w:tcW w:w="2434" w:type="dxa"/>
            <w:gridSpan w:val="3"/>
            <w:noWrap w:val="0"/>
            <w:vAlign w:val="center"/>
          </w:tcPr>
          <w:p w14:paraId="76F5C4F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0.57</w:t>
            </w:r>
          </w:p>
          <w:p w14:paraId="07BE47D1">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0.76</w:t>
            </w:r>
          </w:p>
        </w:tc>
      </w:tr>
      <w:tr w14:paraId="27F77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239" w:type="dxa"/>
            <w:gridSpan w:val="11"/>
            <w:noWrap w:val="0"/>
            <w:vAlign w:val="center"/>
          </w:tcPr>
          <w:p w14:paraId="2076F8D1">
            <w:pPr>
              <w:widowControl/>
              <w:adjustRightInd/>
              <w:snapToGrid/>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注:I类：与无组织排放源共存的排放同种有害气体的排气简的排放量，大于或等于标准规定的允许排放量的1/3者。</w:t>
            </w:r>
          </w:p>
          <w:p w14:paraId="1E9B057B">
            <w:pPr>
              <w:widowControl/>
              <w:adjustRightInd/>
              <w:snapToGrid/>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Ⅱ类：与无组织排放源共存的排放同种有害气体的排气简的排放量，小于标准规定的允许排放量的1/3，或，虽无排放同种大气污染物之排气简共存，但无组织排放的有害物质的容许浓度指标是按急性反应指标确定者。</w:t>
            </w:r>
          </w:p>
          <w:p w14:paraId="410FAEE7">
            <w:pPr>
              <w:widowControl/>
              <w:adjustRightInd/>
              <w:snapToGrid/>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Ⅲ类：无排放同种有害物质的排气简与无组织排放源共存，但无组织排放的有害物质的容许浓度是按慢性反应指标确定者。</w:t>
            </w:r>
          </w:p>
        </w:tc>
      </w:tr>
    </w:tbl>
    <w:p w14:paraId="7E1FD75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A、B、C、D值的取值见下表：</w:t>
      </w:r>
    </w:p>
    <w:p w14:paraId="68782AAA">
      <w:pPr>
        <w:tabs>
          <w:tab w:val="left" w:pos="6105"/>
        </w:tabs>
        <w:jc w:val="center"/>
        <w:outlineLvl w:val="3"/>
        <w:rPr>
          <w:rFonts w:hint="default" w:ascii="Times New Roman" w:hAnsi="Times New Roman" w:eastAsia="黑体" w:cs="Times New Roman"/>
          <w:b/>
          <w:color w:val="auto"/>
          <w:highlight w:val="none"/>
          <w:lang w:val="zh-CN"/>
        </w:rPr>
      </w:pPr>
      <w:r>
        <w:rPr>
          <w:rFonts w:hint="default" w:ascii="Times New Roman" w:hAnsi="Times New Roman" w:eastAsia="宋体" w:cs="Times New Roman"/>
          <w:b/>
          <w:bCs/>
          <w:color w:val="auto"/>
          <w:szCs w:val="21"/>
          <w:lang w:val="zh-CN"/>
        </w:rPr>
        <w:t>表</w:t>
      </w:r>
      <w:r>
        <w:rPr>
          <w:rFonts w:hint="eastAsia" w:ascii="Times New Roman" w:hAnsi="Times New Roman" w:eastAsia="宋体" w:cs="Times New Roman"/>
          <w:b/>
          <w:bCs/>
          <w:color w:val="auto"/>
          <w:szCs w:val="21"/>
          <w:lang w:val="en-US" w:eastAsia="zh-CN"/>
        </w:rPr>
        <w:t>7.9-</w:t>
      </w:r>
      <w:r>
        <w:rPr>
          <w:rFonts w:hint="eastAsia" w:cs="Times New Roman"/>
          <w:b/>
          <w:bCs/>
          <w:color w:val="auto"/>
          <w:szCs w:val="21"/>
          <w:lang w:val="en-US" w:eastAsia="zh-CN"/>
        </w:rPr>
        <w:t>17</w:t>
      </w:r>
      <w:r>
        <w:rPr>
          <w:rFonts w:hint="default" w:ascii="Times New Roman" w:hAnsi="Times New Roman" w:eastAsia="黑体" w:cs="Times New Roman"/>
          <w:b/>
          <w:color w:val="auto"/>
          <w:highlight w:val="none"/>
          <w:lang w:val="zh-CN"/>
        </w:rPr>
        <w:t xml:space="preserve"> </w:t>
      </w:r>
      <w:r>
        <w:rPr>
          <w:rFonts w:hint="default" w:ascii="Times New Roman" w:hAnsi="Times New Roman" w:eastAsia="黑体" w:cs="Times New Roman"/>
          <w:b/>
          <w:color w:val="auto"/>
          <w:highlight w:val="none"/>
        </w:rPr>
        <w:t xml:space="preserve"> </w:t>
      </w:r>
      <w:r>
        <w:rPr>
          <w:rFonts w:hint="default" w:ascii="Times New Roman" w:hAnsi="Times New Roman" w:eastAsia="黑体" w:cs="Times New Roman"/>
          <w:b/>
          <w:color w:val="auto"/>
          <w:highlight w:val="none"/>
          <w:lang w:val="zh-CN"/>
        </w:rPr>
        <w:t>参数选值</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3"/>
        <w:gridCol w:w="1374"/>
        <w:gridCol w:w="1343"/>
        <w:gridCol w:w="1343"/>
        <w:gridCol w:w="1343"/>
        <w:gridCol w:w="1343"/>
      </w:tblGrid>
      <w:tr w14:paraId="502CB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noWrap w:val="0"/>
            <w:vAlign w:val="center"/>
          </w:tcPr>
          <w:p w14:paraId="73EC780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1424" w:type="dxa"/>
            <w:noWrap w:val="0"/>
            <w:vAlign w:val="center"/>
          </w:tcPr>
          <w:p w14:paraId="24736564">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计算系数</w:t>
            </w:r>
          </w:p>
        </w:tc>
        <w:tc>
          <w:tcPr>
            <w:tcW w:w="1391" w:type="dxa"/>
            <w:noWrap w:val="0"/>
            <w:vAlign w:val="center"/>
          </w:tcPr>
          <w:p w14:paraId="00B1BAF8">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p>
        </w:tc>
        <w:tc>
          <w:tcPr>
            <w:tcW w:w="1391" w:type="dxa"/>
            <w:noWrap w:val="0"/>
            <w:vAlign w:val="center"/>
          </w:tcPr>
          <w:p w14:paraId="791FDF5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w:t>
            </w:r>
          </w:p>
        </w:tc>
        <w:tc>
          <w:tcPr>
            <w:tcW w:w="1391" w:type="dxa"/>
            <w:noWrap w:val="0"/>
            <w:vAlign w:val="center"/>
          </w:tcPr>
          <w:p w14:paraId="2E479019">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p>
        </w:tc>
        <w:tc>
          <w:tcPr>
            <w:tcW w:w="1391" w:type="dxa"/>
            <w:noWrap w:val="0"/>
            <w:vAlign w:val="center"/>
          </w:tcPr>
          <w:p w14:paraId="74C6A5E5">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t>
            </w:r>
          </w:p>
        </w:tc>
      </w:tr>
      <w:tr w14:paraId="397C1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noWrap w:val="0"/>
            <w:vAlign w:val="center"/>
          </w:tcPr>
          <w:p w14:paraId="36A1896B">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生产车间</w:t>
            </w:r>
          </w:p>
        </w:tc>
        <w:tc>
          <w:tcPr>
            <w:tcW w:w="1424" w:type="dxa"/>
            <w:noWrap w:val="0"/>
            <w:vAlign w:val="center"/>
          </w:tcPr>
          <w:p w14:paraId="49E46F79">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取值</w:t>
            </w:r>
          </w:p>
        </w:tc>
        <w:tc>
          <w:tcPr>
            <w:tcW w:w="1391" w:type="dxa"/>
            <w:noWrap w:val="0"/>
            <w:vAlign w:val="center"/>
          </w:tcPr>
          <w:p w14:paraId="19F51B89">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470</w:t>
            </w:r>
          </w:p>
        </w:tc>
        <w:tc>
          <w:tcPr>
            <w:tcW w:w="1391" w:type="dxa"/>
            <w:noWrap w:val="0"/>
            <w:vAlign w:val="center"/>
          </w:tcPr>
          <w:p w14:paraId="5F0FE127">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0.021</w:t>
            </w:r>
          </w:p>
        </w:tc>
        <w:tc>
          <w:tcPr>
            <w:tcW w:w="1391" w:type="dxa"/>
            <w:noWrap w:val="0"/>
            <w:vAlign w:val="center"/>
          </w:tcPr>
          <w:p w14:paraId="624199EC">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1.85</w:t>
            </w:r>
          </w:p>
        </w:tc>
        <w:tc>
          <w:tcPr>
            <w:tcW w:w="1391" w:type="dxa"/>
            <w:noWrap w:val="0"/>
            <w:vAlign w:val="center"/>
          </w:tcPr>
          <w:p w14:paraId="4E0E2B53">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0.84</w:t>
            </w:r>
          </w:p>
        </w:tc>
      </w:tr>
    </w:tbl>
    <w:p w14:paraId="2FE1C6B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卫生防护距离的计算结果见下表。</w:t>
      </w:r>
    </w:p>
    <w:p w14:paraId="67100EBD">
      <w:pPr>
        <w:tabs>
          <w:tab w:val="left" w:pos="6105"/>
        </w:tabs>
        <w:jc w:val="center"/>
        <w:outlineLvl w:val="3"/>
        <w:rPr>
          <w:rFonts w:hint="default" w:ascii="Times New Roman" w:hAnsi="Times New Roman" w:eastAsia="黑体" w:cs="Times New Roman"/>
          <w:b/>
          <w:color w:val="auto"/>
          <w:highlight w:val="none"/>
          <w:lang w:val="zh-CN"/>
        </w:rPr>
      </w:pPr>
      <w:r>
        <w:rPr>
          <w:rFonts w:hint="default" w:ascii="Times New Roman" w:hAnsi="Times New Roman" w:eastAsia="宋体" w:cs="Times New Roman"/>
          <w:b/>
          <w:bCs/>
          <w:color w:val="auto"/>
          <w:szCs w:val="21"/>
          <w:lang w:val="zh-CN"/>
        </w:rPr>
        <w:t>表</w:t>
      </w:r>
      <w:r>
        <w:rPr>
          <w:rFonts w:hint="eastAsia" w:ascii="Times New Roman" w:hAnsi="Times New Roman" w:eastAsia="宋体" w:cs="Times New Roman"/>
          <w:b/>
          <w:bCs/>
          <w:color w:val="auto"/>
          <w:szCs w:val="21"/>
          <w:lang w:val="en-US" w:eastAsia="zh-CN"/>
        </w:rPr>
        <w:t>7.9-</w:t>
      </w:r>
      <w:r>
        <w:rPr>
          <w:rFonts w:hint="eastAsia" w:cs="Times New Roman"/>
          <w:b/>
          <w:bCs/>
          <w:color w:val="auto"/>
          <w:szCs w:val="21"/>
          <w:lang w:val="en-US" w:eastAsia="zh-CN"/>
        </w:rPr>
        <w:t>18</w:t>
      </w:r>
      <w:r>
        <w:rPr>
          <w:rFonts w:hint="default" w:ascii="Times New Roman" w:hAnsi="Times New Roman" w:eastAsia="黑体" w:cs="Times New Roman"/>
          <w:b/>
          <w:color w:val="auto"/>
          <w:highlight w:val="none"/>
        </w:rPr>
        <w:t xml:space="preserve"> </w:t>
      </w:r>
      <w:r>
        <w:rPr>
          <w:rFonts w:hint="default" w:ascii="Times New Roman" w:hAnsi="Times New Roman" w:eastAsia="黑体" w:cs="Times New Roman"/>
          <w:b/>
          <w:color w:val="auto"/>
          <w:highlight w:val="none"/>
          <w:lang w:val="zh-CN"/>
        </w:rPr>
        <w:t xml:space="preserve"> 卫生防护距离计算结果</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3"/>
        <w:gridCol w:w="1810"/>
        <w:gridCol w:w="2877"/>
        <w:gridCol w:w="2479"/>
      </w:tblGrid>
      <w:tr w14:paraId="33D9E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93" w:type="dxa"/>
            <w:noWrap w:val="0"/>
            <w:vAlign w:val="center"/>
          </w:tcPr>
          <w:p w14:paraId="593E5874">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污染物来源</w:t>
            </w:r>
          </w:p>
        </w:tc>
        <w:tc>
          <w:tcPr>
            <w:tcW w:w="1810" w:type="dxa"/>
            <w:noWrap w:val="0"/>
            <w:vAlign w:val="center"/>
          </w:tcPr>
          <w:p w14:paraId="61C32699">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2877" w:type="dxa"/>
            <w:noWrap w:val="0"/>
            <w:vAlign w:val="center"/>
          </w:tcPr>
          <w:p w14:paraId="04C0C4FC">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卫生防护距离计算值（m）</w:t>
            </w:r>
          </w:p>
        </w:tc>
        <w:tc>
          <w:tcPr>
            <w:tcW w:w="2479" w:type="dxa"/>
            <w:noWrap w:val="0"/>
            <w:vAlign w:val="center"/>
          </w:tcPr>
          <w:p w14:paraId="255FF85A">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卫生防护距离（m）</w:t>
            </w:r>
          </w:p>
        </w:tc>
      </w:tr>
      <w:tr w14:paraId="3D6FE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893" w:type="dxa"/>
            <w:noWrap w:val="0"/>
            <w:vAlign w:val="center"/>
          </w:tcPr>
          <w:p w14:paraId="336F5BA3">
            <w:pPr>
              <w:widowControl/>
              <w:adjustRightInd w:val="0"/>
              <w:snapToGrid w:val="0"/>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生产车间</w:t>
            </w:r>
          </w:p>
        </w:tc>
        <w:tc>
          <w:tcPr>
            <w:tcW w:w="1810" w:type="dxa"/>
            <w:noWrap w:val="0"/>
            <w:vAlign w:val="center"/>
          </w:tcPr>
          <w:p w14:paraId="519A7BCB">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颗粒物</w:t>
            </w:r>
          </w:p>
        </w:tc>
        <w:tc>
          <w:tcPr>
            <w:tcW w:w="2877" w:type="dxa"/>
            <w:noWrap w:val="0"/>
            <w:vAlign w:val="center"/>
          </w:tcPr>
          <w:p w14:paraId="7C782324">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w:t>
            </w:r>
          </w:p>
        </w:tc>
        <w:tc>
          <w:tcPr>
            <w:tcW w:w="2479" w:type="dxa"/>
            <w:noWrap w:val="0"/>
            <w:vAlign w:val="center"/>
          </w:tcPr>
          <w:p w14:paraId="4BAC7190">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50</w:t>
            </w:r>
          </w:p>
        </w:tc>
      </w:tr>
    </w:tbl>
    <w:p w14:paraId="5491107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根据计算结果，本项目的卫生防护距离为</w:t>
      </w:r>
      <w:r>
        <w:rPr>
          <w:rFonts w:hint="eastAsia"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rPr>
        <w:t>m。</w:t>
      </w:r>
    </w:p>
    <w:p w14:paraId="204D122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综合考虑防护距离，确定本项目环境防护距离为项目厂界外</w:t>
      </w:r>
      <w:r>
        <w:rPr>
          <w:rFonts w:hint="eastAsia" w:cs="Times New Roman"/>
          <w:color w:val="auto"/>
          <w:sz w:val="24"/>
          <w:szCs w:val="24"/>
          <w:highlight w:val="none"/>
          <w:lang w:val="en-US" w:eastAsia="zh-CN"/>
        </w:rPr>
        <w:t>310</w:t>
      </w:r>
      <w:r>
        <w:rPr>
          <w:rFonts w:hint="default" w:ascii="Times New Roman" w:hAnsi="Times New Roman" w:eastAsia="宋体" w:cs="Times New Roman"/>
          <w:color w:val="auto"/>
          <w:sz w:val="24"/>
          <w:szCs w:val="24"/>
          <w:highlight w:val="none"/>
        </w:rPr>
        <w:t>m范围。本次评价要求在环境防护距离包络线内不得有长期居住的居民，将来也不允许规划医院、学校、居住小区等敏感目标。根据现场</w:t>
      </w:r>
      <w:r>
        <w:rPr>
          <w:rFonts w:hint="eastAsia" w:ascii="Times New Roman" w:hAnsi="Times New Roman" w:eastAsia="宋体" w:cs="Times New Roman"/>
          <w:color w:val="auto"/>
          <w:sz w:val="24"/>
          <w:szCs w:val="24"/>
          <w:highlight w:val="none"/>
          <w:lang w:val="en-US" w:eastAsia="zh-CN"/>
        </w:rPr>
        <w:t>踏勘</w:t>
      </w:r>
      <w:r>
        <w:rPr>
          <w:rFonts w:hint="default" w:ascii="Times New Roman" w:hAnsi="Times New Roman" w:eastAsia="宋体" w:cs="Times New Roman"/>
          <w:color w:val="auto"/>
          <w:sz w:val="24"/>
          <w:szCs w:val="24"/>
          <w:highlight w:val="none"/>
        </w:rPr>
        <w:t>，本项目厂区环境防护距离内无敏感点。</w:t>
      </w:r>
    </w:p>
    <w:p w14:paraId="2468BF4E">
      <w:pPr>
        <w:spacing w:line="360" w:lineRule="auto"/>
        <w:ind w:firstLine="480" w:firstLineChars="200"/>
        <w:rPr>
          <w:color w:val="auto"/>
          <w:sz w:val="24"/>
        </w:rPr>
      </w:pPr>
      <w:r>
        <w:rPr>
          <w:rFonts w:hint="eastAsia"/>
          <w:color w:val="auto"/>
          <w:sz w:val="24"/>
          <w:lang w:val="en-US" w:eastAsia="zh-CN"/>
        </w:rPr>
        <w:t>4</w:t>
      </w:r>
      <w:r>
        <w:rPr>
          <w:color w:val="auto"/>
          <w:sz w:val="24"/>
        </w:rPr>
        <w:t>、地表水风险评价</w:t>
      </w:r>
    </w:p>
    <w:p w14:paraId="020DC188">
      <w:pPr>
        <w:spacing w:line="360" w:lineRule="auto"/>
        <w:ind w:firstLine="480" w:firstLineChars="200"/>
        <w:rPr>
          <w:color w:val="auto"/>
          <w:sz w:val="24"/>
        </w:rPr>
      </w:pPr>
      <w:r>
        <w:rPr>
          <w:color w:val="auto"/>
          <w:sz w:val="24"/>
        </w:rPr>
        <w:t>生产区发生事故泄漏后，将产生事故处理废水。根据计算可以得到事故废水量最大约为11</w:t>
      </w:r>
      <w:r>
        <w:rPr>
          <w:rFonts w:hint="eastAsia"/>
          <w:color w:val="auto"/>
          <w:sz w:val="24"/>
          <w:lang w:val="en-US" w:eastAsia="zh-CN"/>
        </w:rPr>
        <w:t>3</w:t>
      </w:r>
      <w:r>
        <w:rPr>
          <w:color w:val="auto"/>
          <w:sz w:val="24"/>
        </w:rPr>
        <w:t>m</w:t>
      </w:r>
      <w:r>
        <w:rPr>
          <w:color w:val="auto"/>
          <w:sz w:val="24"/>
          <w:vertAlign w:val="superscript"/>
        </w:rPr>
        <w:t>3</w:t>
      </w:r>
      <w:r>
        <w:rPr>
          <w:color w:val="auto"/>
          <w:sz w:val="24"/>
        </w:rPr>
        <w:t>。根据调查，企业拟建一座有效容积为</w:t>
      </w:r>
      <w:r>
        <w:rPr>
          <w:rFonts w:hint="eastAsia"/>
          <w:color w:val="auto"/>
          <w:sz w:val="24"/>
          <w:lang w:eastAsia="zh-CN"/>
        </w:rPr>
        <w:t>140</w:t>
      </w:r>
      <w:r>
        <w:rPr>
          <w:color w:val="auto"/>
          <w:sz w:val="24"/>
        </w:rPr>
        <w:t>m</w:t>
      </w:r>
      <w:r>
        <w:rPr>
          <w:color w:val="auto"/>
          <w:sz w:val="24"/>
          <w:vertAlign w:val="superscript"/>
        </w:rPr>
        <w:t>3</w:t>
      </w:r>
      <w:r>
        <w:rPr>
          <w:color w:val="auto"/>
          <w:sz w:val="24"/>
        </w:rPr>
        <w:t>的埋地式事故应急池，可以满足事故状态下废水暂存需要。</w:t>
      </w:r>
    </w:p>
    <w:p w14:paraId="2BA7FB06">
      <w:pPr>
        <w:spacing w:line="360" w:lineRule="auto"/>
        <w:ind w:firstLine="480" w:firstLineChars="200"/>
        <w:rPr>
          <w:color w:val="auto"/>
          <w:sz w:val="24"/>
        </w:rPr>
      </w:pPr>
      <w:r>
        <w:rPr>
          <w:color w:val="auto"/>
          <w:sz w:val="24"/>
        </w:rPr>
        <w:t>事故发生时，为保证事故废水不直接排到周围水体中，要求企业建设相应的事故废水收集暂存系统，配套污水泵、输送管线，收集生产装置及贮罐区事故废水，经处理达标后纳管排放；在各路雨水管道和事故应急池加装截止阀门，与污水站相通，保证事故消防水能纳入污水站处理，对于雨水收集池，应加装应急阀门，确保事故状态下能及时关闭阀门，使受污染的雨水纳入污水站处理，杜绝事故废水排放。</w:t>
      </w:r>
    </w:p>
    <w:p w14:paraId="53CFE187">
      <w:pPr>
        <w:spacing w:line="360" w:lineRule="auto"/>
        <w:ind w:firstLine="480" w:firstLineChars="200"/>
        <w:rPr>
          <w:color w:val="auto"/>
          <w:sz w:val="24"/>
        </w:rPr>
      </w:pPr>
      <w:r>
        <w:rPr>
          <w:rFonts w:hint="eastAsia"/>
          <w:color w:val="auto"/>
          <w:sz w:val="24"/>
          <w:lang w:val="en-US" w:eastAsia="zh-CN"/>
        </w:rPr>
        <w:t>5</w:t>
      </w:r>
      <w:r>
        <w:rPr>
          <w:color w:val="auto"/>
          <w:sz w:val="24"/>
        </w:rPr>
        <w:t>、地下水环境风险评价</w:t>
      </w:r>
    </w:p>
    <w:bookmarkEnd w:id="230"/>
    <w:p w14:paraId="03519CCC">
      <w:pPr>
        <w:spacing w:line="360" w:lineRule="auto"/>
        <w:ind w:firstLine="480" w:firstLineChars="200"/>
        <w:rPr>
          <w:color w:val="auto"/>
          <w:sz w:val="24"/>
          <w:highlight w:val="none"/>
        </w:rPr>
      </w:pPr>
      <w:r>
        <w:rPr>
          <w:color w:val="auto"/>
          <w:sz w:val="24"/>
          <w:highlight w:val="none"/>
        </w:rPr>
        <w:t>地下水污染主要在厂内，基本不会到达厂界。</w:t>
      </w:r>
    </w:p>
    <w:p w14:paraId="7701A1E1">
      <w:pPr>
        <w:adjustRightInd w:val="0"/>
        <w:snapToGrid w:val="0"/>
        <w:spacing w:beforeLines="25" w:afterLines="25"/>
        <w:ind w:firstLine="422"/>
        <w:jc w:val="center"/>
        <w:outlineLvl w:val="3"/>
        <w:rPr>
          <w:b/>
          <w:bCs/>
          <w:color w:val="auto"/>
          <w:szCs w:val="21"/>
        </w:rPr>
      </w:pPr>
      <w:r>
        <w:rPr>
          <w:rFonts w:hint="eastAsia"/>
          <w:b/>
          <w:bCs/>
          <w:color w:val="auto"/>
          <w:szCs w:val="21"/>
        </w:rPr>
        <w:t>表7.9-</w:t>
      </w:r>
      <w:r>
        <w:rPr>
          <w:rFonts w:hint="eastAsia"/>
          <w:b/>
          <w:bCs/>
          <w:color w:val="auto"/>
          <w:szCs w:val="21"/>
          <w:lang w:val="en-US" w:eastAsia="zh-CN"/>
        </w:rPr>
        <w:t>19</w:t>
      </w:r>
      <w:r>
        <w:rPr>
          <w:b/>
          <w:bCs/>
          <w:color w:val="auto"/>
          <w:szCs w:val="21"/>
        </w:rPr>
        <w:t xml:space="preserve">   </w:t>
      </w:r>
      <w:bookmarkStart w:id="234" w:name="_Hlk2193303"/>
      <w:r>
        <w:rPr>
          <w:b/>
          <w:bCs/>
          <w:color w:val="auto"/>
          <w:szCs w:val="21"/>
        </w:rPr>
        <w:t>事故源项及事故后果基本信息表</w:t>
      </w:r>
      <w:bookmarkEnd w:id="234"/>
    </w:p>
    <w:tbl>
      <w:tblPr>
        <w:tblStyle w:val="32"/>
        <w:tblW w:w="507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542"/>
        <w:gridCol w:w="414"/>
        <w:gridCol w:w="995"/>
        <w:gridCol w:w="2086"/>
        <w:gridCol w:w="211"/>
        <w:gridCol w:w="688"/>
        <w:gridCol w:w="399"/>
        <w:gridCol w:w="256"/>
        <w:gridCol w:w="1293"/>
        <w:gridCol w:w="1145"/>
      </w:tblGrid>
      <w:tr w14:paraId="7E796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tblHeader/>
          <w:jc w:val="center"/>
        </w:trPr>
        <w:tc>
          <w:tcPr>
            <w:tcW w:w="5000" w:type="pct"/>
            <w:gridSpan w:val="10"/>
            <w:vAlign w:val="center"/>
          </w:tcPr>
          <w:p w14:paraId="092B361F">
            <w:pPr>
              <w:spacing w:line="280" w:lineRule="exact"/>
              <w:jc w:val="center"/>
              <w:rPr>
                <w:color w:val="auto"/>
              </w:rPr>
            </w:pPr>
            <w:r>
              <w:rPr>
                <w:color w:val="auto"/>
              </w:rPr>
              <w:t>风险事故情形分析a</w:t>
            </w:r>
          </w:p>
        </w:tc>
      </w:tr>
      <w:tr w14:paraId="13EEBE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0F8D061D">
            <w:pPr>
              <w:spacing w:line="280" w:lineRule="exact"/>
              <w:jc w:val="center"/>
              <w:rPr>
                <w:color w:val="auto"/>
              </w:rPr>
            </w:pPr>
            <w:r>
              <w:rPr>
                <w:color w:val="auto"/>
              </w:rPr>
              <w:t>代表性风险事故情形描述</w:t>
            </w:r>
          </w:p>
        </w:tc>
        <w:tc>
          <w:tcPr>
            <w:tcW w:w="4146" w:type="pct"/>
            <w:gridSpan w:val="9"/>
            <w:vAlign w:val="center"/>
          </w:tcPr>
          <w:p w14:paraId="116ABFBB">
            <w:pPr>
              <w:spacing w:line="280" w:lineRule="exact"/>
              <w:jc w:val="left"/>
              <w:rPr>
                <w:color w:val="auto"/>
              </w:rPr>
            </w:pPr>
            <w:r>
              <w:rPr>
                <w:rFonts w:hint="eastAsia"/>
                <w:color w:val="auto"/>
                <w:lang w:val="en-US" w:eastAsia="zh-CN"/>
              </w:rPr>
              <w:t>1</w:t>
            </w:r>
            <w:r>
              <w:rPr>
                <w:color w:val="auto"/>
              </w:rPr>
              <w:t>、</w:t>
            </w:r>
            <w:r>
              <w:rPr>
                <w:rFonts w:hint="eastAsia"/>
                <w:color w:val="auto"/>
                <w:lang w:eastAsia="zh-CN"/>
              </w:rPr>
              <w:t>氢氟酸</w:t>
            </w:r>
            <w:r>
              <w:rPr>
                <w:color w:val="auto"/>
              </w:rPr>
              <w:t>储罐泄漏</w:t>
            </w:r>
          </w:p>
          <w:p w14:paraId="14B141D9">
            <w:pPr>
              <w:spacing w:line="280" w:lineRule="exact"/>
              <w:jc w:val="left"/>
              <w:rPr>
                <w:color w:val="auto"/>
              </w:rPr>
            </w:pPr>
            <w:r>
              <w:rPr>
                <w:rFonts w:hint="eastAsia"/>
                <w:color w:val="auto"/>
                <w:lang w:val="en-US" w:eastAsia="zh-CN"/>
              </w:rPr>
              <w:t>2</w:t>
            </w:r>
            <w:r>
              <w:rPr>
                <w:color w:val="auto"/>
              </w:rPr>
              <w:t>、仓库氯化氢泄露</w:t>
            </w:r>
          </w:p>
          <w:p w14:paraId="1C703766">
            <w:pPr>
              <w:spacing w:line="280" w:lineRule="exact"/>
              <w:jc w:val="left"/>
              <w:rPr>
                <w:rFonts w:hint="eastAsia" w:eastAsia="宋体"/>
                <w:color w:val="auto"/>
                <w:lang w:val="en-US" w:eastAsia="zh-CN"/>
              </w:rPr>
            </w:pPr>
            <w:r>
              <w:rPr>
                <w:rFonts w:hint="eastAsia"/>
                <w:color w:val="auto"/>
                <w:lang w:val="en-US" w:eastAsia="zh-CN"/>
              </w:rPr>
              <w:t>3</w:t>
            </w:r>
            <w:r>
              <w:rPr>
                <w:color w:val="auto"/>
              </w:rPr>
              <w:t>、</w:t>
            </w:r>
            <w:r>
              <w:rPr>
                <w:rFonts w:hint="eastAsia"/>
                <w:color w:val="auto"/>
                <w:lang w:val="en-US" w:eastAsia="zh-CN"/>
              </w:rPr>
              <w:t>盐酸</w:t>
            </w:r>
            <w:r>
              <w:rPr>
                <w:color w:val="auto"/>
              </w:rPr>
              <w:t>储罐泄漏</w:t>
            </w:r>
          </w:p>
        </w:tc>
      </w:tr>
      <w:tr w14:paraId="738B7E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5D553125">
            <w:pPr>
              <w:spacing w:line="280" w:lineRule="exact"/>
              <w:jc w:val="center"/>
              <w:rPr>
                <w:color w:val="auto"/>
              </w:rPr>
            </w:pPr>
            <w:bookmarkStart w:id="235" w:name="_Hlk2193271"/>
            <w:r>
              <w:rPr>
                <w:color w:val="auto"/>
              </w:rPr>
              <w:t>环境风险类型</w:t>
            </w:r>
          </w:p>
        </w:tc>
        <w:tc>
          <w:tcPr>
            <w:tcW w:w="4146" w:type="pct"/>
            <w:gridSpan w:val="9"/>
            <w:vAlign w:val="center"/>
          </w:tcPr>
          <w:p w14:paraId="5A327E8A">
            <w:pPr>
              <w:spacing w:line="280" w:lineRule="exact"/>
              <w:jc w:val="left"/>
              <w:rPr>
                <w:color w:val="auto"/>
              </w:rPr>
            </w:pPr>
            <w:r>
              <w:rPr>
                <w:rFonts w:hint="eastAsia"/>
                <w:color w:val="auto"/>
                <w:lang w:val="en-US" w:eastAsia="zh-CN"/>
              </w:rPr>
              <w:t>1</w:t>
            </w:r>
            <w:r>
              <w:rPr>
                <w:color w:val="auto"/>
              </w:rPr>
              <w:t>、</w:t>
            </w:r>
            <w:r>
              <w:rPr>
                <w:rFonts w:hint="eastAsia"/>
                <w:color w:val="auto"/>
                <w:lang w:eastAsia="zh-CN"/>
              </w:rPr>
              <w:t>氢氟酸</w:t>
            </w:r>
            <w:r>
              <w:rPr>
                <w:color w:val="auto"/>
              </w:rPr>
              <w:t>储罐泄漏</w:t>
            </w:r>
          </w:p>
        </w:tc>
      </w:tr>
      <w:tr w14:paraId="10A9B8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08EB5C14">
            <w:pPr>
              <w:spacing w:line="280" w:lineRule="exact"/>
              <w:jc w:val="center"/>
              <w:rPr>
                <w:color w:val="auto"/>
              </w:rPr>
            </w:pPr>
            <w:r>
              <w:rPr>
                <w:color w:val="auto"/>
              </w:rPr>
              <w:t>泄漏设备类型</w:t>
            </w:r>
          </w:p>
        </w:tc>
        <w:tc>
          <w:tcPr>
            <w:tcW w:w="780" w:type="pct"/>
            <w:gridSpan w:val="2"/>
            <w:vAlign w:val="center"/>
          </w:tcPr>
          <w:p w14:paraId="22E9F1F4">
            <w:pPr>
              <w:spacing w:line="280" w:lineRule="exact"/>
              <w:jc w:val="center"/>
              <w:rPr>
                <w:color w:val="auto"/>
              </w:rPr>
            </w:pPr>
            <w:r>
              <w:rPr>
                <w:color w:val="auto"/>
              </w:rPr>
              <w:t>储罐</w:t>
            </w:r>
          </w:p>
        </w:tc>
        <w:tc>
          <w:tcPr>
            <w:tcW w:w="1155" w:type="pct"/>
            <w:vAlign w:val="center"/>
          </w:tcPr>
          <w:p w14:paraId="5B041EC3">
            <w:pPr>
              <w:spacing w:line="280" w:lineRule="exact"/>
              <w:jc w:val="center"/>
              <w:rPr>
                <w:color w:val="auto"/>
              </w:rPr>
            </w:pPr>
            <w:r>
              <w:rPr>
                <w:color w:val="auto"/>
              </w:rPr>
              <w:t>操作温度/℃</w:t>
            </w:r>
          </w:p>
        </w:tc>
        <w:tc>
          <w:tcPr>
            <w:tcW w:w="718" w:type="pct"/>
            <w:gridSpan w:val="3"/>
            <w:vAlign w:val="center"/>
          </w:tcPr>
          <w:p w14:paraId="61F6227B">
            <w:pPr>
              <w:spacing w:line="280" w:lineRule="exact"/>
              <w:jc w:val="center"/>
              <w:rPr>
                <w:color w:val="auto"/>
              </w:rPr>
            </w:pPr>
            <w:r>
              <w:rPr>
                <w:color w:val="auto"/>
              </w:rPr>
              <w:t>25</w:t>
            </w:r>
          </w:p>
        </w:tc>
        <w:tc>
          <w:tcPr>
            <w:tcW w:w="857" w:type="pct"/>
            <w:gridSpan w:val="2"/>
            <w:vAlign w:val="center"/>
          </w:tcPr>
          <w:p w14:paraId="7AEBE0EA">
            <w:pPr>
              <w:spacing w:line="280" w:lineRule="exact"/>
              <w:jc w:val="center"/>
              <w:rPr>
                <w:color w:val="auto"/>
              </w:rPr>
            </w:pPr>
            <w:r>
              <w:rPr>
                <w:color w:val="auto"/>
              </w:rPr>
              <w:t>操作压力/MPa</w:t>
            </w:r>
          </w:p>
        </w:tc>
        <w:tc>
          <w:tcPr>
            <w:tcW w:w="634" w:type="pct"/>
            <w:vAlign w:val="center"/>
          </w:tcPr>
          <w:p w14:paraId="6448033D">
            <w:pPr>
              <w:spacing w:line="280" w:lineRule="exact"/>
              <w:jc w:val="center"/>
              <w:rPr>
                <w:color w:val="auto"/>
              </w:rPr>
            </w:pPr>
            <w:r>
              <w:rPr>
                <w:color w:val="auto"/>
              </w:rPr>
              <w:t>/</w:t>
            </w:r>
          </w:p>
        </w:tc>
      </w:tr>
      <w:tr w14:paraId="18291F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38C0A49F">
            <w:pPr>
              <w:spacing w:line="280" w:lineRule="exact"/>
              <w:jc w:val="center"/>
              <w:rPr>
                <w:color w:val="auto"/>
              </w:rPr>
            </w:pPr>
            <w:r>
              <w:rPr>
                <w:color w:val="auto"/>
              </w:rPr>
              <w:t>泄漏危险物质</w:t>
            </w:r>
          </w:p>
        </w:tc>
        <w:tc>
          <w:tcPr>
            <w:tcW w:w="780" w:type="pct"/>
            <w:gridSpan w:val="2"/>
            <w:vAlign w:val="center"/>
          </w:tcPr>
          <w:p w14:paraId="194F5019">
            <w:pPr>
              <w:spacing w:line="280" w:lineRule="exact"/>
              <w:jc w:val="center"/>
              <w:rPr>
                <w:color w:val="auto"/>
              </w:rPr>
            </w:pPr>
            <w:r>
              <w:rPr>
                <w:color w:val="auto"/>
              </w:rPr>
              <w:t>氟化氢</w:t>
            </w:r>
          </w:p>
        </w:tc>
        <w:tc>
          <w:tcPr>
            <w:tcW w:w="1155" w:type="pct"/>
            <w:vAlign w:val="center"/>
          </w:tcPr>
          <w:p w14:paraId="363735D1">
            <w:pPr>
              <w:spacing w:line="280" w:lineRule="exact"/>
              <w:jc w:val="center"/>
              <w:rPr>
                <w:color w:val="auto"/>
              </w:rPr>
            </w:pPr>
            <w:r>
              <w:rPr>
                <w:color w:val="auto"/>
              </w:rPr>
              <w:t>最大存在量/kg</w:t>
            </w:r>
          </w:p>
        </w:tc>
        <w:tc>
          <w:tcPr>
            <w:tcW w:w="718" w:type="pct"/>
            <w:gridSpan w:val="3"/>
            <w:vAlign w:val="center"/>
          </w:tcPr>
          <w:p w14:paraId="63EB2FC9">
            <w:pPr>
              <w:spacing w:line="280" w:lineRule="exact"/>
              <w:jc w:val="center"/>
              <w:rPr>
                <w:rFonts w:hint="default" w:eastAsia="宋体"/>
                <w:color w:val="auto"/>
                <w:lang w:val="en-US" w:eastAsia="zh-CN"/>
              </w:rPr>
            </w:pPr>
            <w:r>
              <w:rPr>
                <w:rFonts w:hint="eastAsia"/>
                <w:color w:val="auto"/>
                <w:lang w:val="en-US" w:eastAsia="zh-CN"/>
              </w:rPr>
              <w:t>29000</w:t>
            </w:r>
          </w:p>
        </w:tc>
        <w:tc>
          <w:tcPr>
            <w:tcW w:w="857" w:type="pct"/>
            <w:gridSpan w:val="2"/>
            <w:vAlign w:val="center"/>
          </w:tcPr>
          <w:p w14:paraId="5F5E43D2">
            <w:pPr>
              <w:spacing w:line="280" w:lineRule="exact"/>
              <w:jc w:val="center"/>
              <w:rPr>
                <w:color w:val="auto"/>
              </w:rPr>
            </w:pPr>
            <w:r>
              <w:rPr>
                <w:color w:val="auto"/>
              </w:rPr>
              <w:t>泄漏孔径/mm</w:t>
            </w:r>
          </w:p>
        </w:tc>
        <w:tc>
          <w:tcPr>
            <w:tcW w:w="634" w:type="pct"/>
            <w:vAlign w:val="center"/>
          </w:tcPr>
          <w:p w14:paraId="084AB38F">
            <w:pPr>
              <w:spacing w:line="280" w:lineRule="exact"/>
              <w:jc w:val="center"/>
              <w:rPr>
                <w:rFonts w:hint="default" w:eastAsia="宋体"/>
                <w:color w:val="auto"/>
                <w:lang w:val="en-US" w:eastAsia="zh-CN"/>
              </w:rPr>
            </w:pPr>
            <w:r>
              <w:rPr>
                <w:rFonts w:hint="eastAsia"/>
                <w:color w:val="auto"/>
                <w:lang w:val="en-US" w:eastAsia="zh-CN"/>
              </w:rPr>
              <w:t>/</w:t>
            </w:r>
          </w:p>
        </w:tc>
      </w:tr>
      <w:tr w14:paraId="2A5220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1765C8A9">
            <w:pPr>
              <w:spacing w:line="280" w:lineRule="exact"/>
              <w:jc w:val="center"/>
              <w:rPr>
                <w:color w:val="auto"/>
              </w:rPr>
            </w:pPr>
            <w:r>
              <w:rPr>
                <w:color w:val="auto"/>
              </w:rPr>
              <w:t>泄漏速率/(kg/s)</w:t>
            </w:r>
          </w:p>
        </w:tc>
        <w:tc>
          <w:tcPr>
            <w:tcW w:w="780" w:type="pct"/>
            <w:gridSpan w:val="2"/>
            <w:vAlign w:val="center"/>
          </w:tcPr>
          <w:p w14:paraId="2AE0764C">
            <w:pPr>
              <w:spacing w:line="280" w:lineRule="exact"/>
              <w:jc w:val="center"/>
              <w:rPr>
                <w:rFonts w:hint="default" w:eastAsia="宋体"/>
                <w:color w:val="auto"/>
                <w:lang w:val="en-US" w:eastAsia="zh-CN"/>
              </w:rPr>
            </w:pPr>
            <w:r>
              <w:rPr>
                <w:rFonts w:hint="eastAsia"/>
                <w:color w:val="auto"/>
                <w:lang w:val="en-US" w:eastAsia="zh-CN"/>
              </w:rPr>
              <w:t>0.28</w:t>
            </w:r>
          </w:p>
        </w:tc>
        <w:tc>
          <w:tcPr>
            <w:tcW w:w="1155" w:type="pct"/>
            <w:vAlign w:val="center"/>
          </w:tcPr>
          <w:p w14:paraId="0D1597C6">
            <w:pPr>
              <w:spacing w:line="280" w:lineRule="exact"/>
              <w:jc w:val="center"/>
              <w:rPr>
                <w:color w:val="auto"/>
              </w:rPr>
            </w:pPr>
            <w:r>
              <w:rPr>
                <w:color w:val="auto"/>
              </w:rPr>
              <w:t>泄漏时间/min</w:t>
            </w:r>
          </w:p>
        </w:tc>
        <w:tc>
          <w:tcPr>
            <w:tcW w:w="718" w:type="pct"/>
            <w:gridSpan w:val="3"/>
            <w:vAlign w:val="center"/>
          </w:tcPr>
          <w:p w14:paraId="2F23F352">
            <w:pPr>
              <w:spacing w:line="280" w:lineRule="exact"/>
              <w:jc w:val="center"/>
              <w:rPr>
                <w:rFonts w:hint="default" w:eastAsia="宋体"/>
                <w:color w:val="auto"/>
                <w:lang w:val="en-US" w:eastAsia="zh-CN"/>
              </w:rPr>
            </w:pPr>
            <w:r>
              <w:rPr>
                <w:rFonts w:hint="eastAsia"/>
                <w:color w:val="auto"/>
                <w:lang w:val="en-US" w:eastAsia="zh-CN"/>
              </w:rPr>
              <w:t>10</w:t>
            </w:r>
          </w:p>
        </w:tc>
        <w:tc>
          <w:tcPr>
            <w:tcW w:w="857" w:type="pct"/>
            <w:gridSpan w:val="2"/>
            <w:vAlign w:val="center"/>
          </w:tcPr>
          <w:p w14:paraId="230AD977">
            <w:pPr>
              <w:spacing w:line="280" w:lineRule="exact"/>
              <w:jc w:val="center"/>
              <w:rPr>
                <w:color w:val="auto"/>
              </w:rPr>
            </w:pPr>
            <w:r>
              <w:rPr>
                <w:color w:val="auto"/>
              </w:rPr>
              <w:t>泄漏量/kg</w:t>
            </w:r>
          </w:p>
        </w:tc>
        <w:tc>
          <w:tcPr>
            <w:tcW w:w="634" w:type="pct"/>
            <w:vAlign w:val="center"/>
          </w:tcPr>
          <w:p w14:paraId="4ED64411">
            <w:pPr>
              <w:spacing w:line="280" w:lineRule="exact"/>
              <w:jc w:val="center"/>
              <w:rPr>
                <w:rFonts w:hint="default" w:eastAsia="宋体"/>
                <w:color w:val="auto"/>
                <w:lang w:val="en-US" w:eastAsia="zh-CN"/>
              </w:rPr>
            </w:pPr>
            <w:r>
              <w:rPr>
                <w:rFonts w:hint="eastAsia"/>
                <w:color w:val="auto"/>
                <w:lang w:val="en-US" w:eastAsia="zh-CN"/>
              </w:rPr>
              <w:t>29000</w:t>
            </w:r>
          </w:p>
        </w:tc>
      </w:tr>
      <w:tr w14:paraId="3534B8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2711B57B">
            <w:pPr>
              <w:spacing w:line="280" w:lineRule="exact"/>
              <w:jc w:val="center"/>
              <w:rPr>
                <w:color w:val="auto"/>
              </w:rPr>
            </w:pPr>
            <w:r>
              <w:rPr>
                <w:color w:val="auto"/>
              </w:rPr>
              <w:t>泄漏高度/m</w:t>
            </w:r>
          </w:p>
        </w:tc>
        <w:tc>
          <w:tcPr>
            <w:tcW w:w="780" w:type="pct"/>
            <w:gridSpan w:val="2"/>
            <w:vAlign w:val="center"/>
          </w:tcPr>
          <w:p w14:paraId="5DA32B5B">
            <w:pPr>
              <w:spacing w:line="280" w:lineRule="exact"/>
              <w:jc w:val="center"/>
              <w:rPr>
                <w:rFonts w:hint="eastAsia" w:eastAsia="宋体"/>
                <w:color w:val="auto"/>
                <w:lang w:eastAsia="zh-CN"/>
              </w:rPr>
            </w:pPr>
            <w:r>
              <w:rPr>
                <w:rFonts w:hint="eastAsia"/>
                <w:color w:val="auto"/>
                <w:lang w:val="en-US" w:eastAsia="zh-CN"/>
              </w:rPr>
              <w:t>2</w:t>
            </w:r>
          </w:p>
        </w:tc>
        <w:tc>
          <w:tcPr>
            <w:tcW w:w="1155" w:type="pct"/>
            <w:vAlign w:val="center"/>
          </w:tcPr>
          <w:p w14:paraId="64DABDCD">
            <w:pPr>
              <w:spacing w:line="280" w:lineRule="exact"/>
              <w:jc w:val="center"/>
              <w:rPr>
                <w:color w:val="auto"/>
              </w:rPr>
            </w:pPr>
            <w:r>
              <w:rPr>
                <w:color w:val="auto"/>
              </w:rPr>
              <w:t>泄漏液体蒸发量/kg/s</w:t>
            </w:r>
          </w:p>
        </w:tc>
        <w:tc>
          <w:tcPr>
            <w:tcW w:w="718" w:type="pct"/>
            <w:gridSpan w:val="3"/>
            <w:vAlign w:val="center"/>
          </w:tcPr>
          <w:p w14:paraId="3697E606">
            <w:pPr>
              <w:spacing w:line="280" w:lineRule="exact"/>
              <w:jc w:val="center"/>
              <w:rPr>
                <w:rFonts w:hint="default" w:eastAsia="宋体"/>
                <w:color w:val="auto"/>
                <w:lang w:val="en-US" w:eastAsia="zh-CN"/>
              </w:rPr>
            </w:pPr>
            <w:r>
              <w:rPr>
                <w:rFonts w:hint="eastAsia"/>
                <w:color w:val="auto"/>
                <w:lang w:val="en-US" w:eastAsia="zh-CN"/>
              </w:rPr>
              <w:t>0.17/0.119</w:t>
            </w:r>
          </w:p>
        </w:tc>
        <w:tc>
          <w:tcPr>
            <w:tcW w:w="857" w:type="pct"/>
            <w:gridSpan w:val="2"/>
            <w:vAlign w:val="center"/>
          </w:tcPr>
          <w:p w14:paraId="18C11761">
            <w:pPr>
              <w:spacing w:line="280" w:lineRule="exact"/>
              <w:jc w:val="center"/>
              <w:rPr>
                <w:color w:val="auto"/>
              </w:rPr>
            </w:pPr>
            <w:r>
              <w:rPr>
                <w:color w:val="auto"/>
              </w:rPr>
              <w:t>泄漏频率</w:t>
            </w:r>
          </w:p>
        </w:tc>
        <w:tc>
          <w:tcPr>
            <w:tcW w:w="634" w:type="pct"/>
            <w:vAlign w:val="center"/>
          </w:tcPr>
          <w:p w14:paraId="6C7E5297">
            <w:pPr>
              <w:spacing w:line="280" w:lineRule="exact"/>
              <w:jc w:val="center"/>
              <w:rPr>
                <w:color w:val="auto"/>
              </w:rPr>
            </w:pPr>
            <w:r>
              <w:rPr>
                <w:color w:val="auto"/>
              </w:rPr>
              <w:t>5×10</w:t>
            </w:r>
            <w:r>
              <w:rPr>
                <w:color w:val="auto"/>
                <w:vertAlign w:val="superscript"/>
              </w:rPr>
              <w:t>-6</w:t>
            </w:r>
          </w:p>
        </w:tc>
      </w:tr>
      <w:tr w14:paraId="5EE812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4904C4C8">
            <w:pPr>
              <w:spacing w:line="280" w:lineRule="exact"/>
              <w:jc w:val="center"/>
              <w:rPr>
                <w:color w:val="auto"/>
              </w:rPr>
            </w:pPr>
            <w:r>
              <w:rPr>
                <w:color w:val="auto"/>
              </w:rPr>
              <w:t>环境风险类型</w:t>
            </w:r>
          </w:p>
        </w:tc>
        <w:tc>
          <w:tcPr>
            <w:tcW w:w="4146" w:type="pct"/>
            <w:gridSpan w:val="9"/>
            <w:vAlign w:val="center"/>
          </w:tcPr>
          <w:p w14:paraId="292FA27E">
            <w:pPr>
              <w:spacing w:line="280" w:lineRule="exact"/>
              <w:rPr>
                <w:color w:val="auto"/>
              </w:rPr>
            </w:pPr>
            <w:r>
              <w:rPr>
                <w:rFonts w:hint="eastAsia"/>
                <w:color w:val="auto"/>
                <w:lang w:val="en-US" w:eastAsia="zh-CN"/>
              </w:rPr>
              <w:t>2</w:t>
            </w:r>
            <w:r>
              <w:rPr>
                <w:color w:val="auto"/>
              </w:rPr>
              <w:t>、仓库氯化氢泄露</w:t>
            </w:r>
          </w:p>
        </w:tc>
      </w:tr>
      <w:tr w14:paraId="38B66C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7C0642E6">
            <w:pPr>
              <w:spacing w:line="280" w:lineRule="exact"/>
              <w:jc w:val="center"/>
              <w:rPr>
                <w:color w:val="auto"/>
              </w:rPr>
            </w:pPr>
            <w:r>
              <w:rPr>
                <w:color w:val="auto"/>
              </w:rPr>
              <w:t>泄漏设备类型</w:t>
            </w:r>
          </w:p>
        </w:tc>
        <w:tc>
          <w:tcPr>
            <w:tcW w:w="780" w:type="pct"/>
            <w:gridSpan w:val="2"/>
            <w:vAlign w:val="center"/>
          </w:tcPr>
          <w:p w14:paraId="268BA6C0">
            <w:pPr>
              <w:spacing w:line="280" w:lineRule="exact"/>
              <w:jc w:val="center"/>
              <w:rPr>
                <w:color w:val="auto"/>
              </w:rPr>
            </w:pPr>
            <w:r>
              <w:rPr>
                <w:color w:val="auto"/>
              </w:rPr>
              <w:t>钢瓶</w:t>
            </w:r>
          </w:p>
        </w:tc>
        <w:tc>
          <w:tcPr>
            <w:tcW w:w="1155" w:type="pct"/>
            <w:vAlign w:val="center"/>
          </w:tcPr>
          <w:p w14:paraId="22116DCD">
            <w:pPr>
              <w:spacing w:line="280" w:lineRule="exact"/>
              <w:jc w:val="center"/>
              <w:rPr>
                <w:color w:val="auto"/>
              </w:rPr>
            </w:pPr>
            <w:r>
              <w:rPr>
                <w:color w:val="auto"/>
              </w:rPr>
              <w:t>操作温度/℃</w:t>
            </w:r>
          </w:p>
        </w:tc>
        <w:tc>
          <w:tcPr>
            <w:tcW w:w="718" w:type="pct"/>
            <w:gridSpan w:val="3"/>
            <w:vAlign w:val="center"/>
          </w:tcPr>
          <w:p w14:paraId="0249A8FB">
            <w:pPr>
              <w:spacing w:line="280" w:lineRule="exact"/>
              <w:jc w:val="center"/>
              <w:rPr>
                <w:color w:val="auto"/>
              </w:rPr>
            </w:pPr>
            <w:r>
              <w:rPr>
                <w:color w:val="auto"/>
              </w:rPr>
              <w:t>25</w:t>
            </w:r>
          </w:p>
        </w:tc>
        <w:tc>
          <w:tcPr>
            <w:tcW w:w="857" w:type="pct"/>
            <w:gridSpan w:val="2"/>
            <w:vAlign w:val="center"/>
          </w:tcPr>
          <w:p w14:paraId="24CC0B1F">
            <w:pPr>
              <w:spacing w:line="280" w:lineRule="exact"/>
              <w:jc w:val="center"/>
              <w:rPr>
                <w:color w:val="auto"/>
              </w:rPr>
            </w:pPr>
            <w:r>
              <w:rPr>
                <w:color w:val="auto"/>
              </w:rPr>
              <w:t>操作压力/MPa</w:t>
            </w:r>
          </w:p>
        </w:tc>
        <w:tc>
          <w:tcPr>
            <w:tcW w:w="634" w:type="pct"/>
            <w:vAlign w:val="center"/>
          </w:tcPr>
          <w:p w14:paraId="386545CC">
            <w:pPr>
              <w:spacing w:line="280" w:lineRule="exact"/>
              <w:jc w:val="center"/>
              <w:rPr>
                <w:color w:val="auto"/>
              </w:rPr>
            </w:pPr>
            <w:r>
              <w:rPr>
                <w:color w:val="auto"/>
              </w:rPr>
              <w:t>4.2</w:t>
            </w:r>
          </w:p>
        </w:tc>
      </w:tr>
      <w:tr w14:paraId="3B5EDF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544ECF64">
            <w:pPr>
              <w:spacing w:line="280" w:lineRule="exact"/>
              <w:jc w:val="center"/>
              <w:rPr>
                <w:color w:val="auto"/>
              </w:rPr>
            </w:pPr>
            <w:r>
              <w:rPr>
                <w:color w:val="auto"/>
              </w:rPr>
              <w:t>泄漏危险物质</w:t>
            </w:r>
          </w:p>
        </w:tc>
        <w:tc>
          <w:tcPr>
            <w:tcW w:w="780" w:type="pct"/>
            <w:gridSpan w:val="2"/>
            <w:vAlign w:val="center"/>
          </w:tcPr>
          <w:p w14:paraId="416F26C7">
            <w:pPr>
              <w:spacing w:line="280" w:lineRule="exact"/>
              <w:jc w:val="center"/>
              <w:rPr>
                <w:color w:val="auto"/>
              </w:rPr>
            </w:pPr>
            <w:r>
              <w:rPr>
                <w:color w:val="auto"/>
              </w:rPr>
              <w:t>氯化氢</w:t>
            </w:r>
          </w:p>
        </w:tc>
        <w:tc>
          <w:tcPr>
            <w:tcW w:w="1155" w:type="pct"/>
            <w:vAlign w:val="center"/>
          </w:tcPr>
          <w:p w14:paraId="13E82C4D">
            <w:pPr>
              <w:spacing w:line="280" w:lineRule="exact"/>
              <w:jc w:val="center"/>
              <w:rPr>
                <w:color w:val="auto"/>
              </w:rPr>
            </w:pPr>
            <w:r>
              <w:rPr>
                <w:color w:val="auto"/>
              </w:rPr>
              <w:t>最大存在量/kg</w:t>
            </w:r>
          </w:p>
        </w:tc>
        <w:tc>
          <w:tcPr>
            <w:tcW w:w="718" w:type="pct"/>
            <w:gridSpan w:val="3"/>
            <w:vAlign w:val="center"/>
          </w:tcPr>
          <w:p w14:paraId="13C1CCC6">
            <w:pPr>
              <w:spacing w:line="280" w:lineRule="exact"/>
              <w:jc w:val="center"/>
              <w:rPr>
                <w:rFonts w:hint="eastAsia" w:eastAsia="宋体"/>
                <w:color w:val="auto"/>
                <w:lang w:val="en-US" w:eastAsia="zh-CN"/>
              </w:rPr>
            </w:pPr>
            <w:r>
              <w:rPr>
                <w:color w:val="auto"/>
              </w:rPr>
              <w:t>2</w:t>
            </w:r>
            <w:r>
              <w:rPr>
                <w:rFonts w:hint="eastAsia"/>
                <w:color w:val="auto"/>
                <w:lang w:val="en-US" w:eastAsia="zh-CN"/>
              </w:rPr>
              <w:t>5</w:t>
            </w:r>
          </w:p>
        </w:tc>
        <w:tc>
          <w:tcPr>
            <w:tcW w:w="857" w:type="pct"/>
            <w:gridSpan w:val="2"/>
            <w:vAlign w:val="center"/>
          </w:tcPr>
          <w:p w14:paraId="1AB5B141">
            <w:pPr>
              <w:spacing w:line="280" w:lineRule="exact"/>
              <w:jc w:val="center"/>
              <w:rPr>
                <w:color w:val="auto"/>
              </w:rPr>
            </w:pPr>
            <w:r>
              <w:rPr>
                <w:color w:val="auto"/>
              </w:rPr>
              <w:t>泄漏孔径/mm</w:t>
            </w:r>
          </w:p>
        </w:tc>
        <w:tc>
          <w:tcPr>
            <w:tcW w:w="634" w:type="pct"/>
            <w:vAlign w:val="center"/>
          </w:tcPr>
          <w:p w14:paraId="55235790">
            <w:pPr>
              <w:spacing w:line="280" w:lineRule="exact"/>
              <w:jc w:val="center"/>
              <w:rPr>
                <w:color w:val="auto"/>
              </w:rPr>
            </w:pPr>
            <w:r>
              <w:rPr>
                <w:color w:val="auto"/>
              </w:rPr>
              <w:t>/</w:t>
            </w:r>
          </w:p>
        </w:tc>
      </w:tr>
      <w:tr w14:paraId="22122F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40B39D9B">
            <w:pPr>
              <w:spacing w:line="280" w:lineRule="exact"/>
              <w:jc w:val="center"/>
              <w:rPr>
                <w:color w:val="auto"/>
              </w:rPr>
            </w:pPr>
            <w:r>
              <w:rPr>
                <w:color w:val="auto"/>
              </w:rPr>
              <w:t>泄漏速率/(kg/s)</w:t>
            </w:r>
          </w:p>
        </w:tc>
        <w:tc>
          <w:tcPr>
            <w:tcW w:w="780" w:type="pct"/>
            <w:gridSpan w:val="2"/>
            <w:vAlign w:val="center"/>
          </w:tcPr>
          <w:p w14:paraId="6DFCBB66">
            <w:pPr>
              <w:spacing w:line="280" w:lineRule="exact"/>
              <w:jc w:val="center"/>
              <w:rPr>
                <w:color w:val="auto"/>
              </w:rPr>
            </w:pPr>
            <w:r>
              <w:rPr>
                <w:color w:val="auto"/>
              </w:rPr>
              <w:t>0.03</w:t>
            </w:r>
          </w:p>
        </w:tc>
        <w:tc>
          <w:tcPr>
            <w:tcW w:w="1155" w:type="pct"/>
            <w:vAlign w:val="center"/>
          </w:tcPr>
          <w:p w14:paraId="2EED5F98">
            <w:pPr>
              <w:spacing w:line="280" w:lineRule="exact"/>
              <w:jc w:val="center"/>
              <w:rPr>
                <w:color w:val="auto"/>
              </w:rPr>
            </w:pPr>
            <w:r>
              <w:rPr>
                <w:color w:val="auto"/>
              </w:rPr>
              <w:t>泄漏时间/min</w:t>
            </w:r>
          </w:p>
        </w:tc>
        <w:tc>
          <w:tcPr>
            <w:tcW w:w="718" w:type="pct"/>
            <w:gridSpan w:val="3"/>
            <w:vAlign w:val="center"/>
          </w:tcPr>
          <w:p w14:paraId="2AC37425">
            <w:pPr>
              <w:spacing w:line="280" w:lineRule="exact"/>
              <w:jc w:val="center"/>
              <w:rPr>
                <w:rFonts w:hint="default" w:eastAsia="宋体"/>
                <w:color w:val="auto"/>
                <w:lang w:val="en-US" w:eastAsia="zh-CN"/>
              </w:rPr>
            </w:pPr>
            <w:r>
              <w:rPr>
                <w:rFonts w:hint="eastAsia"/>
                <w:color w:val="auto"/>
                <w:lang w:val="en-US" w:eastAsia="zh-CN"/>
              </w:rPr>
              <w:t>/</w:t>
            </w:r>
          </w:p>
        </w:tc>
        <w:tc>
          <w:tcPr>
            <w:tcW w:w="857" w:type="pct"/>
            <w:gridSpan w:val="2"/>
            <w:vAlign w:val="center"/>
          </w:tcPr>
          <w:p w14:paraId="32B83E9C">
            <w:pPr>
              <w:spacing w:line="280" w:lineRule="exact"/>
              <w:jc w:val="center"/>
              <w:rPr>
                <w:color w:val="auto"/>
              </w:rPr>
            </w:pPr>
            <w:r>
              <w:rPr>
                <w:color w:val="auto"/>
              </w:rPr>
              <w:t>泄漏量/kg</w:t>
            </w:r>
          </w:p>
        </w:tc>
        <w:tc>
          <w:tcPr>
            <w:tcW w:w="634" w:type="pct"/>
            <w:vAlign w:val="center"/>
          </w:tcPr>
          <w:p w14:paraId="565E82CC">
            <w:pPr>
              <w:spacing w:line="280" w:lineRule="exact"/>
              <w:jc w:val="center"/>
              <w:rPr>
                <w:rFonts w:hint="default" w:eastAsia="宋体"/>
                <w:color w:val="auto"/>
                <w:lang w:val="en-US" w:eastAsia="zh-CN"/>
              </w:rPr>
            </w:pPr>
            <w:r>
              <w:rPr>
                <w:rFonts w:hint="eastAsia"/>
                <w:color w:val="auto"/>
                <w:lang w:val="en-US" w:eastAsia="zh-CN"/>
              </w:rPr>
              <w:t>25</w:t>
            </w:r>
          </w:p>
        </w:tc>
      </w:tr>
      <w:tr w14:paraId="3C0DFB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Align w:val="center"/>
          </w:tcPr>
          <w:p w14:paraId="40D5BC9B">
            <w:pPr>
              <w:spacing w:line="280" w:lineRule="exact"/>
              <w:jc w:val="center"/>
              <w:rPr>
                <w:color w:val="auto"/>
              </w:rPr>
            </w:pPr>
            <w:r>
              <w:rPr>
                <w:color w:val="auto"/>
              </w:rPr>
              <w:t>泄漏高度/m</w:t>
            </w:r>
          </w:p>
        </w:tc>
        <w:tc>
          <w:tcPr>
            <w:tcW w:w="780" w:type="pct"/>
            <w:gridSpan w:val="2"/>
            <w:vAlign w:val="center"/>
          </w:tcPr>
          <w:p w14:paraId="7E9D3EE0">
            <w:pPr>
              <w:spacing w:line="280" w:lineRule="exact"/>
              <w:jc w:val="center"/>
              <w:rPr>
                <w:rFonts w:hint="eastAsia" w:eastAsia="宋体"/>
                <w:color w:val="auto"/>
                <w:lang w:eastAsia="zh-CN"/>
              </w:rPr>
            </w:pPr>
            <w:r>
              <w:rPr>
                <w:rFonts w:hint="eastAsia"/>
                <w:color w:val="auto"/>
                <w:lang w:val="en-US" w:eastAsia="zh-CN"/>
              </w:rPr>
              <w:t>/</w:t>
            </w:r>
          </w:p>
        </w:tc>
        <w:tc>
          <w:tcPr>
            <w:tcW w:w="1155" w:type="pct"/>
            <w:vAlign w:val="center"/>
          </w:tcPr>
          <w:p w14:paraId="2B0D7836">
            <w:pPr>
              <w:spacing w:line="280" w:lineRule="exact"/>
              <w:jc w:val="center"/>
              <w:rPr>
                <w:color w:val="auto"/>
              </w:rPr>
            </w:pPr>
            <w:r>
              <w:rPr>
                <w:color w:val="auto"/>
              </w:rPr>
              <w:t>泄漏液体蒸发量/kg/s</w:t>
            </w:r>
          </w:p>
        </w:tc>
        <w:tc>
          <w:tcPr>
            <w:tcW w:w="718" w:type="pct"/>
            <w:gridSpan w:val="3"/>
            <w:vAlign w:val="center"/>
          </w:tcPr>
          <w:p w14:paraId="6EBEA014">
            <w:pPr>
              <w:spacing w:line="280" w:lineRule="exact"/>
              <w:jc w:val="center"/>
              <w:rPr>
                <w:color w:val="auto"/>
              </w:rPr>
            </w:pPr>
            <w:r>
              <w:rPr>
                <w:color w:val="auto"/>
              </w:rPr>
              <w:t>0.03</w:t>
            </w:r>
          </w:p>
        </w:tc>
        <w:tc>
          <w:tcPr>
            <w:tcW w:w="857" w:type="pct"/>
            <w:gridSpan w:val="2"/>
            <w:vAlign w:val="center"/>
          </w:tcPr>
          <w:p w14:paraId="070EF9D4">
            <w:pPr>
              <w:spacing w:line="280" w:lineRule="exact"/>
              <w:jc w:val="center"/>
              <w:rPr>
                <w:color w:val="auto"/>
              </w:rPr>
            </w:pPr>
            <w:r>
              <w:rPr>
                <w:color w:val="auto"/>
              </w:rPr>
              <w:t>泄漏频率</w:t>
            </w:r>
          </w:p>
        </w:tc>
        <w:tc>
          <w:tcPr>
            <w:tcW w:w="634" w:type="pct"/>
            <w:vAlign w:val="center"/>
          </w:tcPr>
          <w:p w14:paraId="19CECBBF">
            <w:pPr>
              <w:spacing w:line="280" w:lineRule="exact"/>
              <w:jc w:val="center"/>
              <w:rPr>
                <w:color w:val="auto"/>
              </w:rPr>
            </w:pPr>
            <w:r>
              <w:rPr>
                <w:color w:val="auto"/>
              </w:rPr>
              <w:t>5×10</w:t>
            </w:r>
            <w:r>
              <w:rPr>
                <w:color w:val="auto"/>
                <w:vertAlign w:val="superscript"/>
              </w:rPr>
              <w:t>-6</w:t>
            </w:r>
          </w:p>
        </w:tc>
      </w:tr>
      <w:tr w14:paraId="1B35EB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shd w:val="clear" w:color="auto" w:fill="auto"/>
            <w:vAlign w:val="center"/>
          </w:tcPr>
          <w:p w14:paraId="061AE129">
            <w:pPr>
              <w:spacing w:line="280" w:lineRule="exact"/>
              <w:jc w:val="center"/>
              <w:rPr>
                <w:rFonts w:ascii="Times New Roman" w:hAnsi="Times New Roman" w:eastAsia="宋体" w:cs="Times New Roman"/>
                <w:color w:val="auto"/>
                <w:kern w:val="2"/>
                <w:sz w:val="21"/>
                <w:szCs w:val="24"/>
                <w:lang w:val="en-US" w:eastAsia="zh-CN" w:bidi="ar-SA"/>
              </w:rPr>
            </w:pPr>
            <w:r>
              <w:rPr>
                <w:color w:val="auto"/>
              </w:rPr>
              <w:t>环境风险类型</w:t>
            </w:r>
          </w:p>
        </w:tc>
        <w:tc>
          <w:tcPr>
            <w:tcW w:w="4146" w:type="pct"/>
            <w:gridSpan w:val="9"/>
            <w:shd w:val="clear" w:color="auto" w:fill="auto"/>
            <w:vAlign w:val="center"/>
          </w:tcPr>
          <w:p w14:paraId="30F70C6B">
            <w:pPr>
              <w:spacing w:line="280" w:lineRule="exact"/>
              <w:jc w:val="both"/>
              <w:rPr>
                <w:rFonts w:hint="eastAsia" w:eastAsia="宋体"/>
                <w:color w:val="auto"/>
                <w:lang w:eastAsia="zh-CN"/>
              </w:rPr>
            </w:pPr>
            <w:r>
              <w:rPr>
                <w:rFonts w:hint="eastAsia"/>
                <w:color w:val="auto"/>
                <w:lang w:val="en-US" w:eastAsia="zh-CN"/>
              </w:rPr>
              <w:t>3</w:t>
            </w:r>
            <w:r>
              <w:rPr>
                <w:color w:val="auto"/>
              </w:rPr>
              <w:t>、</w:t>
            </w:r>
            <w:r>
              <w:rPr>
                <w:rFonts w:hint="eastAsia"/>
                <w:color w:val="auto"/>
                <w:lang w:val="en-US" w:eastAsia="zh-CN"/>
              </w:rPr>
              <w:t>盐酸</w:t>
            </w:r>
            <w:r>
              <w:rPr>
                <w:color w:val="auto"/>
              </w:rPr>
              <w:t>储罐泄漏</w:t>
            </w:r>
          </w:p>
        </w:tc>
      </w:tr>
      <w:tr w14:paraId="0AA7CF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shd w:val="clear" w:color="auto" w:fill="auto"/>
            <w:vAlign w:val="center"/>
          </w:tcPr>
          <w:p w14:paraId="05146E09">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泄漏设备类型</w:t>
            </w:r>
          </w:p>
        </w:tc>
        <w:tc>
          <w:tcPr>
            <w:tcW w:w="780" w:type="pct"/>
            <w:gridSpan w:val="2"/>
            <w:shd w:val="clear" w:color="auto" w:fill="auto"/>
            <w:vAlign w:val="center"/>
          </w:tcPr>
          <w:p w14:paraId="52CF55C4">
            <w:pPr>
              <w:spacing w:line="280" w:lineRule="exact"/>
              <w:jc w:val="center"/>
              <w:rPr>
                <w:rFonts w:ascii="Times New Roman" w:hAnsi="Times New Roman" w:eastAsia="宋体" w:cs="Times New Roman"/>
                <w:color w:val="auto"/>
                <w:kern w:val="2"/>
                <w:sz w:val="21"/>
                <w:szCs w:val="24"/>
                <w:lang w:val="en-US" w:eastAsia="zh-CN" w:bidi="ar-SA"/>
              </w:rPr>
            </w:pPr>
            <w:r>
              <w:rPr>
                <w:color w:val="auto"/>
              </w:rPr>
              <w:t>储罐</w:t>
            </w:r>
          </w:p>
        </w:tc>
        <w:tc>
          <w:tcPr>
            <w:tcW w:w="1155" w:type="pct"/>
            <w:shd w:val="clear" w:color="auto" w:fill="auto"/>
            <w:vAlign w:val="center"/>
          </w:tcPr>
          <w:p w14:paraId="0EEEE945">
            <w:pPr>
              <w:spacing w:line="280" w:lineRule="exact"/>
              <w:jc w:val="center"/>
              <w:rPr>
                <w:rFonts w:ascii="Times New Roman" w:hAnsi="Times New Roman" w:eastAsia="宋体" w:cs="Times New Roman"/>
                <w:color w:val="auto"/>
                <w:kern w:val="2"/>
                <w:sz w:val="21"/>
                <w:szCs w:val="24"/>
                <w:lang w:val="en-US" w:eastAsia="zh-CN" w:bidi="ar-SA"/>
              </w:rPr>
            </w:pPr>
            <w:r>
              <w:rPr>
                <w:color w:val="auto"/>
              </w:rPr>
              <w:t>操作温度/℃</w:t>
            </w:r>
          </w:p>
        </w:tc>
        <w:tc>
          <w:tcPr>
            <w:tcW w:w="718" w:type="pct"/>
            <w:gridSpan w:val="3"/>
            <w:shd w:val="clear" w:color="auto" w:fill="auto"/>
            <w:vAlign w:val="center"/>
          </w:tcPr>
          <w:p w14:paraId="7D375317">
            <w:pPr>
              <w:spacing w:line="280" w:lineRule="exact"/>
              <w:jc w:val="center"/>
              <w:rPr>
                <w:rFonts w:ascii="Times New Roman" w:hAnsi="Times New Roman" w:eastAsia="宋体" w:cs="Times New Roman"/>
                <w:color w:val="auto"/>
                <w:kern w:val="2"/>
                <w:sz w:val="21"/>
                <w:szCs w:val="24"/>
                <w:lang w:val="en-US" w:eastAsia="zh-CN" w:bidi="ar-SA"/>
              </w:rPr>
            </w:pPr>
            <w:r>
              <w:rPr>
                <w:color w:val="auto"/>
              </w:rPr>
              <w:t>25</w:t>
            </w:r>
          </w:p>
        </w:tc>
        <w:tc>
          <w:tcPr>
            <w:tcW w:w="857" w:type="pct"/>
            <w:gridSpan w:val="2"/>
            <w:shd w:val="clear" w:color="auto" w:fill="auto"/>
            <w:vAlign w:val="center"/>
          </w:tcPr>
          <w:p w14:paraId="7AEAA2A5">
            <w:pPr>
              <w:spacing w:line="280" w:lineRule="exact"/>
              <w:jc w:val="center"/>
              <w:rPr>
                <w:rFonts w:ascii="Times New Roman" w:hAnsi="Times New Roman" w:eastAsia="宋体" w:cs="Times New Roman"/>
                <w:color w:val="auto"/>
                <w:kern w:val="2"/>
                <w:sz w:val="21"/>
                <w:szCs w:val="24"/>
                <w:lang w:val="en-US" w:eastAsia="zh-CN" w:bidi="ar-SA"/>
              </w:rPr>
            </w:pPr>
            <w:r>
              <w:rPr>
                <w:color w:val="auto"/>
              </w:rPr>
              <w:t>操作压力/MPa</w:t>
            </w:r>
          </w:p>
        </w:tc>
        <w:tc>
          <w:tcPr>
            <w:tcW w:w="634" w:type="pct"/>
            <w:shd w:val="clear" w:color="auto" w:fill="auto"/>
            <w:vAlign w:val="center"/>
          </w:tcPr>
          <w:p w14:paraId="4ACC503F">
            <w:pPr>
              <w:spacing w:line="280" w:lineRule="exact"/>
              <w:jc w:val="center"/>
              <w:rPr>
                <w:rFonts w:ascii="Times New Roman" w:hAnsi="Times New Roman" w:eastAsia="宋体" w:cs="Times New Roman"/>
                <w:color w:val="auto"/>
                <w:kern w:val="2"/>
                <w:sz w:val="21"/>
                <w:szCs w:val="24"/>
                <w:lang w:val="en-US" w:eastAsia="zh-CN" w:bidi="ar-SA"/>
              </w:rPr>
            </w:pPr>
            <w:r>
              <w:rPr>
                <w:color w:val="auto"/>
              </w:rPr>
              <w:t>/</w:t>
            </w:r>
          </w:p>
        </w:tc>
      </w:tr>
      <w:tr w14:paraId="012467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shd w:val="clear" w:color="auto" w:fill="auto"/>
            <w:vAlign w:val="center"/>
          </w:tcPr>
          <w:p w14:paraId="2DF3D449">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泄漏危险物质</w:t>
            </w:r>
          </w:p>
        </w:tc>
        <w:tc>
          <w:tcPr>
            <w:tcW w:w="780" w:type="pct"/>
            <w:gridSpan w:val="2"/>
            <w:shd w:val="clear" w:color="auto" w:fill="auto"/>
            <w:vAlign w:val="center"/>
          </w:tcPr>
          <w:p w14:paraId="29DE2E35">
            <w:pPr>
              <w:spacing w:line="280" w:lineRule="exact"/>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氯化氢</w:t>
            </w:r>
          </w:p>
        </w:tc>
        <w:tc>
          <w:tcPr>
            <w:tcW w:w="1155" w:type="pct"/>
            <w:shd w:val="clear" w:color="auto" w:fill="auto"/>
            <w:vAlign w:val="center"/>
          </w:tcPr>
          <w:p w14:paraId="6113755F">
            <w:pPr>
              <w:spacing w:line="280" w:lineRule="exact"/>
              <w:jc w:val="center"/>
              <w:rPr>
                <w:rFonts w:ascii="Times New Roman" w:hAnsi="Times New Roman" w:eastAsia="宋体" w:cs="Times New Roman"/>
                <w:color w:val="auto"/>
                <w:kern w:val="2"/>
                <w:sz w:val="21"/>
                <w:szCs w:val="24"/>
                <w:lang w:val="en-US" w:eastAsia="zh-CN" w:bidi="ar-SA"/>
              </w:rPr>
            </w:pPr>
            <w:r>
              <w:rPr>
                <w:color w:val="auto"/>
              </w:rPr>
              <w:t>最大存在量/kg</w:t>
            </w:r>
          </w:p>
        </w:tc>
        <w:tc>
          <w:tcPr>
            <w:tcW w:w="718" w:type="pct"/>
            <w:gridSpan w:val="3"/>
            <w:shd w:val="clear" w:color="auto" w:fill="auto"/>
            <w:vAlign w:val="center"/>
          </w:tcPr>
          <w:p w14:paraId="4ADA6754">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30000</w:t>
            </w:r>
          </w:p>
        </w:tc>
        <w:tc>
          <w:tcPr>
            <w:tcW w:w="857" w:type="pct"/>
            <w:gridSpan w:val="2"/>
            <w:shd w:val="clear" w:color="auto" w:fill="auto"/>
            <w:vAlign w:val="center"/>
          </w:tcPr>
          <w:p w14:paraId="24740C46">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泄漏孔径/mm</w:t>
            </w:r>
          </w:p>
        </w:tc>
        <w:tc>
          <w:tcPr>
            <w:tcW w:w="634" w:type="pct"/>
            <w:shd w:val="clear" w:color="auto" w:fill="auto"/>
            <w:vAlign w:val="center"/>
          </w:tcPr>
          <w:p w14:paraId="68A1CECC">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w:t>
            </w:r>
          </w:p>
        </w:tc>
      </w:tr>
      <w:tr w14:paraId="2C86A6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shd w:val="clear" w:color="auto" w:fill="auto"/>
            <w:vAlign w:val="center"/>
          </w:tcPr>
          <w:p w14:paraId="4D502FBA">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泄漏速率/(kg/s)</w:t>
            </w:r>
          </w:p>
        </w:tc>
        <w:tc>
          <w:tcPr>
            <w:tcW w:w="780" w:type="pct"/>
            <w:gridSpan w:val="2"/>
            <w:shd w:val="clear" w:color="auto" w:fill="auto"/>
            <w:vAlign w:val="center"/>
          </w:tcPr>
          <w:p w14:paraId="765FEEDA">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0.28</w:t>
            </w:r>
          </w:p>
        </w:tc>
        <w:tc>
          <w:tcPr>
            <w:tcW w:w="1155" w:type="pct"/>
            <w:shd w:val="clear" w:color="auto" w:fill="auto"/>
            <w:vAlign w:val="center"/>
          </w:tcPr>
          <w:p w14:paraId="7F70F330">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泄漏时间/min</w:t>
            </w:r>
          </w:p>
        </w:tc>
        <w:tc>
          <w:tcPr>
            <w:tcW w:w="718" w:type="pct"/>
            <w:gridSpan w:val="3"/>
            <w:shd w:val="clear" w:color="auto" w:fill="auto"/>
            <w:vAlign w:val="center"/>
          </w:tcPr>
          <w:p w14:paraId="005DFC65">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c>
          <w:tcPr>
            <w:tcW w:w="857" w:type="pct"/>
            <w:gridSpan w:val="2"/>
            <w:shd w:val="clear" w:color="auto" w:fill="auto"/>
            <w:vAlign w:val="center"/>
          </w:tcPr>
          <w:p w14:paraId="68BFA41F">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泄漏量/kg</w:t>
            </w:r>
          </w:p>
        </w:tc>
        <w:tc>
          <w:tcPr>
            <w:tcW w:w="634" w:type="pct"/>
            <w:shd w:val="clear" w:color="auto" w:fill="auto"/>
            <w:vAlign w:val="center"/>
          </w:tcPr>
          <w:p w14:paraId="414295CD">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30000</w:t>
            </w:r>
          </w:p>
        </w:tc>
      </w:tr>
      <w:tr w14:paraId="569EE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shd w:val="clear" w:color="auto" w:fill="auto"/>
            <w:vAlign w:val="center"/>
          </w:tcPr>
          <w:p w14:paraId="0ADA77D0">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泄漏高度/m</w:t>
            </w:r>
          </w:p>
        </w:tc>
        <w:tc>
          <w:tcPr>
            <w:tcW w:w="780" w:type="pct"/>
            <w:gridSpan w:val="2"/>
            <w:shd w:val="clear" w:color="auto" w:fill="auto"/>
            <w:vAlign w:val="center"/>
          </w:tcPr>
          <w:p w14:paraId="3A21B82B">
            <w:pPr>
              <w:spacing w:line="280" w:lineRule="exact"/>
              <w:jc w:val="center"/>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2</w:t>
            </w:r>
          </w:p>
        </w:tc>
        <w:tc>
          <w:tcPr>
            <w:tcW w:w="1155" w:type="pct"/>
            <w:shd w:val="clear" w:color="auto" w:fill="auto"/>
            <w:vAlign w:val="center"/>
          </w:tcPr>
          <w:p w14:paraId="1042A0CD">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泄漏液体蒸发量/kg/s</w:t>
            </w:r>
          </w:p>
        </w:tc>
        <w:tc>
          <w:tcPr>
            <w:tcW w:w="718" w:type="pct"/>
            <w:gridSpan w:val="3"/>
            <w:shd w:val="clear" w:color="auto" w:fill="auto"/>
            <w:vAlign w:val="center"/>
          </w:tcPr>
          <w:p w14:paraId="43E3E0D8">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0.041/0.028</w:t>
            </w:r>
          </w:p>
        </w:tc>
        <w:tc>
          <w:tcPr>
            <w:tcW w:w="857" w:type="pct"/>
            <w:gridSpan w:val="2"/>
            <w:shd w:val="clear" w:color="auto" w:fill="auto"/>
            <w:vAlign w:val="center"/>
          </w:tcPr>
          <w:p w14:paraId="6FFF6389">
            <w:pPr>
              <w:spacing w:line="280" w:lineRule="exact"/>
              <w:jc w:val="center"/>
              <w:rPr>
                <w:rFonts w:ascii="Times New Roman" w:hAnsi="Times New Roman" w:eastAsia="宋体" w:cs="Times New Roman"/>
                <w:color w:val="auto"/>
                <w:kern w:val="2"/>
                <w:sz w:val="21"/>
                <w:szCs w:val="24"/>
                <w:lang w:val="en-US" w:eastAsia="zh-CN" w:bidi="ar-SA"/>
              </w:rPr>
            </w:pPr>
            <w:r>
              <w:rPr>
                <w:color w:val="auto"/>
              </w:rPr>
              <w:t>泄漏频率</w:t>
            </w:r>
          </w:p>
        </w:tc>
        <w:tc>
          <w:tcPr>
            <w:tcW w:w="634" w:type="pct"/>
            <w:shd w:val="clear" w:color="auto" w:fill="auto"/>
            <w:vAlign w:val="center"/>
          </w:tcPr>
          <w:p w14:paraId="608A7EBE">
            <w:pPr>
              <w:spacing w:line="280" w:lineRule="exact"/>
              <w:jc w:val="center"/>
              <w:rPr>
                <w:rFonts w:ascii="Times New Roman" w:hAnsi="Times New Roman" w:eastAsia="宋体" w:cs="Times New Roman"/>
                <w:color w:val="auto"/>
                <w:kern w:val="2"/>
                <w:sz w:val="21"/>
                <w:szCs w:val="24"/>
                <w:lang w:val="en-US" w:eastAsia="zh-CN" w:bidi="ar-SA"/>
              </w:rPr>
            </w:pPr>
            <w:r>
              <w:rPr>
                <w:color w:val="auto"/>
              </w:rPr>
              <w:t>5×10</w:t>
            </w:r>
            <w:r>
              <w:rPr>
                <w:color w:val="auto"/>
                <w:vertAlign w:val="superscript"/>
              </w:rPr>
              <w:t>-6</w:t>
            </w:r>
          </w:p>
        </w:tc>
      </w:tr>
      <w:tr w14:paraId="3CBF43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10"/>
            <w:vAlign w:val="center"/>
          </w:tcPr>
          <w:p w14:paraId="6B047BE7">
            <w:pPr>
              <w:spacing w:line="280" w:lineRule="exact"/>
              <w:jc w:val="center"/>
              <w:rPr>
                <w:color w:val="auto"/>
              </w:rPr>
            </w:pPr>
            <w:r>
              <w:rPr>
                <w:color w:val="auto"/>
              </w:rPr>
              <w:t>事故后果预测</w:t>
            </w:r>
          </w:p>
        </w:tc>
      </w:tr>
      <w:tr w14:paraId="71FF64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restart"/>
            <w:vAlign w:val="center"/>
          </w:tcPr>
          <w:p w14:paraId="7AD5BE8A">
            <w:pPr>
              <w:spacing w:line="280" w:lineRule="exact"/>
              <w:jc w:val="center"/>
              <w:rPr>
                <w:color w:val="auto"/>
              </w:rPr>
            </w:pPr>
            <w:r>
              <w:rPr>
                <w:color w:val="auto"/>
              </w:rPr>
              <w:t>大气</w:t>
            </w:r>
          </w:p>
        </w:tc>
        <w:tc>
          <w:tcPr>
            <w:tcW w:w="780" w:type="pct"/>
            <w:gridSpan w:val="2"/>
            <w:vAlign w:val="center"/>
          </w:tcPr>
          <w:p w14:paraId="34AFD822">
            <w:pPr>
              <w:spacing w:line="280" w:lineRule="exact"/>
              <w:jc w:val="center"/>
              <w:rPr>
                <w:color w:val="auto"/>
              </w:rPr>
            </w:pPr>
            <w:r>
              <w:rPr>
                <w:color w:val="auto"/>
              </w:rPr>
              <w:t>危险物质</w:t>
            </w:r>
          </w:p>
        </w:tc>
        <w:tc>
          <w:tcPr>
            <w:tcW w:w="3365" w:type="pct"/>
            <w:gridSpan w:val="7"/>
            <w:vAlign w:val="center"/>
          </w:tcPr>
          <w:p w14:paraId="3AE200AB">
            <w:pPr>
              <w:spacing w:line="280" w:lineRule="exact"/>
              <w:jc w:val="center"/>
              <w:rPr>
                <w:color w:val="auto"/>
              </w:rPr>
            </w:pPr>
            <w:r>
              <w:rPr>
                <w:color w:val="auto"/>
              </w:rPr>
              <w:t>大气环境影响</w:t>
            </w:r>
          </w:p>
        </w:tc>
      </w:tr>
      <w:tr w14:paraId="709427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7F167A66">
            <w:pPr>
              <w:spacing w:line="280" w:lineRule="exact"/>
              <w:jc w:val="center"/>
              <w:rPr>
                <w:color w:val="auto"/>
              </w:rPr>
            </w:pPr>
          </w:p>
        </w:tc>
        <w:tc>
          <w:tcPr>
            <w:tcW w:w="229" w:type="pct"/>
            <w:vMerge w:val="restart"/>
            <w:vAlign w:val="center"/>
          </w:tcPr>
          <w:p w14:paraId="0DC043B6">
            <w:pPr>
              <w:spacing w:line="280" w:lineRule="exact"/>
              <w:jc w:val="center"/>
              <w:rPr>
                <w:color w:val="auto"/>
              </w:rPr>
            </w:pPr>
            <w:r>
              <w:rPr>
                <w:color w:val="auto"/>
                <w:lang w:val="en-GB"/>
              </w:rPr>
              <w:t>最不利气象条件</w:t>
            </w:r>
          </w:p>
        </w:tc>
        <w:tc>
          <w:tcPr>
            <w:tcW w:w="551" w:type="pct"/>
            <w:vMerge w:val="restart"/>
            <w:vAlign w:val="center"/>
          </w:tcPr>
          <w:p w14:paraId="09E355F5">
            <w:pPr>
              <w:spacing w:line="280" w:lineRule="exact"/>
              <w:jc w:val="center"/>
              <w:rPr>
                <w:color w:val="auto"/>
              </w:rPr>
            </w:pPr>
            <w:r>
              <w:rPr>
                <w:color w:val="auto"/>
              </w:rPr>
              <w:t>氯化氢（</w:t>
            </w:r>
            <w:r>
              <w:rPr>
                <w:rFonts w:hint="eastAsia"/>
                <w:color w:val="auto"/>
                <w:lang w:val="en-US" w:eastAsia="zh-CN"/>
              </w:rPr>
              <w:t>钢瓶</w:t>
            </w:r>
            <w:r>
              <w:rPr>
                <w:color w:val="auto"/>
              </w:rPr>
              <w:t>）</w:t>
            </w:r>
          </w:p>
        </w:tc>
        <w:tc>
          <w:tcPr>
            <w:tcW w:w="1272" w:type="pct"/>
            <w:gridSpan w:val="2"/>
            <w:vAlign w:val="center"/>
          </w:tcPr>
          <w:p w14:paraId="0EB5A0A2">
            <w:pPr>
              <w:spacing w:line="280" w:lineRule="exact"/>
              <w:jc w:val="center"/>
              <w:rPr>
                <w:color w:val="auto"/>
              </w:rPr>
            </w:pPr>
            <w:r>
              <w:rPr>
                <w:color w:val="auto"/>
              </w:rPr>
              <w:t>大气毒性终点浓度-1</w:t>
            </w:r>
          </w:p>
        </w:tc>
        <w:tc>
          <w:tcPr>
            <w:tcW w:w="601" w:type="pct"/>
            <w:gridSpan w:val="2"/>
            <w:shd w:val="clear" w:color="auto" w:fill="auto"/>
            <w:vAlign w:val="center"/>
          </w:tcPr>
          <w:p w14:paraId="24C38ED8">
            <w:pPr>
              <w:spacing w:line="280" w:lineRule="exact"/>
              <w:jc w:val="center"/>
              <w:rPr>
                <w:rFonts w:ascii="Times New Roman" w:hAnsi="Times New Roman" w:eastAsia="宋体" w:cs="Times New Roman"/>
                <w:color w:val="auto"/>
                <w:kern w:val="2"/>
                <w:sz w:val="21"/>
                <w:szCs w:val="24"/>
                <w:lang w:val="en-GB" w:eastAsia="zh-CN" w:bidi="ar-SA"/>
              </w:rPr>
            </w:pPr>
            <w:r>
              <w:rPr>
                <w:color w:val="auto"/>
              </w:rPr>
              <w:t>150</w:t>
            </w:r>
          </w:p>
        </w:tc>
        <w:tc>
          <w:tcPr>
            <w:tcW w:w="857" w:type="pct"/>
            <w:gridSpan w:val="2"/>
            <w:shd w:val="clear" w:color="auto" w:fill="auto"/>
            <w:vAlign w:val="center"/>
          </w:tcPr>
          <w:p w14:paraId="62EF19C6">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90</w:t>
            </w:r>
          </w:p>
        </w:tc>
        <w:tc>
          <w:tcPr>
            <w:tcW w:w="634" w:type="pct"/>
            <w:shd w:val="clear" w:color="auto" w:fill="auto"/>
            <w:vAlign w:val="center"/>
          </w:tcPr>
          <w:p w14:paraId="6D5A7EB1">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0.9</w:t>
            </w:r>
          </w:p>
        </w:tc>
      </w:tr>
      <w:tr w14:paraId="4709EE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1FD919CD">
            <w:pPr>
              <w:spacing w:line="280" w:lineRule="exact"/>
              <w:jc w:val="center"/>
              <w:rPr>
                <w:color w:val="auto"/>
              </w:rPr>
            </w:pPr>
          </w:p>
        </w:tc>
        <w:tc>
          <w:tcPr>
            <w:tcW w:w="229" w:type="pct"/>
            <w:vMerge w:val="continue"/>
            <w:vAlign w:val="center"/>
          </w:tcPr>
          <w:p w14:paraId="4338C237">
            <w:pPr>
              <w:spacing w:line="280" w:lineRule="exact"/>
              <w:jc w:val="center"/>
              <w:rPr>
                <w:color w:val="auto"/>
              </w:rPr>
            </w:pPr>
          </w:p>
        </w:tc>
        <w:tc>
          <w:tcPr>
            <w:tcW w:w="551" w:type="pct"/>
            <w:vMerge w:val="continue"/>
            <w:vAlign w:val="center"/>
          </w:tcPr>
          <w:p w14:paraId="28C3B624">
            <w:pPr>
              <w:spacing w:line="280" w:lineRule="exact"/>
              <w:jc w:val="center"/>
              <w:rPr>
                <w:color w:val="auto"/>
              </w:rPr>
            </w:pPr>
          </w:p>
        </w:tc>
        <w:tc>
          <w:tcPr>
            <w:tcW w:w="1272" w:type="pct"/>
            <w:gridSpan w:val="2"/>
            <w:vAlign w:val="center"/>
          </w:tcPr>
          <w:p w14:paraId="7433FA52">
            <w:pPr>
              <w:spacing w:line="280" w:lineRule="exact"/>
              <w:jc w:val="center"/>
              <w:rPr>
                <w:color w:val="auto"/>
              </w:rPr>
            </w:pPr>
            <w:r>
              <w:rPr>
                <w:color w:val="auto"/>
              </w:rPr>
              <w:t>大气毒性终点浓度-2</w:t>
            </w:r>
          </w:p>
        </w:tc>
        <w:tc>
          <w:tcPr>
            <w:tcW w:w="601" w:type="pct"/>
            <w:gridSpan w:val="2"/>
            <w:shd w:val="clear" w:color="auto" w:fill="auto"/>
            <w:vAlign w:val="center"/>
          </w:tcPr>
          <w:p w14:paraId="60B7E02D">
            <w:pPr>
              <w:spacing w:line="280" w:lineRule="exact"/>
              <w:jc w:val="center"/>
              <w:rPr>
                <w:rFonts w:ascii="Times New Roman" w:hAnsi="Times New Roman" w:eastAsia="宋体" w:cs="Times New Roman"/>
                <w:color w:val="auto"/>
                <w:kern w:val="2"/>
                <w:sz w:val="21"/>
                <w:szCs w:val="24"/>
                <w:lang w:val="en-GB" w:eastAsia="zh-CN" w:bidi="ar-SA"/>
              </w:rPr>
            </w:pPr>
            <w:r>
              <w:rPr>
                <w:color w:val="auto"/>
              </w:rPr>
              <w:t>33</w:t>
            </w:r>
          </w:p>
        </w:tc>
        <w:tc>
          <w:tcPr>
            <w:tcW w:w="857" w:type="pct"/>
            <w:gridSpan w:val="2"/>
            <w:shd w:val="clear" w:color="auto" w:fill="auto"/>
            <w:vAlign w:val="center"/>
          </w:tcPr>
          <w:p w14:paraId="03D5648C">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250</w:t>
            </w:r>
          </w:p>
        </w:tc>
        <w:tc>
          <w:tcPr>
            <w:tcW w:w="634" w:type="pct"/>
            <w:shd w:val="clear" w:color="auto" w:fill="auto"/>
            <w:vAlign w:val="center"/>
          </w:tcPr>
          <w:p w14:paraId="0E747A48">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2.1</w:t>
            </w:r>
          </w:p>
        </w:tc>
      </w:tr>
      <w:tr w14:paraId="5C1CA4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346C9788">
            <w:pPr>
              <w:spacing w:line="280" w:lineRule="exact"/>
              <w:jc w:val="center"/>
              <w:rPr>
                <w:color w:val="auto"/>
              </w:rPr>
            </w:pPr>
          </w:p>
        </w:tc>
        <w:tc>
          <w:tcPr>
            <w:tcW w:w="229" w:type="pct"/>
            <w:vMerge w:val="continue"/>
            <w:vAlign w:val="center"/>
          </w:tcPr>
          <w:p w14:paraId="21C409CF">
            <w:pPr>
              <w:spacing w:line="280" w:lineRule="exact"/>
              <w:jc w:val="center"/>
              <w:rPr>
                <w:color w:val="auto"/>
              </w:rPr>
            </w:pPr>
          </w:p>
        </w:tc>
        <w:tc>
          <w:tcPr>
            <w:tcW w:w="551" w:type="pct"/>
            <w:vMerge w:val="continue"/>
            <w:vAlign w:val="center"/>
          </w:tcPr>
          <w:p w14:paraId="0EE7CFB1">
            <w:pPr>
              <w:spacing w:line="280" w:lineRule="exact"/>
              <w:jc w:val="center"/>
              <w:rPr>
                <w:color w:val="auto"/>
              </w:rPr>
            </w:pPr>
          </w:p>
        </w:tc>
        <w:tc>
          <w:tcPr>
            <w:tcW w:w="1272" w:type="pct"/>
            <w:gridSpan w:val="2"/>
            <w:vAlign w:val="center"/>
          </w:tcPr>
          <w:p w14:paraId="0230A837">
            <w:pPr>
              <w:spacing w:line="280" w:lineRule="exact"/>
              <w:jc w:val="center"/>
              <w:rPr>
                <w:color w:val="auto"/>
              </w:rPr>
            </w:pPr>
            <w:r>
              <w:rPr>
                <w:color w:val="auto"/>
              </w:rPr>
              <w:t>敏感目标名称</w:t>
            </w:r>
          </w:p>
        </w:tc>
        <w:tc>
          <w:tcPr>
            <w:tcW w:w="601" w:type="pct"/>
            <w:gridSpan w:val="2"/>
            <w:shd w:val="clear" w:color="auto" w:fill="auto"/>
            <w:vAlign w:val="center"/>
          </w:tcPr>
          <w:p w14:paraId="3EAC4B20">
            <w:pPr>
              <w:spacing w:line="280" w:lineRule="exact"/>
              <w:jc w:val="center"/>
              <w:rPr>
                <w:rFonts w:ascii="Times New Roman" w:hAnsi="Times New Roman" w:eastAsia="宋体" w:cs="Times New Roman"/>
                <w:color w:val="auto"/>
                <w:kern w:val="2"/>
                <w:sz w:val="21"/>
                <w:szCs w:val="24"/>
                <w:lang w:val="en-US" w:eastAsia="zh-CN" w:bidi="ar-SA"/>
              </w:rPr>
            </w:pPr>
            <w:r>
              <w:rPr>
                <w:color w:val="auto"/>
              </w:rPr>
              <w:t>最大浓度值/(mg/m</w:t>
            </w:r>
            <w:r>
              <w:rPr>
                <w:color w:val="auto"/>
                <w:vertAlign w:val="superscript"/>
              </w:rPr>
              <w:t>3</w:t>
            </w:r>
            <w:r>
              <w:rPr>
                <w:color w:val="auto"/>
              </w:rPr>
              <w:t>)</w:t>
            </w:r>
          </w:p>
        </w:tc>
        <w:tc>
          <w:tcPr>
            <w:tcW w:w="857" w:type="pct"/>
            <w:gridSpan w:val="2"/>
            <w:shd w:val="clear" w:color="auto" w:fill="auto"/>
            <w:vAlign w:val="center"/>
          </w:tcPr>
          <w:p w14:paraId="1B8DA6A9">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超标持续时间/min</w:t>
            </w:r>
          </w:p>
        </w:tc>
        <w:tc>
          <w:tcPr>
            <w:tcW w:w="634" w:type="pct"/>
            <w:shd w:val="clear" w:color="auto" w:fill="auto"/>
            <w:vAlign w:val="center"/>
          </w:tcPr>
          <w:p w14:paraId="50C04350">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超标时间/min</w:t>
            </w:r>
          </w:p>
        </w:tc>
      </w:tr>
      <w:tr w14:paraId="44B1F0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37B5B778">
            <w:pPr>
              <w:spacing w:line="280" w:lineRule="exact"/>
              <w:jc w:val="center"/>
              <w:rPr>
                <w:color w:val="auto"/>
              </w:rPr>
            </w:pPr>
          </w:p>
        </w:tc>
        <w:tc>
          <w:tcPr>
            <w:tcW w:w="229" w:type="pct"/>
            <w:vMerge w:val="continue"/>
            <w:vAlign w:val="center"/>
          </w:tcPr>
          <w:p w14:paraId="71BB1987">
            <w:pPr>
              <w:spacing w:line="280" w:lineRule="exact"/>
              <w:jc w:val="center"/>
              <w:rPr>
                <w:color w:val="auto"/>
              </w:rPr>
            </w:pPr>
          </w:p>
        </w:tc>
        <w:tc>
          <w:tcPr>
            <w:tcW w:w="551" w:type="pct"/>
            <w:vMerge w:val="continue"/>
            <w:vAlign w:val="center"/>
          </w:tcPr>
          <w:p w14:paraId="20D6A4CA">
            <w:pPr>
              <w:spacing w:line="280" w:lineRule="exact"/>
              <w:jc w:val="center"/>
              <w:rPr>
                <w:color w:val="auto"/>
              </w:rPr>
            </w:pPr>
          </w:p>
        </w:tc>
        <w:tc>
          <w:tcPr>
            <w:tcW w:w="1272" w:type="pct"/>
            <w:gridSpan w:val="2"/>
            <w:vAlign w:val="center"/>
          </w:tcPr>
          <w:p w14:paraId="08D8AF5B">
            <w:pPr>
              <w:adjustRightInd w:val="0"/>
              <w:snapToGrid w:val="0"/>
              <w:jc w:val="center"/>
              <w:rPr>
                <w:rFonts w:hint="default" w:eastAsia="宋体"/>
                <w:color w:val="auto"/>
                <w:lang w:val="en-US" w:eastAsia="zh-CN"/>
              </w:rPr>
            </w:pPr>
            <w:r>
              <w:rPr>
                <w:rFonts w:hint="eastAsia"/>
                <w:color w:val="auto"/>
                <w:kern w:val="0"/>
                <w:szCs w:val="21"/>
                <w:lang w:val="en-US" w:eastAsia="zh-CN"/>
              </w:rPr>
              <w:t>园区宿舍楼</w:t>
            </w:r>
          </w:p>
        </w:tc>
        <w:tc>
          <w:tcPr>
            <w:tcW w:w="601" w:type="pct"/>
            <w:gridSpan w:val="2"/>
            <w:shd w:val="clear" w:color="auto" w:fill="auto"/>
            <w:vAlign w:val="center"/>
          </w:tcPr>
          <w:p w14:paraId="55EAA3BA">
            <w:pPr>
              <w:spacing w:line="280" w:lineRule="exact"/>
              <w:jc w:val="center"/>
              <w:rPr>
                <w:rFonts w:ascii="Times New Roman" w:hAnsi="Times New Roman" w:eastAsia="宋体" w:cs="Times New Roman"/>
                <w:color w:val="auto"/>
                <w:kern w:val="2"/>
                <w:sz w:val="21"/>
                <w:szCs w:val="24"/>
                <w:lang w:val="en-GB" w:eastAsia="zh-CN" w:bidi="ar-SA"/>
              </w:rPr>
            </w:pPr>
            <w:r>
              <w:rPr>
                <w:rFonts w:hint="eastAsia"/>
                <w:color w:val="auto"/>
                <w:lang w:val="en-US" w:eastAsia="zh-CN"/>
              </w:rPr>
              <w:t>1.04</w:t>
            </w:r>
            <w:r>
              <w:rPr>
                <w:color w:val="auto"/>
              </w:rPr>
              <w:t>E</w:t>
            </w:r>
            <w:r>
              <w:rPr>
                <w:rFonts w:hint="eastAsia"/>
                <w:color w:val="auto"/>
                <w:lang w:val="en-US" w:eastAsia="zh-CN"/>
              </w:rPr>
              <w:t>-01</w:t>
            </w:r>
          </w:p>
        </w:tc>
        <w:tc>
          <w:tcPr>
            <w:tcW w:w="857" w:type="pct"/>
            <w:gridSpan w:val="2"/>
            <w:shd w:val="clear" w:color="auto" w:fill="auto"/>
            <w:vAlign w:val="center"/>
          </w:tcPr>
          <w:p w14:paraId="55958F87">
            <w:pPr>
              <w:spacing w:line="280" w:lineRule="exact"/>
              <w:jc w:val="center"/>
              <w:rPr>
                <w:rFonts w:ascii="Times New Roman" w:hAnsi="Times New Roman" w:eastAsia="宋体" w:cs="Times New Roman"/>
                <w:color w:val="auto"/>
                <w:kern w:val="2"/>
                <w:sz w:val="21"/>
                <w:szCs w:val="24"/>
                <w:lang w:val="en-GB" w:eastAsia="zh-CN" w:bidi="ar-SA"/>
              </w:rPr>
            </w:pPr>
            <w:r>
              <w:rPr>
                <w:rFonts w:hint="eastAsia"/>
                <w:color w:val="auto"/>
                <w:lang w:val="en-US" w:eastAsia="zh-CN"/>
              </w:rPr>
              <w:t>5</w:t>
            </w:r>
          </w:p>
        </w:tc>
        <w:tc>
          <w:tcPr>
            <w:tcW w:w="634" w:type="pct"/>
            <w:shd w:val="clear" w:color="auto" w:fill="auto"/>
            <w:vAlign w:val="center"/>
          </w:tcPr>
          <w:p w14:paraId="021E076F">
            <w:pPr>
              <w:spacing w:line="280" w:lineRule="exact"/>
              <w:jc w:val="center"/>
              <w:rPr>
                <w:rFonts w:ascii="Times New Roman" w:hAnsi="Times New Roman" w:eastAsia="宋体" w:cs="Times New Roman"/>
                <w:color w:val="auto"/>
                <w:kern w:val="2"/>
                <w:sz w:val="21"/>
                <w:szCs w:val="24"/>
                <w:lang w:val="en-GB" w:eastAsia="zh-CN" w:bidi="ar-SA"/>
              </w:rPr>
            </w:pPr>
            <w:r>
              <w:rPr>
                <w:color w:val="auto"/>
              </w:rPr>
              <w:t>无</w:t>
            </w:r>
          </w:p>
        </w:tc>
      </w:tr>
      <w:tr w14:paraId="124068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75AE1BE8">
            <w:pPr>
              <w:spacing w:line="280" w:lineRule="exact"/>
              <w:jc w:val="center"/>
              <w:rPr>
                <w:color w:val="auto"/>
              </w:rPr>
            </w:pPr>
          </w:p>
        </w:tc>
        <w:tc>
          <w:tcPr>
            <w:tcW w:w="229" w:type="pct"/>
            <w:vMerge w:val="continue"/>
            <w:vAlign w:val="center"/>
          </w:tcPr>
          <w:p w14:paraId="19CF7B91">
            <w:pPr>
              <w:spacing w:line="280" w:lineRule="exact"/>
              <w:jc w:val="center"/>
              <w:rPr>
                <w:color w:val="auto"/>
              </w:rPr>
            </w:pPr>
          </w:p>
        </w:tc>
        <w:tc>
          <w:tcPr>
            <w:tcW w:w="551" w:type="pct"/>
            <w:vMerge w:val="restart"/>
            <w:vAlign w:val="center"/>
          </w:tcPr>
          <w:p w14:paraId="7D5AD3E3">
            <w:pPr>
              <w:spacing w:line="280" w:lineRule="exact"/>
              <w:jc w:val="center"/>
              <w:rPr>
                <w:color w:val="auto"/>
              </w:rPr>
            </w:pPr>
            <w:r>
              <w:rPr>
                <w:rFonts w:hint="eastAsia"/>
                <w:color w:val="auto"/>
                <w:lang w:eastAsia="zh-CN"/>
              </w:rPr>
              <w:t>氢氟酸</w:t>
            </w:r>
            <w:r>
              <w:rPr>
                <w:color w:val="auto"/>
              </w:rPr>
              <w:t>（储罐）</w:t>
            </w:r>
          </w:p>
        </w:tc>
        <w:tc>
          <w:tcPr>
            <w:tcW w:w="1272" w:type="pct"/>
            <w:gridSpan w:val="2"/>
            <w:vAlign w:val="center"/>
          </w:tcPr>
          <w:p w14:paraId="102803E4">
            <w:pPr>
              <w:spacing w:line="280" w:lineRule="exact"/>
              <w:jc w:val="center"/>
              <w:rPr>
                <w:color w:val="auto"/>
              </w:rPr>
            </w:pPr>
            <w:r>
              <w:rPr>
                <w:color w:val="auto"/>
              </w:rPr>
              <w:t>大气毒性终点浓度-1</w:t>
            </w:r>
          </w:p>
        </w:tc>
        <w:tc>
          <w:tcPr>
            <w:tcW w:w="601" w:type="pct"/>
            <w:gridSpan w:val="2"/>
            <w:vAlign w:val="center"/>
          </w:tcPr>
          <w:p w14:paraId="7F6C3A56">
            <w:pPr>
              <w:spacing w:line="280" w:lineRule="exact"/>
              <w:jc w:val="center"/>
              <w:rPr>
                <w:color w:val="auto"/>
                <w:lang w:val="en-GB"/>
              </w:rPr>
            </w:pPr>
            <w:r>
              <w:rPr>
                <w:color w:val="auto"/>
              </w:rPr>
              <w:t>36</w:t>
            </w:r>
          </w:p>
        </w:tc>
        <w:tc>
          <w:tcPr>
            <w:tcW w:w="857" w:type="pct"/>
            <w:gridSpan w:val="2"/>
            <w:shd w:val="clear" w:color="auto" w:fill="auto"/>
            <w:vAlign w:val="center"/>
          </w:tcPr>
          <w:p w14:paraId="2C726316">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310</w:t>
            </w:r>
          </w:p>
        </w:tc>
        <w:tc>
          <w:tcPr>
            <w:tcW w:w="634" w:type="pct"/>
            <w:shd w:val="clear" w:color="auto" w:fill="auto"/>
            <w:vAlign w:val="center"/>
          </w:tcPr>
          <w:p w14:paraId="66E0DC7A">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1.4</w:t>
            </w:r>
          </w:p>
        </w:tc>
      </w:tr>
      <w:tr w14:paraId="7A2965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27FE8D5D">
            <w:pPr>
              <w:spacing w:line="280" w:lineRule="exact"/>
              <w:jc w:val="center"/>
              <w:rPr>
                <w:color w:val="auto"/>
              </w:rPr>
            </w:pPr>
          </w:p>
        </w:tc>
        <w:tc>
          <w:tcPr>
            <w:tcW w:w="229" w:type="pct"/>
            <w:vMerge w:val="continue"/>
            <w:vAlign w:val="center"/>
          </w:tcPr>
          <w:p w14:paraId="73C523A2">
            <w:pPr>
              <w:spacing w:line="280" w:lineRule="exact"/>
              <w:jc w:val="center"/>
              <w:rPr>
                <w:color w:val="auto"/>
              </w:rPr>
            </w:pPr>
          </w:p>
        </w:tc>
        <w:tc>
          <w:tcPr>
            <w:tcW w:w="551" w:type="pct"/>
            <w:vMerge w:val="continue"/>
            <w:vAlign w:val="center"/>
          </w:tcPr>
          <w:p w14:paraId="37493C29">
            <w:pPr>
              <w:spacing w:line="280" w:lineRule="exact"/>
              <w:jc w:val="center"/>
              <w:rPr>
                <w:color w:val="auto"/>
              </w:rPr>
            </w:pPr>
          </w:p>
        </w:tc>
        <w:tc>
          <w:tcPr>
            <w:tcW w:w="1272" w:type="pct"/>
            <w:gridSpan w:val="2"/>
            <w:vAlign w:val="center"/>
          </w:tcPr>
          <w:p w14:paraId="3B841602">
            <w:pPr>
              <w:spacing w:line="280" w:lineRule="exact"/>
              <w:jc w:val="center"/>
              <w:rPr>
                <w:color w:val="auto"/>
              </w:rPr>
            </w:pPr>
            <w:r>
              <w:rPr>
                <w:color w:val="auto"/>
              </w:rPr>
              <w:t>大气毒性终点浓度-2</w:t>
            </w:r>
          </w:p>
        </w:tc>
        <w:tc>
          <w:tcPr>
            <w:tcW w:w="601" w:type="pct"/>
            <w:gridSpan w:val="2"/>
            <w:vAlign w:val="center"/>
          </w:tcPr>
          <w:p w14:paraId="4B42A1EA">
            <w:pPr>
              <w:spacing w:line="280" w:lineRule="exact"/>
              <w:jc w:val="center"/>
              <w:rPr>
                <w:color w:val="auto"/>
                <w:lang w:val="en-GB"/>
              </w:rPr>
            </w:pPr>
            <w:r>
              <w:rPr>
                <w:color w:val="auto"/>
              </w:rPr>
              <w:t>20</w:t>
            </w:r>
          </w:p>
        </w:tc>
        <w:tc>
          <w:tcPr>
            <w:tcW w:w="857" w:type="pct"/>
            <w:gridSpan w:val="2"/>
            <w:shd w:val="clear" w:color="auto" w:fill="auto"/>
            <w:vAlign w:val="center"/>
          </w:tcPr>
          <w:p w14:paraId="47EE9A2B">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440</w:t>
            </w:r>
          </w:p>
        </w:tc>
        <w:tc>
          <w:tcPr>
            <w:tcW w:w="634" w:type="pct"/>
            <w:shd w:val="clear" w:color="auto" w:fill="auto"/>
            <w:vAlign w:val="center"/>
          </w:tcPr>
          <w:p w14:paraId="29C7599A">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2.0</w:t>
            </w:r>
          </w:p>
        </w:tc>
      </w:tr>
      <w:tr w14:paraId="683E8C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5D8F0549">
            <w:pPr>
              <w:spacing w:line="280" w:lineRule="exact"/>
              <w:jc w:val="center"/>
              <w:rPr>
                <w:color w:val="auto"/>
              </w:rPr>
            </w:pPr>
          </w:p>
        </w:tc>
        <w:tc>
          <w:tcPr>
            <w:tcW w:w="229" w:type="pct"/>
            <w:vMerge w:val="continue"/>
            <w:vAlign w:val="center"/>
          </w:tcPr>
          <w:p w14:paraId="310A8B45">
            <w:pPr>
              <w:spacing w:line="280" w:lineRule="exact"/>
              <w:jc w:val="center"/>
              <w:rPr>
                <w:color w:val="auto"/>
              </w:rPr>
            </w:pPr>
          </w:p>
        </w:tc>
        <w:tc>
          <w:tcPr>
            <w:tcW w:w="551" w:type="pct"/>
            <w:vMerge w:val="continue"/>
            <w:vAlign w:val="center"/>
          </w:tcPr>
          <w:p w14:paraId="083A5F8E">
            <w:pPr>
              <w:spacing w:line="280" w:lineRule="exact"/>
              <w:jc w:val="center"/>
              <w:rPr>
                <w:color w:val="auto"/>
              </w:rPr>
            </w:pPr>
          </w:p>
        </w:tc>
        <w:tc>
          <w:tcPr>
            <w:tcW w:w="1272" w:type="pct"/>
            <w:gridSpan w:val="2"/>
            <w:vAlign w:val="center"/>
          </w:tcPr>
          <w:p w14:paraId="457E50D3">
            <w:pPr>
              <w:spacing w:line="280" w:lineRule="exact"/>
              <w:jc w:val="center"/>
              <w:rPr>
                <w:color w:val="auto"/>
              </w:rPr>
            </w:pPr>
            <w:r>
              <w:rPr>
                <w:color w:val="auto"/>
              </w:rPr>
              <w:t>敏感目标名称</w:t>
            </w:r>
          </w:p>
        </w:tc>
        <w:tc>
          <w:tcPr>
            <w:tcW w:w="601" w:type="pct"/>
            <w:gridSpan w:val="2"/>
            <w:vAlign w:val="center"/>
          </w:tcPr>
          <w:p w14:paraId="4C7CA92B">
            <w:pPr>
              <w:spacing w:line="280" w:lineRule="exact"/>
              <w:jc w:val="center"/>
              <w:rPr>
                <w:color w:val="auto"/>
              </w:rPr>
            </w:pPr>
            <w:r>
              <w:rPr>
                <w:color w:val="auto"/>
              </w:rPr>
              <w:t>最大浓度值/(mg/m</w:t>
            </w:r>
            <w:r>
              <w:rPr>
                <w:color w:val="auto"/>
                <w:vertAlign w:val="superscript"/>
              </w:rPr>
              <w:t>3</w:t>
            </w:r>
            <w:r>
              <w:rPr>
                <w:color w:val="auto"/>
              </w:rPr>
              <w:t>)</w:t>
            </w:r>
          </w:p>
        </w:tc>
        <w:tc>
          <w:tcPr>
            <w:tcW w:w="857" w:type="pct"/>
            <w:gridSpan w:val="2"/>
            <w:vAlign w:val="center"/>
          </w:tcPr>
          <w:p w14:paraId="5916F895">
            <w:pPr>
              <w:spacing w:line="280" w:lineRule="exact"/>
              <w:jc w:val="center"/>
              <w:rPr>
                <w:color w:val="auto"/>
              </w:rPr>
            </w:pPr>
            <w:r>
              <w:rPr>
                <w:color w:val="auto"/>
              </w:rPr>
              <w:t>超标持续时间/min</w:t>
            </w:r>
          </w:p>
        </w:tc>
        <w:tc>
          <w:tcPr>
            <w:tcW w:w="634" w:type="pct"/>
            <w:vAlign w:val="center"/>
          </w:tcPr>
          <w:p w14:paraId="2DA1B094">
            <w:pPr>
              <w:spacing w:line="280" w:lineRule="exact"/>
              <w:jc w:val="center"/>
              <w:rPr>
                <w:color w:val="auto"/>
              </w:rPr>
            </w:pPr>
            <w:r>
              <w:rPr>
                <w:color w:val="auto"/>
              </w:rPr>
              <w:t>超标时间/min</w:t>
            </w:r>
          </w:p>
        </w:tc>
      </w:tr>
      <w:tr w14:paraId="2CA2FF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32B14BC6">
            <w:pPr>
              <w:spacing w:line="280" w:lineRule="exact"/>
              <w:jc w:val="center"/>
              <w:rPr>
                <w:color w:val="auto"/>
              </w:rPr>
            </w:pPr>
          </w:p>
        </w:tc>
        <w:tc>
          <w:tcPr>
            <w:tcW w:w="229" w:type="pct"/>
            <w:vMerge w:val="continue"/>
            <w:vAlign w:val="center"/>
          </w:tcPr>
          <w:p w14:paraId="157F9800">
            <w:pPr>
              <w:spacing w:line="280" w:lineRule="exact"/>
              <w:jc w:val="center"/>
              <w:rPr>
                <w:color w:val="auto"/>
              </w:rPr>
            </w:pPr>
          </w:p>
        </w:tc>
        <w:tc>
          <w:tcPr>
            <w:tcW w:w="551" w:type="pct"/>
            <w:vMerge w:val="continue"/>
            <w:vAlign w:val="center"/>
          </w:tcPr>
          <w:p w14:paraId="057861A2">
            <w:pPr>
              <w:spacing w:line="280" w:lineRule="exact"/>
              <w:jc w:val="center"/>
              <w:rPr>
                <w:color w:val="auto"/>
              </w:rPr>
            </w:pPr>
          </w:p>
        </w:tc>
        <w:tc>
          <w:tcPr>
            <w:tcW w:w="1272" w:type="pct"/>
            <w:gridSpan w:val="2"/>
            <w:vAlign w:val="center"/>
          </w:tcPr>
          <w:p w14:paraId="5F1F3E0A">
            <w:pPr>
              <w:adjustRightInd w:val="0"/>
              <w:snapToGrid w:val="0"/>
              <w:jc w:val="center"/>
              <w:rPr>
                <w:color w:val="auto"/>
              </w:rPr>
            </w:pPr>
            <w:r>
              <w:rPr>
                <w:rFonts w:hint="eastAsia"/>
                <w:color w:val="auto"/>
                <w:kern w:val="0"/>
                <w:szCs w:val="21"/>
                <w:lang w:val="en-US" w:eastAsia="zh-CN"/>
              </w:rPr>
              <w:t>园区宿舍楼</w:t>
            </w:r>
          </w:p>
        </w:tc>
        <w:tc>
          <w:tcPr>
            <w:tcW w:w="601" w:type="pct"/>
            <w:gridSpan w:val="2"/>
            <w:vAlign w:val="center"/>
          </w:tcPr>
          <w:p w14:paraId="24DDA31E">
            <w:pPr>
              <w:spacing w:line="280" w:lineRule="exact"/>
              <w:jc w:val="center"/>
              <w:rPr>
                <w:color w:val="auto"/>
              </w:rPr>
            </w:pPr>
            <w:r>
              <w:rPr>
                <w:rFonts w:hint="eastAsia"/>
                <w:color w:val="auto"/>
                <w:lang w:val="en-US" w:eastAsia="zh-CN"/>
              </w:rPr>
              <w:t>7.51E-01</w:t>
            </w:r>
          </w:p>
        </w:tc>
        <w:tc>
          <w:tcPr>
            <w:tcW w:w="857" w:type="pct"/>
            <w:gridSpan w:val="2"/>
            <w:vAlign w:val="center"/>
          </w:tcPr>
          <w:p w14:paraId="76972440">
            <w:pPr>
              <w:spacing w:line="280" w:lineRule="exact"/>
              <w:jc w:val="center"/>
              <w:rPr>
                <w:color w:val="auto"/>
              </w:rPr>
            </w:pPr>
            <w:r>
              <w:rPr>
                <w:color w:val="auto"/>
              </w:rPr>
              <w:t>5</w:t>
            </w:r>
          </w:p>
        </w:tc>
        <w:tc>
          <w:tcPr>
            <w:tcW w:w="634" w:type="pct"/>
            <w:vAlign w:val="center"/>
          </w:tcPr>
          <w:p w14:paraId="317E71A9">
            <w:pPr>
              <w:spacing w:line="280" w:lineRule="exact"/>
              <w:jc w:val="center"/>
              <w:rPr>
                <w:color w:val="auto"/>
              </w:rPr>
            </w:pPr>
            <w:r>
              <w:rPr>
                <w:color w:val="auto"/>
              </w:rPr>
              <w:t>无</w:t>
            </w:r>
          </w:p>
        </w:tc>
      </w:tr>
      <w:tr w14:paraId="407515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55955FC1">
            <w:pPr>
              <w:spacing w:line="280" w:lineRule="exact"/>
              <w:jc w:val="center"/>
              <w:rPr>
                <w:color w:val="auto"/>
              </w:rPr>
            </w:pPr>
          </w:p>
        </w:tc>
        <w:tc>
          <w:tcPr>
            <w:tcW w:w="229" w:type="pct"/>
            <w:vMerge w:val="continue"/>
            <w:vAlign w:val="center"/>
          </w:tcPr>
          <w:p w14:paraId="6C723ADE">
            <w:pPr>
              <w:spacing w:line="280" w:lineRule="exact"/>
              <w:jc w:val="center"/>
              <w:rPr>
                <w:color w:val="auto"/>
              </w:rPr>
            </w:pPr>
          </w:p>
        </w:tc>
        <w:tc>
          <w:tcPr>
            <w:tcW w:w="551" w:type="pct"/>
            <w:vMerge w:val="restart"/>
            <w:vAlign w:val="center"/>
          </w:tcPr>
          <w:p w14:paraId="50CEB558">
            <w:pPr>
              <w:spacing w:line="280" w:lineRule="exact"/>
              <w:jc w:val="center"/>
              <w:rPr>
                <w:color w:val="auto"/>
              </w:rPr>
            </w:pPr>
            <w:r>
              <w:rPr>
                <w:rFonts w:hint="eastAsia"/>
                <w:color w:val="auto"/>
                <w:lang w:val="en-US" w:eastAsia="zh-CN"/>
              </w:rPr>
              <w:t>盐酸</w:t>
            </w:r>
            <w:r>
              <w:rPr>
                <w:color w:val="auto"/>
              </w:rPr>
              <w:t>（储罐）</w:t>
            </w:r>
          </w:p>
        </w:tc>
        <w:tc>
          <w:tcPr>
            <w:tcW w:w="1272" w:type="pct"/>
            <w:gridSpan w:val="2"/>
            <w:shd w:val="clear" w:color="auto" w:fill="auto"/>
            <w:vAlign w:val="center"/>
          </w:tcPr>
          <w:p w14:paraId="265CD3A9">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w:t>
            </w:r>
          </w:p>
        </w:tc>
        <w:tc>
          <w:tcPr>
            <w:tcW w:w="601" w:type="pct"/>
            <w:gridSpan w:val="2"/>
            <w:shd w:val="clear" w:color="auto" w:fill="auto"/>
            <w:vAlign w:val="center"/>
          </w:tcPr>
          <w:p w14:paraId="3011CB3F">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150</w:t>
            </w:r>
          </w:p>
        </w:tc>
        <w:tc>
          <w:tcPr>
            <w:tcW w:w="857" w:type="pct"/>
            <w:gridSpan w:val="2"/>
            <w:shd w:val="clear" w:color="auto" w:fill="auto"/>
            <w:vAlign w:val="center"/>
          </w:tcPr>
          <w:p w14:paraId="00230293">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110</w:t>
            </w:r>
          </w:p>
        </w:tc>
        <w:tc>
          <w:tcPr>
            <w:tcW w:w="634" w:type="pct"/>
            <w:shd w:val="clear" w:color="auto" w:fill="auto"/>
            <w:vAlign w:val="center"/>
          </w:tcPr>
          <w:p w14:paraId="0C3A2CB6">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1.2</w:t>
            </w:r>
          </w:p>
        </w:tc>
      </w:tr>
      <w:tr w14:paraId="5ADFD7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5A6327BA">
            <w:pPr>
              <w:spacing w:line="280" w:lineRule="exact"/>
              <w:jc w:val="center"/>
              <w:rPr>
                <w:color w:val="auto"/>
              </w:rPr>
            </w:pPr>
          </w:p>
        </w:tc>
        <w:tc>
          <w:tcPr>
            <w:tcW w:w="229" w:type="pct"/>
            <w:vMerge w:val="continue"/>
            <w:vAlign w:val="center"/>
          </w:tcPr>
          <w:p w14:paraId="79ECB962">
            <w:pPr>
              <w:spacing w:line="280" w:lineRule="exact"/>
              <w:jc w:val="center"/>
              <w:rPr>
                <w:color w:val="auto"/>
              </w:rPr>
            </w:pPr>
          </w:p>
        </w:tc>
        <w:tc>
          <w:tcPr>
            <w:tcW w:w="551" w:type="pct"/>
            <w:vMerge w:val="continue"/>
            <w:vAlign w:val="center"/>
          </w:tcPr>
          <w:p w14:paraId="7323FC04">
            <w:pPr>
              <w:spacing w:line="280" w:lineRule="exact"/>
              <w:jc w:val="center"/>
              <w:rPr>
                <w:color w:val="auto"/>
              </w:rPr>
            </w:pPr>
          </w:p>
        </w:tc>
        <w:tc>
          <w:tcPr>
            <w:tcW w:w="1272" w:type="pct"/>
            <w:gridSpan w:val="2"/>
            <w:shd w:val="clear" w:color="auto" w:fill="auto"/>
            <w:vAlign w:val="center"/>
          </w:tcPr>
          <w:p w14:paraId="0CD68DAF">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w:t>
            </w:r>
          </w:p>
        </w:tc>
        <w:tc>
          <w:tcPr>
            <w:tcW w:w="601" w:type="pct"/>
            <w:gridSpan w:val="2"/>
            <w:shd w:val="clear" w:color="auto" w:fill="auto"/>
            <w:vAlign w:val="center"/>
          </w:tcPr>
          <w:p w14:paraId="30466542">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33</w:t>
            </w:r>
          </w:p>
        </w:tc>
        <w:tc>
          <w:tcPr>
            <w:tcW w:w="857" w:type="pct"/>
            <w:gridSpan w:val="2"/>
            <w:shd w:val="clear" w:color="auto" w:fill="auto"/>
            <w:vAlign w:val="center"/>
          </w:tcPr>
          <w:p w14:paraId="613BAB53">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290</w:t>
            </w:r>
          </w:p>
        </w:tc>
        <w:tc>
          <w:tcPr>
            <w:tcW w:w="634" w:type="pct"/>
            <w:shd w:val="clear" w:color="auto" w:fill="auto"/>
            <w:vAlign w:val="center"/>
          </w:tcPr>
          <w:p w14:paraId="7EA20B43">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3.3</w:t>
            </w:r>
          </w:p>
        </w:tc>
      </w:tr>
      <w:tr w14:paraId="577922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000BB7D1">
            <w:pPr>
              <w:spacing w:line="280" w:lineRule="exact"/>
              <w:jc w:val="center"/>
              <w:rPr>
                <w:color w:val="auto"/>
              </w:rPr>
            </w:pPr>
          </w:p>
        </w:tc>
        <w:tc>
          <w:tcPr>
            <w:tcW w:w="229" w:type="pct"/>
            <w:vMerge w:val="continue"/>
            <w:vAlign w:val="center"/>
          </w:tcPr>
          <w:p w14:paraId="7D3B0B33">
            <w:pPr>
              <w:spacing w:line="280" w:lineRule="exact"/>
              <w:jc w:val="center"/>
              <w:rPr>
                <w:color w:val="auto"/>
              </w:rPr>
            </w:pPr>
          </w:p>
        </w:tc>
        <w:tc>
          <w:tcPr>
            <w:tcW w:w="551" w:type="pct"/>
            <w:vMerge w:val="continue"/>
            <w:vAlign w:val="center"/>
          </w:tcPr>
          <w:p w14:paraId="5852B27E">
            <w:pPr>
              <w:spacing w:line="280" w:lineRule="exact"/>
              <w:jc w:val="center"/>
              <w:rPr>
                <w:color w:val="auto"/>
              </w:rPr>
            </w:pPr>
          </w:p>
        </w:tc>
        <w:tc>
          <w:tcPr>
            <w:tcW w:w="1272" w:type="pct"/>
            <w:gridSpan w:val="2"/>
            <w:shd w:val="clear" w:color="auto" w:fill="auto"/>
            <w:vAlign w:val="center"/>
          </w:tcPr>
          <w:p w14:paraId="016E8945">
            <w:pPr>
              <w:spacing w:line="280" w:lineRule="exact"/>
              <w:jc w:val="center"/>
              <w:rPr>
                <w:rFonts w:ascii="Times New Roman" w:hAnsi="Times New Roman" w:eastAsia="宋体" w:cs="Times New Roman"/>
                <w:color w:val="auto"/>
                <w:kern w:val="2"/>
                <w:sz w:val="21"/>
                <w:szCs w:val="24"/>
                <w:lang w:val="en-US" w:eastAsia="zh-CN" w:bidi="ar-SA"/>
              </w:rPr>
            </w:pPr>
            <w:r>
              <w:rPr>
                <w:color w:val="auto"/>
              </w:rPr>
              <w:t>敏感目标名称</w:t>
            </w:r>
          </w:p>
        </w:tc>
        <w:tc>
          <w:tcPr>
            <w:tcW w:w="601" w:type="pct"/>
            <w:gridSpan w:val="2"/>
            <w:shd w:val="clear" w:color="auto" w:fill="auto"/>
            <w:vAlign w:val="center"/>
          </w:tcPr>
          <w:p w14:paraId="21B35B11">
            <w:pPr>
              <w:spacing w:line="280" w:lineRule="exact"/>
              <w:jc w:val="center"/>
              <w:rPr>
                <w:rFonts w:ascii="Times New Roman" w:hAnsi="Times New Roman" w:eastAsia="宋体" w:cs="Times New Roman"/>
                <w:color w:val="auto"/>
                <w:kern w:val="2"/>
                <w:sz w:val="21"/>
                <w:szCs w:val="24"/>
                <w:lang w:val="en-US" w:eastAsia="zh-CN" w:bidi="ar-SA"/>
              </w:rPr>
            </w:pPr>
            <w:r>
              <w:rPr>
                <w:color w:val="auto"/>
              </w:rPr>
              <w:t>最大浓度值/(mg/m</w:t>
            </w:r>
            <w:r>
              <w:rPr>
                <w:color w:val="auto"/>
                <w:vertAlign w:val="superscript"/>
              </w:rPr>
              <w:t>3</w:t>
            </w:r>
            <w:r>
              <w:rPr>
                <w:color w:val="auto"/>
              </w:rPr>
              <w:t>)</w:t>
            </w:r>
          </w:p>
        </w:tc>
        <w:tc>
          <w:tcPr>
            <w:tcW w:w="857" w:type="pct"/>
            <w:gridSpan w:val="2"/>
            <w:shd w:val="clear" w:color="auto" w:fill="auto"/>
            <w:vAlign w:val="center"/>
          </w:tcPr>
          <w:p w14:paraId="3348C9BD">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超标持续时间/min</w:t>
            </w:r>
          </w:p>
        </w:tc>
        <w:tc>
          <w:tcPr>
            <w:tcW w:w="634" w:type="pct"/>
            <w:shd w:val="clear" w:color="auto" w:fill="auto"/>
            <w:vAlign w:val="center"/>
          </w:tcPr>
          <w:p w14:paraId="74C0B8F5">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超标时间/min</w:t>
            </w:r>
          </w:p>
        </w:tc>
      </w:tr>
      <w:tr w14:paraId="286BA5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230C3D11">
            <w:pPr>
              <w:spacing w:line="280" w:lineRule="exact"/>
              <w:jc w:val="center"/>
              <w:rPr>
                <w:color w:val="auto"/>
              </w:rPr>
            </w:pPr>
          </w:p>
        </w:tc>
        <w:tc>
          <w:tcPr>
            <w:tcW w:w="229" w:type="pct"/>
            <w:vMerge w:val="continue"/>
            <w:vAlign w:val="center"/>
          </w:tcPr>
          <w:p w14:paraId="327CB108">
            <w:pPr>
              <w:spacing w:line="280" w:lineRule="exact"/>
              <w:jc w:val="center"/>
              <w:rPr>
                <w:color w:val="auto"/>
              </w:rPr>
            </w:pPr>
          </w:p>
        </w:tc>
        <w:tc>
          <w:tcPr>
            <w:tcW w:w="551" w:type="pct"/>
            <w:vMerge w:val="continue"/>
            <w:vAlign w:val="center"/>
          </w:tcPr>
          <w:p w14:paraId="0563BAE0">
            <w:pPr>
              <w:spacing w:line="280" w:lineRule="exact"/>
              <w:jc w:val="center"/>
              <w:rPr>
                <w:color w:val="auto"/>
              </w:rPr>
            </w:pPr>
          </w:p>
        </w:tc>
        <w:tc>
          <w:tcPr>
            <w:tcW w:w="1272" w:type="pct"/>
            <w:gridSpan w:val="2"/>
            <w:shd w:val="clear" w:color="auto" w:fill="auto"/>
            <w:vAlign w:val="center"/>
          </w:tcPr>
          <w:p w14:paraId="296363FA">
            <w:pPr>
              <w:adjustRightInd w:val="0"/>
              <w:snapToGrid w:val="0"/>
              <w:jc w:val="center"/>
              <w:rPr>
                <w:rFonts w:ascii="Times New Roman" w:hAnsi="Times New Roman" w:eastAsia="宋体" w:cs="Times New Roman"/>
                <w:color w:val="auto"/>
                <w:kern w:val="2"/>
                <w:sz w:val="21"/>
                <w:szCs w:val="24"/>
                <w:lang w:val="en-US" w:eastAsia="zh-CN" w:bidi="ar-SA"/>
              </w:rPr>
            </w:pPr>
            <w:r>
              <w:rPr>
                <w:rFonts w:hint="eastAsia"/>
                <w:color w:val="auto"/>
                <w:kern w:val="0"/>
                <w:szCs w:val="21"/>
                <w:lang w:val="en-US" w:eastAsia="zh-CN"/>
              </w:rPr>
              <w:t>园区宿舍楼</w:t>
            </w:r>
          </w:p>
        </w:tc>
        <w:tc>
          <w:tcPr>
            <w:tcW w:w="601" w:type="pct"/>
            <w:gridSpan w:val="2"/>
            <w:shd w:val="clear" w:color="auto" w:fill="auto"/>
            <w:vAlign w:val="center"/>
          </w:tcPr>
          <w:p w14:paraId="324D4F5D">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7.96</w:t>
            </w:r>
            <w:r>
              <w:rPr>
                <w:color w:val="auto"/>
              </w:rPr>
              <w:t>E-</w:t>
            </w:r>
            <w:r>
              <w:rPr>
                <w:rFonts w:hint="eastAsia"/>
                <w:color w:val="auto"/>
                <w:lang w:val="en-US" w:eastAsia="zh-CN"/>
              </w:rPr>
              <w:t>08</w:t>
            </w:r>
          </w:p>
        </w:tc>
        <w:tc>
          <w:tcPr>
            <w:tcW w:w="857" w:type="pct"/>
            <w:gridSpan w:val="2"/>
            <w:shd w:val="clear" w:color="auto" w:fill="auto"/>
            <w:vAlign w:val="center"/>
          </w:tcPr>
          <w:p w14:paraId="39CFF51E">
            <w:pPr>
              <w:spacing w:line="280" w:lineRule="exact"/>
              <w:jc w:val="center"/>
              <w:rPr>
                <w:rFonts w:ascii="Times New Roman" w:hAnsi="Times New Roman" w:eastAsia="宋体" w:cs="Times New Roman"/>
                <w:color w:val="auto"/>
                <w:kern w:val="2"/>
                <w:sz w:val="21"/>
                <w:szCs w:val="24"/>
                <w:lang w:val="en-US" w:eastAsia="zh-CN" w:bidi="ar-SA"/>
              </w:rPr>
            </w:pPr>
            <w:r>
              <w:rPr>
                <w:color w:val="auto"/>
              </w:rPr>
              <w:t>5</w:t>
            </w:r>
          </w:p>
        </w:tc>
        <w:tc>
          <w:tcPr>
            <w:tcW w:w="634" w:type="pct"/>
            <w:shd w:val="clear" w:color="auto" w:fill="auto"/>
            <w:vAlign w:val="center"/>
          </w:tcPr>
          <w:p w14:paraId="2C15F94A">
            <w:pPr>
              <w:spacing w:line="280" w:lineRule="exact"/>
              <w:jc w:val="center"/>
              <w:rPr>
                <w:rFonts w:ascii="Times New Roman" w:hAnsi="Times New Roman" w:eastAsia="宋体" w:cs="Times New Roman"/>
                <w:color w:val="auto"/>
                <w:kern w:val="2"/>
                <w:sz w:val="21"/>
                <w:szCs w:val="24"/>
                <w:lang w:val="en-US" w:eastAsia="zh-CN" w:bidi="ar-SA"/>
              </w:rPr>
            </w:pPr>
            <w:r>
              <w:rPr>
                <w:color w:val="auto"/>
              </w:rPr>
              <w:t>无</w:t>
            </w:r>
          </w:p>
        </w:tc>
      </w:tr>
      <w:tr w14:paraId="406401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65FE9B8F">
            <w:pPr>
              <w:spacing w:line="280" w:lineRule="exact"/>
              <w:jc w:val="center"/>
              <w:rPr>
                <w:color w:val="auto"/>
              </w:rPr>
            </w:pPr>
          </w:p>
        </w:tc>
        <w:tc>
          <w:tcPr>
            <w:tcW w:w="229" w:type="pct"/>
            <w:vMerge w:val="restart"/>
            <w:vAlign w:val="center"/>
          </w:tcPr>
          <w:p w14:paraId="14A05D83">
            <w:pPr>
              <w:spacing w:line="280" w:lineRule="exact"/>
              <w:jc w:val="center"/>
              <w:rPr>
                <w:rFonts w:hint="default" w:eastAsia="宋体"/>
                <w:color w:val="auto"/>
                <w:lang w:val="en-US" w:eastAsia="zh-CN"/>
              </w:rPr>
            </w:pPr>
            <w:r>
              <w:rPr>
                <w:rFonts w:hint="eastAsia" w:eastAsia="宋体"/>
                <w:color w:val="auto"/>
                <w:lang w:val="en-US" w:eastAsia="zh-CN"/>
              </w:rPr>
              <w:t>最常见气象条件</w:t>
            </w:r>
          </w:p>
        </w:tc>
        <w:tc>
          <w:tcPr>
            <w:tcW w:w="551" w:type="pct"/>
            <w:vMerge w:val="restart"/>
            <w:shd w:val="clear" w:color="auto" w:fill="auto"/>
            <w:vAlign w:val="center"/>
          </w:tcPr>
          <w:p w14:paraId="020EDA0E">
            <w:pPr>
              <w:spacing w:line="280" w:lineRule="exact"/>
              <w:jc w:val="center"/>
              <w:rPr>
                <w:rFonts w:ascii="Times New Roman" w:hAnsi="Times New Roman" w:eastAsia="宋体" w:cs="Times New Roman"/>
                <w:color w:val="auto"/>
                <w:kern w:val="2"/>
                <w:sz w:val="21"/>
                <w:szCs w:val="24"/>
                <w:lang w:val="en-US" w:eastAsia="zh-CN" w:bidi="ar-SA"/>
              </w:rPr>
            </w:pPr>
            <w:r>
              <w:rPr>
                <w:color w:val="auto"/>
              </w:rPr>
              <w:t>氯化氢（</w:t>
            </w:r>
            <w:r>
              <w:rPr>
                <w:rFonts w:hint="eastAsia"/>
                <w:color w:val="auto"/>
                <w:lang w:val="en-US" w:eastAsia="zh-CN"/>
              </w:rPr>
              <w:t>钢瓶</w:t>
            </w:r>
            <w:r>
              <w:rPr>
                <w:color w:val="auto"/>
              </w:rPr>
              <w:t>）</w:t>
            </w:r>
          </w:p>
        </w:tc>
        <w:tc>
          <w:tcPr>
            <w:tcW w:w="1272" w:type="pct"/>
            <w:gridSpan w:val="2"/>
            <w:shd w:val="clear" w:color="auto" w:fill="auto"/>
            <w:vAlign w:val="center"/>
          </w:tcPr>
          <w:p w14:paraId="3FD1BB13">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w:t>
            </w:r>
          </w:p>
        </w:tc>
        <w:tc>
          <w:tcPr>
            <w:tcW w:w="601" w:type="pct"/>
            <w:gridSpan w:val="2"/>
            <w:shd w:val="clear" w:color="auto" w:fill="auto"/>
            <w:vAlign w:val="center"/>
          </w:tcPr>
          <w:p w14:paraId="47EDD884">
            <w:pPr>
              <w:spacing w:line="280" w:lineRule="exact"/>
              <w:jc w:val="center"/>
              <w:rPr>
                <w:rFonts w:ascii="Times New Roman" w:hAnsi="Times New Roman" w:eastAsia="宋体" w:cs="Times New Roman"/>
                <w:color w:val="auto"/>
                <w:kern w:val="2"/>
                <w:sz w:val="21"/>
                <w:szCs w:val="24"/>
                <w:lang w:val="en-GB" w:eastAsia="zh-CN" w:bidi="ar-SA"/>
              </w:rPr>
            </w:pPr>
            <w:r>
              <w:rPr>
                <w:color w:val="auto"/>
              </w:rPr>
              <w:t>150</w:t>
            </w:r>
          </w:p>
        </w:tc>
        <w:tc>
          <w:tcPr>
            <w:tcW w:w="857" w:type="pct"/>
            <w:gridSpan w:val="2"/>
            <w:shd w:val="clear" w:color="auto" w:fill="auto"/>
            <w:vAlign w:val="center"/>
          </w:tcPr>
          <w:p w14:paraId="16E042F5">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40</w:t>
            </w:r>
          </w:p>
        </w:tc>
        <w:tc>
          <w:tcPr>
            <w:tcW w:w="634" w:type="pct"/>
            <w:shd w:val="clear" w:color="auto" w:fill="auto"/>
            <w:vAlign w:val="center"/>
          </w:tcPr>
          <w:p w14:paraId="46838852">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0.4</w:t>
            </w:r>
          </w:p>
        </w:tc>
      </w:tr>
      <w:tr w14:paraId="7F4C1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0DBBC590">
            <w:pPr>
              <w:spacing w:line="280" w:lineRule="exact"/>
              <w:jc w:val="center"/>
              <w:rPr>
                <w:color w:val="auto"/>
              </w:rPr>
            </w:pPr>
          </w:p>
        </w:tc>
        <w:tc>
          <w:tcPr>
            <w:tcW w:w="229" w:type="pct"/>
            <w:vMerge w:val="continue"/>
            <w:vAlign w:val="center"/>
          </w:tcPr>
          <w:p w14:paraId="629D8E09">
            <w:pPr>
              <w:spacing w:line="280" w:lineRule="exact"/>
              <w:jc w:val="center"/>
              <w:rPr>
                <w:color w:val="auto"/>
              </w:rPr>
            </w:pPr>
          </w:p>
        </w:tc>
        <w:tc>
          <w:tcPr>
            <w:tcW w:w="551" w:type="pct"/>
            <w:vMerge w:val="continue"/>
            <w:vAlign w:val="center"/>
          </w:tcPr>
          <w:p w14:paraId="65E0B978">
            <w:pPr>
              <w:spacing w:line="280" w:lineRule="exact"/>
              <w:jc w:val="center"/>
              <w:rPr>
                <w:color w:val="auto"/>
              </w:rPr>
            </w:pPr>
          </w:p>
        </w:tc>
        <w:tc>
          <w:tcPr>
            <w:tcW w:w="1272" w:type="pct"/>
            <w:gridSpan w:val="2"/>
            <w:shd w:val="clear" w:color="auto" w:fill="auto"/>
            <w:vAlign w:val="center"/>
          </w:tcPr>
          <w:p w14:paraId="7E940D37">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w:t>
            </w:r>
          </w:p>
        </w:tc>
        <w:tc>
          <w:tcPr>
            <w:tcW w:w="601" w:type="pct"/>
            <w:gridSpan w:val="2"/>
            <w:shd w:val="clear" w:color="auto" w:fill="auto"/>
            <w:vAlign w:val="center"/>
          </w:tcPr>
          <w:p w14:paraId="113CD9E8">
            <w:pPr>
              <w:spacing w:line="280" w:lineRule="exact"/>
              <w:jc w:val="center"/>
              <w:rPr>
                <w:rFonts w:ascii="Times New Roman" w:hAnsi="Times New Roman" w:eastAsia="宋体" w:cs="Times New Roman"/>
                <w:color w:val="auto"/>
                <w:kern w:val="2"/>
                <w:sz w:val="21"/>
                <w:szCs w:val="24"/>
                <w:lang w:val="en-GB" w:eastAsia="zh-CN" w:bidi="ar-SA"/>
              </w:rPr>
            </w:pPr>
            <w:r>
              <w:rPr>
                <w:color w:val="auto"/>
              </w:rPr>
              <w:t>33</w:t>
            </w:r>
          </w:p>
        </w:tc>
        <w:tc>
          <w:tcPr>
            <w:tcW w:w="857" w:type="pct"/>
            <w:gridSpan w:val="2"/>
            <w:shd w:val="clear" w:color="auto" w:fill="auto"/>
            <w:vAlign w:val="center"/>
          </w:tcPr>
          <w:p w14:paraId="04B59BB7">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120</w:t>
            </w:r>
          </w:p>
        </w:tc>
        <w:tc>
          <w:tcPr>
            <w:tcW w:w="634" w:type="pct"/>
            <w:shd w:val="clear" w:color="auto" w:fill="auto"/>
            <w:vAlign w:val="center"/>
          </w:tcPr>
          <w:p w14:paraId="7C04DE70">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r w14:paraId="6BD8D0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3C5A6AA0">
            <w:pPr>
              <w:spacing w:line="280" w:lineRule="exact"/>
              <w:jc w:val="center"/>
              <w:rPr>
                <w:color w:val="auto"/>
              </w:rPr>
            </w:pPr>
          </w:p>
        </w:tc>
        <w:tc>
          <w:tcPr>
            <w:tcW w:w="229" w:type="pct"/>
            <w:vMerge w:val="continue"/>
            <w:vAlign w:val="center"/>
          </w:tcPr>
          <w:p w14:paraId="4891FD17">
            <w:pPr>
              <w:spacing w:line="280" w:lineRule="exact"/>
              <w:jc w:val="center"/>
              <w:rPr>
                <w:color w:val="auto"/>
              </w:rPr>
            </w:pPr>
          </w:p>
        </w:tc>
        <w:tc>
          <w:tcPr>
            <w:tcW w:w="551" w:type="pct"/>
            <w:vMerge w:val="continue"/>
            <w:vAlign w:val="center"/>
          </w:tcPr>
          <w:p w14:paraId="3898E9D8">
            <w:pPr>
              <w:spacing w:line="280" w:lineRule="exact"/>
              <w:jc w:val="center"/>
              <w:rPr>
                <w:color w:val="auto"/>
              </w:rPr>
            </w:pPr>
          </w:p>
        </w:tc>
        <w:tc>
          <w:tcPr>
            <w:tcW w:w="1272" w:type="pct"/>
            <w:gridSpan w:val="2"/>
            <w:shd w:val="clear" w:color="auto" w:fill="auto"/>
            <w:vAlign w:val="center"/>
          </w:tcPr>
          <w:p w14:paraId="1B980BC1">
            <w:pPr>
              <w:spacing w:line="280" w:lineRule="exact"/>
              <w:jc w:val="center"/>
              <w:rPr>
                <w:rFonts w:ascii="Times New Roman" w:hAnsi="Times New Roman" w:eastAsia="宋体" w:cs="Times New Roman"/>
                <w:color w:val="auto"/>
                <w:kern w:val="2"/>
                <w:sz w:val="21"/>
                <w:szCs w:val="24"/>
                <w:lang w:val="en-US" w:eastAsia="zh-CN" w:bidi="ar-SA"/>
              </w:rPr>
            </w:pPr>
            <w:r>
              <w:rPr>
                <w:color w:val="auto"/>
              </w:rPr>
              <w:t>敏感目标名称</w:t>
            </w:r>
          </w:p>
        </w:tc>
        <w:tc>
          <w:tcPr>
            <w:tcW w:w="601" w:type="pct"/>
            <w:gridSpan w:val="2"/>
            <w:shd w:val="clear" w:color="auto" w:fill="auto"/>
            <w:vAlign w:val="center"/>
          </w:tcPr>
          <w:p w14:paraId="17B03049">
            <w:pPr>
              <w:spacing w:line="280" w:lineRule="exact"/>
              <w:jc w:val="center"/>
              <w:rPr>
                <w:rFonts w:ascii="Times New Roman" w:hAnsi="Times New Roman" w:eastAsia="宋体" w:cs="Times New Roman"/>
                <w:color w:val="auto"/>
                <w:kern w:val="2"/>
                <w:sz w:val="21"/>
                <w:szCs w:val="24"/>
                <w:lang w:val="en-US" w:eastAsia="zh-CN" w:bidi="ar-SA"/>
              </w:rPr>
            </w:pPr>
            <w:r>
              <w:rPr>
                <w:color w:val="auto"/>
              </w:rPr>
              <w:t>最大浓度值/(mg/m</w:t>
            </w:r>
            <w:r>
              <w:rPr>
                <w:color w:val="auto"/>
                <w:vertAlign w:val="superscript"/>
              </w:rPr>
              <w:t>3</w:t>
            </w:r>
            <w:r>
              <w:rPr>
                <w:color w:val="auto"/>
              </w:rPr>
              <w:t>)</w:t>
            </w:r>
          </w:p>
        </w:tc>
        <w:tc>
          <w:tcPr>
            <w:tcW w:w="857" w:type="pct"/>
            <w:gridSpan w:val="2"/>
            <w:shd w:val="clear" w:color="auto" w:fill="auto"/>
            <w:vAlign w:val="center"/>
          </w:tcPr>
          <w:p w14:paraId="4145C22A">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超标持续时间/min</w:t>
            </w:r>
          </w:p>
        </w:tc>
        <w:tc>
          <w:tcPr>
            <w:tcW w:w="634" w:type="pct"/>
            <w:shd w:val="clear" w:color="auto" w:fill="auto"/>
            <w:vAlign w:val="center"/>
          </w:tcPr>
          <w:p w14:paraId="29ABD273">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超标时间/min</w:t>
            </w:r>
          </w:p>
        </w:tc>
      </w:tr>
      <w:tr w14:paraId="2BFA33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3D74323F">
            <w:pPr>
              <w:spacing w:line="280" w:lineRule="exact"/>
              <w:jc w:val="center"/>
              <w:rPr>
                <w:color w:val="auto"/>
              </w:rPr>
            </w:pPr>
          </w:p>
        </w:tc>
        <w:tc>
          <w:tcPr>
            <w:tcW w:w="229" w:type="pct"/>
            <w:vMerge w:val="continue"/>
            <w:vAlign w:val="center"/>
          </w:tcPr>
          <w:p w14:paraId="547F83E6">
            <w:pPr>
              <w:spacing w:line="280" w:lineRule="exact"/>
              <w:jc w:val="center"/>
              <w:rPr>
                <w:color w:val="auto"/>
              </w:rPr>
            </w:pPr>
          </w:p>
        </w:tc>
        <w:tc>
          <w:tcPr>
            <w:tcW w:w="551" w:type="pct"/>
            <w:vMerge w:val="continue"/>
            <w:vAlign w:val="center"/>
          </w:tcPr>
          <w:p w14:paraId="004513B3">
            <w:pPr>
              <w:spacing w:line="280" w:lineRule="exact"/>
              <w:jc w:val="center"/>
              <w:rPr>
                <w:color w:val="auto"/>
              </w:rPr>
            </w:pPr>
          </w:p>
        </w:tc>
        <w:tc>
          <w:tcPr>
            <w:tcW w:w="1272" w:type="pct"/>
            <w:gridSpan w:val="2"/>
            <w:shd w:val="clear" w:color="auto" w:fill="auto"/>
            <w:vAlign w:val="center"/>
          </w:tcPr>
          <w:p w14:paraId="7D8A9A15">
            <w:pPr>
              <w:adjustRightInd w:val="0"/>
              <w:snapToGrid w:val="0"/>
              <w:jc w:val="center"/>
              <w:rPr>
                <w:rFonts w:ascii="Times New Roman" w:hAnsi="Times New Roman" w:eastAsia="宋体" w:cs="Times New Roman"/>
                <w:color w:val="auto"/>
                <w:kern w:val="2"/>
                <w:sz w:val="21"/>
                <w:szCs w:val="24"/>
                <w:lang w:val="en-US" w:eastAsia="zh-CN" w:bidi="ar-SA"/>
              </w:rPr>
            </w:pPr>
            <w:r>
              <w:rPr>
                <w:rFonts w:hint="eastAsia"/>
                <w:color w:val="auto"/>
                <w:kern w:val="0"/>
                <w:szCs w:val="21"/>
                <w:lang w:val="en-US" w:eastAsia="zh-CN"/>
              </w:rPr>
              <w:t>园区宿舍楼</w:t>
            </w:r>
          </w:p>
        </w:tc>
        <w:tc>
          <w:tcPr>
            <w:tcW w:w="601" w:type="pct"/>
            <w:gridSpan w:val="2"/>
            <w:shd w:val="clear" w:color="auto" w:fill="auto"/>
            <w:vAlign w:val="center"/>
          </w:tcPr>
          <w:p w14:paraId="3AECDC51">
            <w:pPr>
              <w:spacing w:line="280" w:lineRule="exact"/>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1.18</w:t>
            </w:r>
            <w:r>
              <w:rPr>
                <w:rFonts w:hint="eastAsia" w:ascii="Times New Roman" w:hAnsi="Times New Roman" w:eastAsia="宋体" w:cs="Times New Roman"/>
                <w:color w:val="auto"/>
              </w:rPr>
              <w:t>E-0</w:t>
            </w:r>
            <w:r>
              <w:rPr>
                <w:rFonts w:hint="eastAsia" w:cs="Times New Roman"/>
                <w:color w:val="auto"/>
                <w:lang w:val="en-US" w:eastAsia="zh-CN"/>
              </w:rPr>
              <w:t>0</w:t>
            </w:r>
          </w:p>
        </w:tc>
        <w:tc>
          <w:tcPr>
            <w:tcW w:w="857" w:type="pct"/>
            <w:gridSpan w:val="2"/>
            <w:shd w:val="clear" w:color="auto" w:fill="auto"/>
            <w:vAlign w:val="center"/>
          </w:tcPr>
          <w:p w14:paraId="55E6B803">
            <w:pPr>
              <w:spacing w:line="280" w:lineRule="exact"/>
              <w:jc w:val="center"/>
              <w:rPr>
                <w:rFonts w:ascii="Times New Roman" w:hAnsi="Times New Roman" w:eastAsia="宋体" w:cs="Times New Roman"/>
                <w:color w:val="auto"/>
                <w:kern w:val="2"/>
                <w:sz w:val="21"/>
                <w:szCs w:val="24"/>
                <w:lang w:val="en-US" w:eastAsia="zh-CN" w:bidi="ar-SA"/>
              </w:rPr>
            </w:pPr>
            <w:r>
              <w:rPr>
                <w:color w:val="auto"/>
              </w:rPr>
              <w:t>5</w:t>
            </w:r>
          </w:p>
        </w:tc>
        <w:tc>
          <w:tcPr>
            <w:tcW w:w="634" w:type="pct"/>
            <w:shd w:val="clear" w:color="auto" w:fill="auto"/>
            <w:vAlign w:val="center"/>
          </w:tcPr>
          <w:p w14:paraId="0C7C2BF9">
            <w:pPr>
              <w:spacing w:line="280" w:lineRule="exact"/>
              <w:jc w:val="center"/>
              <w:rPr>
                <w:rFonts w:ascii="Times New Roman" w:hAnsi="Times New Roman" w:eastAsia="宋体" w:cs="Times New Roman"/>
                <w:color w:val="auto"/>
                <w:kern w:val="2"/>
                <w:sz w:val="21"/>
                <w:szCs w:val="24"/>
                <w:lang w:val="en-US" w:eastAsia="zh-CN" w:bidi="ar-SA"/>
              </w:rPr>
            </w:pPr>
            <w:r>
              <w:rPr>
                <w:color w:val="auto"/>
              </w:rPr>
              <w:t>无</w:t>
            </w:r>
          </w:p>
        </w:tc>
      </w:tr>
      <w:tr w14:paraId="040B38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7A99E32B">
            <w:pPr>
              <w:spacing w:line="280" w:lineRule="exact"/>
              <w:jc w:val="center"/>
              <w:rPr>
                <w:color w:val="auto"/>
              </w:rPr>
            </w:pPr>
          </w:p>
        </w:tc>
        <w:tc>
          <w:tcPr>
            <w:tcW w:w="229" w:type="pct"/>
            <w:vMerge w:val="continue"/>
            <w:vAlign w:val="center"/>
          </w:tcPr>
          <w:p w14:paraId="3C1D76C4">
            <w:pPr>
              <w:spacing w:line="280" w:lineRule="exact"/>
              <w:jc w:val="center"/>
              <w:rPr>
                <w:color w:val="auto"/>
              </w:rPr>
            </w:pPr>
          </w:p>
        </w:tc>
        <w:tc>
          <w:tcPr>
            <w:tcW w:w="551" w:type="pct"/>
            <w:vMerge w:val="restart"/>
            <w:shd w:val="clear" w:color="auto" w:fill="auto"/>
            <w:vAlign w:val="center"/>
          </w:tcPr>
          <w:p w14:paraId="5B840F9B">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eastAsia="zh-CN"/>
              </w:rPr>
              <w:t>氢氟酸</w:t>
            </w:r>
            <w:r>
              <w:rPr>
                <w:color w:val="auto"/>
              </w:rPr>
              <w:t>（储罐）</w:t>
            </w:r>
          </w:p>
        </w:tc>
        <w:tc>
          <w:tcPr>
            <w:tcW w:w="1272" w:type="pct"/>
            <w:gridSpan w:val="2"/>
            <w:shd w:val="clear" w:color="auto" w:fill="auto"/>
            <w:vAlign w:val="center"/>
          </w:tcPr>
          <w:p w14:paraId="74072CE3">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w:t>
            </w:r>
          </w:p>
        </w:tc>
        <w:tc>
          <w:tcPr>
            <w:tcW w:w="601" w:type="pct"/>
            <w:gridSpan w:val="2"/>
            <w:shd w:val="clear" w:color="auto" w:fill="auto"/>
            <w:vAlign w:val="center"/>
          </w:tcPr>
          <w:p w14:paraId="4E049A67">
            <w:pPr>
              <w:spacing w:line="280" w:lineRule="exact"/>
              <w:jc w:val="center"/>
              <w:rPr>
                <w:rFonts w:ascii="Times New Roman" w:hAnsi="Times New Roman" w:eastAsia="宋体" w:cs="Times New Roman"/>
                <w:color w:val="auto"/>
                <w:kern w:val="2"/>
                <w:sz w:val="21"/>
                <w:szCs w:val="24"/>
                <w:lang w:val="en-GB" w:eastAsia="zh-CN" w:bidi="ar-SA"/>
              </w:rPr>
            </w:pPr>
            <w:r>
              <w:rPr>
                <w:color w:val="auto"/>
              </w:rPr>
              <w:t>36</w:t>
            </w:r>
          </w:p>
        </w:tc>
        <w:tc>
          <w:tcPr>
            <w:tcW w:w="857" w:type="pct"/>
            <w:gridSpan w:val="2"/>
            <w:shd w:val="clear" w:color="auto" w:fill="auto"/>
            <w:vAlign w:val="center"/>
          </w:tcPr>
          <w:p w14:paraId="7BC61DDD">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220</w:t>
            </w:r>
          </w:p>
        </w:tc>
        <w:tc>
          <w:tcPr>
            <w:tcW w:w="634" w:type="pct"/>
            <w:shd w:val="clear" w:color="auto" w:fill="auto"/>
            <w:vAlign w:val="center"/>
          </w:tcPr>
          <w:p w14:paraId="614182F7">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1.3</w:t>
            </w:r>
          </w:p>
        </w:tc>
      </w:tr>
      <w:tr w14:paraId="31C8B0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41C5BAEB">
            <w:pPr>
              <w:spacing w:line="280" w:lineRule="exact"/>
              <w:jc w:val="center"/>
              <w:rPr>
                <w:color w:val="auto"/>
              </w:rPr>
            </w:pPr>
          </w:p>
        </w:tc>
        <w:tc>
          <w:tcPr>
            <w:tcW w:w="229" w:type="pct"/>
            <w:vMerge w:val="continue"/>
            <w:vAlign w:val="center"/>
          </w:tcPr>
          <w:p w14:paraId="745E4C0B">
            <w:pPr>
              <w:spacing w:line="280" w:lineRule="exact"/>
              <w:jc w:val="center"/>
              <w:rPr>
                <w:color w:val="auto"/>
              </w:rPr>
            </w:pPr>
          </w:p>
        </w:tc>
        <w:tc>
          <w:tcPr>
            <w:tcW w:w="551" w:type="pct"/>
            <w:vMerge w:val="continue"/>
            <w:vAlign w:val="center"/>
          </w:tcPr>
          <w:p w14:paraId="572F0964">
            <w:pPr>
              <w:spacing w:line="280" w:lineRule="exact"/>
              <w:jc w:val="center"/>
              <w:rPr>
                <w:color w:val="auto"/>
              </w:rPr>
            </w:pPr>
          </w:p>
        </w:tc>
        <w:tc>
          <w:tcPr>
            <w:tcW w:w="1272" w:type="pct"/>
            <w:gridSpan w:val="2"/>
            <w:shd w:val="clear" w:color="auto" w:fill="auto"/>
            <w:vAlign w:val="center"/>
          </w:tcPr>
          <w:p w14:paraId="20A47D82">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w:t>
            </w:r>
          </w:p>
        </w:tc>
        <w:tc>
          <w:tcPr>
            <w:tcW w:w="601" w:type="pct"/>
            <w:gridSpan w:val="2"/>
            <w:shd w:val="clear" w:color="auto" w:fill="auto"/>
            <w:vAlign w:val="center"/>
          </w:tcPr>
          <w:p w14:paraId="10863587">
            <w:pPr>
              <w:spacing w:line="280" w:lineRule="exact"/>
              <w:jc w:val="center"/>
              <w:rPr>
                <w:rFonts w:ascii="Times New Roman" w:hAnsi="Times New Roman" w:eastAsia="宋体" w:cs="Times New Roman"/>
                <w:color w:val="auto"/>
                <w:kern w:val="2"/>
                <w:sz w:val="21"/>
                <w:szCs w:val="24"/>
                <w:lang w:val="en-GB" w:eastAsia="zh-CN" w:bidi="ar-SA"/>
              </w:rPr>
            </w:pPr>
            <w:r>
              <w:rPr>
                <w:color w:val="auto"/>
              </w:rPr>
              <w:t>20</w:t>
            </w:r>
          </w:p>
        </w:tc>
        <w:tc>
          <w:tcPr>
            <w:tcW w:w="857" w:type="pct"/>
            <w:gridSpan w:val="2"/>
            <w:shd w:val="clear" w:color="auto" w:fill="auto"/>
            <w:vAlign w:val="center"/>
          </w:tcPr>
          <w:p w14:paraId="1B27BABE">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310</w:t>
            </w:r>
          </w:p>
        </w:tc>
        <w:tc>
          <w:tcPr>
            <w:tcW w:w="634" w:type="pct"/>
            <w:shd w:val="clear" w:color="auto" w:fill="auto"/>
            <w:vAlign w:val="center"/>
          </w:tcPr>
          <w:p w14:paraId="0AA3637B">
            <w:pPr>
              <w:spacing w:line="280" w:lineRule="exact"/>
              <w:jc w:val="center"/>
              <w:rPr>
                <w:rFonts w:hint="default" w:ascii="Times New Roman" w:hAnsi="Times New Roman" w:eastAsia="宋体" w:cs="Times New Roman"/>
                <w:color w:val="auto"/>
                <w:kern w:val="2"/>
                <w:sz w:val="21"/>
                <w:szCs w:val="24"/>
                <w:lang w:val="en-GB" w:eastAsia="zh-CN" w:bidi="ar-SA"/>
              </w:rPr>
            </w:pPr>
            <w:r>
              <w:rPr>
                <w:rFonts w:hint="eastAsia"/>
                <w:color w:val="auto"/>
                <w:lang w:val="en-US" w:eastAsia="zh-CN"/>
              </w:rPr>
              <w:t>1.4</w:t>
            </w:r>
          </w:p>
        </w:tc>
      </w:tr>
      <w:tr w14:paraId="64DD3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2B302D03">
            <w:pPr>
              <w:spacing w:line="280" w:lineRule="exact"/>
              <w:jc w:val="center"/>
              <w:rPr>
                <w:color w:val="auto"/>
              </w:rPr>
            </w:pPr>
          </w:p>
        </w:tc>
        <w:tc>
          <w:tcPr>
            <w:tcW w:w="229" w:type="pct"/>
            <w:vMerge w:val="continue"/>
            <w:vAlign w:val="center"/>
          </w:tcPr>
          <w:p w14:paraId="72722B44">
            <w:pPr>
              <w:spacing w:line="280" w:lineRule="exact"/>
              <w:jc w:val="center"/>
              <w:rPr>
                <w:color w:val="auto"/>
              </w:rPr>
            </w:pPr>
          </w:p>
        </w:tc>
        <w:tc>
          <w:tcPr>
            <w:tcW w:w="551" w:type="pct"/>
            <w:vMerge w:val="continue"/>
            <w:vAlign w:val="center"/>
          </w:tcPr>
          <w:p w14:paraId="28EE15BE">
            <w:pPr>
              <w:spacing w:line="280" w:lineRule="exact"/>
              <w:jc w:val="center"/>
              <w:rPr>
                <w:color w:val="auto"/>
              </w:rPr>
            </w:pPr>
          </w:p>
        </w:tc>
        <w:tc>
          <w:tcPr>
            <w:tcW w:w="1272" w:type="pct"/>
            <w:gridSpan w:val="2"/>
            <w:shd w:val="clear" w:color="auto" w:fill="auto"/>
            <w:vAlign w:val="center"/>
          </w:tcPr>
          <w:p w14:paraId="2CC9BDE7">
            <w:pPr>
              <w:spacing w:line="280" w:lineRule="exact"/>
              <w:jc w:val="center"/>
              <w:rPr>
                <w:rFonts w:ascii="Times New Roman" w:hAnsi="Times New Roman" w:eastAsia="宋体" w:cs="Times New Roman"/>
                <w:color w:val="auto"/>
                <w:kern w:val="2"/>
                <w:sz w:val="21"/>
                <w:szCs w:val="24"/>
                <w:lang w:val="en-US" w:eastAsia="zh-CN" w:bidi="ar-SA"/>
              </w:rPr>
            </w:pPr>
            <w:r>
              <w:rPr>
                <w:color w:val="auto"/>
              </w:rPr>
              <w:t>敏感目标名称</w:t>
            </w:r>
          </w:p>
        </w:tc>
        <w:tc>
          <w:tcPr>
            <w:tcW w:w="601" w:type="pct"/>
            <w:gridSpan w:val="2"/>
            <w:shd w:val="clear" w:color="auto" w:fill="auto"/>
            <w:vAlign w:val="center"/>
          </w:tcPr>
          <w:p w14:paraId="11C6DA51">
            <w:pPr>
              <w:spacing w:line="280" w:lineRule="exact"/>
              <w:jc w:val="center"/>
              <w:rPr>
                <w:rFonts w:ascii="Times New Roman" w:hAnsi="Times New Roman" w:eastAsia="宋体" w:cs="Times New Roman"/>
                <w:color w:val="auto"/>
                <w:kern w:val="2"/>
                <w:sz w:val="21"/>
                <w:szCs w:val="24"/>
                <w:lang w:val="en-US" w:eastAsia="zh-CN" w:bidi="ar-SA"/>
              </w:rPr>
            </w:pPr>
            <w:r>
              <w:rPr>
                <w:color w:val="auto"/>
              </w:rPr>
              <w:t>最大浓度值/(mg/m</w:t>
            </w:r>
            <w:r>
              <w:rPr>
                <w:color w:val="auto"/>
                <w:vertAlign w:val="superscript"/>
              </w:rPr>
              <w:t>3</w:t>
            </w:r>
            <w:r>
              <w:rPr>
                <w:color w:val="auto"/>
              </w:rPr>
              <w:t>)</w:t>
            </w:r>
          </w:p>
        </w:tc>
        <w:tc>
          <w:tcPr>
            <w:tcW w:w="857" w:type="pct"/>
            <w:gridSpan w:val="2"/>
            <w:shd w:val="clear" w:color="auto" w:fill="auto"/>
            <w:vAlign w:val="center"/>
          </w:tcPr>
          <w:p w14:paraId="53500CAD">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超标持续时间/min</w:t>
            </w:r>
          </w:p>
        </w:tc>
        <w:tc>
          <w:tcPr>
            <w:tcW w:w="634" w:type="pct"/>
            <w:shd w:val="clear" w:color="auto" w:fill="auto"/>
            <w:vAlign w:val="center"/>
          </w:tcPr>
          <w:p w14:paraId="2A760B6F">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超标时间/min</w:t>
            </w:r>
          </w:p>
        </w:tc>
      </w:tr>
      <w:tr w14:paraId="275467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2A115938">
            <w:pPr>
              <w:spacing w:line="280" w:lineRule="exact"/>
              <w:jc w:val="center"/>
              <w:rPr>
                <w:color w:val="auto"/>
              </w:rPr>
            </w:pPr>
          </w:p>
        </w:tc>
        <w:tc>
          <w:tcPr>
            <w:tcW w:w="229" w:type="pct"/>
            <w:vMerge w:val="continue"/>
            <w:vAlign w:val="center"/>
          </w:tcPr>
          <w:p w14:paraId="033F24A8">
            <w:pPr>
              <w:spacing w:line="280" w:lineRule="exact"/>
              <w:jc w:val="center"/>
              <w:rPr>
                <w:color w:val="auto"/>
              </w:rPr>
            </w:pPr>
          </w:p>
        </w:tc>
        <w:tc>
          <w:tcPr>
            <w:tcW w:w="551" w:type="pct"/>
            <w:vMerge w:val="continue"/>
            <w:vAlign w:val="center"/>
          </w:tcPr>
          <w:p w14:paraId="7FCA20E5">
            <w:pPr>
              <w:spacing w:line="280" w:lineRule="exact"/>
              <w:jc w:val="center"/>
              <w:rPr>
                <w:color w:val="auto"/>
              </w:rPr>
            </w:pPr>
          </w:p>
        </w:tc>
        <w:tc>
          <w:tcPr>
            <w:tcW w:w="1272" w:type="pct"/>
            <w:gridSpan w:val="2"/>
            <w:shd w:val="clear" w:color="auto" w:fill="auto"/>
            <w:vAlign w:val="center"/>
          </w:tcPr>
          <w:p w14:paraId="7F60C4AA">
            <w:pPr>
              <w:adjustRightInd w:val="0"/>
              <w:snapToGrid w:val="0"/>
              <w:jc w:val="center"/>
              <w:rPr>
                <w:rFonts w:ascii="Times New Roman" w:hAnsi="Times New Roman" w:eastAsia="宋体" w:cs="Times New Roman"/>
                <w:color w:val="auto"/>
                <w:kern w:val="2"/>
                <w:sz w:val="21"/>
                <w:szCs w:val="24"/>
                <w:lang w:val="en-US" w:eastAsia="zh-CN" w:bidi="ar-SA"/>
              </w:rPr>
            </w:pPr>
            <w:r>
              <w:rPr>
                <w:rFonts w:hint="eastAsia"/>
                <w:color w:val="auto"/>
                <w:kern w:val="0"/>
                <w:szCs w:val="21"/>
                <w:lang w:val="en-US" w:eastAsia="zh-CN"/>
              </w:rPr>
              <w:t>园区宿舍楼</w:t>
            </w:r>
          </w:p>
        </w:tc>
        <w:tc>
          <w:tcPr>
            <w:tcW w:w="601" w:type="pct"/>
            <w:gridSpan w:val="2"/>
            <w:shd w:val="clear" w:color="auto" w:fill="auto"/>
            <w:vAlign w:val="center"/>
          </w:tcPr>
          <w:p w14:paraId="66C40BB5">
            <w:pPr>
              <w:spacing w:line="280" w:lineRule="exact"/>
              <w:jc w:val="center"/>
              <w:rPr>
                <w:rFonts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1.82</w:t>
            </w:r>
            <w:r>
              <w:rPr>
                <w:rFonts w:hint="eastAsia" w:ascii="Times New Roman" w:hAnsi="Times New Roman" w:eastAsia="宋体" w:cs="Times New Roman"/>
                <w:color w:val="auto"/>
              </w:rPr>
              <w:t>E</w:t>
            </w:r>
            <w:r>
              <w:rPr>
                <w:rFonts w:hint="eastAsia" w:cs="Times New Roman"/>
                <w:color w:val="auto"/>
                <w:lang w:val="en-US" w:eastAsia="zh-CN"/>
              </w:rPr>
              <w:t>+00</w:t>
            </w:r>
          </w:p>
        </w:tc>
        <w:tc>
          <w:tcPr>
            <w:tcW w:w="857" w:type="pct"/>
            <w:gridSpan w:val="2"/>
            <w:shd w:val="clear" w:color="auto" w:fill="auto"/>
            <w:vAlign w:val="center"/>
          </w:tcPr>
          <w:p w14:paraId="4D62F849">
            <w:pPr>
              <w:spacing w:line="280" w:lineRule="exact"/>
              <w:jc w:val="center"/>
              <w:rPr>
                <w:rFonts w:ascii="Times New Roman" w:hAnsi="Times New Roman" w:eastAsia="宋体" w:cs="Times New Roman"/>
                <w:color w:val="auto"/>
                <w:kern w:val="2"/>
                <w:sz w:val="21"/>
                <w:szCs w:val="24"/>
                <w:lang w:val="en-US" w:eastAsia="zh-CN" w:bidi="ar-SA"/>
              </w:rPr>
            </w:pPr>
            <w:r>
              <w:rPr>
                <w:color w:val="auto"/>
              </w:rPr>
              <w:t>5</w:t>
            </w:r>
          </w:p>
        </w:tc>
        <w:tc>
          <w:tcPr>
            <w:tcW w:w="634" w:type="pct"/>
            <w:shd w:val="clear" w:color="auto" w:fill="auto"/>
            <w:vAlign w:val="center"/>
          </w:tcPr>
          <w:p w14:paraId="33F49C69">
            <w:pPr>
              <w:spacing w:line="280" w:lineRule="exact"/>
              <w:jc w:val="center"/>
              <w:rPr>
                <w:rFonts w:ascii="Times New Roman" w:hAnsi="Times New Roman" w:eastAsia="宋体" w:cs="Times New Roman"/>
                <w:color w:val="auto"/>
                <w:kern w:val="2"/>
                <w:sz w:val="21"/>
                <w:szCs w:val="24"/>
                <w:lang w:val="en-US" w:eastAsia="zh-CN" w:bidi="ar-SA"/>
              </w:rPr>
            </w:pPr>
            <w:r>
              <w:rPr>
                <w:color w:val="auto"/>
              </w:rPr>
              <w:t>无</w:t>
            </w:r>
          </w:p>
        </w:tc>
      </w:tr>
      <w:tr w14:paraId="771887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74D1D20A">
            <w:pPr>
              <w:spacing w:line="280" w:lineRule="exact"/>
              <w:jc w:val="center"/>
              <w:rPr>
                <w:color w:val="auto"/>
              </w:rPr>
            </w:pPr>
          </w:p>
        </w:tc>
        <w:tc>
          <w:tcPr>
            <w:tcW w:w="229" w:type="pct"/>
            <w:vMerge w:val="continue"/>
            <w:vAlign w:val="center"/>
          </w:tcPr>
          <w:p w14:paraId="3D4C0684">
            <w:pPr>
              <w:spacing w:line="280" w:lineRule="exact"/>
              <w:jc w:val="center"/>
              <w:rPr>
                <w:color w:val="auto"/>
              </w:rPr>
            </w:pPr>
          </w:p>
        </w:tc>
        <w:tc>
          <w:tcPr>
            <w:tcW w:w="551" w:type="pct"/>
            <w:vMerge w:val="restart"/>
            <w:vAlign w:val="center"/>
          </w:tcPr>
          <w:p w14:paraId="62D434D6">
            <w:pPr>
              <w:spacing w:line="280" w:lineRule="exact"/>
              <w:jc w:val="center"/>
              <w:rPr>
                <w:color w:val="auto"/>
              </w:rPr>
            </w:pPr>
            <w:r>
              <w:rPr>
                <w:rFonts w:hint="eastAsia"/>
                <w:color w:val="auto"/>
                <w:lang w:val="en-US" w:eastAsia="zh-CN"/>
              </w:rPr>
              <w:t>盐酸</w:t>
            </w:r>
            <w:r>
              <w:rPr>
                <w:color w:val="auto"/>
              </w:rPr>
              <w:t>（储罐）</w:t>
            </w:r>
          </w:p>
        </w:tc>
        <w:tc>
          <w:tcPr>
            <w:tcW w:w="1272" w:type="pct"/>
            <w:gridSpan w:val="2"/>
            <w:shd w:val="clear" w:color="auto" w:fill="auto"/>
            <w:vAlign w:val="center"/>
          </w:tcPr>
          <w:p w14:paraId="583392AE">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w:t>
            </w:r>
          </w:p>
        </w:tc>
        <w:tc>
          <w:tcPr>
            <w:tcW w:w="601" w:type="pct"/>
            <w:gridSpan w:val="2"/>
            <w:shd w:val="clear" w:color="auto" w:fill="auto"/>
            <w:vAlign w:val="center"/>
          </w:tcPr>
          <w:p w14:paraId="57CB6669">
            <w:pPr>
              <w:spacing w:line="280" w:lineRule="exact"/>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150</w:t>
            </w:r>
          </w:p>
        </w:tc>
        <w:tc>
          <w:tcPr>
            <w:tcW w:w="857" w:type="pct"/>
            <w:gridSpan w:val="2"/>
            <w:shd w:val="clear" w:color="auto" w:fill="auto"/>
            <w:vAlign w:val="center"/>
          </w:tcPr>
          <w:p w14:paraId="1B33B747">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c>
          <w:tcPr>
            <w:tcW w:w="634" w:type="pct"/>
            <w:shd w:val="clear" w:color="auto" w:fill="auto"/>
            <w:vAlign w:val="center"/>
          </w:tcPr>
          <w:p w14:paraId="2BEF11FD">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0.3</w:t>
            </w:r>
          </w:p>
        </w:tc>
      </w:tr>
      <w:tr w14:paraId="568317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5EB1EE41">
            <w:pPr>
              <w:spacing w:line="280" w:lineRule="exact"/>
              <w:jc w:val="center"/>
              <w:rPr>
                <w:color w:val="auto"/>
              </w:rPr>
            </w:pPr>
          </w:p>
        </w:tc>
        <w:tc>
          <w:tcPr>
            <w:tcW w:w="229" w:type="pct"/>
            <w:vMerge w:val="continue"/>
            <w:vAlign w:val="center"/>
          </w:tcPr>
          <w:p w14:paraId="5EC21EF5">
            <w:pPr>
              <w:spacing w:line="280" w:lineRule="exact"/>
              <w:jc w:val="center"/>
              <w:rPr>
                <w:color w:val="auto"/>
              </w:rPr>
            </w:pPr>
          </w:p>
        </w:tc>
        <w:tc>
          <w:tcPr>
            <w:tcW w:w="551" w:type="pct"/>
            <w:vMerge w:val="continue"/>
            <w:vAlign w:val="center"/>
          </w:tcPr>
          <w:p w14:paraId="48CC2592">
            <w:pPr>
              <w:spacing w:line="280" w:lineRule="exact"/>
              <w:jc w:val="center"/>
              <w:rPr>
                <w:color w:val="auto"/>
              </w:rPr>
            </w:pPr>
          </w:p>
        </w:tc>
        <w:tc>
          <w:tcPr>
            <w:tcW w:w="1272" w:type="pct"/>
            <w:gridSpan w:val="2"/>
            <w:shd w:val="clear" w:color="auto" w:fill="auto"/>
            <w:vAlign w:val="center"/>
          </w:tcPr>
          <w:p w14:paraId="48AB4983">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w:t>
            </w:r>
          </w:p>
        </w:tc>
        <w:tc>
          <w:tcPr>
            <w:tcW w:w="601" w:type="pct"/>
            <w:gridSpan w:val="2"/>
            <w:shd w:val="clear" w:color="auto" w:fill="auto"/>
            <w:vAlign w:val="center"/>
          </w:tcPr>
          <w:p w14:paraId="39656A85">
            <w:pPr>
              <w:spacing w:line="280" w:lineRule="exact"/>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33</w:t>
            </w:r>
          </w:p>
        </w:tc>
        <w:tc>
          <w:tcPr>
            <w:tcW w:w="857" w:type="pct"/>
            <w:gridSpan w:val="2"/>
            <w:shd w:val="clear" w:color="auto" w:fill="auto"/>
            <w:vAlign w:val="center"/>
          </w:tcPr>
          <w:p w14:paraId="334BB9B0">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120</w:t>
            </w:r>
          </w:p>
        </w:tc>
        <w:tc>
          <w:tcPr>
            <w:tcW w:w="634" w:type="pct"/>
            <w:shd w:val="clear" w:color="auto" w:fill="auto"/>
            <w:vAlign w:val="center"/>
          </w:tcPr>
          <w:p w14:paraId="42433C5E">
            <w:pPr>
              <w:spacing w:line="280" w:lineRule="exact"/>
              <w:jc w:val="center"/>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0.8</w:t>
            </w:r>
          </w:p>
        </w:tc>
      </w:tr>
      <w:tr w14:paraId="46D1C5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67A15464">
            <w:pPr>
              <w:spacing w:line="280" w:lineRule="exact"/>
              <w:jc w:val="center"/>
              <w:rPr>
                <w:color w:val="auto"/>
              </w:rPr>
            </w:pPr>
          </w:p>
        </w:tc>
        <w:tc>
          <w:tcPr>
            <w:tcW w:w="229" w:type="pct"/>
            <w:vMerge w:val="continue"/>
            <w:vAlign w:val="center"/>
          </w:tcPr>
          <w:p w14:paraId="70DED30C">
            <w:pPr>
              <w:spacing w:line="280" w:lineRule="exact"/>
              <w:jc w:val="center"/>
              <w:rPr>
                <w:color w:val="auto"/>
              </w:rPr>
            </w:pPr>
          </w:p>
        </w:tc>
        <w:tc>
          <w:tcPr>
            <w:tcW w:w="551" w:type="pct"/>
            <w:vMerge w:val="continue"/>
            <w:vAlign w:val="center"/>
          </w:tcPr>
          <w:p w14:paraId="1B423ACC">
            <w:pPr>
              <w:spacing w:line="280" w:lineRule="exact"/>
              <w:jc w:val="center"/>
              <w:rPr>
                <w:color w:val="auto"/>
              </w:rPr>
            </w:pPr>
          </w:p>
        </w:tc>
        <w:tc>
          <w:tcPr>
            <w:tcW w:w="1272" w:type="pct"/>
            <w:gridSpan w:val="2"/>
            <w:shd w:val="clear" w:color="auto" w:fill="auto"/>
            <w:vAlign w:val="center"/>
          </w:tcPr>
          <w:p w14:paraId="0D479F1B">
            <w:pPr>
              <w:spacing w:line="280" w:lineRule="exact"/>
              <w:jc w:val="center"/>
              <w:rPr>
                <w:rFonts w:ascii="Times New Roman" w:hAnsi="Times New Roman" w:eastAsia="宋体" w:cs="Times New Roman"/>
                <w:color w:val="auto"/>
                <w:kern w:val="2"/>
                <w:sz w:val="21"/>
                <w:szCs w:val="24"/>
                <w:lang w:val="en-US" w:eastAsia="zh-CN" w:bidi="ar-SA"/>
              </w:rPr>
            </w:pPr>
            <w:r>
              <w:rPr>
                <w:color w:val="auto"/>
              </w:rPr>
              <w:t>敏感目标名称</w:t>
            </w:r>
          </w:p>
        </w:tc>
        <w:tc>
          <w:tcPr>
            <w:tcW w:w="601" w:type="pct"/>
            <w:gridSpan w:val="2"/>
            <w:shd w:val="clear" w:color="auto" w:fill="auto"/>
            <w:vAlign w:val="center"/>
          </w:tcPr>
          <w:p w14:paraId="1543B6D7">
            <w:pPr>
              <w:spacing w:line="280" w:lineRule="exact"/>
              <w:jc w:val="center"/>
              <w:rPr>
                <w:rFonts w:hint="eastAsia" w:ascii="Times New Roman" w:hAnsi="Times New Roman" w:eastAsia="宋体" w:cs="Times New Roman"/>
                <w:color w:val="auto"/>
                <w:kern w:val="2"/>
                <w:sz w:val="21"/>
                <w:szCs w:val="24"/>
                <w:lang w:val="en-US" w:eastAsia="zh-CN" w:bidi="ar-SA"/>
              </w:rPr>
            </w:pPr>
            <w:r>
              <w:rPr>
                <w:color w:val="auto"/>
              </w:rPr>
              <w:t>最大浓度值/(mg/m</w:t>
            </w:r>
            <w:r>
              <w:rPr>
                <w:color w:val="auto"/>
                <w:vertAlign w:val="superscript"/>
              </w:rPr>
              <w:t>3</w:t>
            </w:r>
            <w:r>
              <w:rPr>
                <w:color w:val="auto"/>
              </w:rPr>
              <w:t>)</w:t>
            </w:r>
          </w:p>
        </w:tc>
        <w:tc>
          <w:tcPr>
            <w:tcW w:w="857" w:type="pct"/>
            <w:gridSpan w:val="2"/>
            <w:shd w:val="clear" w:color="auto" w:fill="auto"/>
            <w:vAlign w:val="center"/>
          </w:tcPr>
          <w:p w14:paraId="5A875F40">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超标持续时间/min</w:t>
            </w:r>
          </w:p>
        </w:tc>
        <w:tc>
          <w:tcPr>
            <w:tcW w:w="634" w:type="pct"/>
            <w:shd w:val="clear" w:color="auto" w:fill="auto"/>
            <w:vAlign w:val="center"/>
          </w:tcPr>
          <w:p w14:paraId="0DC7AE9A">
            <w:pPr>
              <w:spacing w:line="280" w:lineRule="exact"/>
              <w:jc w:val="center"/>
              <w:rPr>
                <w:rFonts w:ascii="Times New Roman" w:hAnsi="Times New Roman" w:eastAsia="宋体" w:cs="Times New Roman"/>
                <w:color w:val="auto"/>
                <w:kern w:val="2"/>
                <w:sz w:val="21"/>
                <w:szCs w:val="24"/>
                <w:lang w:val="en-US" w:eastAsia="zh-CN" w:bidi="ar-SA"/>
              </w:rPr>
            </w:pPr>
            <w:r>
              <w:rPr>
                <w:color w:val="auto"/>
              </w:rPr>
              <w:t>超标时间/min</w:t>
            </w:r>
          </w:p>
        </w:tc>
      </w:tr>
      <w:tr w14:paraId="5A00CF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2AE6CE7E">
            <w:pPr>
              <w:spacing w:line="280" w:lineRule="exact"/>
              <w:jc w:val="center"/>
              <w:rPr>
                <w:color w:val="auto"/>
              </w:rPr>
            </w:pPr>
          </w:p>
        </w:tc>
        <w:tc>
          <w:tcPr>
            <w:tcW w:w="229" w:type="pct"/>
            <w:vMerge w:val="continue"/>
            <w:vAlign w:val="center"/>
          </w:tcPr>
          <w:p w14:paraId="08784289">
            <w:pPr>
              <w:spacing w:line="280" w:lineRule="exact"/>
              <w:jc w:val="center"/>
              <w:rPr>
                <w:color w:val="auto"/>
              </w:rPr>
            </w:pPr>
          </w:p>
        </w:tc>
        <w:tc>
          <w:tcPr>
            <w:tcW w:w="551" w:type="pct"/>
            <w:vMerge w:val="continue"/>
            <w:vAlign w:val="center"/>
          </w:tcPr>
          <w:p w14:paraId="5852C31E">
            <w:pPr>
              <w:spacing w:line="280" w:lineRule="exact"/>
              <w:jc w:val="center"/>
              <w:rPr>
                <w:color w:val="auto"/>
              </w:rPr>
            </w:pPr>
          </w:p>
        </w:tc>
        <w:tc>
          <w:tcPr>
            <w:tcW w:w="1272" w:type="pct"/>
            <w:gridSpan w:val="2"/>
            <w:shd w:val="clear" w:color="auto" w:fill="auto"/>
            <w:vAlign w:val="center"/>
          </w:tcPr>
          <w:p w14:paraId="5E4FFA1C">
            <w:pPr>
              <w:adjustRightInd w:val="0"/>
              <w:snapToGrid w:val="0"/>
              <w:jc w:val="center"/>
              <w:rPr>
                <w:color w:val="auto"/>
                <w:kern w:val="0"/>
                <w:szCs w:val="21"/>
              </w:rPr>
            </w:pPr>
            <w:r>
              <w:rPr>
                <w:rFonts w:hint="eastAsia"/>
                <w:color w:val="auto"/>
                <w:kern w:val="0"/>
                <w:szCs w:val="21"/>
                <w:lang w:val="en-US" w:eastAsia="zh-CN"/>
              </w:rPr>
              <w:t>园区宿舍楼</w:t>
            </w:r>
          </w:p>
        </w:tc>
        <w:tc>
          <w:tcPr>
            <w:tcW w:w="601" w:type="pct"/>
            <w:gridSpan w:val="2"/>
            <w:shd w:val="clear" w:color="auto" w:fill="auto"/>
            <w:vAlign w:val="center"/>
          </w:tcPr>
          <w:p w14:paraId="209E4326">
            <w:pPr>
              <w:spacing w:line="280" w:lineRule="exact"/>
              <w:jc w:val="center"/>
              <w:rPr>
                <w:rFonts w:hint="eastAsia" w:ascii="Times New Roman" w:hAnsi="Times New Roman" w:eastAsia="宋体" w:cs="Times New Roman"/>
                <w:color w:val="auto"/>
              </w:rPr>
            </w:pPr>
            <w:r>
              <w:rPr>
                <w:rFonts w:hint="eastAsia" w:cs="Times New Roman"/>
                <w:color w:val="auto"/>
                <w:lang w:val="en-US" w:eastAsia="zh-CN"/>
              </w:rPr>
              <w:t>4.16</w:t>
            </w:r>
            <w:r>
              <w:rPr>
                <w:rFonts w:hint="eastAsia" w:ascii="Times New Roman" w:hAnsi="Times New Roman" w:eastAsia="宋体" w:cs="Times New Roman"/>
                <w:color w:val="auto"/>
              </w:rPr>
              <w:t>E-0</w:t>
            </w:r>
            <w:r>
              <w:rPr>
                <w:rFonts w:hint="eastAsia" w:cs="Times New Roman"/>
                <w:color w:val="auto"/>
                <w:lang w:val="en-US" w:eastAsia="zh-CN"/>
              </w:rPr>
              <w:t>2</w:t>
            </w:r>
          </w:p>
        </w:tc>
        <w:tc>
          <w:tcPr>
            <w:tcW w:w="857" w:type="pct"/>
            <w:gridSpan w:val="2"/>
            <w:shd w:val="clear" w:color="auto" w:fill="auto"/>
            <w:vAlign w:val="center"/>
          </w:tcPr>
          <w:p w14:paraId="32C88152">
            <w:pPr>
              <w:spacing w:line="280" w:lineRule="exact"/>
              <w:jc w:val="center"/>
              <w:rPr>
                <w:color w:val="auto"/>
              </w:rPr>
            </w:pPr>
            <w:r>
              <w:rPr>
                <w:color w:val="auto"/>
              </w:rPr>
              <w:t>5</w:t>
            </w:r>
          </w:p>
        </w:tc>
        <w:tc>
          <w:tcPr>
            <w:tcW w:w="634" w:type="pct"/>
            <w:shd w:val="clear" w:color="auto" w:fill="auto"/>
            <w:vAlign w:val="center"/>
          </w:tcPr>
          <w:p w14:paraId="5CCF0E62">
            <w:pPr>
              <w:spacing w:line="280" w:lineRule="exact"/>
              <w:jc w:val="center"/>
              <w:rPr>
                <w:rFonts w:hint="eastAsia" w:eastAsia="宋体"/>
                <w:color w:val="auto"/>
                <w:lang w:val="en-US" w:eastAsia="zh-CN"/>
              </w:rPr>
            </w:pPr>
            <w:r>
              <w:rPr>
                <w:rFonts w:hint="eastAsia"/>
                <w:color w:val="auto"/>
                <w:lang w:val="en-US" w:eastAsia="zh-CN"/>
              </w:rPr>
              <w:t>无</w:t>
            </w:r>
          </w:p>
        </w:tc>
      </w:tr>
      <w:tr w14:paraId="767568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restart"/>
            <w:vAlign w:val="center"/>
          </w:tcPr>
          <w:p w14:paraId="7070461F">
            <w:pPr>
              <w:spacing w:line="280" w:lineRule="exact"/>
              <w:jc w:val="center"/>
              <w:rPr>
                <w:color w:val="auto"/>
              </w:rPr>
            </w:pPr>
            <w:r>
              <w:rPr>
                <w:color w:val="auto"/>
              </w:rPr>
              <w:t>地表水</w:t>
            </w:r>
          </w:p>
        </w:tc>
        <w:tc>
          <w:tcPr>
            <w:tcW w:w="780" w:type="pct"/>
            <w:gridSpan w:val="2"/>
            <w:vAlign w:val="center"/>
          </w:tcPr>
          <w:p w14:paraId="280029C1">
            <w:pPr>
              <w:spacing w:line="280" w:lineRule="exact"/>
              <w:jc w:val="center"/>
              <w:rPr>
                <w:color w:val="auto"/>
              </w:rPr>
            </w:pPr>
            <w:r>
              <w:rPr>
                <w:color w:val="auto"/>
              </w:rPr>
              <w:t>危险物质</w:t>
            </w:r>
          </w:p>
        </w:tc>
        <w:tc>
          <w:tcPr>
            <w:tcW w:w="3365" w:type="pct"/>
            <w:gridSpan w:val="7"/>
            <w:vAlign w:val="center"/>
          </w:tcPr>
          <w:p w14:paraId="3355E986">
            <w:pPr>
              <w:spacing w:line="280" w:lineRule="exact"/>
              <w:jc w:val="center"/>
              <w:rPr>
                <w:color w:val="auto"/>
              </w:rPr>
            </w:pPr>
            <w:r>
              <w:rPr>
                <w:color w:val="auto"/>
              </w:rPr>
              <w:t>地表水环境影响b</w:t>
            </w:r>
          </w:p>
        </w:tc>
      </w:tr>
      <w:tr w14:paraId="1A2875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49D76639">
            <w:pPr>
              <w:spacing w:line="280" w:lineRule="exact"/>
              <w:jc w:val="center"/>
              <w:rPr>
                <w:color w:val="auto"/>
              </w:rPr>
            </w:pPr>
          </w:p>
        </w:tc>
        <w:tc>
          <w:tcPr>
            <w:tcW w:w="780" w:type="pct"/>
            <w:gridSpan w:val="2"/>
            <w:vMerge w:val="restart"/>
            <w:vAlign w:val="center"/>
          </w:tcPr>
          <w:p w14:paraId="369BFA41">
            <w:pPr>
              <w:spacing w:line="280" w:lineRule="exact"/>
              <w:jc w:val="center"/>
              <w:rPr>
                <w:color w:val="auto"/>
              </w:rPr>
            </w:pPr>
            <w:r>
              <w:rPr>
                <w:color w:val="auto"/>
              </w:rPr>
              <w:t>/</w:t>
            </w:r>
          </w:p>
        </w:tc>
        <w:tc>
          <w:tcPr>
            <w:tcW w:w="1272" w:type="pct"/>
            <w:gridSpan w:val="2"/>
            <w:vAlign w:val="center"/>
          </w:tcPr>
          <w:p w14:paraId="35CC07F8">
            <w:pPr>
              <w:spacing w:line="280" w:lineRule="exact"/>
              <w:jc w:val="center"/>
              <w:rPr>
                <w:color w:val="auto"/>
              </w:rPr>
            </w:pPr>
            <w:r>
              <w:rPr>
                <w:color w:val="auto"/>
              </w:rPr>
              <w:t>受纳水体名称</w:t>
            </w:r>
          </w:p>
        </w:tc>
        <w:tc>
          <w:tcPr>
            <w:tcW w:w="743" w:type="pct"/>
            <w:gridSpan w:val="3"/>
            <w:vAlign w:val="center"/>
          </w:tcPr>
          <w:p w14:paraId="46F5A2F8">
            <w:pPr>
              <w:spacing w:line="280" w:lineRule="exact"/>
              <w:jc w:val="center"/>
              <w:rPr>
                <w:color w:val="auto"/>
              </w:rPr>
            </w:pPr>
            <w:r>
              <w:rPr>
                <w:color w:val="auto"/>
              </w:rPr>
              <w:t>最远超标距离/m</w:t>
            </w:r>
          </w:p>
        </w:tc>
        <w:tc>
          <w:tcPr>
            <w:tcW w:w="1350" w:type="pct"/>
            <w:gridSpan w:val="2"/>
            <w:vAlign w:val="center"/>
          </w:tcPr>
          <w:p w14:paraId="76FFC9CB">
            <w:pPr>
              <w:spacing w:line="280" w:lineRule="exact"/>
              <w:jc w:val="center"/>
              <w:rPr>
                <w:color w:val="auto"/>
              </w:rPr>
            </w:pPr>
            <w:r>
              <w:rPr>
                <w:color w:val="auto"/>
              </w:rPr>
              <w:t>最远超标距离到达时间/h</w:t>
            </w:r>
          </w:p>
        </w:tc>
      </w:tr>
      <w:tr w14:paraId="0307C3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33D953EF">
            <w:pPr>
              <w:spacing w:line="280" w:lineRule="exact"/>
              <w:jc w:val="center"/>
              <w:rPr>
                <w:color w:val="auto"/>
              </w:rPr>
            </w:pPr>
          </w:p>
        </w:tc>
        <w:tc>
          <w:tcPr>
            <w:tcW w:w="780" w:type="pct"/>
            <w:gridSpan w:val="2"/>
            <w:vMerge w:val="continue"/>
            <w:vAlign w:val="center"/>
          </w:tcPr>
          <w:p w14:paraId="0FD4B80F">
            <w:pPr>
              <w:spacing w:line="280" w:lineRule="exact"/>
              <w:jc w:val="center"/>
              <w:rPr>
                <w:color w:val="auto"/>
              </w:rPr>
            </w:pPr>
          </w:p>
        </w:tc>
        <w:tc>
          <w:tcPr>
            <w:tcW w:w="1272" w:type="pct"/>
            <w:gridSpan w:val="2"/>
            <w:vAlign w:val="center"/>
          </w:tcPr>
          <w:p w14:paraId="24E63022">
            <w:pPr>
              <w:spacing w:line="280" w:lineRule="exact"/>
              <w:jc w:val="center"/>
              <w:rPr>
                <w:color w:val="auto"/>
              </w:rPr>
            </w:pPr>
            <w:r>
              <w:rPr>
                <w:color w:val="auto"/>
              </w:rPr>
              <w:t>/</w:t>
            </w:r>
          </w:p>
        </w:tc>
        <w:tc>
          <w:tcPr>
            <w:tcW w:w="743" w:type="pct"/>
            <w:gridSpan w:val="3"/>
            <w:vAlign w:val="center"/>
          </w:tcPr>
          <w:p w14:paraId="66300F08">
            <w:pPr>
              <w:spacing w:line="280" w:lineRule="exact"/>
              <w:jc w:val="center"/>
              <w:rPr>
                <w:color w:val="auto"/>
              </w:rPr>
            </w:pPr>
            <w:r>
              <w:rPr>
                <w:color w:val="auto"/>
              </w:rPr>
              <w:t>/</w:t>
            </w:r>
          </w:p>
        </w:tc>
        <w:tc>
          <w:tcPr>
            <w:tcW w:w="1350" w:type="pct"/>
            <w:gridSpan w:val="2"/>
            <w:vAlign w:val="center"/>
          </w:tcPr>
          <w:p w14:paraId="4E0F707F">
            <w:pPr>
              <w:spacing w:line="280" w:lineRule="exact"/>
              <w:jc w:val="center"/>
              <w:rPr>
                <w:color w:val="auto"/>
              </w:rPr>
            </w:pPr>
            <w:r>
              <w:rPr>
                <w:color w:val="auto"/>
              </w:rPr>
              <w:t>/</w:t>
            </w:r>
          </w:p>
        </w:tc>
      </w:tr>
      <w:tr w14:paraId="03A161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4986542E">
            <w:pPr>
              <w:spacing w:line="280" w:lineRule="exact"/>
              <w:jc w:val="center"/>
              <w:rPr>
                <w:color w:val="auto"/>
              </w:rPr>
            </w:pPr>
          </w:p>
        </w:tc>
        <w:tc>
          <w:tcPr>
            <w:tcW w:w="780" w:type="pct"/>
            <w:gridSpan w:val="2"/>
            <w:vMerge w:val="continue"/>
            <w:vAlign w:val="center"/>
          </w:tcPr>
          <w:p w14:paraId="3D64B6F5">
            <w:pPr>
              <w:spacing w:line="280" w:lineRule="exact"/>
              <w:jc w:val="center"/>
              <w:rPr>
                <w:color w:val="auto"/>
              </w:rPr>
            </w:pPr>
          </w:p>
        </w:tc>
        <w:tc>
          <w:tcPr>
            <w:tcW w:w="1272" w:type="pct"/>
            <w:gridSpan w:val="2"/>
            <w:vAlign w:val="center"/>
          </w:tcPr>
          <w:p w14:paraId="2FE08149">
            <w:pPr>
              <w:spacing w:line="280" w:lineRule="exact"/>
              <w:jc w:val="center"/>
              <w:rPr>
                <w:color w:val="auto"/>
              </w:rPr>
            </w:pPr>
            <w:r>
              <w:rPr>
                <w:color w:val="auto"/>
              </w:rPr>
              <w:t>敏感目标名称</w:t>
            </w:r>
          </w:p>
        </w:tc>
        <w:tc>
          <w:tcPr>
            <w:tcW w:w="380" w:type="pct"/>
            <w:vAlign w:val="center"/>
          </w:tcPr>
          <w:p w14:paraId="16720964">
            <w:pPr>
              <w:spacing w:line="280" w:lineRule="exact"/>
              <w:jc w:val="center"/>
              <w:rPr>
                <w:color w:val="auto"/>
              </w:rPr>
            </w:pPr>
            <w:r>
              <w:rPr>
                <w:color w:val="auto"/>
              </w:rPr>
              <w:t>到达时间/h</w:t>
            </w:r>
          </w:p>
        </w:tc>
        <w:tc>
          <w:tcPr>
            <w:tcW w:w="362" w:type="pct"/>
            <w:gridSpan w:val="2"/>
            <w:vAlign w:val="center"/>
          </w:tcPr>
          <w:p w14:paraId="5AF25090">
            <w:pPr>
              <w:spacing w:line="280" w:lineRule="exact"/>
              <w:jc w:val="center"/>
              <w:rPr>
                <w:color w:val="auto"/>
              </w:rPr>
            </w:pPr>
            <w:r>
              <w:rPr>
                <w:color w:val="auto"/>
              </w:rPr>
              <w:t>超标时间/h</w:t>
            </w:r>
          </w:p>
        </w:tc>
        <w:tc>
          <w:tcPr>
            <w:tcW w:w="716" w:type="pct"/>
            <w:vAlign w:val="center"/>
          </w:tcPr>
          <w:p w14:paraId="4C0E985E">
            <w:pPr>
              <w:spacing w:line="280" w:lineRule="exact"/>
              <w:jc w:val="center"/>
              <w:rPr>
                <w:color w:val="auto"/>
              </w:rPr>
            </w:pPr>
            <w:r>
              <w:rPr>
                <w:color w:val="auto"/>
              </w:rPr>
              <w:t>超标持续时间/h</w:t>
            </w:r>
          </w:p>
        </w:tc>
        <w:tc>
          <w:tcPr>
            <w:tcW w:w="634" w:type="pct"/>
            <w:vAlign w:val="center"/>
          </w:tcPr>
          <w:p w14:paraId="62F17092">
            <w:pPr>
              <w:spacing w:line="280" w:lineRule="exact"/>
              <w:jc w:val="center"/>
              <w:rPr>
                <w:color w:val="auto"/>
              </w:rPr>
            </w:pPr>
            <w:r>
              <w:rPr>
                <w:color w:val="auto"/>
              </w:rPr>
              <w:t>最大浓度/(mg/L)</w:t>
            </w:r>
          </w:p>
        </w:tc>
      </w:tr>
      <w:tr w14:paraId="1C5348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78F925AE">
            <w:pPr>
              <w:spacing w:line="280" w:lineRule="exact"/>
              <w:jc w:val="center"/>
              <w:rPr>
                <w:color w:val="auto"/>
              </w:rPr>
            </w:pPr>
          </w:p>
        </w:tc>
        <w:tc>
          <w:tcPr>
            <w:tcW w:w="780" w:type="pct"/>
            <w:gridSpan w:val="2"/>
            <w:vMerge w:val="continue"/>
            <w:vAlign w:val="center"/>
          </w:tcPr>
          <w:p w14:paraId="44D8CF90">
            <w:pPr>
              <w:spacing w:line="280" w:lineRule="exact"/>
              <w:jc w:val="center"/>
              <w:rPr>
                <w:color w:val="auto"/>
              </w:rPr>
            </w:pPr>
          </w:p>
        </w:tc>
        <w:tc>
          <w:tcPr>
            <w:tcW w:w="1272" w:type="pct"/>
            <w:gridSpan w:val="2"/>
            <w:vAlign w:val="center"/>
          </w:tcPr>
          <w:p w14:paraId="343FE96E">
            <w:pPr>
              <w:spacing w:line="280" w:lineRule="exact"/>
              <w:jc w:val="center"/>
              <w:rPr>
                <w:color w:val="auto"/>
              </w:rPr>
            </w:pPr>
            <w:r>
              <w:rPr>
                <w:color w:val="auto"/>
              </w:rPr>
              <w:t>/</w:t>
            </w:r>
          </w:p>
        </w:tc>
        <w:tc>
          <w:tcPr>
            <w:tcW w:w="380" w:type="pct"/>
            <w:vAlign w:val="center"/>
          </w:tcPr>
          <w:p w14:paraId="2246945D">
            <w:pPr>
              <w:spacing w:line="280" w:lineRule="exact"/>
              <w:jc w:val="center"/>
              <w:rPr>
                <w:color w:val="auto"/>
              </w:rPr>
            </w:pPr>
            <w:r>
              <w:rPr>
                <w:color w:val="auto"/>
              </w:rPr>
              <w:t>/</w:t>
            </w:r>
          </w:p>
        </w:tc>
        <w:tc>
          <w:tcPr>
            <w:tcW w:w="362" w:type="pct"/>
            <w:gridSpan w:val="2"/>
            <w:vAlign w:val="center"/>
          </w:tcPr>
          <w:p w14:paraId="31841744">
            <w:pPr>
              <w:spacing w:line="280" w:lineRule="exact"/>
              <w:jc w:val="center"/>
              <w:rPr>
                <w:color w:val="auto"/>
              </w:rPr>
            </w:pPr>
            <w:r>
              <w:rPr>
                <w:color w:val="auto"/>
              </w:rPr>
              <w:t>/</w:t>
            </w:r>
          </w:p>
        </w:tc>
        <w:tc>
          <w:tcPr>
            <w:tcW w:w="716" w:type="pct"/>
            <w:vAlign w:val="center"/>
          </w:tcPr>
          <w:p w14:paraId="036FEB91">
            <w:pPr>
              <w:spacing w:line="280" w:lineRule="exact"/>
              <w:jc w:val="center"/>
              <w:rPr>
                <w:color w:val="auto"/>
              </w:rPr>
            </w:pPr>
            <w:r>
              <w:rPr>
                <w:color w:val="auto"/>
              </w:rPr>
              <w:t>/</w:t>
            </w:r>
          </w:p>
        </w:tc>
        <w:tc>
          <w:tcPr>
            <w:tcW w:w="634" w:type="pct"/>
            <w:vAlign w:val="center"/>
          </w:tcPr>
          <w:p w14:paraId="1E5F72C6">
            <w:pPr>
              <w:spacing w:line="280" w:lineRule="exact"/>
              <w:jc w:val="center"/>
              <w:rPr>
                <w:color w:val="auto"/>
              </w:rPr>
            </w:pPr>
            <w:r>
              <w:rPr>
                <w:color w:val="auto"/>
              </w:rPr>
              <w:t>/</w:t>
            </w:r>
          </w:p>
        </w:tc>
      </w:tr>
      <w:tr w14:paraId="19753E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restart"/>
            <w:vAlign w:val="center"/>
          </w:tcPr>
          <w:p w14:paraId="2A8668A2">
            <w:pPr>
              <w:spacing w:line="280" w:lineRule="exact"/>
              <w:jc w:val="center"/>
              <w:rPr>
                <w:color w:val="auto"/>
              </w:rPr>
            </w:pPr>
            <w:r>
              <w:rPr>
                <w:color w:val="auto"/>
              </w:rPr>
              <w:t>地下水</w:t>
            </w:r>
          </w:p>
        </w:tc>
        <w:tc>
          <w:tcPr>
            <w:tcW w:w="780" w:type="pct"/>
            <w:gridSpan w:val="2"/>
            <w:vAlign w:val="center"/>
          </w:tcPr>
          <w:p w14:paraId="396F20BD">
            <w:pPr>
              <w:spacing w:line="280" w:lineRule="exact"/>
              <w:jc w:val="center"/>
              <w:rPr>
                <w:color w:val="auto"/>
              </w:rPr>
            </w:pPr>
            <w:r>
              <w:rPr>
                <w:color w:val="auto"/>
              </w:rPr>
              <w:t>危险物质</w:t>
            </w:r>
          </w:p>
        </w:tc>
        <w:tc>
          <w:tcPr>
            <w:tcW w:w="3365" w:type="pct"/>
            <w:gridSpan w:val="7"/>
            <w:vAlign w:val="center"/>
          </w:tcPr>
          <w:p w14:paraId="4D17EAF6">
            <w:pPr>
              <w:spacing w:line="280" w:lineRule="exact"/>
              <w:jc w:val="center"/>
              <w:rPr>
                <w:color w:val="auto"/>
              </w:rPr>
            </w:pPr>
            <w:r>
              <w:rPr>
                <w:color w:val="auto"/>
              </w:rPr>
              <w:t>地下水环境影响</w:t>
            </w:r>
          </w:p>
        </w:tc>
      </w:tr>
      <w:tr w14:paraId="102CC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01C134C9">
            <w:pPr>
              <w:spacing w:line="280" w:lineRule="exact"/>
              <w:jc w:val="center"/>
              <w:rPr>
                <w:color w:val="auto"/>
              </w:rPr>
            </w:pPr>
          </w:p>
        </w:tc>
        <w:tc>
          <w:tcPr>
            <w:tcW w:w="780" w:type="pct"/>
            <w:gridSpan w:val="2"/>
            <w:vMerge w:val="restart"/>
            <w:vAlign w:val="center"/>
          </w:tcPr>
          <w:p w14:paraId="781D122A">
            <w:pPr>
              <w:spacing w:line="280" w:lineRule="exact"/>
              <w:jc w:val="center"/>
              <w:rPr>
                <w:color w:val="auto"/>
              </w:rPr>
            </w:pPr>
            <w:r>
              <w:rPr>
                <w:color w:val="auto"/>
              </w:rPr>
              <w:t>/</w:t>
            </w:r>
          </w:p>
        </w:tc>
        <w:tc>
          <w:tcPr>
            <w:tcW w:w="1272" w:type="pct"/>
            <w:gridSpan w:val="2"/>
            <w:vAlign w:val="center"/>
          </w:tcPr>
          <w:p w14:paraId="02AE4CCE">
            <w:pPr>
              <w:spacing w:line="280" w:lineRule="exact"/>
              <w:jc w:val="center"/>
              <w:rPr>
                <w:color w:val="auto"/>
              </w:rPr>
            </w:pPr>
            <w:r>
              <w:rPr>
                <w:color w:val="auto"/>
              </w:rPr>
              <w:t xml:space="preserve">厂区边界 </w:t>
            </w:r>
          </w:p>
        </w:tc>
        <w:tc>
          <w:tcPr>
            <w:tcW w:w="380" w:type="pct"/>
            <w:vAlign w:val="center"/>
          </w:tcPr>
          <w:p w14:paraId="4C1FEB10">
            <w:pPr>
              <w:spacing w:line="280" w:lineRule="exact"/>
              <w:jc w:val="center"/>
              <w:rPr>
                <w:color w:val="auto"/>
              </w:rPr>
            </w:pPr>
            <w:r>
              <w:rPr>
                <w:color w:val="auto"/>
              </w:rPr>
              <w:t>到达时间/h</w:t>
            </w:r>
          </w:p>
        </w:tc>
        <w:tc>
          <w:tcPr>
            <w:tcW w:w="362" w:type="pct"/>
            <w:gridSpan w:val="2"/>
            <w:vAlign w:val="center"/>
          </w:tcPr>
          <w:p w14:paraId="11C553DE">
            <w:pPr>
              <w:spacing w:line="280" w:lineRule="exact"/>
              <w:jc w:val="center"/>
              <w:rPr>
                <w:color w:val="auto"/>
              </w:rPr>
            </w:pPr>
            <w:r>
              <w:rPr>
                <w:color w:val="auto"/>
              </w:rPr>
              <w:t>超标时间/d</w:t>
            </w:r>
          </w:p>
        </w:tc>
        <w:tc>
          <w:tcPr>
            <w:tcW w:w="716" w:type="pct"/>
            <w:vAlign w:val="center"/>
          </w:tcPr>
          <w:p w14:paraId="2BF397F4">
            <w:pPr>
              <w:spacing w:line="280" w:lineRule="exact"/>
              <w:jc w:val="center"/>
              <w:rPr>
                <w:color w:val="auto"/>
              </w:rPr>
            </w:pPr>
            <w:r>
              <w:rPr>
                <w:color w:val="auto"/>
              </w:rPr>
              <w:t>超标持续时间/d</w:t>
            </w:r>
          </w:p>
        </w:tc>
        <w:tc>
          <w:tcPr>
            <w:tcW w:w="634" w:type="pct"/>
            <w:vAlign w:val="center"/>
          </w:tcPr>
          <w:p w14:paraId="00F3129F">
            <w:pPr>
              <w:spacing w:line="280" w:lineRule="exact"/>
              <w:jc w:val="center"/>
              <w:rPr>
                <w:color w:val="auto"/>
              </w:rPr>
            </w:pPr>
            <w:r>
              <w:rPr>
                <w:color w:val="auto"/>
              </w:rPr>
              <w:t>最大浓度/(mg/L)</w:t>
            </w:r>
          </w:p>
        </w:tc>
      </w:tr>
      <w:tr w14:paraId="01DC69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33A673AE">
            <w:pPr>
              <w:spacing w:line="280" w:lineRule="exact"/>
              <w:jc w:val="center"/>
              <w:rPr>
                <w:color w:val="auto"/>
              </w:rPr>
            </w:pPr>
          </w:p>
        </w:tc>
        <w:tc>
          <w:tcPr>
            <w:tcW w:w="780" w:type="pct"/>
            <w:gridSpan w:val="2"/>
            <w:vMerge w:val="continue"/>
            <w:vAlign w:val="center"/>
          </w:tcPr>
          <w:p w14:paraId="6A823D44">
            <w:pPr>
              <w:spacing w:line="280" w:lineRule="exact"/>
              <w:jc w:val="center"/>
              <w:rPr>
                <w:color w:val="auto"/>
              </w:rPr>
            </w:pPr>
          </w:p>
        </w:tc>
        <w:tc>
          <w:tcPr>
            <w:tcW w:w="1272" w:type="pct"/>
            <w:gridSpan w:val="2"/>
            <w:vAlign w:val="center"/>
          </w:tcPr>
          <w:p w14:paraId="29624F3F">
            <w:pPr>
              <w:spacing w:line="280" w:lineRule="exact"/>
              <w:jc w:val="center"/>
              <w:rPr>
                <w:color w:val="auto"/>
              </w:rPr>
            </w:pPr>
            <w:r>
              <w:rPr>
                <w:color w:val="auto"/>
              </w:rPr>
              <w:t>/</w:t>
            </w:r>
          </w:p>
        </w:tc>
        <w:tc>
          <w:tcPr>
            <w:tcW w:w="380" w:type="pct"/>
            <w:vAlign w:val="center"/>
          </w:tcPr>
          <w:p w14:paraId="6CC3FC08">
            <w:pPr>
              <w:spacing w:line="280" w:lineRule="exact"/>
              <w:jc w:val="center"/>
              <w:rPr>
                <w:color w:val="auto"/>
              </w:rPr>
            </w:pPr>
            <w:r>
              <w:rPr>
                <w:color w:val="auto"/>
              </w:rPr>
              <w:t>/</w:t>
            </w:r>
          </w:p>
        </w:tc>
        <w:tc>
          <w:tcPr>
            <w:tcW w:w="362" w:type="pct"/>
            <w:gridSpan w:val="2"/>
            <w:vAlign w:val="center"/>
          </w:tcPr>
          <w:p w14:paraId="78C0535E">
            <w:pPr>
              <w:spacing w:line="280" w:lineRule="exact"/>
              <w:jc w:val="center"/>
              <w:rPr>
                <w:color w:val="auto"/>
              </w:rPr>
            </w:pPr>
            <w:r>
              <w:rPr>
                <w:color w:val="auto"/>
              </w:rPr>
              <w:t>/</w:t>
            </w:r>
          </w:p>
        </w:tc>
        <w:tc>
          <w:tcPr>
            <w:tcW w:w="716" w:type="pct"/>
            <w:vAlign w:val="center"/>
          </w:tcPr>
          <w:p w14:paraId="75F0591D">
            <w:pPr>
              <w:spacing w:line="280" w:lineRule="exact"/>
              <w:jc w:val="center"/>
              <w:rPr>
                <w:color w:val="auto"/>
              </w:rPr>
            </w:pPr>
            <w:r>
              <w:rPr>
                <w:color w:val="auto"/>
              </w:rPr>
              <w:t>/</w:t>
            </w:r>
          </w:p>
        </w:tc>
        <w:tc>
          <w:tcPr>
            <w:tcW w:w="634" w:type="pct"/>
            <w:vAlign w:val="center"/>
          </w:tcPr>
          <w:p w14:paraId="4C515962">
            <w:pPr>
              <w:spacing w:line="280" w:lineRule="exact"/>
              <w:jc w:val="center"/>
              <w:rPr>
                <w:color w:val="auto"/>
              </w:rPr>
            </w:pPr>
            <w:r>
              <w:rPr>
                <w:color w:val="auto"/>
              </w:rPr>
              <w:t>/</w:t>
            </w:r>
          </w:p>
        </w:tc>
      </w:tr>
      <w:tr w14:paraId="0C6B13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45DB7C4B">
            <w:pPr>
              <w:spacing w:line="280" w:lineRule="exact"/>
              <w:jc w:val="center"/>
              <w:rPr>
                <w:color w:val="auto"/>
              </w:rPr>
            </w:pPr>
          </w:p>
        </w:tc>
        <w:tc>
          <w:tcPr>
            <w:tcW w:w="780" w:type="pct"/>
            <w:gridSpan w:val="2"/>
            <w:vMerge w:val="continue"/>
            <w:vAlign w:val="center"/>
          </w:tcPr>
          <w:p w14:paraId="0258F5B5">
            <w:pPr>
              <w:spacing w:line="280" w:lineRule="exact"/>
              <w:jc w:val="center"/>
              <w:rPr>
                <w:color w:val="auto"/>
              </w:rPr>
            </w:pPr>
          </w:p>
        </w:tc>
        <w:tc>
          <w:tcPr>
            <w:tcW w:w="1272" w:type="pct"/>
            <w:gridSpan w:val="2"/>
            <w:vAlign w:val="center"/>
          </w:tcPr>
          <w:p w14:paraId="67F55B39">
            <w:pPr>
              <w:spacing w:line="280" w:lineRule="exact"/>
              <w:jc w:val="center"/>
              <w:rPr>
                <w:color w:val="auto"/>
              </w:rPr>
            </w:pPr>
            <w:r>
              <w:rPr>
                <w:color w:val="auto"/>
              </w:rPr>
              <w:t>敏感目标名称</w:t>
            </w:r>
          </w:p>
        </w:tc>
        <w:tc>
          <w:tcPr>
            <w:tcW w:w="380" w:type="pct"/>
            <w:vAlign w:val="center"/>
          </w:tcPr>
          <w:p w14:paraId="01C682A7">
            <w:pPr>
              <w:spacing w:line="280" w:lineRule="exact"/>
              <w:jc w:val="center"/>
              <w:rPr>
                <w:color w:val="auto"/>
              </w:rPr>
            </w:pPr>
            <w:r>
              <w:rPr>
                <w:color w:val="auto"/>
              </w:rPr>
              <w:t>到达时间/h</w:t>
            </w:r>
          </w:p>
        </w:tc>
        <w:tc>
          <w:tcPr>
            <w:tcW w:w="362" w:type="pct"/>
            <w:gridSpan w:val="2"/>
            <w:vAlign w:val="center"/>
          </w:tcPr>
          <w:p w14:paraId="405E5B91">
            <w:pPr>
              <w:spacing w:line="280" w:lineRule="exact"/>
              <w:jc w:val="center"/>
              <w:rPr>
                <w:color w:val="auto"/>
              </w:rPr>
            </w:pPr>
            <w:r>
              <w:rPr>
                <w:color w:val="auto"/>
              </w:rPr>
              <w:t>超标时间/h</w:t>
            </w:r>
          </w:p>
        </w:tc>
        <w:tc>
          <w:tcPr>
            <w:tcW w:w="716" w:type="pct"/>
            <w:vAlign w:val="center"/>
          </w:tcPr>
          <w:p w14:paraId="122F3466">
            <w:pPr>
              <w:spacing w:line="280" w:lineRule="exact"/>
              <w:jc w:val="center"/>
              <w:rPr>
                <w:color w:val="auto"/>
              </w:rPr>
            </w:pPr>
            <w:r>
              <w:rPr>
                <w:color w:val="auto"/>
              </w:rPr>
              <w:t>超标持续时间/h</w:t>
            </w:r>
          </w:p>
        </w:tc>
        <w:tc>
          <w:tcPr>
            <w:tcW w:w="634" w:type="pct"/>
            <w:vAlign w:val="center"/>
          </w:tcPr>
          <w:p w14:paraId="33B56620">
            <w:pPr>
              <w:spacing w:line="280" w:lineRule="exact"/>
              <w:jc w:val="center"/>
              <w:rPr>
                <w:color w:val="auto"/>
              </w:rPr>
            </w:pPr>
            <w:r>
              <w:rPr>
                <w:color w:val="auto"/>
              </w:rPr>
              <w:t>最大浓度/(mg/L)</w:t>
            </w:r>
          </w:p>
        </w:tc>
      </w:tr>
      <w:tr w14:paraId="024F71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853" w:type="pct"/>
            <w:vMerge w:val="continue"/>
            <w:vAlign w:val="center"/>
          </w:tcPr>
          <w:p w14:paraId="4C6E84DA">
            <w:pPr>
              <w:spacing w:line="280" w:lineRule="exact"/>
              <w:jc w:val="center"/>
              <w:rPr>
                <w:color w:val="auto"/>
              </w:rPr>
            </w:pPr>
          </w:p>
        </w:tc>
        <w:tc>
          <w:tcPr>
            <w:tcW w:w="780" w:type="pct"/>
            <w:gridSpan w:val="2"/>
            <w:vMerge w:val="continue"/>
            <w:vAlign w:val="center"/>
          </w:tcPr>
          <w:p w14:paraId="6B32B0B0">
            <w:pPr>
              <w:spacing w:line="280" w:lineRule="exact"/>
              <w:jc w:val="center"/>
              <w:rPr>
                <w:color w:val="auto"/>
              </w:rPr>
            </w:pPr>
          </w:p>
        </w:tc>
        <w:tc>
          <w:tcPr>
            <w:tcW w:w="1272" w:type="pct"/>
            <w:gridSpan w:val="2"/>
            <w:vAlign w:val="center"/>
          </w:tcPr>
          <w:p w14:paraId="0D23282D">
            <w:pPr>
              <w:spacing w:line="280" w:lineRule="exact"/>
              <w:jc w:val="center"/>
              <w:rPr>
                <w:color w:val="auto"/>
              </w:rPr>
            </w:pPr>
            <w:r>
              <w:rPr>
                <w:color w:val="auto"/>
              </w:rPr>
              <w:t>/</w:t>
            </w:r>
          </w:p>
        </w:tc>
        <w:tc>
          <w:tcPr>
            <w:tcW w:w="380" w:type="pct"/>
            <w:vAlign w:val="center"/>
          </w:tcPr>
          <w:p w14:paraId="2C116003">
            <w:pPr>
              <w:spacing w:line="280" w:lineRule="exact"/>
              <w:jc w:val="center"/>
              <w:rPr>
                <w:color w:val="auto"/>
              </w:rPr>
            </w:pPr>
            <w:r>
              <w:rPr>
                <w:color w:val="auto"/>
              </w:rPr>
              <w:t>/</w:t>
            </w:r>
          </w:p>
        </w:tc>
        <w:tc>
          <w:tcPr>
            <w:tcW w:w="362" w:type="pct"/>
            <w:gridSpan w:val="2"/>
            <w:vAlign w:val="center"/>
          </w:tcPr>
          <w:p w14:paraId="4D794CC0">
            <w:pPr>
              <w:spacing w:line="280" w:lineRule="exact"/>
              <w:jc w:val="center"/>
              <w:rPr>
                <w:color w:val="auto"/>
              </w:rPr>
            </w:pPr>
            <w:r>
              <w:rPr>
                <w:color w:val="auto"/>
              </w:rPr>
              <w:t>/</w:t>
            </w:r>
          </w:p>
        </w:tc>
        <w:tc>
          <w:tcPr>
            <w:tcW w:w="716" w:type="pct"/>
            <w:vAlign w:val="center"/>
          </w:tcPr>
          <w:p w14:paraId="665605B8">
            <w:pPr>
              <w:spacing w:line="280" w:lineRule="exact"/>
              <w:jc w:val="center"/>
              <w:rPr>
                <w:color w:val="auto"/>
              </w:rPr>
            </w:pPr>
            <w:r>
              <w:rPr>
                <w:color w:val="auto"/>
              </w:rPr>
              <w:t>/</w:t>
            </w:r>
          </w:p>
        </w:tc>
        <w:tc>
          <w:tcPr>
            <w:tcW w:w="634" w:type="pct"/>
            <w:vAlign w:val="center"/>
          </w:tcPr>
          <w:p w14:paraId="17392C2C">
            <w:pPr>
              <w:spacing w:line="280" w:lineRule="exact"/>
              <w:jc w:val="center"/>
              <w:rPr>
                <w:color w:val="auto"/>
              </w:rPr>
            </w:pPr>
            <w:r>
              <w:rPr>
                <w:color w:val="auto"/>
              </w:rPr>
              <w:t>/</w:t>
            </w:r>
          </w:p>
        </w:tc>
      </w:tr>
      <w:tr w14:paraId="55B04D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10"/>
            <w:vAlign w:val="center"/>
          </w:tcPr>
          <w:p w14:paraId="67AF4AC5">
            <w:pPr>
              <w:spacing w:line="280" w:lineRule="exact"/>
              <w:jc w:val="left"/>
              <w:rPr>
                <w:color w:val="auto"/>
              </w:rPr>
            </w:pPr>
            <w:r>
              <w:rPr>
                <w:color w:val="auto"/>
              </w:rPr>
              <w:t xml:space="preserve">a 按选择的代表性风险事故情形分别填写； </w:t>
            </w:r>
          </w:p>
          <w:p w14:paraId="1A60DA34">
            <w:pPr>
              <w:spacing w:line="280" w:lineRule="exact"/>
              <w:jc w:val="left"/>
              <w:rPr>
                <w:color w:val="auto"/>
              </w:rPr>
            </w:pPr>
            <w:r>
              <w:rPr>
                <w:color w:val="auto"/>
              </w:rPr>
              <w:t>b 根据预测结果表述，选择受纳水体最远超标距离及到达时间或环境敏感目标到达时间、超标时间、超标持续时间及最大浓度填写。</w:t>
            </w:r>
          </w:p>
        </w:tc>
      </w:tr>
      <w:bookmarkEnd w:id="235"/>
    </w:tbl>
    <w:p w14:paraId="169037F8">
      <w:pPr>
        <w:spacing w:line="360" w:lineRule="auto"/>
        <w:outlineLvl w:val="0"/>
        <w:rPr>
          <w:color w:val="auto"/>
          <w:sz w:val="28"/>
          <w:szCs w:val="28"/>
        </w:rPr>
      </w:pPr>
      <w:bookmarkStart w:id="236" w:name="_Toc12224"/>
      <w:bookmarkStart w:id="237" w:name="_Toc32035"/>
      <w:bookmarkStart w:id="238" w:name="_Toc26472"/>
      <w:bookmarkStart w:id="239" w:name="_Toc26825"/>
      <w:bookmarkStart w:id="240" w:name="_Toc7222"/>
      <w:r>
        <w:rPr>
          <w:rFonts w:hint="eastAsia"/>
          <w:color w:val="auto"/>
          <w:sz w:val="28"/>
          <w:szCs w:val="28"/>
        </w:rPr>
        <w:t xml:space="preserve">10 </w:t>
      </w:r>
      <w:r>
        <w:rPr>
          <w:color w:val="auto"/>
          <w:sz w:val="28"/>
          <w:szCs w:val="28"/>
        </w:rPr>
        <w:t>环境风险管理</w:t>
      </w:r>
      <w:bookmarkEnd w:id="236"/>
      <w:bookmarkEnd w:id="237"/>
      <w:bookmarkEnd w:id="238"/>
      <w:bookmarkEnd w:id="239"/>
      <w:bookmarkEnd w:id="240"/>
    </w:p>
    <w:p w14:paraId="431D00A3">
      <w:pPr>
        <w:spacing w:line="360" w:lineRule="auto"/>
        <w:rPr>
          <w:color w:val="auto"/>
          <w:sz w:val="24"/>
        </w:rPr>
      </w:pPr>
      <w:bookmarkStart w:id="241" w:name="_Toc18111"/>
      <w:bookmarkStart w:id="242" w:name="_Toc267739501"/>
      <w:bookmarkStart w:id="243" w:name="_Toc433128715"/>
      <w:bookmarkStart w:id="244" w:name="_Toc433129354"/>
      <w:bookmarkStart w:id="245" w:name="_Toc250663634"/>
      <w:bookmarkStart w:id="246" w:name="_Toc310437283"/>
      <w:r>
        <w:rPr>
          <w:rFonts w:hint="eastAsia"/>
          <w:color w:val="auto"/>
          <w:sz w:val="24"/>
        </w:rPr>
        <w:t>10.1</w:t>
      </w:r>
      <w:r>
        <w:rPr>
          <w:color w:val="auto"/>
          <w:sz w:val="24"/>
        </w:rPr>
        <w:t>环境风险防范措施</w:t>
      </w:r>
      <w:bookmarkEnd w:id="241"/>
    </w:p>
    <w:p w14:paraId="365E3F5F">
      <w:pPr>
        <w:spacing w:line="360" w:lineRule="auto"/>
        <w:ind w:firstLine="480" w:firstLineChars="200"/>
        <w:rPr>
          <w:color w:val="auto"/>
          <w:sz w:val="24"/>
        </w:rPr>
      </w:pPr>
      <w:r>
        <w:rPr>
          <w:color w:val="auto"/>
          <w:sz w:val="24"/>
        </w:rPr>
        <w:t>1、强化风险意识、加强安全管理</w:t>
      </w:r>
      <w:bookmarkEnd w:id="242"/>
      <w:bookmarkEnd w:id="243"/>
      <w:bookmarkEnd w:id="244"/>
      <w:bookmarkEnd w:id="245"/>
      <w:bookmarkEnd w:id="246"/>
    </w:p>
    <w:p w14:paraId="13C7E85B">
      <w:pPr>
        <w:spacing w:line="360" w:lineRule="auto"/>
        <w:ind w:firstLine="480" w:firstLineChars="200"/>
        <w:rPr>
          <w:color w:val="auto"/>
          <w:sz w:val="24"/>
        </w:rPr>
      </w:pPr>
      <w:r>
        <w:rPr>
          <w:color w:val="auto"/>
          <w:sz w:val="24"/>
        </w:rPr>
        <w:t>安全生产是企业立厂之本，本项目涉及危险化学品种类少，储存量不大，多数为刺激性物质，因此，企业一定要强化风险意识、加强安全管理，具体要求如下：</w:t>
      </w:r>
    </w:p>
    <w:p w14:paraId="49706D09">
      <w:pPr>
        <w:spacing w:line="360" w:lineRule="auto"/>
        <w:ind w:firstLine="480" w:firstLineChars="200"/>
        <w:rPr>
          <w:color w:val="auto"/>
          <w:sz w:val="24"/>
        </w:rPr>
      </w:pPr>
      <w:r>
        <w:rPr>
          <w:color w:val="auto"/>
          <w:sz w:val="24"/>
        </w:rPr>
        <w:t>(1)、应将“安全第一，以防为主”作为企业经营的基本原则；</w:t>
      </w:r>
    </w:p>
    <w:p w14:paraId="23E1707D">
      <w:pPr>
        <w:spacing w:line="360" w:lineRule="auto"/>
        <w:ind w:firstLine="480" w:firstLineChars="200"/>
        <w:rPr>
          <w:color w:val="auto"/>
          <w:sz w:val="24"/>
        </w:rPr>
      </w:pPr>
      <w:r>
        <w:rPr>
          <w:color w:val="auto"/>
          <w:sz w:val="24"/>
        </w:rPr>
        <w:t>(2)、要参照跨国企业的经验，将“ESH（环保、安全、健康）”作为一线经理的首要责任和义务；</w:t>
      </w:r>
    </w:p>
    <w:p w14:paraId="05E0F6B8">
      <w:pPr>
        <w:spacing w:line="360" w:lineRule="auto"/>
        <w:ind w:firstLine="480" w:firstLineChars="200"/>
        <w:rPr>
          <w:color w:val="auto"/>
          <w:sz w:val="24"/>
        </w:rPr>
      </w:pPr>
      <w:r>
        <w:rPr>
          <w:color w:val="auto"/>
          <w:sz w:val="24"/>
        </w:rPr>
        <w:t>(3)、对员工进行广泛系统的培训，使所有操作人员熟悉自己的岗位，树立严谨规范的操作作风，并且在任何紧急状况下都能随时对工艺装置进行控制，并及时、独立、正确地实施相关应急措施。</w:t>
      </w:r>
    </w:p>
    <w:p w14:paraId="0DD78A28">
      <w:pPr>
        <w:spacing w:line="360" w:lineRule="auto"/>
        <w:ind w:firstLine="480" w:firstLineChars="200"/>
        <w:rPr>
          <w:color w:val="auto"/>
          <w:sz w:val="24"/>
        </w:rPr>
      </w:pPr>
      <w:r>
        <w:rPr>
          <w:color w:val="auto"/>
          <w:sz w:val="24"/>
        </w:rPr>
        <w:t>(4)、设立安全环保科，负责全厂的安全管理，应聘请具有丰富经验的人才担当负责人，每个车间和主要装置设置专职或兼职安全员，兼职安全员原则上由工艺员担任。</w:t>
      </w:r>
    </w:p>
    <w:p w14:paraId="3159E2AD">
      <w:pPr>
        <w:spacing w:line="360" w:lineRule="auto"/>
        <w:ind w:firstLine="480" w:firstLineChars="200"/>
        <w:rPr>
          <w:color w:val="auto"/>
          <w:sz w:val="24"/>
        </w:rPr>
      </w:pPr>
      <w:r>
        <w:rPr>
          <w:color w:val="auto"/>
          <w:sz w:val="24"/>
        </w:rPr>
        <w:t>(5)、全厂设立安全生产领导小组，由厂长亲自担任领导小组组长，各车间主任担任小组组员，形成领导负总责，全厂参与的管理模式。</w:t>
      </w:r>
    </w:p>
    <w:p w14:paraId="1CBC077B">
      <w:pPr>
        <w:spacing w:line="360" w:lineRule="auto"/>
        <w:ind w:firstLine="480" w:firstLineChars="200"/>
        <w:rPr>
          <w:color w:val="auto"/>
          <w:sz w:val="24"/>
        </w:rPr>
      </w:pPr>
      <w:r>
        <w:rPr>
          <w:color w:val="auto"/>
          <w:sz w:val="24"/>
        </w:rPr>
        <w:t>(6)、在开展ISO14001认证的基础上，积极开展ESH审计和OHSAS17651认证，全面提高安全管理水平。</w:t>
      </w:r>
    </w:p>
    <w:p w14:paraId="5E338952">
      <w:pPr>
        <w:spacing w:line="360" w:lineRule="auto"/>
        <w:ind w:firstLine="480" w:firstLineChars="200"/>
        <w:rPr>
          <w:color w:val="auto"/>
          <w:sz w:val="24"/>
        </w:rPr>
      </w:pPr>
      <w:r>
        <w:rPr>
          <w:color w:val="auto"/>
          <w:sz w:val="24"/>
        </w:rPr>
        <w:t>(7)、按《中华人民共和国劳动法》有关规定，为职工提供劳动安全卫生条件和劳动防护用品，厂区必须配备足够的医疗药品和其他救助品，便于事故应急处置和救援。</w:t>
      </w:r>
    </w:p>
    <w:p w14:paraId="793B8626">
      <w:pPr>
        <w:spacing w:line="360" w:lineRule="auto"/>
        <w:ind w:firstLine="480" w:firstLineChars="200"/>
        <w:rPr>
          <w:color w:val="auto"/>
          <w:sz w:val="24"/>
        </w:rPr>
      </w:pPr>
      <w:bookmarkStart w:id="247" w:name="_Toc310437284"/>
      <w:bookmarkStart w:id="248" w:name="_Toc433128716"/>
      <w:bookmarkStart w:id="249" w:name="_Toc433129355"/>
      <w:bookmarkStart w:id="250" w:name="_Toc250663635"/>
      <w:bookmarkStart w:id="251" w:name="_Toc267739502"/>
      <w:r>
        <w:rPr>
          <w:color w:val="auto"/>
          <w:sz w:val="24"/>
        </w:rPr>
        <w:t>2、生产过程风险防范措施</w:t>
      </w:r>
      <w:bookmarkEnd w:id="247"/>
      <w:bookmarkEnd w:id="248"/>
      <w:bookmarkEnd w:id="249"/>
      <w:bookmarkEnd w:id="250"/>
      <w:bookmarkEnd w:id="251"/>
    </w:p>
    <w:p w14:paraId="087C278B">
      <w:pPr>
        <w:spacing w:line="360" w:lineRule="auto"/>
        <w:ind w:firstLine="480" w:firstLineChars="200"/>
        <w:rPr>
          <w:color w:val="auto"/>
          <w:sz w:val="24"/>
        </w:rPr>
      </w:pPr>
      <w:r>
        <w:rPr>
          <w:color w:val="auto"/>
          <w:sz w:val="24"/>
        </w:rPr>
        <w:t>(1)生产装置区：所有反应釜均设置安全阀，腐蚀性介质反应釜设置采用安全阀和爆破片的组合设计，安全阀与爆破片之间设置相应的装置，监控爆破片的状态；涉及可燃介质的反应釜设置液位开关报警连锁切断所有合成反应釜的进料开关阀及进料泵；反应釜的加热冷却尽可能设置自动控制，并采用梯度换热方式，节约能耗；反应釜中物料的洗涤采用程序控制的自动洗涤系统和洗涤水连续套用的方式，大大减少了传统工艺的生产废水排放量。</w:t>
      </w:r>
    </w:p>
    <w:p w14:paraId="293C6CD5">
      <w:pPr>
        <w:spacing w:line="360" w:lineRule="auto"/>
        <w:ind w:firstLine="480" w:firstLineChars="200"/>
        <w:rPr>
          <w:color w:val="auto"/>
          <w:sz w:val="24"/>
        </w:rPr>
      </w:pPr>
      <w:r>
        <w:rPr>
          <w:color w:val="auto"/>
          <w:sz w:val="24"/>
        </w:rPr>
        <w:t xml:space="preserve">(2)储罐装置：罐顶设置两路不同压力值相应自动泄压装置；罐和槽罐车之间设有气相平衡管，尾气可以随着液位的增加，进入槽罐车，减少厂区的尾气量；储罐均设置高低液位报警，液位高报时切断对应中间罐进料开关阀，以免物料溢出或进入尾气系统，低液位自动切断对应中间罐出料泵供电，防止物料打空，造成泵的空转。 </w:t>
      </w:r>
    </w:p>
    <w:p w14:paraId="3D9D47A8">
      <w:pPr>
        <w:spacing w:line="360" w:lineRule="auto"/>
        <w:ind w:firstLine="480" w:firstLineChars="200"/>
        <w:rPr>
          <w:color w:val="auto"/>
          <w:sz w:val="24"/>
        </w:rPr>
      </w:pPr>
      <w:bookmarkStart w:id="252" w:name="_Toc250663636"/>
      <w:bookmarkStart w:id="253" w:name="_Toc433129356"/>
      <w:bookmarkStart w:id="254" w:name="_Toc433128717"/>
      <w:bookmarkStart w:id="255" w:name="_Toc267739503"/>
      <w:bookmarkStart w:id="256" w:name="_Toc310437285"/>
      <w:r>
        <w:rPr>
          <w:color w:val="auto"/>
          <w:sz w:val="24"/>
        </w:rPr>
        <w:t>3、贮存过程风险防范</w:t>
      </w:r>
      <w:bookmarkEnd w:id="252"/>
      <w:bookmarkEnd w:id="253"/>
      <w:bookmarkEnd w:id="254"/>
      <w:bookmarkEnd w:id="255"/>
      <w:bookmarkEnd w:id="256"/>
    </w:p>
    <w:p w14:paraId="0539D0B3">
      <w:pPr>
        <w:spacing w:line="360" w:lineRule="auto"/>
        <w:ind w:firstLine="480" w:firstLineChars="200"/>
        <w:rPr>
          <w:color w:val="auto"/>
          <w:sz w:val="24"/>
        </w:rPr>
      </w:pPr>
      <w:r>
        <w:rPr>
          <w:color w:val="auto"/>
          <w:sz w:val="24"/>
        </w:rPr>
        <w:t>贮存过程事故风险主要是因设备泄漏而造成的有毒有害物质释放和水质污染等事故，企业应做好如下防范措施：</w:t>
      </w:r>
    </w:p>
    <w:p w14:paraId="26F6FFDF">
      <w:pPr>
        <w:spacing w:line="360" w:lineRule="auto"/>
        <w:ind w:firstLine="480" w:firstLineChars="200"/>
        <w:rPr>
          <w:color w:val="auto"/>
          <w:sz w:val="24"/>
        </w:rPr>
      </w:pPr>
      <w:r>
        <w:rPr>
          <w:color w:val="auto"/>
          <w:sz w:val="24"/>
        </w:rPr>
        <w:t xml:space="preserve">(1)、企业生产车间四周应设置收集管道，储罐区均应设置围堰，围堰设置排水切换装置，确保正常的冲洗水收集至废水收集池，事故情况下的泄漏污染物、消防水可以纳入污事故应急池。    </w:t>
      </w:r>
    </w:p>
    <w:p w14:paraId="6399447E">
      <w:pPr>
        <w:spacing w:line="360" w:lineRule="auto"/>
        <w:ind w:firstLine="480" w:firstLineChars="200"/>
        <w:rPr>
          <w:color w:val="auto"/>
          <w:sz w:val="24"/>
        </w:rPr>
      </w:pPr>
      <w:r>
        <w:rPr>
          <w:color w:val="auto"/>
          <w:sz w:val="24"/>
        </w:rPr>
        <w:t>(2)、根据物料的易燃易爆、易挥发性及毒性等性质进行储存。</w:t>
      </w:r>
    </w:p>
    <w:p w14:paraId="08D89A57">
      <w:pPr>
        <w:spacing w:line="360" w:lineRule="auto"/>
        <w:ind w:firstLine="480" w:firstLineChars="200"/>
        <w:rPr>
          <w:color w:val="auto"/>
          <w:sz w:val="24"/>
        </w:rPr>
      </w:pPr>
      <w:r>
        <w:rPr>
          <w:color w:val="auto"/>
          <w:sz w:val="24"/>
        </w:rPr>
        <w:t>(3)、各储罐设一个危险介质浓度报警探头，各车间、仓库应按消防要求配置消防灭火系统。</w:t>
      </w:r>
    </w:p>
    <w:p w14:paraId="0ED09CF0">
      <w:pPr>
        <w:spacing w:line="360" w:lineRule="auto"/>
        <w:ind w:firstLine="480" w:firstLineChars="200"/>
        <w:rPr>
          <w:color w:val="auto"/>
          <w:sz w:val="24"/>
        </w:rPr>
      </w:pPr>
      <w:r>
        <w:rPr>
          <w:color w:val="auto"/>
          <w:sz w:val="24"/>
        </w:rPr>
        <w:t>(4)、危险化学品贮存的场所必须是经公安消防部门审查批准设置的专门危险化学品库房，露天堆放的必须符合防火防爆要求；爆炸物品、遇湿燃烧物品、剧毒物品和一级易燃物品不能露天堆放。</w:t>
      </w:r>
    </w:p>
    <w:p w14:paraId="1624D129">
      <w:pPr>
        <w:spacing w:line="360" w:lineRule="auto"/>
        <w:ind w:firstLine="480" w:firstLineChars="200"/>
        <w:rPr>
          <w:color w:val="auto"/>
          <w:sz w:val="24"/>
        </w:rPr>
      </w:pPr>
      <w:r>
        <w:rPr>
          <w:color w:val="auto"/>
          <w:sz w:val="24"/>
        </w:rPr>
        <w:t>(5)、要严格遵守有关贮存的安全规定，具体包括《仓库防火安全管理规则》、《建筑设计防火规范》、《易燃易爆化学物品消防安全监督管理办法》等。</w:t>
      </w:r>
    </w:p>
    <w:p w14:paraId="7C5D41BB">
      <w:pPr>
        <w:spacing w:line="360" w:lineRule="auto"/>
        <w:ind w:firstLine="480" w:firstLineChars="200"/>
        <w:rPr>
          <w:color w:val="auto"/>
          <w:sz w:val="24"/>
        </w:rPr>
      </w:pPr>
      <w:bookmarkStart w:id="257" w:name="_Toc310437286"/>
      <w:bookmarkStart w:id="258" w:name="_Toc267739504"/>
      <w:bookmarkStart w:id="259" w:name="_Toc250663637"/>
      <w:bookmarkStart w:id="260" w:name="_Toc433129357"/>
      <w:bookmarkStart w:id="261" w:name="_Toc433128718"/>
      <w:r>
        <w:rPr>
          <w:color w:val="auto"/>
          <w:sz w:val="24"/>
        </w:rPr>
        <w:t>4、运输过程风险防范措施</w:t>
      </w:r>
      <w:bookmarkEnd w:id="257"/>
      <w:bookmarkEnd w:id="258"/>
      <w:bookmarkEnd w:id="259"/>
      <w:bookmarkEnd w:id="260"/>
      <w:bookmarkEnd w:id="261"/>
    </w:p>
    <w:p w14:paraId="4F472181">
      <w:pPr>
        <w:spacing w:line="360" w:lineRule="auto"/>
        <w:ind w:firstLine="480" w:firstLineChars="200"/>
        <w:rPr>
          <w:color w:val="auto"/>
          <w:sz w:val="24"/>
        </w:rPr>
      </w:pPr>
      <w:r>
        <w:rPr>
          <w:color w:val="auto"/>
          <w:sz w:val="24"/>
        </w:rPr>
        <w:t>运输过程风险防范包括交通事故预防、运输过程设备故障性泄漏防范以及事故发生后的应急处理等，本项目运输以陆路为主。为降低风险事故发生概率，企业在运输过程中，应做好如下防范措施：</w:t>
      </w:r>
    </w:p>
    <w:p w14:paraId="13300278">
      <w:pPr>
        <w:spacing w:line="360" w:lineRule="auto"/>
        <w:ind w:firstLine="480" w:firstLineChars="200"/>
        <w:rPr>
          <w:color w:val="auto"/>
          <w:sz w:val="24"/>
        </w:rPr>
      </w:pPr>
      <w:r>
        <w:rPr>
          <w:color w:val="auto"/>
          <w:sz w:val="24"/>
        </w:rPr>
        <w:t>(1)、运输过程风险防范应从包装着手，有关包装的具体要求可以参照《危险货物分类和品名编号》（GB6944-2012）、《危险货物包装标志》（GB190-2009）、《危险货物运输包装通用技术条件》（GB12463-2009）等一系列规章制度进行，包装应严格按照有关危险品特性及相关强度等级进行，并采用堆码试验、跌落试验、气密试验和气压试验等检验标准进行定期检验，运输包装件严格按规定印制提醒符号，标明危险品类别、名称及尺寸、颜色。</w:t>
      </w:r>
    </w:p>
    <w:p w14:paraId="378D88EB">
      <w:pPr>
        <w:spacing w:line="360" w:lineRule="auto"/>
        <w:ind w:firstLine="480" w:firstLineChars="200"/>
        <w:rPr>
          <w:color w:val="auto"/>
          <w:sz w:val="24"/>
        </w:rPr>
      </w:pPr>
      <w:r>
        <w:rPr>
          <w:color w:val="auto"/>
          <w:sz w:val="24"/>
        </w:rPr>
        <w:t>(2)、运输装卸过程也要严格按照国家有关规定执行，运输易燃易爆危险化学品的车辆必须办理“易燃易爆危险化学品三证”，必须配备相应的消防器材，有经过消防安全培训合格的驾驶员、押运员，并提倡今后开展第三方现代物流运输方式。危险化学品装卸前后，必须对车辆和仓库进行必要的通风、清扫干净，装卸作业使用的工具必须能防止产生火花，必须有各种防护装置。</w:t>
      </w:r>
    </w:p>
    <w:p w14:paraId="47AF1DF9">
      <w:pPr>
        <w:spacing w:line="360" w:lineRule="auto"/>
        <w:ind w:firstLine="480" w:firstLineChars="200"/>
        <w:rPr>
          <w:color w:val="auto"/>
          <w:sz w:val="24"/>
        </w:rPr>
      </w:pPr>
      <w:r>
        <w:rPr>
          <w:color w:val="auto"/>
          <w:sz w:val="24"/>
        </w:rPr>
        <w:t>(3)、每次运输前应准确告诉司机和押运人员有关运输物质的性质和事故应急处理方法，确保在事故发生情况下能应急处理，减缓和减轻影响。</w:t>
      </w:r>
    </w:p>
    <w:p w14:paraId="4180D911">
      <w:pPr>
        <w:spacing w:line="360" w:lineRule="auto"/>
        <w:ind w:firstLine="480" w:firstLineChars="200"/>
        <w:rPr>
          <w:color w:val="auto"/>
          <w:sz w:val="24"/>
        </w:rPr>
      </w:pPr>
      <w:r>
        <w:rPr>
          <w:color w:val="auto"/>
          <w:sz w:val="24"/>
        </w:rPr>
        <w:t>(4)、运输路线应避开饮用水源保护区、集中居民区等敏感区域，运输时间应合理选择，尽可能避开人群流动高峰时期。</w:t>
      </w:r>
    </w:p>
    <w:p w14:paraId="64437EC4">
      <w:pPr>
        <w:spacing w:line="360" w:lineRule="auto"/>
        <w:ind w:firstLine="480" w:firstLineChars="200"/>
        <w:rPr>
          <w:color w:val="auto"/>
          <w:sz w:val="24"/>
        </w:rPr>
      </w:pPr>
      <w:r>
        <w:rPr>
          <w:color w:val="auto"/>
          <w:sz w:val="24"/>
        </w:rPr>
        <w:t>5、三废治理设施</w:t>
      </w:r>
    </w:p>
    <w:p w14:paraId="547C4CA1">
      <w:pPr>
        <w:spacing w:line="360" w:lineRule="auto"/>
        <w:ind w:firstLine="480" w:firstLineChars="200"/>
        <w:rPr>
          <w:color w:val="auto"/>
          <w:sz w:val="24"/>
        </w:rPr>
      </w:pPr>
      <w:r>
        <w:rPr>
          <w:color w:val="auto"/>
          <w:sz w:val="24"/>
        </w:rPr>
        <w:t>(1)、废水处理设施</w:t>
      </w:r>
    </w:p>
    <w:p w14:paraId="6E195B6C">
      <w:pPr>
        <w:spacing w:line="360" w:lineRule="auto"/>
        <w:ind w:firstLine="480" w:firstLineChars="200"/>
        <w:rPr>
          <w:color w:val="auto"/>
          <w:sz w:val="24"/>
        </w:rPr>
      </w:pPr>
      <w:r>
        <w:rPr>
          <w:color w:val="auto"/>
          <w:sz w:val="24"/>
        </w:rPr>
        <w:t>污染事故设备故障导致的废水处理系统不能正常运行，要采取应急措施：</w:t>
      </w:r>
    </w:p>
    <w:p w14:paraId="79DFC4C8">
      <w:pPr>
        <w:spacing w:line="360" w:lineRule="auto"/>
        <w:ind w:firstLine="480" w:firstLineChars="200"/>
        <w:rPr>
          <w:color w:val="auto"/>
          <w:sz w:val="24"/>
        </w:rPr>
      </w:pPr>
      <w:r>
        <w:rPr>
          <w:color w:val="auto"/>
          <w:sz w:val="24"/>
        </w:rPr>
        <w:t>①由于处理设施因设备故障等原因，而导致废水处理系统不能正常运行，操作人员应及时报告维修部门进行抢修，并及时报告上级主管部门。</w:t>
      </w:r>
    </w:p>
    <w:p w14:paraId="1D510953">
      <w:pPr>
        <w:spacing w:line="360" w:lineRule="auto"/>
        <w:ind w:firstLine="480" w:firstLineChars="200"/>
        <w:rPr>
          <w:color w:val="auto"/>
          <w:sz w:val="24"/>
        </w:rPr>
      </w:pPr>
      <w:r>
        <w:rPr>
          <w:color w:val="auto"/>
          <w:sz w:val="24"/>
        </w:rPr>
        <w:t>②废水处理设施出现故障时，应降低生产产能，减少污染的排放，使废水排放量减小，必要时应立即停止生产，并及时向主管的环境部门汇报备案。</w:t>
      </w:r>
    </w:p>
    <w:p w14:paraId="0BB47109">
      <w:pPr>
        <w:spacing w:line="360" w:lineRule="auto"/>
        <w:ind w:firstLine="480" w:firstLineChars="200"/>
        <w:rPr>
          <w:color w:val="auto"/>
          <w:sz w:val="24"/>
        </w:rPr>
      </w:pPr>
      <w:r>
        <w:rPr>
          <w:color w:val="auto"/>
          <w:sz w:val="24"/>
        </w:rPr>
        <w:t>③厂区当出水口污水中的污染物浓度超过纳管排放标准时，污水处理站操作人员应将污水处理站出口污水打回到调节池，进行二次处理，直至污水处理站出水中的污染物浓度达到纳管标准时，才可以对外排放。</w:t>
      </w:r>
    </w:p>
    <w:p w14:paraId="2D8EABD6">
      <w:pPr>
        <w:spacing w:line="360" w:lineRule="auto"/>
        <w:ind w:firstLine="480" w:firstLineChars="200"/>
        <w:rPr>
          <w:color w:val="auto"/>
          <w:sz w:val="24"/>
        </w:rPr>
      </w:pPr>
      <w:r>
        <w:rPr>
          <w:color w:val="auto"/>
          <w:sz w:val="24"/>
        </w:rPr>
        <w:t>④事故条件下的废水不能直接排放，应根据污水站处理能力，分批次打入污水站进行处理。</w:t>
      </w:r>
    </w:p>
    <w:p w14:paraId="120FD91C">
      <w:pPr>
        <w:spacing w:line="360" w:lineRule="auto"/>
        <w:ind w:firstLine="480" w:firstLineChars="200"/>
        <w:rPr>
          <w:color w:val="auto"/>
          <w:sz w:val="24"/>
        </w:rPr>
      </w:pPr>
      <w:r>
        <w:rPr>
          <w:color w:val="auto"/>
          <w:sz w:val="24"/>
        </w:rPr>
        <w:t>⑤操作人员应每天对设施进行检查，对出现异常现象或隐患，应及时解决或重点监视。</w:t>
      </w:r>
    </w:p>
    <w:p w14:paraId="4EE93A02">
      <w:pPr>
        <w:spacing w:line="360" w:lineRule="auto"/>
        <w:ind w:firstLine="480" w:firstLineChars="200"/>
        <w:rPr>
          <w:color w:val="auto"/>
          <w:sz w:val="24"/>
        </w:rPr>
      </w:pPr>
      <w:r>
        <w:rPr>
          <w:color w:val="auto"/>
          <w:sz w:val="24"/>
        </w:rPr>
        <w:t>⑥厂区污水站故障，在处理能力允许的情况下，可将未预处理废水接入事故应急池，待事故处置结束后再恢复正常情况。</w:t>
      </w:r>
    </w:p>
    <w:p w14:paraId="4FB8C5E1">
      <w:pPr>
        <w:spacing w:line="360" w:lineRule="auto"/>
        <w:ind w:firstLine="480" w:firstLineChars="200"/>
        <w:rPr>
          <w:color w:val="auto"/>
          <w:sz w:val="24"/>
        </w:rPr>
      </w:pPr>
      <w:r>
        <w:rPr>
          <w:color w:val="auto"/>
          <w:sz w:val="24"/>
        </w:rPr>
        <w:t>(2)、废气处理设备故障</w:t>
      </w:r>
    </w:p>
    <w:p w14:paraId="1BE62395">
      <w:pPr>
        <w:spacing w:line="360" w:lineRule="auto"/>
        <w:ind w:firstLine="480" w:firstLineChars="200"/>
        <w:rPr>
          <w:color w:val="auto"/>
          <w:sz w:val="24"/>
        </w:rPr>
      </w:pPr>
      <w:r>
        <w:rPr>
          <w:color w:val="auto"/>
          <w:sz w:val="24"/>
        </w:rPr>
        <w:t>对于吸收塔尽量采用自动加药装置。</w:t>
      </w:r>
    </w:p>
    <w:p w14:paraId="54A03BA8">
      <w:pPr>
        <w:spacing w:line="360" w:lineRule="auto"/>
        <w:ind w:firstLine="480" w:firstLineChars="200"/>
        <w:rPr>
          <w:color w:val="auto"/>
          <w:sz w:val="24"/>
        </w:rPr>
      </w:pPr>
      <w:r>
        <w:rPr>
          <w:color w:val="auto"/>
          <w:sz w:val="24"/>
        </w:rPr>
        <w:t>要求日常工作人员加强对废气治理装置的维护，一旦发生处理效果不佳，应及时上报，并停止生产；</w:t>
      </w:r>
    </w:p>
    <w:p w14:paraId="40BF139C">
      <w:pPr>
        <w:spacing w:line="360" w:lineRule="auto"/>
        <w:ind w:firstLine="480" w:firstLineChars="200"/>
        <w:rPr>
          <w:color w:val="auto"/>
          <w:sz w:val="24"/>
        </w:rPr>
      </w:pPr>
      <w:r>
        <w:rPr>
          <w:color w:val="auto"/>
          <w:sz w:val="24"/>
        </w:rPr>
        <w:t>停止生产后，组织维修人员对废气治理措施进行维修，并在确保可正常运行后方可继续生产；</w:t>
      </w:r>
    </w:p>
    <w:p w14:paraId="3EAB4CE2">
      <w:pPr>
        <w:spacing w:line="360" w:lineRule="auto"/>
        <w:ind w:firstLine="480" w:firstLineChars="200"/>
        <w:rPr>
          <w:color w:val="auto"/>
          <w:sz w:val="24"/>
        </w:rPr>
      </w:pPr>
      <w:r>
        <w:rPr>
          <w:color w:val="auto"/>
          <w:sz w:val="24"/>
        </w:rPr>
        <w:t>日常管理工作中，工作人员应按照实际情况填写运行情况说明，如加药情况，吸收液浓度等。</w:t>
      </w:r>
    </w:p>
    <w:p w14:paraId="2CAB63C2">
      <w:pPr>
        <w:spacing w:line="360" w:lineRule="auto"/>
        <w:ind w:firstLine="480" w:firstLineChars="200"/>
        <w:rPr>
          <w:color w:val="auto"/>
          <w:sz w:val="24"/>
        </w:rPr>
      </w:pPr>
      <w:r>
        <w:rPr>
          <w:color w:val="auto"/>
          <w:sz w:val="24"/>
        </w:rPr>
        <w:t>(3)、固废堆场</w:t>
      </w:r>
    </w:p>
    <w:p w14:paraId="21F5C187">
      <w:pPr>
        <w:spacing w:line="360" w:lineRule="auto"/>
        <w:ind w:firstLine="480" w:firstLineChars="200"/>
        <w:rPr>
          <w:color w:val="auto"/>
          <w:sz w:val="24"/>
        </w:rPr>
      </w:pPr>
      <w:r>
        <w:rPr>
          <w:color w:val="auto"/>
          <w:sz w:val="24"/>
        </w:rPr>
        <w:t>①在固废入库前查清废物的性质、成分，禁止将不相容的废物进行混合对方；危废仓库内应张贴相应的废物标签，明确废物的种类、性质、应急处置方式等。</w:t>
      </w:r>
    </w:p>
    <w:p w14:paraId="2E1A992A">
      <w:pPr>
        <w:spacing w:line="360" w:lineRule="auto"/>
        <w:ind w:firstLine="480" w:firstLineChars="200"/>
        <w:rPr>
          <w:color w:val="auto"/>
          <w:sz w:val="24"/>
        </w:rPr>
      </w:pPr>
      <w:r>
        <w:rPr>
          <w:color w:val="auto"/>
          <w:sz w:val="24"/>
        </w:rPr>
        <w:t>②在固废堆放点应当设置防渗措施、围栏和导流沟，防止流体无组织蔓延及渗透。</w:t>
      </w:r>
    </w:p>
    <w:p w14:paraId="006BB4D0">
      <w:pPr>
        <w:spacing w:line="360" w:lineRule="auto"/>
        <w:ind w:firstLine="480" w:firstLineChars="200"/>
        <w:rPr>
          <w:color w:val="auto"/>
          <w:sz w:val="24"/>
        </w:rPr>
      </w:pPr>
      <w:r>
        <w:rPr>
          <w:color w:val="auto"/>
          <w:sz w:val="24"/>
        </w:rPr>
        <w:t>③储存场所内应当配备消防器材、覆盖材料等应急物资，便于应急救援使用。</w:t>
      </w:r>
    </w:p>
    <w:p w14:paraId="10268093">
      <w:pPr>
        <w:spacing w:line="360" w:lineRule="auto"/>
        <w:ind w:firstLine="480" w:firstLineChars="200"/>
        <w:rPr>
          <w:color w:val="auto"/>
          <w:sz w:val="24"/>
        </w:rPr>
      </w:pPr>
      <w:r>
        <w:rPr>
          <w:color w:val="auto"/>
          <w:sz w:val="24"/>
        </w:rPr>
        <w:t>(4)、其他</w:t>
      </w:r>
    </w:p>
    <w:p w14:paraId="3007ACEF">
      <w:pPr>
        <w:spacing w:line="360" w:lineRule="auto"/>
        <w:ind w:firstLine="480" w:firstLineChars="200"/>
        <w:rPr>
          <w:color w:val="auto"/>
          <w:sz w:val="24"/>
        </w:rPr>
      </w:pPr>
      <w:r>
        <w:rPr>
          <w:color w:val="auto"/>
          <w:sz w:val="24"/>
        </w:rPr>
        <w:t>①废气、废水等末端治理措施必须确保日常运行，如发现人为原因不开启废气治理设施，责任人应受行政和经济处罚，并承担事故排放责任。若末端治理措施因故不能运行，则生产必须停止。</w:t>
      </w:r>
    </w:p>
    <w:p w14:paraId="3FF606EE">
      <w:pPr>
        <w:spacing w:line="360" w:lineRule="auto"/>
        <w:ind w:firstLine="480" w:firstLineChars="200"/>
        <w:rPr>
          <w:color w:val="auto"/>
          <w:sz w:val="24"/>
        </w:rPr>
      </w:pPr>
      <w:r>
        <w:rPr>
          <w:color w:val="auto"/>
          <w:sz w:val="24"/>
        </w:rPr>
        <w:t>②为确保处理效率，在车间设备检修期间，末端处理系统也应同时进行检修，日常应有专人负责进行维护。</w:t>
      </w:r>
    </w:p>
    <w:p w14:paraId="3026CA7C">
      <w:pPr>
        <w:spacing w:line="360" w:lineRule="auto"/>
        <w:ind w:firstLine="480" w:firstLineChars="200"/>
        <w:rPr>
          <w:color w:val="auto"/>
          <w:sz w:val="24"/>
        </w:rPr>
      </w:pPr>
      <w:r>
        <w:rPr>
          <w:color w:val="auto"/>
          <w:sz w:val="24"/>
        </w:rPr>
        <w:t>③应定期检查废气吸收碱液的含量和有效性，确保碱液及时更换，保证吸收效率。</w:t>
      </w:r>
    </w:p>
    <w:p w14:paraId="4536CFA9">
      <w:pPr>
        <w:spacing w:line="360" w:lineRule="auto"/>
        <w:ind w:firstLine="480" w:firstLineChars="200"/>
        <w:rPr>
          <w:color w:val="auto"/>
          <w:sz w:val="24"/>
        </w:rPr>
      </w:pPr>
      <w:r>
        <w:rPr>
          <w:color w:val="auto"/>
          <w:sz w:val="24"/>
        </w:rPr>
        <w:t>④各车间、生产工段应制定严格的废水排放制度，确保清污分流，雨污分流，残渣禁止直排。</w:t>
      </w:r>
    </w:p>
    <w:p w14:paraId="001846E8">
      <w:pPr>
        <w:spacing w:line="360" w:lineRule="auto"/>
        <w:ind w:firstLine="480" w:firstLineChars="200"/>
        <w:rPr>
          <w:color w:val="auto"/>
          <w:sz w:val="24"/>
        </w:rPr>
      </w:pPr>
      <w:r>
        <w:rPr>
          <w:color w:val="auto"/>
          <w:sz w:val="24"/>
        </w:rPr>
        <w:t>⑤建立事故排放事先申报制度，未经批准不得排放，便于相关部门应急防范，防止出现超标排放。</w:t>
      </w:r>
    </w:p>
    <w:p w14:paraId="6164C59E">
      <w:pPr>
        <w:spacing w:line="360" w:lineRule="auto"/>
        <w:ind w:firstLine="480" w:firstLineChars="200"/>
        <w:rPr>
          <w:color w:val="auto"/>
          <w:sz w:val="24"/>
        </w:rPr>
      </w:pPr>
      <w:r>
        <w:rPr>
          <w:color w:val="auto"/>
          <w:sz w:val="24"/>
        </w:rPr>
        <w:t>⑥加强清下水的排放监测，避免有害物随清下水进入内河水体。</w:t>
      </w:r>
    </w:p>
    <w:p w14:paraId="2C6E54F3">
      <w:pPr>
        <w:spacing w:line="360" w:lineRule="auto"/>
        <w:ind w:firstLine="480" w:firstLineChars="200"/>
        <w:rPr>
          <w:color w:val="auto"/>
          <w:sz w:val="24"/>
        </w:rPr>
      </w:pPr>
      <w:r>
        <w:rPr>
          <w:color w:val="auto"/>
          <w:sz w:val="24"/>
        </w:rPr>
        <w:t>(5)、风险事故时人员疏散、安置措施</w:t>
      </w:r>
    </w:p>
    <w:p w14:paraId="5A8EFE6A">
      <w:pPr>
        <w:jc w:val="center"/>
        <w:textAlignment w:val="center"/>
        <w:rPr>
          <w:b/>
          <w:bCs/>
          <w:color w:val="auto"/>
          <w:szCs w:val="21"/>
          <w:highlight w:val="none"/>
        </w:rPr>
      </w:pPr>
      <w:r>
        <w:rPr>
          <w:color w:val="auto"/>
        </w:rPr>
        <w:object>
          <v:shape id="_x0000_i1043" o:spt="75" type="#_x0000_t75" style="height:208.5pt;width:453pt;" o:ole="t" filled="f" o:preferrelative="t" stroked="f" coordsize="21600,21600">
            <v:path/>
            <v:fill on="f" focussize="0,0"/>
            <v:stroke on="f"/>
            <v:imagedata r:id="rId91" o:title=""/>
            <o:lock v:ext="edit" aspectratio="f"/>
            <w10:wrap type="none"/>
            <w10:anchorlock/>
          </v:shape>
          <o:OLEObject Type="Embed" ProgID="Visio.Drawing.15" ShapeID="_x0000_i1043" DrawAspect="Content" ObjectID="_1468075746" r:id="rId90">
            <o:LockedField>false</o:LockedField>
          </o:OLEObject>
        </w:object>
      </w:r>
      <w:r>
        <w:rPr>
          <w:b/>
          <w:bCs/>
          <w:color w:val="auto"/>
          <w:szCs w:val="21"/>
          <w:highlight w:val="none"/>
        </w:rPr>
        <w:t>图</w:t>
      </w:r>
      <w:r>
        <w:rPr>
          <w:rFonts w:hint="eastAsia"/>
          <w:b/>
          <w:bCs/>
          <w:color w:val="auto"/>
          <w:szCs w:val="21"/>
          <w:highlight w:val="none"/>
          <w:lang w:val="en-US" w:eastAsia="zh-CN"/>
        </w:rPr>
        <w:t>7.</w:t>
      </w:r>
      <w:r>
        <w:rPr>
          <w:b/>
          <w:bCs/>
          <w:color w:val="auto"/>
          <w:szCs w:val="21"/>
          <w:highlight w:val="none"/>
        </w:rPr>
        <w:t>10-1  企业应急疏散路线图</w:t>
      </w:r>
    </w:p>
    <w:p w14:paraId="07D53D8B">
      <w:pPr>
        <w:jc w:val="center"/>
        <w:rPr>
          <w:b/>
          <w:color w:val="auto"/>
        </w:rPr>
      </w:pPr>
      <w:r>
        <w:rPr>
          <w:color w:val="auto"/>
        </w:rPr>
        <w:object>
          <v:shape id="_x0000_i1044" o:spt="75" type="#_x0000_t75" style="height:321.3pt;width:407.5pt;" o:ole="t" filled="f" o:preferrelative="t" stroked="f" coordsize="21600,21600">
            <v:path/>
            <v:fill on="f" focussize="0,0"/>
            <v:stroke on="f"/>
            <v:imagedata r:id="rId93" o:title=""/>
            <o:lock v:ext="edit" aspectratio="f"/>
            <w10:wrap type="none"/>
            <w10:anchorlock/>
          </v:shape>
          <o:OLEObject Type="Embed" ProgID="Visio.Drawing.15" ShapeID="_x0000_i1044" DrawAspect="Content" ObjectID="_1468075747" r:id="rId92">
            <o:LockedField>false</o:LockedField>
          </o:OLEObject>
        </w:object>
      </w:r>
    </w:p>
    <w:p w14:paraId="4C65098A">
      <w:pPr>
        <w:jc w:val="center"/>
        <w:rPr>
          <w:b/>
          <w:bCs/>
          <w:color w:val="auto"/>
          <w:szCs w:val="21"/>
        </w:rPr>
      </w:pPr>
      <w:r>
        <w:rPr>
          <w:b/>
          <w:bCs/>
          <w:color w:val="auto"/>
          <w:szCs w:val="21"/>
        </w:rPr>
        <w:t>图</w:t>
      </w:r>
      <w:r>
        <w:rPr>
          <w:rFonts w:hint="eastAsia"/>
          <w:b/>
          <w:bCs/>
          <w:color w:val="auto"/>
          <w:szCs w:val="21"/>
          <w:lang w:val="en-US" w:eastAsia="zh-CN"/>
        </w:rPr>
        <w:t>7.</w:t>
      </w:r>
      <w:r>
        <w:rPr>
          <w:b/>
          <w:bCs/>
          <w:color w:val="auto"/>
          <w:szCs w:val="21"/>
        </w:rPr>
        <w:t>10-2  周边较近关心点疏散路线图</w:t>
      </w:r>
    </w:p>
    <w:p w14:paraId="545AC735">
      <w:pPr>
        <w:spacing w:line="360" w:lineRule="auto"/>
        <w:ind w:firstLine="480" w:firstLineChars="200"/>
        <w:rPr>
          <w:color w:val="auto"/>
          <w:sz w:val="24"/>
        </w:rPr>
      </w:pPr>
      <w:r>
        <w:rPr>
          <w:rFonts w:hint="eastAsia"/>
          <w:color w:val="auto"/>
          <w:sz w:val="24"/>
        </w:rPr>
        <w:t>根据《建设项目环境风险评价技术导则》(HJ169-2018)中9.1.1.5</w:t>
      </w:r>
      <w:r>
        <w:rPr>
          <w:rFonts w:hint="eastAsia"/>
          <w:color w:val="auto"/>
          <w:sz w:val="24"/>
          <w:lang w:eastAsia="zh-CN"/>
        </w:rPr>
        <w:t>：</w:t>
      </w:r>
      <w:r>
        <w:rPr>
          <w:color w:val="auto"/>
          <w:sz w:val="24"/>
        </w:rPr>
        <w:t>其中1级为当大气中危险物质浓度低于该限值时，绝大多数人员暴露1h不会对生命造成威胁，当超过该限值时，有可能对人群造成生命威胁；2级为当大气中危险物质浓度低于该限值时，暴露1h一般不会对人体造成不可逆的伤害，或出现的症状一般不会损伤该个体采取有效防护措施的能力</w:t>
      </w:r>
      <w:r>
        <w:rPr>
          <w:rFonts w:hint="eastAsia"/>
          <w:color w:val="auto"/>
          <w:sz w:val="24"/>
          <w:lang w:eastAsia="zh-CN"/>
        </w:rPr>
        <w:t>，</w:t>
      </w:r>
      <w:r>
        <w:rPr>
          <w:color w:val="auto"/>
          <w:sz w:val="24"/>
        </w:rPr>
        <w:t>根据预测结果，本项目设定各事故情形出现的毒性终点浓度-1无敏感目标</w:t>
      </w:r>
      <w:r>
        <w:rPr>
          <w:rFonts w:hint="eastAsia"/>
          <w:color w:val="auto"/>
          <w:sz w:val="24"/>
          <w:lang w:eastAsia="zh-CN"/>
        </w:rPr>
        <w:t>，</w:t>
      </w:r>
      <w:r>
        <w:rPr>
          <w:rFonts w:hint="eastAsia"/>
          <w:color w:val="auto"/>
          <w:sz w:val="24"/>
          <w:lang w:val="en-US" w:eastAsia="zh-CN"/>
        </w:rPr>
        <w:t>主要为企业及周边企业工作人员</w:t>
      </w:r>
      <w:r>
        <w:rPr>
          <w:rFonts w:hint="eastAsia"/>
          <w:color w:val="auto"/>
          <w:sz w:val="24"/>
          <w:lang w:eastAsia="zh-CN"/>
        </w:rPr>
        <w:t>，</w:t>
      </w:r>
      <w:r>
        <w:rPr>
          <w:color w:val="auto"/>
          <w:sz w:val="24"/>
        </w:rPr>
        <w:t>毒性终点浓度-2范围内</w:t>
      </w:r>
      <w:r>
        <w:rPr>
          <w:rFonts w:hint="eastAsia"/>
          <w:color w:val="auto"/>
          <w:sz w:val="24"/>
          <w:lang w:val="en-US" w:eastAsia="zh-CN"/>
        </w:rPr>
        <w:t>存在园区宿舍敏感点</w:t>
      </w:r>
      <w:r>
        <w:rPr>
          <w:color w:val="auto"/>
          <w:sz w:val="24"/>
        </w:rPr>
        <w:t>。</w:t>
      </w:r>
    </w:p>
    <w:p w14:paraId="52C9C008">
      <w:pPr>
        <w:spacing w:line="360" w:lineRule="auto"/>
        <w:ind w:firstLine="480" w:firstLineChars="200"/>
        <w:rPr>
          <w:rFonts w:hint="eastAsia"/>
          <w:color w:val="auto"/>
          <w:sz w:val="24"/>
        </w:rPr>
      </w:pPr>
      <w:r>
        <w:rPr>
          <w:rFonts w:hint="eastAsia"/>
          <w:color w:val="auto"/>
          <w:sz w:val="24"/>
        </w:rPr>
        <w:t>本项目厂区事故情况下人员紧急撤离、疏散计划，按预测中最远影响范围设定，即对到达大气毒性终点浓度-2的最远距离为</w:t>
      </w:r>
      <w:r>
        <w:rPr>
          <w:rFonts w:hint="eastAsia"/>
          <w:color w:val="auto"/>
          <w:sz w:val="24"/>
          <w:lang w:val="en-US" w:eastAsia="zh-CN"/>
        </w:rPr>
        <w:t>4</w:t>
      </w:r>
      <w:r>
        <w:rPr>
          <w:rFonts w:hint="eastAsia"/>
          <w:color w:val="auto"/>
          <w:sz w:val="24"/>
        </w:rPr>
        <w:t>40m，影响范围内的厂区人员要求在60min内快速切断泄源，紧急处置泄漏物料并完成撤离。</w:t>
      </w:r>
    </w:p>
    <w:p w14:paraId="2405B955">
      <w:pPr>
        <w:spacing w:line="360" w:lineRule="auto"/>
        <w:ind w:firstLine="480" w:firstLineChars="200"/>
        <w:rPr>
          <w:rFonts w:hint="eastAsia"/>
          <w:color w:val="auto"/>
          <w:sz w:val="24"/>
        </w:rPr>
      </w:pPr>
      <w:r>
        <w:rPr>
          <w:color w:val="auto"/>
          <w:sz w:val="24"/>
        </w:rPr>
        <w:fldChar w:fldCharType="begin"/>
      </w:r>
      <w:r>
        <w:rPr>
          <w:color w:val="auto"/>
          <w:sz w:val="24"/>
        </w:rPr>
        <w:instrText xml:space="preserve"> = 1 \* GB3 </w:instrText>
      </w:r>
      <w:r>
        <w:rPr>
          <w:color w:val="auto"/>
          <w:sz w:val="24"/>
        </w:rPr>
        <w:fldChar w:fldCharType="separate"/>
      </w:r>
      <w:r>
        <w:rPr>
          <w:color w:val="auto"/>
          <w:sz w:val="24"/>
        </w:rPr>
        <w:t>①</w:t>
      </w:r>
      <w:r>
        <w:rPr>
          <w:color w:val="auto"/>
          <w:sz w:val="24"/>
        </w:rPr>
        <w:fldChar w:fldCharType="end"/>
      </w:r>
      <w:r>
        <w:rPr>
          <w:rFonts w:hint="eastAsia"/>
          <w:color w:val="auto"/>
          <w:sz w:val="24"/>
        </w:rPr>
        <w:t>应急疏散实施</w:t>
      </w:r>
    </w:p>
    <w:p w14:paraId="20587A39">
      <w:pPr>
        <w:spacing w:line="360" w:lineRule="auto"/>
        <w:ind w:firstLine="480" w:firstLineChars="200"/>
        <w:rPr>
          <w:rFonts w:hint="eastAsia"/>
          <w:color w:val="auto"/>
          <w:sz w:val="24"/>
        </w:rPr>
      </w:pPr>
      <w:r>
        <w:rPr>
          <w:rFonts w:hint="eastAsia"/>
          <w:color w:val="auto"/>
          <w:sz w:val="24"/>
        </w:rPr>
        <w:t>在浙石化应急指挥中心的指挥下，辅以当地治安、交通保障中心的疏导，使受影响人群及时、有序撤离影响区域。</w:t>
      </w:r>
    </w:p>
    <w:p w14:paraId="77D50969">
      <w:pPr>
        <w:spacing w:line="360" w:lineRule="auto"/>
        <w:ind w:firstLine="480" w:firstLineChars="200"/>
        <w:rPr>
          <w:rFonts w:hint="eastAsia"/>
          <w:color w:val="auto"/>
          <w:sz w:val="24"/>
        </w:rPr>
      </w:pPr>
      <w:r>
        <w:rPr>
          <w:color w:val="auto"/>
          <w:sz w:val="24"/>
        </w:rPr>
        <w:fldChar w:fldCharType="begin"/>
      </w:r>
      <w:r>
        <w:rPr>
          <w:color w:val="auto"/>
          <w:sz w:val="24"/>
        </w:rPr>
        <w:instrText xml:space="preserve"> = 2 \* GB3 </w:instrText>
      </w:r>
      <w:r>
        <w:rPr>
          <w:color w:val="auto"/>
          <w:sz w:val="24"/>
        </w:rPr>
        <w:fldChar w:fldCharType="separate"/>
      </w:r>
      <w:r>
        <w:rPr>
          <w:color w:val="auto"/>
          <w:sz w:val="24"/>
        </w:rPr>
        <w:t>②</w:t>
      </w:r>
      <w:r>
        <w:rPr>
          <w:color w:val="auto"/>
          <w:sz w:val="24"/>
        </w:rPr>
        <w:fldChar w:fldCharType="end"/>
      </w:r>
      <w:r>
        <w:rPr>
          <w:rFonts w:hint="eastAsia"/>
          <w:color w:val="auto"/>
          <w:sz w:val="24"/>
        </w:rPr>
        <w:t>应急疏散路线及临时安置点</w:t>
      </w:r>
    </w:p>
    <w:p w14:paraId="2ABECEB5">
      <w:pPr>
        <w:spacing w:line="360" w:lineRule="auto"/>
        <w:ind w:firstLine="480" w:firstLineChars="200"/>
        <w:rPr>
          <w:color w:val="auto"/>
          <w:sz w:val="24"/>
        </w:rPr>
      </w:pPr>
      <w:r>
        <w:rPr>
          <w:rFonts w:hint="eastAsia"/>
          <w:color w:val="auto"/>
          <w:sz w:val="24"/>
        </w:rPr>
        <w:t>如本项目发生突发环境事件，各装置内人员向</w:t>
      </w:r>
      <w:r>
        <w:rPr>
          <w:rFonts w:hint="eastAsia"/>
          <w:color w:val="auto"/>
          <w:sz w:val="24"/>
          <w:lang w:val="en-US" w:eastAsia="zh-CN"/>
        </w:rPr>
        <w:t>大门</w:t>
      </w:r>
      <w:r>
        <w:rPr>
          <w:rFonts w:hint="eastAsia"/>
          <w:color w:val="auto"/>
          <w:sz w:val="24"/>
        </w:rPr>
        <w:t>(应急集合点)集中，其后</w:t>
      </w:r>
      <w:r>
        <w:rPr>
          <w:rFonts w:hint="eastAsia"/>
          <w:color w:val="auto"/>
          <w:sz w:val="24"/>
          <w:lang w:val="en-US" w:eastAsia="zh-CN"/>
        </w:rPr>
        <w:t>周边马路</w:t>
      </w:r>
      <w:r>
        <w:rPr>
          <w:rFonts w:hint="eastAsia"/>
          <w:color w:val="auto"/>
          <w:sz w:val="24"/>
        </w:rPr>
        <w:t>进行应急疏散。</w:t>
      </w:r>
      <w:r>
        <w:rPr>
          <w:color w:val="auto"/>
          <w:sz w:val="24"/>
        </w:rPr>
        <w:t>当事故较大而厂内无法安置时，可由政府部门牵头设置临时安置场所。</w:t>
      </w:r>
    </w:p>
    <w:p w14:paraId="1E291787">
      <w:pPr>
        <w:spacing w:line="360" w:lineRule="auto"/>
        <w:ind w:firstLine="480" w:firstLineChars="200"/>
        <w:rPr>
          <w:color w:val="auto"/>
          <w:sz w:val="24"/>
        </w:rPr>
      </w:pPr>
      <w:r>
        <w:rPr>
          <w:color w:val="auto"/>
          <w:sz w:val="24"/>
        </w:rPr>
        <w:t>安置场所内应设有清晰、可识别的标志和符号，并安排必要的食品、治安、医疗、消毒和卫生服务。</w:t>
      </w:r>
    </w:p>
    <w:p w14:paraId="62BF113A">
      <w:pPr>
        <w:spacing w:line="360" w:lineRule="auto"/>
        <w:ind w:firstLine="480" w:firstLineChars="200"/>
        <w:rPr>
          <w:color w:val="auto"/>
          <w:sz w:val="24"/>
        </w:rPr>
      </w:pPr>
      <w:r>
        <w:rPr>
          <w:color w:val="auto"/>
          <w:sz w:val="24"/>
        </w:rPr>
        <w:fldChar w:fldCharType="begin"/>
      </w:r>
      <w:r>
        <w:rPr>
          <w:color w:val="auto"/>
          <w:sz w:val="24"/>
        </w:rPr>
        <w:instrText xml:space="preserve"> = 3 \* GB3 </w:instrText>
      </w:r>
      <w:r>
        <w:rPr>
          <w:color w:val="auto"/>
          <w:sz w:val="24"/>
        </w:rPr>
        <w:fldChar w:fldCharType="separate"/>
      </w:r>
      <w:r>
        <w:rPr>
          <w:color w:val="auto"/>
          <w:sz w:val="24"/>
        </w:rPr>
        <w:t>③</w:t>
      </w:r>
      <w:r>
        <w:rPr>
          <w:color w:val="auto"/>
          <w:sz w:val="24"/>
        </w:rPr>
        <w:fldChar w:fldCharType="end"/>
      </w:r>
      <w:r>
        <w:rPr>
          <w:color w:val="auto"/>
          <w:sz w:val="24"/>
        </w:rPr>
        <w:t>关心点人员疏散措施</w:t>
      </w:r>
    </w:p>
    <w:p w14:paraId="3FAE73B4">
      <w:pPr>
        <w:spacing w:line="360" w:lineRule="auto"/>
        <w:ind w:firstLine="480" w:firstLineChars="200"/>
        <w:rPr>
          <w:rFonts w:hint="default" w:eastAsia="宋体"/>
          <w:color w:val="auto"/>
          <w:sz w:val="24"/>
          <w:lang w:val="en-US" w:eastAsia="zh-CN"/>
        </w:rPr>
      </w:pPr>
      <w:r>
        <w:rPr>
          <w:color w:val="auto"/>
          <w:sz w:val="24"/>
        </w:rPr>
        <w:t>④</w:t>
      </w:r>
      <w:r>
        <w:rPr>
          <w:rFonts w:hint="eastAsia"/>
          <w:color w:val="auto"/>
          <w:sz w:val="24"/>
          <w:lang w:val="en-US" w:eastAsia="zh-CN"/>
        </w:rPr>
        <w:t>撤离方案</w:t>
      </w:r>
    </w:p>
    <w:p w14:paraId="68C435CE">
      <w:pPr>
        <w:spacing w:line="360" w:lineRule="auto"/>
        <w:ind w:firstLine="480" w:firstLineChars="200"/>
        <w:rPr>
          <w:rFonts w:hint="default" w:eastAsia="宋体"/>
          <w:color w:val="auto"/>
          <w:sz w:val="24"/>
          <w:lang w:val="en-US" w:eastAsia="zh-CN"/>
        </w:rPr>
      </w:pPr>
      <w:r>
        <w:rPr>
          <w:rFonts w:hint="eastAsia"/>
          <w:color w:val="auto"/>
          <w:sz w:val="24"/>
        </w:rPr>
        <w:t>应急疏散范围</w:t>
      </w:r>
      <w:r>
        <w:rPr>
          <w:rFonts w:hint="eastAsia"/>
          <w:color w:val="auto"/>
          <w:sz w:val="24"/>
          <w:lang w:eastAsia="zh-CN"/>
        </w:rPr>
        <w:t>：</w:t>
      </w:r>
      <w:r>
        <w:rPr>
          <w:rFonts w:hint="eastAsia"/>
          <w:color w:val="auto"/>
          <w:sz w:val="24"/>
          <w:lang w:val="en-US" w:eastAsia="zh-CN"/>
        </w:rPr>
        <w:t>440m范围内企业员工及员工宿舍人员，见上图。</w:t>
      </w:r>
    </w:p>
    <w:p w14:paraId="75B368F5">
      <w:pPr>
        <w:spacing w:line="360" w:lineRule="auto"/>
        <w:ind w:firstLine="480" w:firstLineChars="200"/>
        <w:rPr>
          <w:rFonts w:hint="eastAsia"/>
          <w:color w:val="auto"/>
          <w:sz w:val="24"/>
        </w:rPr>
      </w:pPr>
      <w:r>
        <w:rPr>
          <w:rFonts w:hint="eastAsia"/>
          <w:color w:val="auto"/>
          <w:sz w:val="24"/>
        </w:rPr>
        <w:t>临时安置点：</w:t>
      </w:r>
      <w:r>
        <w:rPr>
          <w:rFonts w:hint="eastAsia"/>
          <w:color w:val="auto"/>
          <w:sz w:val="24"/>
          <w:lang w:val="en-US" w:eastAsia="zh-CN"/>
        </w:rPr>
        <w:t>文庭苑东侧集聚点</w:t>
      </w:r>
      <w:r>
        <w:rPr>
          <w:rFonts w:hint="eastAsia"/>
          <w:color w:val="auto"/>
          <w:sz w:val="24"/>
        </w:rPr>
        <w:t>（安全距离外，</w:t>
      </w:r>
      <w:r>
        <w:rPr>
          <w:rFonts w:hint="eastAsia"/>
          <w:color w:val="auto"/>
          <w:sz w:val="24"/>
          <w:lang w:val="en-US" w:eastAsia="zh-CN"/>
        </w:rPr>
        <w:t>上风向</w:t>
      </w:r>
      <w:r>
        <w:rPr>
          <w:rFonts w:hint="eastAsia"/>
          <w:color w:val="auto"/>
          <w:sz w:val="24"/>
        </w:rPr>
        <w:t>）。</w:t>
      </w:r>
    </w:p>
    <w:p w14:paraId="6F5FCA22">
      <w:pPr>
        <w:spacing w:line="360" w:lineRule="auto"/>
        <w:ind w:firstLine="480" w:firstLineChars="200"/>
        <w:rPr>
          <w:rFonts w:hint="eastAsia"/>
          <w:color w:val="auto"/>
          <w:sz w:val="24"/>
        </w:rPr>
      </w:pPr>
      <w:r>
        <w:rPr>
          <w:rFonts w:hint="eastAsia"/>
          <w:color w:val="auto"/>
          <w:sz w:val="24"/>
        </w:rPr>
        <w:t>撤离路线：路线：</w:t>
      </w:r>
      <w:r>
        <w:rPr>
          <w:rFonts w:hint="eastAsia"/>
          <w:color w:val="auto"/>
          <w:sz w:val="24"/>
          <w:lang w:val="en-US" w:eastAsia="zh-CN"/>
        </w:rPr>
        <w:t>北侧内部</w:t>
      </w:r>
      <w:r>
        <w:rPr>
          <w:rFonts w:hint="eastAsia"/>
          <w:color w:val="auto"/>
          <w:sz w:val="24"/>
        </w:rPr>
        <w:t>路→庆兴路→安置点（避开污染扩散路径）。</w:t>
      </w:r>
    </w:p>
    <w:p w14:paraId="0B72CBEF">
      <w:pPr>
        <w:spacing w:line="360" w:lineRule="auto"/>
        <w:ind w:firstLine="480" w:firstLineChars="200"/>
        <w:rPr>
          <w:rFonts w:hint="eastAsia"/>
          <w:color w:val="auto"/>
          <w:sz w:val="24"/>
        </w:rPr>
      </w:pPr>
      <w:r>
        <w:rPr>
          <w:rFonts w:hint="eastAsia"/>
          <w:color w:val="auto"/>
          <w:sz w:val="24"/>
        </w:rPr>
        <w:t>交通管制：</w:t>
      </w:r>
      <w:r>
        <w:rPr>
          <w:rFonts w:hint="eastAsia"/>
          <w:color w:val="auto"/>
          <w:sz w:val="24"/>
          <w:lang w:val="en-US" w:eastAsia="zh-CN"/>
        </w:rPr>
        <w:t>如有需要请</w:t>
      </w:r>
      <w:r>
        <w:rPr>
          <w:rFonts w:hint="eastAsia"/>
          <w:color w:val="auto"/>
          <w:sz w:val="24"/>
        </w:rPr>
        <w:t>交警部门</w:t>
      </w:r>
      <w:r>
        <w:rPr>
          <w:rFonts w:hint="eastAsia"/>
          <w:color w:val="auto"/>
          <w:sz w:val="24"/>
          <w:lang w:val="en-US" w:eastAsia="zh-CN"/>
        </w:rPr>
        <w:t>对</w:t>
      </w:r>
      <w:r>
        <w:rPr>
          <w:rFonts w:hint="eastAsia"/>
          <w:color w:val="auto"/>
          <w:sz w:val="24"/>
        </w:rPr>
        <w:t>庆兴路实施单向通行，保障撤离畅通。</w:t>
      </w:r>
    </w:p>
    <w:p w14:paraId="3102D055">
      <w:pPr>
        <w:spacing w:line="360" w:lineRule="auto"/>
        <w:ind w:firstLine="480" w:firstLineChars="200"/>
        <w:rPr>
          <w:rFonts w:hint="eastAsia"/>
          <w:color w:val="auto"/>
          <w:sz w:val="24"/>
        </w:rPr>
      </w:pPr>
      <w:r>
        <w:rPr>
          <w:rFonts w:hint="eastAsia"/>
          <w:color w:val="auto"/>
          <w:sz w:val="24"/>
        </w:rPr>
        <w:t>分工安排</w:t>
      </w:r>
      <w:r>
        <w:rPr>
          <w:rFonts w:hint="eastAsia"/>
          <w:color w:val="auto"/>
          <w:sz w:val="24"/>
          <w:lang w:val="en-US" w:eastAsia="zh-CN"/>
        </w:rPr>
        <w:t>园区</w:t>
      </w:r>
      <w:r>
        <w:rPr>
          <w:rFonts w:hint="eastAsia"/>
          <w:color w:val="auto"/>
          <w:sz w:val="24"/>
        </w:rPr>
        <w:t>：通知</w:t>
      </w:r>
      <w:r>
        <w:rPr>
          <w:rFonts w:hint="eastAsia"/>
          <w:color w:val="auto"/>
          <w:sz w:val="24"/>
          <w:lang w:val="en-US" w:eastAsia="zh-CN"/>
        </w:rPr>
        <w:t>周边企业员工，尤其是员工宿舍人员</w:t>
      </w:r>
      <w:r>
        <w:rPr>
          <w:rFonts w:hint="eastAsia"/>
          <w:color w:val="auto"/>
          <w:sz w:val="24"/>
        </w:rPr>
        <w:t>，引导至集合点（需备注是否需携带防护用品）。</w:t>
      </w:r>
    </w:p>
    <w:p w14:paraId="3FF23A92">
      <w:pPr>
        <w:spacing w:line="360" w:lineRule="auto"/>
        <w:ind w:firstLine="480" w:firstLineChars="200"/>
        <w:rPr>
          <w:rFonts w:hint="eastAsia"/>
          <w:color w:val="auto"/>
          <w:sz w:val="24"/>
        </w:rPr>
      </w:pPr>
      <w:r>
        <w:rPr>
          <w:rFonts w:hint="eastAsia"/>
          <w:color w:val="auto"/>
          <w:sz w:val="24"/>
        </w:rPr>
        <w:t>企业负责人：组织员工按班组撤离，清点人数后上报至应急指挥部。</w:t>
      </w:r>
    </w:p>
    <w:p w14:paraId="6930FB2C">
      <w:pPr>
        <w:spacing w:line="360" w:lineRule="auto"/>
        <w:ind w:firstLine="480" w:firstLineChars="200"/>
        <w:rPr>
          <w:rFonts w:hint="eastAsia"/>
          <w:color w:val="auto"/>
          <w:sz w:val="24"/>
        </w:rPr>
      </w:pPr>
      <w:r>
        <w:rPr>
          <w:rFonts w:hint="eastAsia"/>
          <w:color w:val="auto"/>
          <w:sz w:val="24"/>
        </w:rPr>
        <w:t>公安/消防：维持秩序，协助老弱病残撤离。</w:t>
      </w:r>
    </w:p>
    <w:p w14:paraId="3E9D96A8">
      <w:pPr>
        <w:spacing w:line="360" w:lineRule="auto"/>
        <w:ind w:firstLine="480" w:firstLineChars="200"/>
        <w:rPr>
          <w:rFonts w:hint="eastAsia"/>
          <w:color w:val="auto"/>
          <w:sz w:val="24"/>
        </w:rPr>
      </w:pPr>
      <w:r>
        <w:rPr>
          <w:rFonts w:hint="eastAsia"/>
          <w:color w:val="auto"/>
          <w:sz w:val="24"/>
        </w:rPr>
        <w:t>医疗支援：医院待命，处置中毒症状人员。</w:t>
      </w:r>
    </w:p>
    <w:p w14:paraId="7B1415DB">
      <w:pPr>
        <w:spacing w:line="360" w:lineRule="auto"/>
        <w:ind w:firstLine="480" w:firstLineChars="200"/>
        <w:rPr>
          <w:rFonts w:hint="eastAsia" w:eastAsia="宋体"/>
          <w:color w:val="auto"/>
          <w:sz w:val="24"/>
          <w:lang w:eastAsia="zh-CN"/>
        </w:rPr>
      </w:pPr>
      <w:r>
        <w:rPr>
          <w:rFonts w:hint="eastAsia"/>
          <w:color w:val="auto"/>
          <w:sz w:val="24"/>
        </w:rPr>
        <w:t>政府协调请求</w:t>
      </w:r>
      <w:r>
        <w:rPr>
          <w:rFonts w:hint="eastAsia"/>
          <w:color w:val="auto"/>
          <w:sz w:val="24"/>
          <w:lang w:eastAsia="zh-CN"/>
        </w:rPr>
        <w:t>：</w:t>
      </w:r>
    </w:p>
    <w:p w14:paraId="37A5738B">
      <w:pPr>
        <w:spacing w:line="360" w:lineRule="auto"/>
        <w:ind w:firstLine="480" w:firstLineChars="200"/>
        <w:rPr>
          <w:rFonts w:hint="eastAsia"/>
          <w:color w:val="auto"/>
          <w:sz w:val="24"/>
        </w:rPr>
      </w:pPr>
      <w:r>
        <w:rPr>
          <w:rFonts w:hint="eastAsia"/>
          <w:color w:val="auto"/>
          <w:sz w:val="24"/>
        </w:rPr>
        <w:t>请应急管理部门统筹救援资源，协调周边区域安置能力。</w:t>
      </w:r>
    </w:p>
    <w:p w14:paraId="3AEBD7CA">
      <w:pPr>
        <w:spacing w:line="360" w:lineRule="auto"/>
        <w:ind w:firstLine="480" w:firstLineChars="200"/>
        <w:rPr>
          <w:rFonts w:hint="eastAsia"/>
          <w:color w:val="auto"/>
          <w:sz w:val="24"/>
        </w:rPr>
      </w:pPr>
      <w:r>
        <w:rPr>
          <w:rFonts w:hint="eastAsia"/>
          <w:color w:val="auto"/>
          <w:sz w:val="24"/>
        </w:rPr>
        <w:t>请生态环境局持续监测污染扩散趋势，每30分钟通报数据。</w:t>
      </w:r>
    </w:p>
    <w:p w14:paraId="08FE6C2C">
      <w:pPr>
        <w:spacing w:line="360" w:lineRule="auto"/>
        <w:ind w:firstLine="480" w:firstLineChars="200"/>
        <w:rPr>
          <w:rFonts w:hint="eastAsia" w:eastAsia="宋体"/>
          <w:color w:val="auto"/>
          <w:lang w:eastAsia="zh-CN"/>
        </w:rPr>
      </w:pPr>
      <w:r>
        <w:rPr>
          <w:rFonts w:hint="eastAsia"/>
          <w:color w:val="auto"/>
          <w:sz w:val="24"/>
        </w:rPr>
        <w:t>请宣传部门通过短信、广播等渠道发布预警</w:t>
      </w:r>
      <w:r>
        <w:rPr>
          <w:rFonts w:hint="eastAsia"/>
          <w:color w:val="auto"/>
          <w:sz w:val="24"/>
          <w:lang w:eastAsia="zh-CN"/>
        </w:rPr>
        <w:t>。</w:t>
      </w:r>
    </w:p>
    <w:p w14:paraId="6B962E5A">
      <w:pPr>
        <w:spacing w:line="360" w:lineRule="auto"/>
        <w:ind w:firstLine="480" w:firstLineChars="200"/>
        <w:rPr>
          <w:rFonts w:hint="eastAsia" w:eastAsia="宋体"/>
          <w:color w:val="auto"/>
          <w:sz w:val="24"/>
          <w:lang w:eastAsia="zh-CN"/>
        </w:rPr>
      </w:pPr>
      <w:r>
        <w:rPr>
          <w:rFonts w:hint="eastAsia"/>
          <w:color w:val="auto"/>
          <w:sz w:val="24"/>
        </w:rPr>
        <w:t>注意事项</w:t>
      </w:r>
      <w:r>
        <w:rPr>
          <w:rFonts w:hint="eastAsia"/>
          <w:color w:val="auto"/>
          <w:sz w:val="24"/>
          <w:lang w:eastAsia="zh-CN"/>
        </w:rPr>
        <w:t>：</w:t>
      </w:r>
    </w:p>
    <w:p w14:paraId="3E06B4B0">
      <w:pPr>
        <w:spacing w:line="360" w:lineRule="auto"/>
        <w:ind w:firstLine="480" w:firstLineChars="200"/>
        <w:rPr>
          <w:color w:val="auto"/>
          <w:sz w:val="24"/>
        </w:rPr>
      </w:pPr>
      <w:r>
        <w:rPr>
          <w:color w:val="auto"/>
          <w:sz w:val="24"/>
        </w:rPr>
        <w:t>事故发生后，应根据化学品泄漏的扩散情况及时通知政府相关部门，并通过厂区高音喇叭通知周边关心点处人群及时疏散。紧急疏散时应注意：</w:t>
      </w:r>
    </w:p>
    <w:p w14:paraId="5D3A4C56">
      <w:pPr>
        <w:spacing w:line="360" w:lineRule="auto"/>
        <w:ind w:firstLine="480" w:firstLineChars="200"/>
        <w:rPr>
          <w:color w:val="auto"/>
          <w:sz w:val="24"/>
        </w:rPr>
      </w:pPr>
      <w:r>
        <w:rPr>
          <w:color w:val="auto"/>
          <w:sz w:val="24"/>
        </w:rPr>
        <w:t>A、必要时采取佩戴呼吸器具、佩戴个人防护用品或采用其他简易有效的防护措施（戴防护眼镜或用浸湿毛巾捂住口鼻、减少皮肤外露等各种措施进行自身防护）。</w:t>
      </w:r>
    </w:p>
    <w:p w14:paraId="196FAA1D">
      <w:pPr>
        <w:spacing w:line="360" w:lineRule="auto"/>
        <w:ind w:firstLine="480" w:firstLineChars="200"/>
        <w:rPr>
          <w:color w:val="auto"/>
          <w:sz w:val="24"/>
        </w:rPr>
      </w:pPr>
      <w:r>
        <w:rPr>
          <w:color w:val="auto"/>
          <w:sz w:val="24"/>
        </w:rPr>
        <w:t>B、应向上风向、高地势转移，迅速撤出危险区域可能受到危害的人员（在上风向无撤离通道时，也应避免沿下风向撤离），并由专人引导和护送疏散人员到安全区域，在疏散或撤离的路线上设立哨位，指明疏散、撤离的方向。</w:t>
      </w:r>
    </w:p>
    <w:p w14:paraId="3927BC84">
      <w:pPr>
        <w:spacing w:line="360" w:lineRule="auto"/>
        <w:ind w:firstLine="480" w:firstLineChars="200"/>
        <w:rPr>
          <w:color w:val="auto"/>
          <w:sz w:val="24"/>
        </w:rPr>
      </w:pPr>
      <w:r>
        <w:rPr>
          <w:color w:val="auto"/>
          <w:sz w:val="24"/>
        </w:rPr>
        <w:t>C、按照设定的危险区域，设立警戒线，并在通往事故现场的主要干道上实行交通管制。</w:t>
      </w:r>
    </w:p>
    <w:p w14:paraId="04A71CC8">
      <w:pPr>
        <w:spacing w:line="360" w:lineRule="auto"/>
        <w:ind w:firstLine="480" w:firstLineChars="200"/>
        <w:rPr>
          <w:color w:val="auto"/>
          <w:sz w:val="24"/>
        </w:rPr>
      </w:pPr>
      <w:r>
        <w:rPr>
          <w:color w:val="auto"/>
          <w:sz w:val="24"/>
        </w:rPr>
        <w:t>D、在污染区域和可能污染区域立即进行布点监测，根据监测数据及时调整疏散范围。</w:t>
      </w:r>
    </w:p>
    <w:p w14:paraId="56893EB9">
      <w:pPr>
        <w:spacing w:line="360" w:lineRule="auto"/>
        <w:ind w:firstLine="480" w:firstLineChars="200"/>
        <w:rPr>
          <w:color w:val="auto"/>
          <w:sz w:val="24"/>
        </w:rPr>
      </w:pPr>
      <w:r>
        <w:rPr>
          <w:color w:val="auto"/>
          <w:sz w:val="24"/>
        </w:rPr>
        <w:t>E、为受灾群众提供避难场所以及必要的基本生活保障，配合政府部门进行受灾群众的医疗救助、疾病控制、生活救助。</w:t>
      </w:r>
    </w:p>
    <w:p w14:paraId="0E744D00">
      <w:pPr>
        <w:spacing w:line="360" w:lineRule="auto"/>
        <w:ind w:firstLine="480" w:firstLineChars="200"/>
        <w:rPr>
          <w:color w:val="auto"/>
          <w:sz w:val="24"/>
        </w:rPr>
      </w:pPr>
      <w:r>
        <w:rPr>
          <w:color w:val="auto"/>
          <w:sz w:val="24"/>
        </w:rPr>
        <w:t>(6)、地表水环境风险防范措施</w:t>
      </w:r>
    </w:p>
    <w:p w14:paraId="515F8531">
      <w:pPr>
        <w:spacing w:line="360" w:lineRule="auto"/>
        <w:ind w:firstLine="480" w:firstLineChars="200"/>
        <w:rPr>
          <w:color w:val="auto"/>
          <w:sz w:val="24"/>
        </w:rPr>
      </w:pPr>
      <w:r>
        <w:rPr>
          <w:color w:val="auto"/>
          <w:sz w:val="24"/>
        </w:rPr>
        <w:t>废水事故性排放主要包括两种情况：①厂区发生火灾、爆炸或泄漏事故，在消防灭火过程中产生的地面冲洗水或泄漏事故中产生的喷淋废水等未经收集直接排放，或者经收集后未经处理直接排放，导致事故废水可能进入雨水系统而污染附近水体或对接入污水管网的污水处理厂产生较大冲击负荷；②污水处理设施发生事故不能正常运行时，生产废水、初期雨污水等污水未经处理或有效处理直接排放，由此污染水环境或冲击污水处理厂。</w:t>
      </w:r>
    </w:p>
    <w:p w14:paraId="131E6488">
      <w:pPr>
        <w:spacing w:line="360" w:lineRule="auto"/>
        <w:ind w:firstLine="480" w:firstLineChars="200"/>
        <w:rPr>
          <w:color w:val="auto"/>
          <w:sz w:val="24"/>
        </w:rPr>
      </w:pPr>
      <w:r>
        <w:rPr>
          <w:color w:val="auto"/>
          <w:sz w:val="24"/>
        </w:rPr>
        <w:t>对于发生火灾、爆炸或泄漏事故风险，必须设立相应的事故应急池。企业拟建设一座有效容积</w:t>
      </w:r>
      <w:r>
        <w:rPr>
          <w:rFonts w:hint="eastAsia"/>
          <w:color w:val="auto"/>
          <w:sz w:val="24"/>
          <w:lang w:eastAsia="zh-CN"/>
        </w:rPr>
        <w:t>140</w:t>
      </w:r>
      <w:r>
        <w:rPr>
          <w:color w:val="auto"/>
          <w:sz w:val="24"/>
        </w:rPr>
        <w:t>m</w:t>
      </w:r>
      <w:r>
        <w:rPr>
          <w:color w:val="auto"/>
          <w:sz w:val="24"/>
          <w:vertAlign w:val="superscript"/>
        </w:rPr>
        <w:t>3</w:t>
      </w:r>
      <w:r>
        <w:rPr>
          <w:color w:val="auto"/>
          <w:sz w:val="24"/>
        </w:rPr>
        <w:t>的事故应急池，可以满足事故状态下废水暂存需要。</w:t>
      </w:r>
    </w:p>
    <w:p w14:paraId="57D11D79">
      <w:pPr>
        <w:spacing w:line="360" w:lineRule="auto"/>
        <w:ind w:firstLine="480" w:firstLineChars="200"/>
        <w:rPr>
          <w:color w:val="auto"/>
          <w:sz w:val="24"/>
        </w:rPr>
      </w:pPr>
      <w:r>
        <w:rPr>
          <w:color w:val="auto"/>
          <w:sz w:val="24"/>
        </w:rPr>
        <w:t>要求事故废水泵采用自动和手动两套控制系统，并配备应急电源，确保事故状态下事故废水能够进入事故废水应急设施。一旦发生事故，可将废水集中收集纳入应急事故池。事故应急池的容量，应能满足接纳火灾、泄漏事故延续时间内产生的废水总量的要求。一定发生事故，要求及时关闭雨水排放口闸阀，将事故液收集进入事故应急池，再由事故应急池分批打入公司污水站，利用污水站处理达标后再排入污水处理厂。</w:t>
      </w:r>
    </w:p>
    <w:p w14:paraId="7E250D83">
      <w:pPr>
        <w:spacing w:line="360" w:lineRule="auto"/>
        <w:ind w:firstLine="480" w:firstLineChars="200"/>
        <w:rPr>
          <w:color w:val="auto"/>
          <w:sz w:val="24"/>
        </w:rPr>
      </w:pPr>
      <w:r>
        <w:rPr>
          <w:color w:val="auto"/>
          <w:sz w:val="24"/>
        </w:rPr>
        <w:t>防止事故废水进入外环境控制、封堵图详见下图。</w:t>
      </w:r>
    </w:p>
    <w:p w14:paraId="415F64C4">
      <w:pPr>
        <w:spacing w:line="360" w:lineRule="auto"/>
        <w:rPr>
          <w:color w:val="auto"/>
        </w:rPr>
      </w:pPr>
      <w:r>
        <w:rPr>
          <w:color w:val="auto"/>
        </w:rPr>
        <w:object>
          <v:shape id="_x0000_i1045" o:spt="75" type="#_x0000_t75" style="height:117pt;width:439.5pt;" o:ole="t" filled="f" o:preferrelative="t" stroked="f" coordsize="21600,21600">
            <v:path/>
            <v:fill on="f" focussize="0,0"/>
            <v:stroke on="f"/>
            <v:imagedata r:id="rId95" o:title=""/>
            <o:lock v:ext="edit" aspectratio="t"/>
            <w10:wrap type="none"/>
            <w10:anchorlock/>
          </v:shape>
          <o:OLEObject Type="Embed" ProgID="Visio.Drawing.11" ShapeID="_x0000_i1045" DrawAspect="Content" ObjectID="_1468075748" r:id="rId94">
            <o:LockedField>false</o:LockedField>
          </o:OLEObject>
        </w:object>
      </w:r>
    </w:p>
    <w:p w14:paraId="0513DEAF">
      <w:pPr>
        <w:adjustRightInd w:val="0"/>
        <w:snapToGrid w:val="0"/>
        <w:spacing w:beforeLines="25" w:afterLines="25"/>
        <w:ind w:firstLine="422"/>
        <w:jc w:val="center"/>
        <w:outlineLvl w:val="3"/>
        <w:rPr>
          <w:b/>
          <w:bCs/>
          <w:color w:val="auto"/>
          <w:szCs w:val="21"/>
          <w:lang w:val="en-GB"/>
        </w:rPr>
      </w:pPr>
      <w:r>
        <w:rPr>
          <w:b/>
          <w:bCs/>
          <w:color w:val="auto"/>
          <w:szCs w:val="21"/>
        </w:rPr>
        <w:t>图</w:t>
      </w:r>
      <w:r>
        <w:rPr>
          <w:rFonts w:hint="eastAsia"/>
          <w:b/>
          <w:bCs/>
          <w:color w:val="auto"/>
          <w:szCs w:val="21"/>
          <w:lang w:val="en-US" w:eastAsia="zh-CN"/>
        </w:rPr>
        <w:t>7.</w:t>
      </w:r>
      <w:r>
        <w:rPr>
          <w:b/>
          <w:bCs/>
          <w:color w:val="auto"/>
          <w:szCs w:val="21"/>
        </w:rPr>
        <w:t>10-3</w:t>
      </w:r>
      <w:r>
        <w:rPr>
          <w:b/>
          <w:bCs/>
          <w:color w:val="auto"/>
          <w:szCs w:val="21"/>
          <w:lang w:val="en-GB"/>
        </w:rPr>
        <w:t xml:space="preserve">   防止事故废水进入外环境控制、封堵图</w:t>
      </w:r>
    </w:p>
    <w:p w14:paraId="7FD1323A">
      <w:pPr>
        <w:spacing w:line="360" w:lineRule="auto"/>
        <w:ind w:firstLine="480" w:firstLineChars="200"/>
        <w:rPr>
          <w:color w:val="auto"/>
          <w:sz w:val="24"/>
        </w:rPr>
      </w:pPr>
      <w:r>
        <w:rPr>
          <w:color w:val="auto"/>
          <w:sz w:val="24"/>
        </w:rPr>
        <w:t>第一级防控系统主要是生产车间，收集一般事故泄漏的物料，防止轻微事故泄漏时造成的污染水流出界区。</w:t>
      </w:r>
    </w:p>
    <w:p w14:paraId="31A590DE">
      <w:pPr>
        <w:spacing w:line="360" w:lineRule="auto"/>
        <w:ind w:firstLine="480" w:firstLineChars="200"/>
        <w:rPr>
          <w:color w:val="auto"/>
          <w:sz w:val="24"/>
        </w:rPr>
      </w:pPr>
      <w:r>
        <w:rPr>
          <w:color w:val="auto"/>
          <w:sz w:val="24"/>
        </w:rPr>
        <w:t>第二级防控系统主要厂区内雨水收集系统组成，发生重大的火灾、爆炸事故时，消防水及携带的物料通过厂区内雨水收集系统收集，同时停止雨水外排，将污染控制在厂内，防止较大生产事故泄漏物料和污染消防水造成的环境污染。</w:t>
      </w:r>
    </w:p>
    <w:p w14:paraId="62917E2B">
      <w:pPr>
        <w:spacing w:line="360" w:lineRule="auto"/>
        <w:ind w:firstLine="480"/>
        <w:rPr>
          <w:rFonts w:hint="eastAsia" w:ascii="Times New Roman" w:hAnsi="Times New Roman" w:eastAsia="宋体" w:cs="Times New Roman"/>
          <w:color w:val="auto"/>
          <w:sz w:val="24"/>
          <w:szCs w:val="24"/>
          <w:highlight w:val="none"/>
        </w:rPr>
      </w:pPr>
      <w:r>
        <w:rPr>
          <w:rFonts w:eastAsia="宋体" w:cs="Times New Roman"/>
          <w:color w:val="auto"/>
          <w:sz w:val="24"/>
          <w:szCs w:val="24"/>
          <w:highlight w:val="none"/>
        </w:rPr>
        <w:t>三级防控措施</w:t>
      </w:r>
      <w:r>
        <w:rPr>
          <w:rFonts w:hint="eastAsia"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厂内事故池设有与外界水体隔绝的控制阀门，发生火灾事故时，将事故废水收集，</w:t>
      </w:r>
      <w:r>
        <w:rPr>
          <w:rFonts w:hint="eastAsia" w:ascii="Times New Roman" w:hAnsi="Times New Roman" w:eastAsia="宋体" w:cs="Times New Roman"/>
          <w:color w:val="auto"/>
          <w:sz w:val="24"/>
          <w:szCs w:val="24"/>
          <w:highlight w:val="none"/>
          <w:lang w:val="en-US" w:eastAsia="zh-CN"/>
        </w:rPr>
        <w:t>处理达标后</w:t>
      </w:r>
      <w:r>
        <w:rPr>
          <w:rFonts w:ascii="Times New Roman" w:hAnsi="Times New Roman" w:eastAsia="宋体" w:cs="Times New Roman"/>
          <w:color w:val="auto"/>
          <w:sz w:val="24"/>
          <w:szCs w:val="24"/>
          <w:highlight w:val="none"/>
        </w:rPr>
        <w:t>分批排至污水处理厂，避免携带危险物质的污水直接进入外环境。厂内污水处理站和</w:t>
      </w:r>
      <w:r>
        <w:rPr>
          <w:rFonts w:hint="eastAsia" w:ascii="Times New Roman" w:hAnsi="Times New Roman" w:eastAsia="宋体" w:cs="Times New Roman"/>
          <w:color w:val="auto"/>
          <w:sz w:val="24"/>
          <w:szCs w:val="24"/>
          <w:highlight w:val="none"/>
        </w:rPr>
        <w:t>下游</w:t>
      </w:r>
      <w:r>
        <w:rPr>
          <w:rFonts w:ascii="Times New Roman" w:hAnsi="Times New Roman" w:eastAsia="宋体" w:cs="Times New Roman"/>
          <w:color w:val="auto"/>
          <w:sz w:val="24"/>
          <w:szCs w:val="24"/>
          <w:highlight w:val="none"/>
        </w:rPr>
        <w:t>污水处理厂同时发生事故的概率极低</w:t>
      </w:r>
      <w:r>
        <w:rPr>
          <w:rFonts w:hint="eastAsia" w:ascii="Times New Roman" w:hAnsi="Times New Roman" w:eastAsia="宋体" w:cs="Times New Roman"/>
          <w:color w:val="auto"/>
          <w:sz w:val="24"/>
          <w:szCs w:val="24"/>
          <w:highlight w:val="none"/>
        </w:rPr>
        <w:t>，事故</w:t>
      </w:r>
      <w:r>
        <w:rPr>
          <w:rFonts w:ascii="Times New Roman" w:hAnsi="Times New Roman" w:eastAsia="宋体" w:cs="Times New Roman"/>
          <w:color w:val="auto"/>
          <w:sz w:val="24"/>
          <w:szCs w:val="24"/>
          <w:highlight w:val="none"/>
        </w:rPr>
        <w:t>废水直接外排至地表水体的概率很小。</w:t>
      </w:r>
    </w:p>
    <w:p w14:paraId="33E4B5A7">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三级防控图具体见</w:t>
      </w:r>
      <w:r>
        <w:rPr>
          <w:rFonts w:hint="eastAsia" w:ascii="Times New Roman" w:hAnsi="Times New Roman" w:eastAsia="宋体" w:cs="Times New Roman"/>
          <w:color w:val="auto"/>
          <w:sz w:val="24"/>
          <w:szCs w:val="24"/>
          <w:highlight w:val="none"/>
          <w:lang w:val="en-US" w:eastAsia="zh-CN"/>
        </w:rPr>
        <w:t>下图</w:t>
      </w:r>
      <w:r>
        <w:rPr>
          <w:rFonts w:hint="default" w:ascii="Times New Roman" w:hAnsi="Times New Roman" w:eastAsia="宋体" w:cs="Times New Roman"/>
          <w:color w:val="auto"/>
          <w:sz w:val="24"/>
          <w:szCs w:val="24"/>
          <w:highlight w:val="none"/>
        </w:rPr>
        <w:t>。可见，作为事故状态下的收集、储存和调节手段，围堰、雨水收集系统、地沟、事故池等能将污染控制在厂区内，防止事故泄漏造成工业区管网的污染，以及消防废水外流造成的水环境污染。</w:t>
      </w:r>
    </w:p>
    <w:p w14:paraId="43822561">
      <w:pPr>
        <w:snapToGrid w:val="0"/>
        <w:spacing w:line="360" w:lineRule="auto"/>
        <w:ind w:firstLine="0" w:firstLineChars="0"/>
        <w:jc w:val="center"/>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4957445" cy="3403600"/>
            <wp:effectExtent l="0" t="0" r="14605" b="6350"/>
            <wp:docPr id="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3"/>
                    <pic:cNvPicPr>
                      <a:picLocks noChangeAspect="1"/>
                    </pic:cNvPicPr>
                  </pic:nvPicPr>
                  <pic:blipFill>
                    <a:blip r:embed="rId96"/>
                    <a:stretch>
                      <a:fillRect/>
                    </a:stretch>
                  </pic:blipFill>
                  <pic:spPr>
                    <a:xfrm>
                      <a:off x="0" y="0"/>
                      <a:ext cx="4957445" cy="3403600"/>
                    </a:xfrm>
                    <a:prstGeom prst="rect">
                      <a:avLst/>
                    </a:prstGeom>
                    <a:noFill/>
                    <a:ln>
                      <a:noFill/>
                    </a:ln>
                  </pic:spPr>
                </pic:pic>
              </a:graphicData>
            </a:graphic>
          </wp:inline>
        </w:drawing>
      </w:r>
    </w:p>
    <w:p w14:paraId="060FB691">
      <w:pPr>
        <w:adjustRightInd w:val="0"/>
        <w:snapToGrid w:val="0"/>
        <w:spacing w:beforeLines="25" w:afterLines="25"/>
        <w:ind w:firstLine="422"/>
        <w:jc w:val="center"/>
        <w:outlineLvl w:val="3"/>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val="en-US" w:eastAsia="zh-CN"/>
        </w:rPr>
        <w:t>图</w:t>
      </w:r>
      <w:r>
        <w:rPr>
          <w:rFonts w:hint="eastAsia" w:cs="Times New Roman"/>
          <w:b/>
          <w:bCs/>
          <w:color w:val="auto"/>
          <w:szCs w:val="21"/>
          <w:lang w:val="en-US" w:eastAsia="zh-CN"/>
        </w:rPr>
        <w:t>7.</w:t>
      </w:r>
      <w:r>
        <w:rPr>
          <w:rFonts w:hint="eastAsia" w:ascii="Times New Roman" w:hAnsi="Times New Roman" w:eastAsia="宋体" w:cs="Times New Roman"/>
          <w:b/>
          <w:bCs/>
          <w:color w:val="auto"/>
          <w:szCs w:val="21"/>
          <w:lang w:val="en-US" w:eastAsia="zh-CN"/>
        </w:rPr>
        <w:t>10-4</w:t>
      </w:r>
      <w:r>
        <w:rPr>
          <w:rFonts w:hint="default" w:ascii="Times New Roman" w:hAnsi="Times New Roman" w:eastAsia="宋体" w:cs="Times New Roman"/>
          <w:b/>
          <w:bCs/>
          <w:color w:val="auto"/>
          <w:szCs w:val="21"/>
          <w:lang w:val="en-US" w:eastAsia="zh-CN"/>
        </w:rPr>
        <w:t xml:space="preserve">  </w:t>
      </w:r>
      <w:r>
        <w:rPr>
          <w:rFonts w:hint="default" w:ascii="Times New Roman" w:hAnsi="Times New Roman" w:eastAsia="宋体" w:cs="Times New Roman"/>
          <w:b/>
          <w:bCs/>
          <w:color w:val="auto"/>
          <w:szCs w:val="21"/>
        </w:rPr>
        <w:t>全厂雨污控制、封堵系统流程示意图</w:t>
      </w:r>
    </w:p>
    <w:p w14:paraId="6198F2F1">
      <w:pPr>
        <w:snapToGrid/>
        <w:spacing w:line="360" w:lineRule="auto"/>
        <w:ind w:firstLine="480"/>
        <w:jc w:val="left"/>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正常生产情况下，阀门4开启，阀门1、2、3关闭，对于初期雨水的收集可通过关闭阀门1，开启阀门2进行收集，并用泵送至事故池，最终泵至污水站进行处理。</w:t>
      </w:r>
    </w:p>
    <w:p w14:paraId="333CB565">
      <w:pPr>
        <w:snapToGrid/>
        <w:spacing w:line="360" w:lineRule="auto"/>
        <w:ind w:firstLine="480"/>
        <w:jc w:val="left"/>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事故状况下，消防尾水流入雨水系统时通过开启阀门2，经初期雨水收集池收集，同时通过泵1送至项目事故池；事故废水、仓库等贮存区泄漏物料、消防尾水经收集后自流进入项目事故池；项目生产区事故池通过泵2将事故废水送至污水站处理；生产废水等送至污水站时，如达不到污水站处理要求，则开启阀门3、关闭阀门4，送入事故池暂存。事故池收集的事故水通过泵分批分次送厂内污水处理站处理，处理达到</w:t>
      </w:r>
      <w:r>
        <w:rPr>
          <w:rFonts w:hint="eastAsia" w:ascii="Times New Roman" w:hAnsi="Times New Roman" w:cs="Times New Roman"/>
          <w:color w:val="auto"/>
          <w:sz w:val="24"/>
          <w:szCs w:val="24"/>
          <w:highlight w:val="none"/>
          <w:lang w:val="en-US" w:eastAsia="zh-CN"/>
        </w:rPr>
        <w:t>相应</w:t>
      </w:r>
      <w:r>
        <w:rPr>
          <w:rFonts w:hint="default" w:ascii="Times New Roman" w:hAnsi="Times New Roman" w:cs="Times New Roman"/>
          <w:color w:val="auto"/>
          <w:sz w:val="24"/>
          <w:szCs w:val="24"/>
          <w:highlight w:val="none"/>
        </w:rPr>
        <w:t>标准后回用于生产。</w:t>
      </w:r>
    </w:p>
    <w:p w14:paraId="16C90CCF">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采取上述相应措施后，由于消防尾水、事故废水排放而发生周围地表水污染事故的可能性极小。</w:t>
      </w:r>
    </w:p>
    <w:p w14:paraId="4C85EE71">
      <w:pPr>
        <w:spacing w:line="360" w:lineRule="auto"/>
        <w:ind w:firstLine="480" w:firstLineChars="200"/>
        <w:rPr>
          <w:color w:val="auto"/>
          <w:sz w:val="24"/>
        </w:rPr>
      </w:pPr>
      <w:r>
        <w:rPr>
          <w:color w:val="auto"/>
          <w:sz w:val="24"/>
        </w:rPr>
        <w:t>(7)、风险监控和应急监测系统</w:t>
      </w:r>
    </w:p>
    <w:p w14:paraId="1BABE403">
      <w:pPr>
        <w:spacing w:line="360" w:lineRule="auto"/>
        <w:ind w:firstLine="480" w:firstLineChars="200"/>
        <w:rPr>
          <w:color w:val="auto"/>
          <w:sz w:val="24"/>
        </w:rPr>
      </w:pPr>
      <w:r>
        <w:rPr>
          <w:color w:val="auto"/>
          <w:sz w:val="24"/>
        </w:rPr>
        <w:t>在应急检测方面，企业目前已配备了一定的应急检测设施，主要包括废水检测设施、便携式有毒、可燃气体检测仪等。</w:t>
      </w:r>
    </w:p>
    <w:p w14:paraId="0C5B87B5">
      <w:pPr>
        <w:spacing w:line="360" w:lineRule="auto"/>
        <w:ind w:firstLine="480" w:firstLineChars="200"/>
        <w:rPr>
          <w:color w:val="auto"/>
          <w:sz w:val="24"/>
        </w:rPr>
      </w:pPr>
      <w:r>
        <w:rPr>
          <w:color w:val="auto"/>
          <w:sz w:val="24"/>
        </w:rPr>
        <w:t>在应急物资方面，企业应新增部分消防、堵漏、个人防护及医疗等用品，以满足项目应急需要。</w:t>
      </w:r>
    </w:p>
    <w:p w14:paraId="75814196">
      <w:pPr>
        <w:spacing w:line="360" w:lineRule="auto"/>
        <w:rPr>
          <w:color w:val="auto"/>
          <w:sz w:val="24"/>
        </w:rPr>
      </w:pPr>
      <w:bookmarkStart w:id="262" w:name="_Toc27006"/>
      <w:r>
        <w:rPr>
          <w:rFonts w:hint="eastAsia"/>
          <w:color w:val="auto"/>
          <w:sz w:val="24"/>
        </w:rPr>
        <w:t>10.2</w:t>
      </w:r>
      <w:r>
        <w:rPr>
          <w:color w:val="auto"/>
          <w:sz w:val="24"/>
        </w:rPr>
        <w:t>应急体系</w:t>
      </w:r>
      <w:bookmarkEnd w:id="262"/>
    </w:p>
    <w:p w14:paraId="2203D7AF">
      <w:pPr>
        <w:spacing w:line="360" w:lineRule="auto"/>
        <w:ind w:firstLine="480" w:firstLineChars="200"/>
        <w:rPr>
          <w:color w:val="auto"/>
          <w:sz w:val="24"/>
        </w:rPr>
      </w:pPr>
      <w:r>
        <w:rPr>
          <w:color w:val="auto"/>
          <w:sz w:val="24"/>
        </w:rPr>
        <w:t>1、防止事故气态污染物向环境转移</w:t>
      </w:r>
    </w:p>
    <w:p w14:paraId="34D2D733">
      <w:pPr>
        <w:spacing w:line="360" w:lineRule="auto"/>
        <w:ind w:firstLine="480" w:firstLineChars="200"/>
        <w:rPr>
          <w:color w:val="auto"/>
          <w:sz w:val="24"/>
        </w:rPr>
      </w:pPr>
      <w:r>
        <w:rPr>
          <w:color w:val="auto"/>
          <w:sz w:val="24"/>
        </w:rPr>
        <w:t>控制和减少事故情况下毒物和污染物从大气途径进入环境，对于废气处理装置非正常运行情况，应及时停止生产，并采取风险防范措施减少对环境造成危害。</w:t>
      </w:r>
    </w:p>
    <w:p w14:paraId="1B7124FC">
      <w:pPr>
        <w:spacing w:line="360" w:lineRule="auto"/>
        <w:ind w:firstLine="480" w:firstLineChars="200"/>
        <w:rPr>
          <w:color w:val="auto"/>
          <w:sz w:val="24"/>
        </w:rPr>
      </w:pPr>
      <w:r>
        <w:rPr>
          <w:color w:val="auto"/>
          <w:sz w:val="24"/>
        </w:rPr>
        <w:t>2、联防联控体系</w:t>
      </w:r>
    </w:p>
    <w:p w14:paraId="1FBEA357">
      <w:pPr>
        <w:spacing w:line="360" w:lineRule="auto"/>
        <w:ind w:firstLine="480" w:firstLineChars="200"/>
        <w:rPr>
          <w:color w:val="auto"/>
          <w:sz w:val="24"/>
        </w:rPr>
      </w:pPr>
      <w:r>
        <w:rPr>
          <w:color w:val="auto"/>
          <w:sz w:val="24"/>
        </w:rPr>
        <w:t>企业的应急系统分为多级联动：包括车间级、厂区级、园区级。</w:t>
      </w:r>
    </w:p>
    <w:p w14:paraId="1D5B4DB8">
      <w:pPr>
        <w:spacing w:line="360" w:lineRule="auto"/>
        <w:ind w:firstLine="480" w:firstLineChars="200"/>
        <w:rPr>
          <w:color w:val="auto"/>
          <w:sz w:val="24"/>
        </w:rPr>
      </w:pPr>
      <w:r>
        <w:rPr>
          <w:color w:val="auto"/>
          <w:sz w:val="24"/>
        </w:rPr>
        <w:t>车间级：事故出现在企业的生产单元，影响到局部地区，但限制在装置区域。按要求密闭化、自动化生产，做好生产装置区的pH、压力等在线监控，联锁反馈装置等。</w:t>
      </w:r>
    </w:p>
    <w:p w14:paraId="72408BEE">
      <w:pPr>
        <w:spacing w:line="360" w:lineRule="auto"/>
        <w:ind w:firstLine="480" w:firstLineChars="200"/>
        <w:rPr>
          <w:color w:val="auto"/>
          <w:sz w:val="24"/>
        </w:rPr>
      </w:pPr>
      <w:r>
        <w:rPr>
          <w:color w:val="auto"/>
          <w:sz w:val="24"/>
        </w:rPr>
        <w:t>厂区级：事故限制在企业内的现场周边地区，影响到相邻的车间或单元。项目废水经处理达标后纳管排放，未受污染雨水收集后通过雨水排放口排放，废水、雨水排放口设置明显的标识标牌。发生事故时，事故废水进入厂区事故应急池收集，经处理达标后排放。</w:t>
      </w:r>
    </w:p>
    <w:p w14:paraId="30DBD568">
      <w:pPr>
        <w:spacing w:line="360" w:lineRule="auto"/>
        <w:ind w:firstLine="480" w:firstLineChars="200"/>
        <w:rPr>
          <w:color w:val="auto"/>
          <w:sz w:val="24"/>
          <w:highlight w:val="none"/>
        </w:rPr>
      </w:pPr>
      <w:r>
        <w:rPr>
          <w:color w:val="auto"/>
          <w:sz w:val="24"/>
          <w:highlight w:val="none"/>
        </w:rPr>
        <w:t>园区级：事故产生巨大的连锁反应，影响事故现场之外的周围地区。事故发生时启动园区应急预案，落实环境风险防范措施。</w:t>
      </w:r>
    </w:p>
    <w:p w14:paraId="5ED5DBCA">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以园区防控体系作为第三级防线。在极端情况下，厂内装置导流沟、事故池无法全部收集事故废水时，若厂区事故废水排入污水处理厂，应及时通报下游污水处理厂采取应急措施；若事故废水或物料泄露进入园区河道，通过控制园区河道排洪渠闸门，防止事故废水进入下游地表水环境。根据所在园区风险防范体系建设情况可知，突发环境事件时可通过切断水闸等，截断涉水环境风险物质的流经途径。当事故影响到厂界外环境时，应及时通报当地政府部门，启动上一级区域应急预案，确保在发生重大事故情况下，能够迅速有效获取、显示、传递有关信息，统一调配应急资源，从而实施有效行动以减少风险事故的影响。</w:t>
      </w:r>
      <w:bookmarkStart w:id="263" w:name="_Hlk121258248"/>
    </w:p>
    <w:p w14:paraId="4C8EBE6D">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项目厂区内</w:t>
      </w:r>
      <w:r>
        <w:rPr>
          <w:rFonts w:hint="eastAsia" w:ascii="Times New Roman" w:hAnsi="Times New Roman" w:eastAsia="宋体" w:cs="Times New Roman"/>
          <w:color w:val="auto"/>
          <w:sz w:val="24"/>
          <w:lang w:val="en-US" w:eastAsia="zh-CN"/>
        </w:rPr>
        <w:t>拟</w:t>
      </w:r>
      <w:r>
        <w:rPr>
          <w:rFonts w:hint="default" w:ascii="Times New Roman" w:hAnsi="Times New Roman" w:eastAsia="宋体" w:cs="Times New Roman"/>
          <w:color w:val="auto"/>
          <w:sz w:val="24"/>
          <w:lang w:val="en-US" w:eastAsia="zh-CN"/>
        </w:rPr>
        <w:t>建</w:t>
      </w:r>
      <w:r>
        <w:rPr>
          <w:rFonts w:hint="eastAsia" w:cs="Times New Roman"/>
          <w:color w:val="auto"/>
          <w:sz w:val="24"/>
          <w:lang w:val="en-US" w:eastAsia="zh-CN"/>
        </w:rPr>
        <w:t>140</w:t>
      </w:r>
      <w:r>
        <w:rPr>
          <w:rFonts w:hint="default" w:ascii="Times New Roman" w:hAnsi="Times New Roman" w:eastAsia="宋体" w:cs="Times New Roman"/>
          <w:color w:val="auto"/>
          <w:sz w:val="24"/>
          <w:lang w:val="en-US" w:eastAsia="zh-CN"/>
        </w:rPr>
        <w:t>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事故应急池</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另有</w:t>
      </w:r>
      <w:r>
        <w:rPr>
          <w:rFonts w:hint="default" w:ascii="Times New Roman" w:hAnsi="Times New Roman" w:eastAsia="宋体" w:cs="Times New Roman"/>
          <w:color w:val="auto"/>
          <w:sz w:val="24"/>
          <w:lang w:val="en-US" w:eastAsia="zh-CN"/>
        </w:rPr>
        <w:t>位于</w:t>
      </w:r>
      <w:r>
        <w:rPr>
          <w:rFonts w:hint="eastAsia" w:ascii="Times New Roman" w:hAnsi="Times New Roman" w:eastAsia="宋体" w:cs="Times New Roman"/>
          <w:color w:val="auto"/>
          <w:sz w:val="24"/>
          <w:lang w:val="en-US" w:eastAsia="zh-CN"/>
        </w:rPr>
        <w:t>园区</w:t>
      </w:r>
      <w:r>
        <w:rPr>
          <w:rFonts w:hint="default" w:ascii="Times New Roman" w:hAnsi="Times New Roman" w:eastAsia="宋体" w:cs="Times New Roman"/>
          <w:color w:val="auto"/>
          <w:sz w:val="24"/>
          <w:lang w:val="en-US" w:eastAsia="zh-CN"/>
        </w:rPr>
        <w:t>区块二的污水处理厂己配套建设</w:t>
      </w:r>
      <w:r>
        <w:rPr>
          <w:rFonts w:hint="eastAsia" w:cs="Times New Roman"/>
          <w:color w:val="auto"/>
          <w:sz w:val="24"/>
          <w:lang w:val="en-US" w:eastAsia="zh-CN"/>
        </w:rPr>
        <w:t>的</w:t>
      </w:r>
      <w:r>
        <w:rPr>
          <w:rFonts w:hint="default" w:ascii="Times New Roman" w:hAnsi="Times New Roman" w:eastAsia="宋体" w:cs="Times New Roman"/>
          <w:color w:val="auto"/>
          <w:sz w:val="24"/>
          <w:lang w:val="en-US" w:eastAsia="zh-CN"/>
        </w:rPr>
        <w:t>5000m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的应急池，可用于事故废水的收集、暂存和处理。事故应急池能够满足厂区事故应急需求。事故应急池设置手动/自动双阀门，一旦发生事故，事故废水纳入事故应急池，确保废水不泄漏至附近水系而污染内河。</w:t>
      </w:r>
      <w:bookmarkEnd w:id="263"/>
      <w:r>
        <w:rPr>
          <w:rFonts w:hint="default" w:ascii="Times New Roman" w:hAnsi="Times New Roman" w:eastAsia="宋体" w:cs="Times New Roman"/>
          <w:color w:val="auto"/>
          <w:sz w:val="24"/>
          <w:lang w:val="en-US" w:eastAsia="zh-CN"/>
        </w:rPr>
        <w:t>正常情况下，应确保事故应急池和初期雨水收集池的空置状态。厂区应在雨水排放口设置总阀门，一旦发现雨水系统被污染，立即关闭雨水排放口总阀门，确保将受污染水截留在厂区内。此外，企业应设置相应的应急救援器材和物资、每年进行预案演练，以积极完善风险防控系统。此外，要求企业严格进行雨污分流、清污分流，加强对雨水口的监控，有效落实各项事故风险防范措施，确保事故废水能够送至废水处理站处理，避免风险状态下对周边地表水造成不利影响。同时要求事故发生后，园区及企业应及时开展地表水环境风险应急监测，根据超标情况采取不同的水体修复方案。</w:t>
      </w:r>
    </w:p>
    <w:p w14:paraId="1BE01D99">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a</w:t>
      </w:r>
      <w:r>
        <w:rPr>
          <w:rFonts w:hint="default" w:ascii="Times New Roman" w:hAnsi="Times New Roman" w:eastAsia="宋体" w:cs="Times New Roman"/>
          <w:color w:val="auto"/>
          <w:sz w:val="24"/>
          <w:lang w:val="en-US" w:eastAsia="zh-CN"/>
        </w:rPr>
        <w:t>.事故废水接入园区污水处理厂处理可行性</w:t>
      </w:r>
    </w:p>
    <w:p w14:paraId="56CAF610">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一般情况下，事故废水</w:t>
      </w:r>
      <w:r>
        <w:rPr>
          <w:rFonts w:hint="eastAsia" w:ascii="Times New Roman" w:hAnsi="Times New Roman" w:eastAsia="宋体" w:cs="Times New Roman"/>
          <w:color w:val="auto"/>
          <w:sz w:val="24"/>
          <w:lang w:val="en-US" w:eastAsia="zh-CN"/>
        </w:rPr>
        <w:t>可在厂区应急池收集，</w:t>
      </w:r>
      <w:r>
        <w:rPr>
          <w:rFonts w:hint="default" w:ascii="Times New Roman" w:hAnsi="Times New Roman" w:eastAsia="宋体" w:cs="Times New Roman"/>
          <w:color w:val="auto"/>
          <w:sz w:val="24"/>
          <w:lang w:val="en-US" w:eastAsia="zh-CN"/>
        </w:rPr>
        <w:t>在极端情况下，</w:t>
      </w:r>
      <w:r>
        <w:rPr>
          <w:rFonts w:hint="eastAsia" w:ascii="Times New Roman" w:hAnsi="Times New Roman" w:eastAsia="宋体" w:cs="Times New Roman"/>
          <w:color w:val="auto"/>
          <w:sz w:val="24"/>
          <w:lang w:val="en-US" w:eastAsia="zh-CN"/>
        </w:rPr>
        <w:t>可依托废水管网送至</w:t>
      </w:r>
      <w:r>
        <w:rPr>
          <w:rFonts w:hint="default" w:ascii="Times New Roman" w:hAnsi="Times New Roman" w:eastAsia="宋体" w:cs="Times New Roman"/>
          <w:color w:val="auto"/>
          <w:sz w:val="24"/>
          <w:lang w:val="en-US" w:eastAsia="zh-CN"/>
        </w:rPr>
        <w:t>污水处理厂5000m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的应急池</w:t>
      </w:r>
      <w:r>
        <w:rPr>
          <w:rFonts w:hint="eastAsia" w:ascii="Times New Roman" w:hAnsi="Times New Roman" w:eastAsia="宋体" w:cs="Times New Roman"/>
          <w:color w:val="auto"/>
          <w:sz w:val="24"/>
          <w:lang w:val="en-US" w:eastAsia="zh-CN"/>
        </w:rPr>
        <w:t>，之后经</w:t>
      </w:r>
      <w:r>
        <w:rPr>
          <w:rFonts w:hint="default" w:ascii="Times New Roman" w:hAnsi="Times New Roman" w:eastAsia="宋体" w:cs="Times New Roman"/>
          <w:color w:val="auto"/>
          <w:sz w:val="24"/>
          <w:lang w:val="en-US" w:eastAsia="zh-CN"/>
        </w:rPr>
        <w:t>污水处理站进行预处理达到接管标准后进入淮南经济技术开发区污水处理厂深度处理，处理达到出水标准后排放淮河。</w:t>
      </w:r>
    </w:p>
    <w:p w14:paraId="72253654">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b</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应急物资储备</w:t>
      </w:r>
    </w:p>
    <w:p w14:paraId="5515DE2B">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应急物资依托园区消防站应急物资储备库，应急物资含佩戴式防爆头灯、手持扩音器、耐酸碱，耐热手套、轻型安全绳、救援头盔、腰斧、地下消火栓扳手、消防安全钩、消防腰带、新型水带包布、功能枪头、集污袋、强酸、碱清洗剂、强酸.碱洗消剂、洗消帐篷、隔离警示带、拖线盘、粘贴式堵漏工具、金属堵漏套管、阀门堵漏工具、干电池手持钻、缓降器、逃生面罩等。</w:t>
      </w:r>
    </w:p>
    <w:p w14:paraId="071DB55B">
      <w:pPr>
        <w:spacing w:line="360" w:lineRule="auto"/>
        <w:ind w:firstLine="480" w:firstLineChars="200"/>
        <w:rPr>
          <w:color w:val="auto"/>
          <w:sz w:val="24"/>
        </w:rPr>
      </w:pPr>
      <w:r>
        <w:rPr>
          <w:color w:val="auto"/>
          <w:sz w:val="24"/>
        </w:rPr>
        <w:t>考虑事故触发具有不确定性，厂内环境风险防控系统应纳入开发区、区域环境风险防控体系，明确风险防控设施、管理的衔接要求。极端事故风险防控及应急处置应结合所在开发区、区域环境风险防控体系统筹考虑，按分级响应要求及时启动园区/区域环境风险防范措施，实现厂内与园区/区域环境风险防控设施及管理有效联动，有效防控环境风险。</w:t>
      </w:r>
    </w:p>
    <w:p w14:paraId="63E77A6D">
      <w:pPr>
        <w:spacing w:line="360" w:lineRule="auto"/>
        <w:rPr>
          <w:color w:val="auto"/>
          <w:sz w:val="24"/>
        </w:rPr>
      </w:pPr>
      <w:bookmarkStart w:id="264" w:name="_Toc18427"/>
      <w:r>
        <w:rPr>
          <w:color w:val="auto"/>
          <w:sz w:val="24"/>
        </w:rPr>
        <w:t>10.3突发环境事件应急预案编制要求</w:t>
      </w:r>
      <w:bookmarkEnd w:id="264"/>
    </w:p>
    <w:p w14:paraId="50C5CA38">
      <w:pPr>
        <w:spacing w:line="360" w:lineRule="auto"/>
        <w:ind w:firstLine="480" w:firstLineChars="200"/>
        <w:rPr>
          <w:color w:val="auto"/>
          <w:sz w:val="24"/>
        </w:rPr>
      </w:pPr>
      <w:r>
        <w:rPr>
          <w:color w:val="auto"/>
          <w:sz w:val="24"/>
        </w:rPr>
        <w:t>1、应急预案编制</w:t>
      </w:r>
    </w:p>
    <w:p w14:paraId="19638815">
      <w:pPr>
        <w:spacing w:line="360" w:lineRule="auto"/>
        <w:ind w:firstLine="480" w:firstLineChars="200"/>
        <w:rPr>
          <w:color w:val="auto"/>
          <w:sz w:val="24"/>
        </w:rPr>
      </w:pPr>
      <w:r>
        <w:rPr>
          <w:color w:val="auto"/>
          <w:sz w:val="24"/>
        </w:rPr>
        <w:t>企业应在项目投入运行前根据应急预案编制导则完成突发环境事件应急预案的编制，并由当地生态环境主管部门完成备案，并能够按照应急预案要求组织实施，并定期进行演练并报当地生态环境部门备案。</w:t>
      </w:r>
    </w:p>
    <w:p w14:paraId="68F5457A">
      <w:pPr>
        <w:spacing w:line="360" w:lineRule="auto"/>
        <w:ind w:firstLine="480" w:firstLineChars="200"/>
        <w:rPr>
          <w:color w:val="auto"/>
          <w:sz w:val="24"/>
        </w:rPr>
      </w:pPr>
      <w:r>
        <w:rPr>
          <w:color w:val="auto"/>
          <w:sz w:val="24"/>
        </w:rPr>
        <w:t>2、企业工程的应急防范措施</w:t>
      </w:r>
    </w:p>
    <w:p w14:paraId="7F846C8F">
      <w:pPr>
        <w:spacing w:line="360" w:lineRule="auto"/>
        <w:ind w:firstLine="480" w:firstLineChars="200"/>
        <w:rPr>
          <w:color w:val="auto"/>
          <w:sz w:val="24"/>
        </w:rPr>
      </w:pPr>
      <w:r>
        <w:rPr>
          <w:color w:val="auto"/>
          <w:sz w:val="24"/>
        </w:rPr>
        <w:t>企业制定《现场应急处置方案》，针对火灾事件、化学品泄漏事件、废水处理装置污染事件和土壤污染事件制定现场应急处置方案。</w:t>
      </w:r>
    </w:p>
    <w:p w14:paraId="27065764">
      <w:pPr>
        <w:spacing w:line="360" w:lineRule="auto"/>
        <w:ind w:firstLine="480" w:firstLineChars="200"/>
        <w:rPr>
          <w:color w:val="auto"/>
          <w:sz w:val="24"/>
        </w:rPr>
      </w:pPr>
      <w:r>
        <w:rPr>
          <w:color w:val="auto"/>
          <w:sz w:val="24"/>
        </w:rPr>
        <w:t>同时，厂区内配备比较完善的应急设施（备）与物资，具体如下：</w:t>
      </w:r>
    </w:p>
    <w:p w14:paraId="3FDB5A5D">
      <w:pPr>
        <w:spacing w:line="360" w:lineRule="auto"/>
        <w:ind w:firstLine="480" w:firstLineChars="200"/>
        <w:rPr>
          <w:color w:val="auto"/>
          <w:sz w:val="24"/>
        </w:rPr>
      </w:pPr>
      <w:r>
        <w:rPr>
          <w:color w:val="auto"/>
          <w:sz w:val="24"/>
        </w:rPr>
        <w:t>①急救设备：急救箱、解毒药剂等；</w:t>
      </w:r>
    </w:p>
    <w:p w14:paraId="6509C63B">
      <w:pPr>
        <w:spacing w:line="360" w:lineRule="auto"/>
        <w:ind w:firstLine="480" w:firstLineChars="200"/>
        <w:rPr>
          <w:color w:val="auto"/>
          <w:sz w:val="24"/>
        </w:rPr>
      </w:pPr>
      <w:r>
        <w:rPr>
          <w:color w:val="auto"/>
          <w:sz w:val="24"/>
        </w:rPr>
        <w:t>②个体防护设备：轻型防护服、防毒面具、橡胶手套等；</w:t>
      </w:r>
    </w:p>
    <w:p w14:paraId="3C860DE5">
      <w:pPr>
        <w:spacing w:line="360" w:lineRule="auto"/>
        <w:ind w:firstLine="480" w:firstLineChars="200"/>
        <w:rPr>
          <w:color w:val="auto"/>
          <w:sz w:val="24"/>
        </w:rPr>
      </w:pPr>
      <w:r>
        <w:rPr>
          <w:color w:val="auto"/>
          <w:sz w:val="24"/>
        </w:rPr>
        <w:t>③消防设备：输水装置、软管、喷头、灭火器、消火栓、水泡、消防水池等；</w:t>
      </w:r>
    </w:p>
    <w:p w14:paraId="43FFD7AF">
      <w:pPr>
        <w:spacing w:line="360" w:lineRule="auto"/>
        <w:ind w:firstLine="480" w:firstLineChars="200"/>
        <w:rPr>
          <w:color w:val="auto"/>
          <w:sz w:val="24"/>
        </w:rPr>
      </w:pPr>
      <w:r>
        <w:rPr>
          <w:color w:val="auto"/>
          <w:sz w:val="24"/>
        </w:rPr>
        <w:t>④泄漏控制设备：泄漏控制工具、封堵设备、解封堵设备、沙子等；</w:t>
      </w:r>
    </w:p>
    <w:p w14:paraId="294FA38F">
      <w:pPr>
        <w:spacing w:line="360" w:lineRule="auto"/>
        <w:ind w:firstLine="480" w:firstLineChars="200"/>
        <w:rPr>
          <w:color w:val="auto"/>
          <w:sz w:val="24"/>
        </w:rPr>
      </w:pPr>
      <w:r>
        <w:rPr>
          <w:color w:val="auto"/>
          <w:sz w:val="24"/>
        </w:rPr>
        <w:t>⑤事故水收集池：企业拟建设一座有效容积</w:t>
      </w:r>
      <w:r>
        <w:rPr>
          <w:rFonts w:hint="eastAsia"/>
          <w:color w:val="auto"/>
          <w:sz w:val="24"/>
          <w:lang w:val="en-US" w:eastAsia="zh-CN"/>
        </w:rPr>
        <w:t>140</w:t>
      </w:r>
      <w:r>
        <w:rPr>
          <w:color w:val="auto"/>
          <w:sz w:val="24"/>
        </w:rPr>
        <w:t>立方的事故应急池，可以满足事故状态下废水暂存需要；</w:t>
      </w:r>
    </w:p>
    <w:p w14:paraId="121A1EB6">
      <w:pPr>
        <w:spacing w:line="360" w:lineRule="auto"/>
        <w:ind w:firstLine="480" w:firstLineChars="200"/>
        <w:rPr>
          <w:color w:val="auto"/>
          <w:sz w:val="24"/>
        </w:rPr>
      </w:pPr>
      <w:r>
        <w:rPr>
          <w:color w:val="auto"/>
          <w:sz w:val="24"/>
        </w:rPr>
        <w:t>⑥环保应急设施：应急池、雨水口紧急切断阀等；</w:t>
      </w:r>
    </w:p>
    <w:p w14:paraId="5177C817">
      <w:pPr>
        <w:spacing w:line="360" w:lineRule="auto"/>
        <w:ind w:firstLine="480" w:firstLineChars="200"/>
        <w:rPr>
          <w:color w:val="auto"/>
          <w:sz w:val="24"/>
        </w:rPr>
      </w:pPr>
      <w:r>
        <w:rPr>
          <w:color w:val="auto"/>
          <w:sz w:val="24"/>
        </w:rPr>
        <w:t>⑦通讯设备：广播、对讲机、移动电话、电话、传真机等。</w:t>
      </w:r>
    </w:p>
    <w:p w14:paraId="56152233">
      <w:pPr>
        <w:spacing w:line="360" w:lineRule="auto"/>
        <w:outlineLvl w:val="0"/>
        <w:rPr>
          <w:color w:val="auto"/>
          <w:sz w:val="28"/>
          <w:szCs w:val="28"/>
        </w:rPr>
      </w:pPr>
      <w:bookmarkStart w:id="265" w:name="_Toc655"/>
      <w:bookmarkStart w:id="266" w:name="_Toc125725078"/>
      <w:bookmarkStart w:id="267" w:name="_Toc10955"/>
      <w:bookmarkStart w:id="268" w:name="_Toc2463"/>
      <w:bookmarkStart w:id="269" w:name="_Toc12435"/>
      <w:bookmarkStart w:id="270" w:name="_Toc18441"/>
      <w:bookmarkStart w:id="271" w:name="_Toc18538833"/>
      <w:bookmarkStart w:id="272" w:name="_Toc4962819"/>
      <w:bookmarkStart w:id="273" w:name="_Toc4963049"/>
      <w:bookmarkStart w:id="274" w:name="_Toc2603236"/>
      <w:bookmarkStart w:id="275" w:name="_Toc116393155"/>
      <w:r>
        <w:rPr>
          <w:rFonts w:hint="eastAsia"/>
          <w:color w:val="auto"/>
          <w:sz w:val="28"/>
          <w:szCs w:val="28"/>
        </w:rPr>
        <w:t xml:space="preserve">11 </w:t>
      </w:r>
      <w:r>
        <w:rPr>
          <w:color w:val="auto"/>
          <w:sz w:val="28"/>
          <w:szCs w:val="28"/>
        </w:rPr>
        <w:t>环保设施安全评估</w:t>
      </w:r>
      <w:bookmarkEnd w:id="265"/>
      <w:bookmarkEnd w:id="266"/>
      <w:r>
        <w:rPr>
          <w:color w:val="auto"/>
          <w:sz w:val="28"/>
          <w:szCs w:val="28"/>
        </w:rPr>
        <w:t>要求</w:t>
      </w:r>
      <w:bookmarkEnd w:id="267"/>
      <w:bookmarkEnd w:id="268"/>
      <w:bookmarkEnd w:id="269"/>
      <w:bookmarkEnd w:id="270"/>
    </w:p>
    <w:p w14:paraId="1175D7A9">
      <w:pPr>
        <w:spacing w:line="360" w:lineRule="auto"/>
        <w:ind w:firstLine="480" w:firstLineChars="200"/>
        <w:rPr>
          <w:color w:val="auto"/>
          <w:sz w:val="24"/>
        </w:rPr>
      </w:pPr>
      <w:r>
        <w:rPr>
          <w:color w:val="auto"/>
          <w:sz w:val="24"/>
        </w:rPr>
        <w:t>根据《国务院安委办公室 生态环境部 应急管理部关于进一步加强环保设施安全生产工作的通知》（安委办明电〔2022〕17号）等有关规定，公司涉及废气处理、污水处理等重点环保设施，因此公司在开展日常环境保护管理过程中，应同步落实重点环保设施安全风险辨识评估和隐患排查治理管理。按照相关法律法规和技术标准规范要求落实。</w:t>
      </w:r>
    </w:p>
    <w:p w14:paraId="12F4EE84">
      <w:pPr>
        <w:spacing w:line="360" w:lineRule="auto"/>
        <w:outlineLvl w:val="0"/>
        <w:rPr>
          <w:color w:val="auto"/>
          <w:sz w:val="28"/>
          <w:szCs w:val="28"/>
        </w:rPr>
      </w:pPr>
      <w:bookmarkStart w:id="276" w:name="_Toc18194"/>
      <w:bookmarkStart w:id="277" w:name="_Toc26169"/>
      <w:bookmarkStart w:id="278" w:name="_Toc24917"/>
      <w:bookmarkStart w:id="279" w:name="_Toc29709"/>
      <w:bookmarkStart w:id="280" w:name="_Toc24200"/>
      <w:r>
        <w:rPr>
          <w:rFonts w:hint="eastAsia"/>
          <w:color w:val="auto"/>
          <w:sz w:val="28"/>
          <w:szCs w:val="28"/>
        </w:rPr>
        <w:t xml:space="preserve">12 </w:t>
      </w:r>
      <w:r>
        <w:rPr>
          <w:color w:val="auto"/>
          <w:sz w:val="28"/>
          <w:szCs w:val="28"/>
        </w:rPr>
        <w:t>评价结论及建议</w:t>
      </w:r>
      <w:bookmarkEnd w:id="271"/>
      <w:bookmarkEnd w:id="272"/>
      <w:bookmarkEnd w:id="273"/>
      <w:bookmarkEnd w:id="274"/>
      <w:bookmarkEnd w:id="275"/>
      <w:bookmarkEnd w:id="276"/>
      <w:bookmarkEnd w:id="277"/>
      <w:bookmarkEnd w:id="278"/>
      <w:bookmarkEnd w:id="279"/>
      <w:bookmarkEnd w:id="280"/>
    </w:p>
    <w:p w14:paraId="10922DD2">
      <w:pPr>
        <w:spacing w:line="360" w:lineRule="auto"/>
        <w:ind w:firstLine="480" w:firstLineChars="200"/>
        <w:rPr>
          <w:color w:val="auto"/>
          <w:sz w:val="24"/>
        </w:rPr>
      </w:pPr>
      <w:bookmarkStart w:id="281" w:name="_Toc7628"/>
      <w:r>
        <w:rPr>
          <w:color w:val="auto"/>
          <w:sz w:val="24"/>
        </w:rPr>
        <w:t>（1）项目危险因素</w:t>
      </w:r>
      <w:bookmarkEnd w:id="281"/>
    </w:p>
    <w:p w14:paraId="4CEA6196">
      <w:pPr>
        <w:spacing w:line="360" w:lineRule="auto"/>
        <w:ind w:firstLine="480" w:firstLineChars="200"/>
        <w:rPr>
          <w:color w:val="auto"/>
          <w:sz w:val="24"/>
        </w:rPr>
      </w:pPr>
      <w:r>
        <w:rPr>
          <w:color w:val="auto"/>
          <w:sz w:val="24"/>
        </w:rPr>
        <w:t>本项目主要危险物质为氯化氢、氟化氢等，危险单元主要分布于生产车间、储罐区、仓库等。</w:t>
      </w:r>
    </w:p>
    <w:p w14:paraId="24F7A37C">
      <w:pPr>
        <w:spacing w:line="360" w:lineRule="auto"/>
        <w:ind w:firstLine="480" w:firstLineChars="200"/>
        <w:rPr>
          <w:color w:val="auto"/>
          <w:sz w:val="24"/>
          <w:lang w:val="en-GB"/>
        </w:rPr>
      </w:pPr>
      <w:bookmarkStart w:id="282" w:name="_Toc14617"/>
      <w:r>
        <w:rPr>
          <w:color w:val="auto"/>
          <w:sz w:val="24"/>
        </w:rPr>
        <w:t>（2）</w:t>
      </w:r>
      <w:r>
        <w:rPr>
          <w:color w:val="auto"/>
          <w:sz w:val="24"/>
          <w:lang w:val="en-GB"/>
        </w:rPr>
        <w:t>环境敏感性及事故环境影响</w:t>
      </w:r>
      <w:bookmarkEnd w:id="282"/>
    </w:p>
    <w:p w14:paraId="6D4F70D3">
      <w:pPr>
        <w:spacing w:line="360" w:lineRule="auto"/>
        <w:ind w:firstLine="480" w:firstLineChars="200"/>
        <w:rPr>
          <w:color w:val="auto"/>
          <w:sz w:val="24"/>
        </w:rPr>
      </w:pPr>
      <w:r>
        <w:rPr>
          <w:color w:val="auto"/>
          <w:sz w:val="24"/>
        </w:rPr>
        <w:t>本项目5km范围内有较多居民点，但居民点均离厂界较远，根据有毒有害物质扩散预测结果，最不利气象条件下，大气毒性终点浓度-1的最大影响范围为220m，大气毒性终点浓度-2的最大影响范围为580m，故根据评估结果，在最不利的情况下敏感点污染物浓度均小于大气毒性终点浓度-2。项目最大可行事故风险，小于行业可接受风险水平，最大可信事故风险是可以接受的。因此，设定的风险事故发生时，有毒有害物质的扩散对项目周边居民点影响不大。</w:t>
      </w:r>
    </w:p>
    <w:p w14:paraId="390FB615">
      <w:pPr>
        <w:spacing w:line="360" w:lineRule="auto"/>
        <w:ind w:firstLine="480" w:firstLineChars="200"/>
        <w:rPr>
          <w:color w:val="auto"/>
          <w:sz w:val="24"/>
          <w:lang w:val="en-GB"/>
        </w:rPr>
      </w:pPr>
      <w:bookmarkStart w:id="283" w:name="_Toc30673"/>
      <w:r>
        <w:rPr>
          <w:color w:val="auto"/>
          <w:sz w:val="24"/>
        </w:rPr>
        <w:t>（3）</w:t>
      </w:r>
      <w:r>
        <w:rPr>
          <w:color w:val="auto"/>
          <w:sz w:val="24"/>
          <w:lang w:val="en-GB"/>
        </w:rPr>
        <w:t>风险防范措施和应急预案</w:t>
      </w:r>
      <w:bookmarkEnd w:id="283"/>
    </w:p>
    <w:p w14:paraId="0FC9E7B0">
      <w:pPr>
        <w:spacing w:line="360" w:lineRule="auto"/>
        <w:ind w:firstLine="480" w:firstLineChars="200"/>
        <w:rPr>
          <w:color w:val="auto"/>
          <w:sz w:val="24"/>
        </w:rPr>
      </w:pPr>
      <w:r>
        <w:rPr>
          <w:color w:val="auto"/>
          <w:sz w:val="24"/>
        </w:rPr>
        <w:t>企业应按要求编制突发环境事件应急预案并备案。本次项目实施投运前，企业应根据项目的内容，按照突发环境事件应急预案编制导则要求完成应急预案编制工作，定期进行培训和演练并报当地</w:t>
      </w:r>
      <w:r>
        <w:rPr>
          <w:rFonts w:hint="eastAsia"/>
          <w:color w:val="auto"/>
          <w:sz w:val="24"/>
        </w:rPr>
        <w:t>生态环境部门</w:t>
      </w:r>
      <w:r>
        <w:rPr>
          <w:color w:val="auto"/>
          <w:sz w:val="24"/>
        </w:rPr>
        <w:t>备案。</w:t>
      </w:r>
    </w:p>
    <w:p w14:paraId="326EDAD1">
      <w:pPr>
        <w:adjustRightInd w:val="0"/>
        <w:snapToGrid w:val="0"/>
        <w:spacing w:beforeLines="25" w:afterLines="25"/>
        <w:ind w:firstLine="422"/>
        <w:jc w:val="center"/>
        <w:outlineLvl w:val="3"/>
        <w:rPr>
          <w:b/>
          <w:color w:val="auto"/>
          <w:highlight w:val="none"/>
        </w:rPr>
      </w:pPr>
      <w:bookmarkStart w:id="284" w:name="_Toc17854"/>
      <w:r>
        <w:rPr>
          <w:rFonts w:hint="eastAsia"/>
          <w:b/>
          <w:color w:val="auto"/>
          <w:highlight w:val="none"/>
          <w:lang w:val="en-US" w:eastAsia="zh-CN"/>
        </w:rPr>
        <w:t xml:space="preserve">表7.12-1  </w:t>
      </w:r>
      <w:r>
        <w:rPr>
          <w:rFonts w:hint="eastAsia"/>
          <w:b/>
          <w:color w:val="auto"/>
          <w:highlight w:val="none"/>
        </w:rPr>
        <w:t>建设项目风险防范措施一览表</w:t>
      </w:r>
    </w:p>
    <w:tbl>
      <w:tblPr>
        <w:tblStyle w:val="33"/>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067"/>
        <w:gridCol w:w="7992"/>
      </w:tblGrid>
      <w:tr w14:paraId="0E34C77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trPr>
        <w:tc>
          <w:tcPr>
            <w:tcW w:w="589" w:type="pct"/>
            <w:vAlign w:val="center"/>
          </w:tcPr>
          <w:p w14:paraId="771C996F">
            <w:pPr>
              <w:spacing w:line="240" w:lineRule="auto"/>
              <w:jc w:val="center"/>
              <w:rPr>
                <w:b/>
                <w:color w:val="auto"/>
                <w:sz w:val="21"/>
                <w:szCs w:val="21"/>
                <w:highlight w:val="none"/>
              </w:rPr>
            </w:pPr>
            <w:r>
              <w:rPr>
                <w:rFonts w:hint="eastAsia"/>
                <w:b/>
                <w:color w:val="auto"/>
                <w:sz w:val="21"/>
                <w:szCs w:val="21"/>
                <w:highlight w:val="none"/>
              </w:rPr>
              <w:t>类别</w:t>
            </w:r>
          </w:p>
        </w:tc>
        <w:tc>
          <w:tcPr>
            <w:tcW w:w="4410" w:type="pct"/>
            <w:vAlign w:val="center"/>
          </w:tcPr>
          <w:p w14:paraId="2628C1F1">
            <w:pPr>
              <w:spacing w:line="240" w:lineRule="auto"/>
              <w:jc w:val="center"/>
              <w:rPr>
                <w:b/>
                <w:color w:val="auto"/>
                <w:sz w:val="21"/>
                <w:szCs w:val="21"/>
                <w:highlight w:val="none"/>
              </w:rPr>
            </w:pPr>
            <w:r>
              <w:rPr>
                <w:rFonts w:hint="eastAsia"/>
                <w:b/>
                <w:color w:val="auto"/>
                <w:sz w:val="21"/>
                <w:szCs w:val="21"/>
                <w:highlight w:val="none"/>
              </w:rPr>
              <w:t>风险防范措施</w:t>
            </w:r>
          </w:p>
        </w:tc>
      </w:tr>
      <w:tr w14:paraId="675CF3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trPr>
        <w:tc>
          <w:tcPr>
            <w:tcW w:w="589" w:type="pct"/>
            <w:vAlign w:val="center"/>
          </w:tcPr>
          <w:p w14:paraId="5B8FEBCE">
            <w:pPr>
              <w:spacing w:line="240" w:lineRule="auto"/>
              <w:rPr>
                <w:rFonts w:hint="default" w:eastAsiaTheme="minorEastAsia"/>
                <w:color w:val="auto"/>
                <w:sz w:val="21"/>
                <w:szCs w:val="21"/>
                <w:highlight w:val="none"/>
                <w:lang w:val="en-US" w:eastAsia="zh-CN"/>
              </w:rPr>
            </w:pPr>
            <w:r>
              <w:rPr>
                <w:rFonts w:hint="eastAsia"/>
                <w:color w:val="auto"/>
                <w:sz w:val="21"/>
                <w:szCs w:val="21"/>
                <w:highlight w:val="none"/>
                <w:lang w:val="en-US" w:eastAsia="zh-CN"/>
              </w:rPr>
              <w:t>危险物质储存防范措施</w:t>
            </w:r>
          </w:p>
        </w:tc>
        <w:tc>
          <w:tcPr>
            <w:tcW w:w="4410" w:type="pct"/>
            <w:vAlign w:val="center"/>
          </w:tcPr>
          <w:p w14:paraId="705AE927">
            <w:pPr>
              <w:spacing w:line="240" w:lineRule="auto"/>
              <w:rPr>
                <w:rFonts w:hint="default" w:eastAsiaTheme="minorEastAsia"/>
                <w:color w:val="auto"/>
                <w:sz w:val="21"/>
                <w:szCs w:val="21"/>
                <w:highlight w:val="none"/>
                <w:lang w:val="en-US" w:eastAsia="zh-CN"/>
              </w:rPr>
            </w:pPr>
            <w:r>
              <w:rPr>
                <w:rFonts w:hint="eastAsia"/>
                <w:color w:val="auto"/>
                <w:sz w:val="21"/>
                <w:szCs w:val="21"/>
                <w:highlight w:val="none"/>
                <w:lang w:val="en-US" w:eastAsia="zh-CN"/>
              </w:rPr>
              <w:t>1.加强员工培训，确保安全操作，避免操作失误导致为危险物质泄露</w:t>
            </w:r>
          </w:p>
          <w:p w14:paraId="46339741">
            <w:pPr>
              <w:spacing w:line="240" w:lineRule="auto"/>
              <w:rPr>
                <w:rFonts w:hint="eastAsia" w:eastAsiaTheme="minorEastAsia"/>
                <w:color w:val="auto"/>
                <w:sz w:val="21"/>
                <w:szCs w:val="21"/>
                <w:highlight w:val="none"/>
                <w:lang w:eastAsia="zh-CN"/>
              </w:rPr>
            </w:pPr>
            <w:r>
              <w:rPr>
                <w:rFonts w:hint="eastAsia"/>
                <w:color w:val="auto"/>
                <w:sz w:val="21"/>
                <w:szCs w:val="21"/>
                <w:highlight w:val="none"/>
                <w:lang w:val="en-US" w:eastAsia="zh-CN"/>
              </w:rPr>
              <w:t>2.</w:t>
            </w:r>
            <w:r>
              <w:rPr>
                <w:rFonts w:hint="eastAsia"/>
                <w:color w:val="auto"/>
                <w:sz w:val="21"/>
                <w:szCs w:val="21"/>
                <w:highlight w:val="none"/>
              </w:rPr>
              <w:t>盐酸、氢氟酸</w:t>
            </w:r>
            <w:r>
              <w:rPr>
                <w:rFonts w:hint="eastAsia"/>
                <w:color w:val="auto"/>
                <w:sz w:val="21"/>
                <w:szCs w:val="21"/>
                <w:highlight w:val="none"/>
                <w:lang w:eastAsia="zh-CN"/>
              </w:rPr>
              <w:t>、</w:t>
            </w:r>
            <w:r>
              <w:rPr>
                <w:rFonts w:hint="eastAsia"/>
                <w:color w:val="auto"/>
                <w:sz w:val="21"/>
                <w:szCs w:val="21"/>
                <w:highlight w:val="none"/>
                <w:lang w:val="en-US" w:eastAsia="zh-CN"/>
              </w:rPr>
              <w:t>氯化氢</w:t>
            </w:r>
            <w:r>
              <w:rPr>
                <w:rFonts w:hint="eastAsia"/>
                <w:color w:val="auto"/>
                <w:sz w:val="21"/>
                <w:szCs w:val="21"/>
                <w:highlight w:val="none"/>
              </w:rPr>
              <w:t>的贮存地点应符合《常用化学品贮存通则》的相关要求</w:t>
            </w:r>
            <w:r>
              <w:rPr>
                <w:rFonts w:hint="eastAsia"/>
                <w:color w:val="auto"/>
                <w:sz w:val="21"/>
                <w:szCs w:val="21"/>
                <w:highlight w:val="none"/>
                <w:lang w:eastAsia="zh-CN"/>
              </w:rPr>
              <w:t>，</w:t>
            </w:r>
            <w:r>
              <w:rPr>
                <w:rFonts w:hint="eastAsia"/>
                <w:color w:val="auto"/>
                <w:sz w:val="21"/>
                <w:szCs w:val="21"/>
                <w:highlight w:val="none"/>
              </w:rPr>
              <w:t>加强化学品的管理，建立健全相关的化学品管理制度。定期进行防火安全检查，发现情况应立即采取措施治理</w:t>
            </w:r>
            <w:r>
              <w:rPr>
                <w:rFonts w:hint="eastAsia"/>
                <w:color w:val="auto"/>
                <w:sz w:val="21"/>
                <w:szCs w:val="21"/>
                <w:highlight w:val="none"/>
                <w:lang w:eastAsia="zh-CN"/>
              </w:rPr>
              <w:t>，</w:t>
            </w:r>
            <w:r>
              <w:rPr>
                <w:rFonts w:hint="eastAsia"/>
                <w:color w:val="auto"/>
                <w:sz w:val="21"/>
                <w:szCs w:val="21"/>
                <w:highlight w:val="none"/>
              </w:rPr>
              <w:t>车间主要生产工序配备内部急停系统</w:t>
            </w:r>
            <w:r>
              <w:rPr>
                <w:rFonts w:hint="eastAsia"/>
                <w:color w:val="auto"/>
                <w:sz w:val="21"/>
                <w:szCs w:val="21"/>
                <w:highlight w:val="none"/>
                <w:lang w:eastAsia="zh-CN"/>
              </w:rPr>
              <w:t>。</w:t>
            </w:r>
          </w:p>
          <w:p w14:paraId="1C94ED7F">
            <w:pPr>
              <w:spacing w:line="240" w:lineRule="auto"/>
              <w:rPr>
                <w:rFonts w:hint="eastAsia"/>
                <w:color w:val="auto"/>
                <w:sz w:val="21"/>
                <w:szCs w:val="21"/>
                <w:highlight w:val="none"/>
              </w:rPr>
            </w:pPr>
            <w:r>
              <w:rPr>
                <w:rFonts w:hint="eastAsia"/>
                <w:color w:val="auto"/>
                <w:sz w:val="21"/>
                <w:szCs w:val="21"/>
                <w:highlight w:val="none"/>
                <w:lang w:val="en-US" w:eastAsia="zh-CN"/>
              </w:rPr>
              <w:t>3.盐酸、氢氟酸储罐贮存区设置围堰；危险物质贮存区设置视频监控，实时监控贮存区危险物质状态，确保泄露可第一时间被发现。</w:t>
            </w:r>
            <w:r>
              <w:rPr>
                <w:rFonts w:hint="eastAsia"/>
                <w:color w:val="auto"/>
                <w:sz w:val="21"/>
                <w:szCs w:val="21"/>
                <w:highlight w:val="none"/>
              </w:rPr>
              <w:t>输酸管道加设起保护作用的防渗、防腐输酸槽，防止管道破裂，导致酸液的跑、冒、滴、漏。</w:t>
            </w:r>
          </w:p>
          <w:p w14:paraId="23E4E24A">
            <w:pPr>
              <w:spacing w:line="240" w:lineRule="auto"/>
              <w:rPr>
                <w:rFonts w:hint="default" w:eastAsiaTheme="minorEastAsia"/>
                <w:color w:val="auto"/>
                <w:sz w:val="21"/>
                <w:szCs w:val="21"/>
                <w:highlight w:val="none"/>
                <w:lang w:val="en-US" w:eastAsia="zh-CN"/>
              </w:rPr>
            </w:pPr>
            <w:r>
              <w:rPr>
                <w:rFonts w:hint="eastAsia"/>
                <w:color w:val="auto"/>
                <w:sz w:val="21"/>
                <w:szCs w:val="21"/>
                <w:highlight w:val="none"/>
                <w:lang w:val="en-US" w:eastAsia="zh-CN"/>
              </w:rPr>
              <w:t>4.加强管理，安全专人进行巡检，加强设备检修，</w:t>
            </w:r>
            <w:r>
              <w:rPr>
                <w:rFonts w:hint="eastAsia"/>
                <w:color w:val="auto"/>
                <w:sz w:val="21"/>
                <w:szCs w:val="21"/>
                <w:highlight w:val="none"/>
              </w:rPr>
              <w:t>定期检查酸储罐进出口管道阀门、接头等连接处是否密封完好，使管道阀门、接头泄漏时能够得到安全处理。</w:t>
            </w:r>
            <w:r>
              <w:rPr>
                <w:rFonts w:hint="eastAsia"/>
                <w:color w:val="auto"/>
                <w:sz w:val="21"/>
                <w:szCs w:val="21"/>
                <w:highlight w:val="none"/>
                <w:lang w:val="en-US" w:eastAsia="zh-CN"/>
              </w:rPr>
              <w:t>危险物质贮存区附近存储一定量的风险应急物资，如：污染源切断、污染物控制、污染物收集、安全防护等应急物资。定期开展应急演练，确保厂区员工熟练掌握风险事故情况下的应急处置。</w:t>
            </w:r>
          </w:p>
          <w:p w14:paraId="22A12669">
            <w:pPr>
              <w:spacing w:line="240" w:lineRule="auto"/>
              <w:rPr>
                <w:rFonts w:hint="default" w:eastAsiaTheme="minorEastAsia"/>
                <w:color w:val="auto"/>
                <w:sz w:val="21"/>
                <w:szCs w:val="21"/>
                <w:highlight w:val="none"/>
                <w:lang w:val="en-US" w:eastAsia="zh-CN"/>
              </w:rPr>
            </w:pPr>
            <w:r>
              <w:rPr>
                <w:rFonts w:hint="eastAsia"/>
                <w:color w:val="auto"/>
                <w:sz w:val="21"/>
                <w:szCs w:val="21"/>
                <w:highlight w:val="none"/>
                <w:lang w:val="en-US" w:eastAsia="zh-CN"/>
              </w:rPr>
              <w:t>5..</w:t>
            </w:r>
            <w:r>
              <w:rPr>
                <w:rFonts w:hint="eastAsia"/>
                <w:color w:val="auto"/>
                <w:sz w:val="21"/>
                <w:szCs w:val="21"/>
                <w:highlight w:val="none"/>
              </w:rPr>
              <w:t>发生</w:t>
            </w:r>
            <w:r>
              <w:rPr>
                <w:rFonts w:hint="eastAsia"/>
                <w:color w:val="auto"/>
                <w:sz w:val="21"/>
                <w:szCs w:val="21"/>
                <w:highlight w:val="none"/>
                <w:lang w:val="en-US" w:eastAsia="zh-CN"/>
              </w:rPr>
              <w:t>危险物质泄露</w:t>
            </w:r>
            <w:r>
              <w:rPr>
                <w:rFonts w:hint="eastAsia"/>
                <w:color w:val="auto"/>
                <w:sz w:val="21"/>
                <w:szCs w:val="21"/>
                <w:highlight w:val="none"/>
              </w:rPr>
              <w:t>事故时，及时对</w:t>
            </w:r>
            <w:r>
              <w:rPr>
                <w:rFonts w:hint="eastAsia"/>
                <w:color w:val="auto"/>
                <w:sz w:val="21"/>
                <w:szCs w:val="21"/>
                <w:highlight w:val="none"/>
                <w:lang w:val="en-US" w:eastAsia="zh-CN"/>
              </w:rPr>
              <w:t>受影响区域</w:t>
            </w:r>
            <w:r>
              <w:rPr>
                <w:rFonts w:hint="eastAsia"/>
                <w:color w:val="auto"/>
                <w:sz w:val="21"/>
                <w:szCs w:val="21"/>
                <w:highlight w:val="none"/>
              </w:rPr>
              <w:t>人员进行疏散，设置疏散通道警示标志，在事故点上风向设置应急安置点。现场紧急撤离时，应按照事故现场、工厂临近区的区域人员及公众对毒物应急剂量控制的规定，制定人员紧急撤离、疏散计划和医疗救护程序。同时厂内需要设立明显的风向标，确定安全疏散路线。事故发生后，应根据化学品泄漏的扩散情况及时通知政府相关部门，并通过厂区高音喇叭通知周边企业及时疏散。</w:t>
            </w:r>
          </w:p>
        </w:tc>
      </w:tr>
      <w:tr w14:paraId="5FCB361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trPr>
        <w:tc>
          <w:tcPr>
            <w:tcW w:w="589" w:type="pct"/>
            <w:vAlign w:val="center"/>
          </w:tcPr>
          <w:p w14:paraId="788B81BA">
            <w:pPr>
              <w:spacing w:line="240" w:lineRule="auto"/>
              <w:rPr>
                <w:color w:val="auto"/>
                <w:sz w:val="21"/>
                <w:szCs w:val="21"/>
                <w:highlight w:val="none"/>
              </w:rPr>
            </w:pPr>
            <w:r>
              <w:rPr>
                <w:rFonts w:hint="eastAsia"/>
                <w:color w:val="auto"/>
                <w:sz w:val="21"/>
                <w:szCs w:val="21"/>
                <w:highlight w:val="none"/>
              </w:rPr>
              <w:t>大气环境风险防范措施</w:t>
            </w:r>
          </w:p>
        </w:tc>
        <w:tc>
          <w:tcPr>
            <w:tcW w:w="4410" w:type="pct"/>
            <w:vAlign w:val="center"/>
          </w:tcPr>
          <w:p w14:paraId="6B87B912">
            <w:pPr>
              <w:spacing w:line="240" w:lineRule="auto"/>
              <w:rPr>
                <w:rFonts w:hint="default" w:eastAsiaTheme="minorEastAsia"/>
                <w:color w:val="auto"/>
                <w:sz w:val="21"/>
                <w:szCs w:val="21"/>
                <w:highlight w:val="none"/>
                <w:lang w:val="en-US" w:eastAsia="zh-CN"/>
              </w:rPr>
            </w:pPr>
            <w:r>
              <w:rPr>
                <w:rFonts w:hint="eastAsia"/>
                <w:color w:val="auto"/>
                <w:sz w:val="21"/>
                <w:szCs w:val="21"/>
                <w:highlight w:val="none"/>
                <w:lang w:val="en-US" w:eastAsia="zh-CN"/>
              </w:rPr>
              <w:t>1.风险物质贮存区设置视频监控，实时监控贮存区危险物质状态，确保泄露可第一时间被发现，</w:t>
            </w:r>
            <w:r>
              <w:rPr>
                <w:rFonts w:hint="eastAsia"/>
                <w:color w:val="auto"/>
                <w:sz w:val="21"/>
                <w:szCs w:val="21"/>
                <w:highlight w:val="none"/>
              </w:rPr>
              <w:t>车间主要生产工序配备内部急停系统</w:t>
            </w:r>
            <w:r>
              <w:rPr>
                <w:rFonts w:hint="eastAsia"/>
                <w:color w:val="auto"/>
                <w:sz w:val="21"/>
                <w:szCs w:val="21"/>
                <w:highlight w:val="none"/>
                <w:lang w:val="en-US" w:eastAsia="zh-CN"/>
              </w:rPr>
              <w:t>。</w:t>
            </w:r>
          </w:p>
          <w:p w14:paraId="4738099A">
            <w:pPr>
              <w:spacing w:line="240" w:lineRule="auto"/>
              <w:rPr>
                <w:rFonts w:hint="eastAsia"/>
                <w:color w:val="auto"/>
                <w:sz w:val="21"/>
                <w:szCs w:val="21"/>
                <w:highlight w:val="none"/>
              </w:rPr>
            </w:pPr>
            <w:r>
              <w:rPr>
                <w:rFonts w:hint="eastAsia"/>
                <w:color w:val="auto"/>
                <w:sz w:val="21"/>
                <w:szCs w:val="21"/>
                <w:highlight w:val="none"/>
                <w:lang w:val="en-US" w:eastAsia="zh-CN"/>
              </w:rPr>
              <w:t>2.按规定运行废气处理措施，日常生产运营期，</w:t>
            </w:r>
            <w:r>
              <w:rPr>
                <w:rFonts w:hint="eastAsia"/>
                <w:color w:val="auto"/>
                <w:sz w:val="21"/>
                <w:szCs w:val="21"/>
                <w:highlight w:val="none"/>
              </w:rPr>
              <w:t>必须确保</w:t>
            </w:r>
            <w:r>
              <w:rPr>
                <w:rFonts w:hint="eastAsia"/>
                <w:color w:val="auto"/>
                <w:sz w:val="21"/>
                <w:szCs w:val="21"/>
                <w:highlight w:val="none"/>
                <w:lang w:val="en-US" w:eastAsia="zh-CN"/>
              </w:rPr>
              <w:t>废气处理措施</w:t>
            </w:r>
            <w:r>
              <w:rPr>
                <w:rFonts w:hint="eastAsia"/>
                <w:color w:val="auto"/>
                <w:sz w:val="21"/>
                <w:szCs w:val="21"/>
                <w:highlight w:val="none"/>
              </w:rPr>
              <w:t>正常运行，末端治理措施因故障不能运行，则生产必须停止。</w:t>
            </w:r>
          </w:p>
          <w:p w14:paraId="74E7128E">
            <w:pPr>
              <w:spacing w:line="240" w:lineRule="auto"/>
              <w:rPr>
                <w:rFonts w:hint="eastAsia"/>
                <w:color w:val="auto"/>
                <w:sz w:val="21"/>
                <w:szCs w:val="21"/>
                <w:highlight w:val="none"/>
              </w:rPr>
            </w:pPr>
            <w:r>
              <w:rPr>
                <w:rFonts w:hint="eastAsia"/>
                <w:color w:val="auto"/>
                <w:sz w:val="21"/>
                <w:szCs w:val="21"/>
                <w:highlight w:val="none"/>
                <w:lang w:val="en-US" w:eastAsia="zh-CN"/>
              </w:rPr>
              <w:t>3.</w:t>
            </w:r>
            <w:r>
              <w:rPr>
                <w:rFonts w:hint="eastAsia"/>
                <w:color w:val="auto"/>
                <w:sz w:val="21"/>
                <w:szCs w:val="21"/>
                <w:highlight w:val="none"/>
              </w:rPr>
              <w:t>加强废气处理设施及设备的定期检修和维护工作，</w:t>
            </w:r>
            <w:r>
              <w:rPr>
                <w:rFonts w:hint="eastAsia"/>
                <w:color w:val="auto"/>
                <w:sz w:val="21"/>
                <w:szCs w:val="21"/>
                <w:highlight w:val="none"/>
                <w:lang w:val="en-US" w:eastAsia="zh-CN"/>
              </w:rPr>
              <w:t>制定废气自行监测方案，按规定开展自行监测，</w:t>
            </w:r>
            <w:r>
              <w:rPr>
                <w:rFonts w:hint="eastAsia"/>
                <w:color w:val="auto"/>
                <w:sz w:val="21"/>
                <w:szCs w:val="21"/>
                <w:highlight w:val="none"/>
              </w:rPr>
              <w:t>发现事故隐患，及时解决</w:t>
            </w:r>
            <w:r>
              <w:rPr>
                <w:rFonts w:hint="eastAsia"/>
                <w:color w:val="auto"/>
                <w:sz w:val="21"/>
                <w:szCs w:val="21"/>
                <w:highlight w:val="none"/>
                <w:lang w:eastAsia="zh-CN"/>
              </w:rPr>
              <w:t>，</w:t>
            </w:r>
            <w:r>
              <w:rPr>
                <w:rFonts w:hint="eastAsia"/>
                <w:color w:val="auto"/>
                <w:sz w:val="21"/>
                <w:szCs w:val="21"/>
                <w:highlight w:val="none"/>
              </w:rPr>
              <w:t>。</w:t>
            </w:r>
          </w:p>
          <w:p w14:paraId="31D726DB">
            <w:pPr>
              <w:spacing w:line="240" w:lineRule="auto"/>
              <w:rPr>
                <w:color w:val="auto"/>
                <w:sz w:val="21"/>
                <w:szCs w:val="21"/>
                <w:highlight w:val="none"/>
              </w:rPr>
            </w:pPr>
            <w:r>
              <w:rPr>
                <w:rFonts w:hint="eastAsia"/>
                <w:color w:val="auto"/>
                <w:sz w:val="21"/>
                <w:szCs w:val="21"/>
                <w:highlight w:val="none"/>
                <w:lang w:val="en-US" w:eastAsia="zh-CN"/>
              </w:rPr>
              <w:t>4.</w:t>
            </w:r>
            <w:r>
              <w:rPr>
                <w:rFonts w:hint="eastAsia"/>
                <w:color w:val="auto"/>
                <w:sz w:val="21"/>
                <w:szCs w:val="21"/>
                <w:highlight w:val="none"/>
              </w:rPr>
              <w:t>发生大气环境风险事故时，及时对下风向人员进行疏散，设置疏散通道警示标志，在事故点上风向设置应急安置点。现场紧急撤离时，应按照事故现场、工厂临近区的区域人员及公众对毒物应急剂量控制的规定，制定人员紧急撤离、疏散计划和医疗救护程序。同时厂内需要设立明显的风向标，确定安全疏散路线。事故发生后，应根据化学品泄漏的扩散情况及时通知政府相关部门，并通过厂区高音喇叭通知周边企业及时疏散。</w:t>
            </w:r>
          </w:p>
        </w:tc>
      </w:tr>
      <w:tr w14:paraId="0C9C4F0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trPr>
        <w:tc>
          <w:tcPr>
            <w:tcW w:w="589" w:type="pct"/>
            <w:vAlign w:val="center"/>
          </w:tcPr>
          <w:p w14:paraId="182E6757">
            <w:pPr>
              <w:spacing w:line="240" w:lineRule="auto"/>
              <w:rPr>
                <w:b w:val="0"/>
                <w:bCs w:val="0"/>
                <w:color w:val="auto"/>
                <w:sz w:val="21"/>
                <w:szCs w:val="21"/>
                <w:highlight w:val="none"/>
                <w:u w:val="none"/>
              </w:rPr>
            </w:pPr>
            <w:r>
              <w:rPr>
                <w:rFonts w:hint="eastAsia"/>
                <w:b w:val="0"/>
                <w:bCs w:val="0"/>
                <w:color w:val="auto"/>
                <w:sz w:val="21"/>
                <w:szCs w:val="21"/>
                <w:highlight w:val="none"/>
                <w:u w:val="none"/>
              </w:rPr>
              <w:t>地表水环境风险防范措施</w:t>
            </w:r>
          </w:p>
        </w:tc>
        <w:tc>
          <w:tcPr>
            <w:tcW w:w="4410" w:type="pct"/>
            <w:vAlign w:val="center"/>
          </w:tcPr>
          <w:p w14:paraId="07B0385D">
            <w:pPr>
              <w:spacing w:line="240" w:lineRule="auto"/>
              <w:rPr>
                <w:rFonts w:hint="default" w:eastAsiaTheme="minorEastAsia"/>
                <w:b w:val="0"/>
                <w:bCs w:val="0"/>
                <w:color w:val="auto"/>
                <w:sz w:val="21"/>
                <w:szCs w:val="21"/>
                <w:highlight w:val="none"/>
                <w:u w:val="none"/>
                <w:lang w:val="en-US" w:eastAsia="zh-CN"/>
              </w:rPr>
            </w:pPr>
            <w:r>
              <w:rPr>
                <w:rFonts w:hint="eastAsia"/>
                <w:b w:val="0"/>
                <w:bCs w:val="0"/>
                <w:color w:val="auto"/>
                <w:sz w:val="21"/>
                <w:szCs w:val="21"/>
                <w:highlight w:val="none"/>
                <w:u w:val="none"/>
                <w:lang w:val="en-US" w:eastAsia="zh-CN"/>
              </w:rPr>
              <w:t>1.盐酸、氢氟酸储罐贮存区设置围堰，围堰容积不得小于储罐最大容积，满足事故状态下收集泄漏物的需求。</w:t>
            </w:r>
          </w:p>
          <w:p w14:paraId="0D3B8411">
            <w:pPr>
              <w:spacing w:line="240" w:lineRule="auto"/>
              <w:rPr>
                <w:rFonts w:hint="eastAsia"/>
                <w:b w:val="0"/>
                <w:bCs w:val="0"/>
                <w:color w:val="auto"/>
                <w:sz w:val="21"/>
                <w:szCs w:val="21"/>
                <w:highlight w:val="none"/>
                <w:u w:val="none"/>
                <w:lang w:val="en-US" w:eastAsia="zh-CN"/>
              </w:rPr>
            </w:pPr>
            <w:r>
              <w:rPr>
                <w:rFonts w:hint="eastAsia"/>
                <w:b w:val="0"/>
                <w:bCs w:val="0"/>
                <w:color w:val="auto"/>
                <w:sz w:val="21"/>
                <w:szCs w:val="21"/>
                <w:highlight w:val="none"/>
                <w:u w:val="none"/>
                <w:lang w:val="en-US" w:eastAsia="zh-CN"/>
              </w:rPr>
              <w:t>2.在厂区雨水排放管网末端设置事故自动控制水阀，一旦厂区事故废水进入雨水排放系统，应立即关闭阀门（即关闭雨水排放口），将事故废水收集暂存，避免废水进入雨水系统，从而进入地表水环境。</w:t>
            </w:r>
          </w:p>
          <w:p w14:paraId="3CE73775">
            <w:pPr>
              <w:spacing w:line="240" w:lineRule="auto"/>
              <w:rPr>
                <w:rFonts w:hint="default"/>
                <w:b w:val="0"/>
                <w:bCs w:val="0"/>
                <w:color w:val="auto"/>
                <w:sz w:val="21"/>
                <w:szCs w:val="21"/>
                <w:highlight w:val="none"/>
                <w:u w:val="none"/>
                <w:lang w:val="en-US" w:eastAsia="zh-CN"/>
              </w:rPr>
            </w:pPr>
            <w:r>
              <w:rPr>
                <w:rFonts w:hint="eastAsia"/>
                <w:b w:val="0"/>
                <w:bCs w:val="0"/>
                <w:color w:val="auto"/>
                <w:sz w:val="21"/>
                <w:szCs w:val="21"/>
                <w:highlight w:val="none"/>
                <w:u w:val="none"/>
                <w:lang w:val="en-US" w:eastAsia="zh-CN"/>
              </w:rPr>
              <w:t>3.设置“单元-厂区-园区”的事故废水环境风险防控体系，联同园区内企业及周边居住点采取及时应对措施。</w:t>
            </w:r>
          </w:p>
        </w:tc>
      </w:tr>
      <w:tr w14:paraId="422F532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trPr>
        <w:tc>
          <w:tcPr>
            <w:tcW w:w="589" w:type="pct"/>
            <w:vAlign w:val="center"/>
          </w:tcPr>
          <w:p w14:paraId="6842E37C">
            <w:pPr>
              <w:spacing w:line="240" w:lineRule="auto"/>
              <w:rPr>
                <w:b w:val="0"/>
                <w:bCs w:val="0"/>
                <w:color w:val="auto"/>
                <w:sz w:val="21"/>
                <w:szCs w:val="21"/>
                <w:highlight w:val="none"/>
                <w:u w:val="none"/>
              </w:rPr>
            </w:pPr>
            <w:r>
              <w:rPr>
                <w:rFonts w:hint="eastAsia"/>
                <w:b w:val="0"/>
                <w:bCs w:val="0"/>
                <w:color w:val="auto"/>
                <w:sz w:val="21"/>
                <w:szCs w:val="21"/>
                <w:highlight w:val="none"/>
                <w:u w:val="none"/>
              </w:rPr>
              <w:t>地下水环境风险防范措施</w:t>
            </w:r>
          </w:p>
        </w:tc>
        <w:tc>
          <w:tcPr>
            <w:tcW w:w="4410" w:type="pct"/>
            <w:vAlign w:val="center"/>
          </w:tcPr>
          <w:p w14:paraId="24479082">
            <w:pPr>
              <w:spacing w:line="240" w:lineRule="auto"/>
              <w:rPr>
                <w:rFonts w:hint="eastAsia"/>
                <w:b w:val="0"/>
                <w:bCs w:val="0"/>
                <w:color w:val="auto"/>
                <w:sz w:val="21"/>
                <w:szCs w:val="21"/>
                <w:highlight w:val="none"/>
                <w:u w:val="none"/>
              </w:rPr>
            </w:pPr>
            <w:r>
              <w:rPr>
                <w:rFonts w:hint="eastAsia"/>
                <w:b w:val="0"/>
                <w:bCs w:val="0"/>
                <w:color w:val="auto"/>
                <w:sz w:val="21"/>
                <w:szCs w:val="21"/>
                <w:highlight w:val="none"/>
                <w:u w:val="none"/>
                <w:lang w:val="en-US" w:eastAsia="zh-CN"/>
              </w:rPr>
              <w:t>1.</w:t>
            </w:r>
            <w:r>
              <w:rPr>
                <w:rFonts w:hint="eastAsia"/>
                <w:b w:val="0"/>
                <w:bCs w:val="0"/>
                <w:color w:val="auto"/>
                <w:sz w:val="21"/>
                <w:szCs w:val="21"/>
                <w:highlight w:val="none"/>
                <w:u w:val="none"/>
              </w:rPr>
              <w:t>严格按照相关规范建设工艺、管道、设备等，将污染物跑、冒、滴、漏降到最低限度。对可能泄漏污染物的和设备和管道敷设采用“可视化”原则，即管道地上敷设没做到污染物“早发现、早处理”，以减少由于地埋管道泄漏而可能造成的地下水污染。防渗工程的设计使用年限不低于设备、管线及构筑物的设计使用年限。</w:t>
            </w:r>
          </w:p>
          <w:p w14:paraId="312DA483">
            <w:pPr>
              <w:spacing w:line="240" w:lineRule="auto"/>
              <w:rPr>
                <w:rFonts w:hint="eastAsia"/>
                <w:b w:val="0"/>
                <w:bCs w:val="0"/>
                <w:color w:val="auto"/>
                <w:sz w:val="21"/>
                <w:szCs w:val="21"/>
                <w:highlight w:val="none"/>
                <w:u w:val="none"/>
              </w:rPr>
            </w:pPr>
            <w:r>
              <w:rPr>
                <w:rFonts w:hint="eastAsia"/>
                <w:b w:val="0"/>
                <w:bCs w:val="0"/>
                <w:color w:val="auto"/>
                <w:sz w:val="21"/>
                <w:szCs w:val="21"/>
                <w:highlight w:val="none"/>
                <w:u w:val="none"/>
                <w:lang w:val="en-US" w:eastAsia="zh-CN"/>
              </w:rPr>
              <w:t>2.</w:t>
            </w:r>
            <w:r>
              <w:rPr>
                <w:rFonts w:hint="eastAsia"/>
                <w:b w:val="0"/>
                <w:bCs w:val="0"/>
                <w:color w:val="auto"/>
                <w:sz w:val="21"/>
                <w:szCs w:val="21"/>
                <w:highlight w:val="none"/>
                <w:u w:val="none"/>
              </w:rPr>
              <w:t>加强设备日常维护、管理，发现设备跑、冒、滴、漏、操作异常等可能引起突发环境污染事件的隐患时，立即整改。</w:t>
            </w:r>
          </w:p>
          <w:p w14:paraId="790CD9BC">
            <w:pPr>
              <w:spacing w:line="240" w:lineRule="auto"/>
              <w:rPr>
                <w:rFonts w:hint="eastAsia"/>
                <w:b w:val="0"/>
                <w:bCs w:val="0"/>
                <w:color w:val="auto"/>
                <w:sz w:val="21"/>
                <w:szCs w:val="21"/>
                <w:highlight w:val="none"/>
                <w:u w:val="none"/>
              </w:rPr>
            </w:pPr>
            <w:r>
              <w:rPr>
                <w:rFonts w:hint="eastAsia"/>
                <w:b w:val="0"/>
                <w:bCs w:val="0"/>
                <w:color w:val="auto"/>
                <w:sz w:val="21"/>
                <w:szCs w:val="21"/>
                <w:highlight w:val="none"/>
                <w:u w:val="none"/>
                <w:lang w:val="en-US" w:eastAsia="zh-CN"/>
              </w:rPr>
              <w:t>3.</w:t>
            </w:r>
            <w:r>
              <w:rPr>
                <w:rFonts w:hint="eastAsia"/>
                <w:b w:val="0"/>
                <w:bCs w:val="0"/>
                <w:color w:val="auto"/>
                <w:sz w:val="21"/>
                <w:szCs w:val="21"/>
                <w:highlight w:val="none"/>
                <w:u w:val="none"/>
              </w:rPr>
              <w:t>根据各功能单元对地下水造成污染的风险程度，进行分区防控，严格落实分区防渗措施。重点防渗区防渗要求应满足：等效黏土防渗层Mb≥6.0m，渗透系数K≤1.0×10</w:t>
            </w:r>
            <w:r>
              <w:rPr>
                <w:rFonts w:hint="eastAsia"/>
                <w:b w:val="0"/>
                <w:bCs w:val="0"/>
                <w:color w:val="auto"/>
                <w:sz w:val="21"/>
                <w:szCs w:val="21"/>
                <w:highlight w:val="none"/>
                <w:u w:val="none"/>
                <w:vertAlign w:val="superscript"/>
              </w:rPr>
              <w:t>-7</w:t>
            </w:r>
            <w:r>
              <w:rPr>
                <w:rFonts w:hint="eastAsia"/>
                <w:b w:val="0"/>
                <w:bCs w:val="0"/>
                <w:color w:val="auto"/>
                <w:sz w:val="21"/>
                <w:szCs w:val="21"/>
                <w:highlight w:val="none"/>
                <w:u w:val="none"/>
              </w:rPr>
              <w:t>cm/s，以阻止泄漏到地面和事故应急池中的污染物进入地下水中。</w:t>
            </w:r>
          </w:p>
          <w:p w14:paraId="1503EEC0">
            <w:pPr>
              <w:spacing w:line="240" w:lineRule="auto"/>
              <w:rPr>
                <w:b w:val="0"/>
                <w:bCs w:val="0"/>
                <w:color w:val="auto"/>
                <w:sz w:val="21"/>
                <w:szCs w:val="21"/>
                <w:highlight w:val="none"/>
                <w:u w:val="none"/>
              </w:rPr>
            </w:pPr>
            <w:r>
              <w:rPr>
                <w:rFonts w:hint="eastAsia"/>
                <w:b w:val="0"/>
                <w:bCs w:val="0"/>
                <w:color w:val="auto"/>
                <w:sz w:val="21"/>
                <w:szCs w:val="21"/>
                <w:highlight w:val="none"/>
                <w:u w:val="none"/>
                <w:lang w:val="en-US" w:eastAsia="zh-CN"/>
              </w:rPr>
              <w:t>4.</w:t>
            </w:r>
            <w:r>
              <w:rPr>
                <w:rFonts w:hint="eastAsia"/>
                <w:b w:val="0"/>
                <w:bCs w:val="0"/>
                <w:color w:val="auto"/>
                <w:sz w:val="21"/>
                <w:szCs w:val="21"/>
                <w:highlight w:val="none"/>
                <w:u w:val="none"/>
              </w:rPr>
              <w:t>定期开展地下水、土壤环境跟踪监测，一旦发现异常，立即查明原因，采取控制措施。</w:t>
            </w:r>
          </w:p>
        </w:tc>
      </w:tr>
      <w:tr w14:paraId="4DDBB1A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0" w:hRule="atLeast"/>
        </w:trPr>
        <w:tc>
          <w:tcPr>
            <w:tcW w:w="589" w:type="pct"/>
            <w:vAlign w:val="center"/>
          </w:tcPr>
          <w:p w14:paraId="3B3654D9">
            <w:pPr>
              <w:spacing w:line="240" w:lineRule="auto"/>
              <w:jc w:val="center"/>
              <w:rPr>
                <w:color w:val="auto"/>
                <w:sz w:val="21"/>
                <w:szCs w:val="21"/>
                <w:highlight w:val="none"/>
              </w:rPr>
            </w:pPr>
            <w:r>
              <w:rPr>
                <w:rFonts w:hint="eastAsia"/>
                <w:color w:val="auto"/>
                <w:sz w:val="21"/>
                <w:szCs w:val="21"/>
                <w:highlight w:val="none"/>
              </w:rPr>
              <w:t>其他</w:t>
            </w:r>
          </w:p>
        </w:tc>
        <w:tc>
          <w:tcPr>
            <w:tcW w:w="4410" w:type="pct"/>
            <w:vAlign w:val="center"/>
          </w:tcPr>
          <w:p w14:paraId="1D1822A8">
            <w:pPr>
              <w:spacing w:line="240" w:lineRule="auto"/>
              <w:jc w:val="both"/>
              <w:rPr>
                <w:rFonts w:hint="eastAsia"/>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按照国家、地方和相关部门要求，编制企业突发环境事件应急预案，企业突发环境事件应急预案应体现分级响应，区域联动的原则，与周边企业、产业集聚区、</w:t>
            </w:r>
            <w:r>
              <w:rPr>
                <w:rFonts w:hint="eastAsia"/>
                <w:color w:val="auto"/>
                <w:sz w:val="21"/>
                <w:szCs w:val="21"/>
                <w:highlight w:val="none"/>
                <w:lang w:val="en-US" w:eastAsia="zh-CN"/>
              </w:rPr>
              <w:t>兰考县</w:t>
            </w:r>
            <w:r>
              <w:rPr>
                <w:rFonts w:hint="eastAsia"/>
                <w:color w:val="auto"/>
                <w:sz w:val="21"/>
                <w:szCs w:val="21"/>
                <w:highlight w:val="none"/>
              </w:rPr>
              <w:t>突发环境事件应急预案有机衔接。</w:t>
            </w:r>
          </w:p>
          <w:p w14:paraId="59BCD73A">
            <w:pPr>
              <w:spacing w:line="240" w:lineRule="auto"/>
              <w:jc w:val="both"/>
              <w:rPr>
                <w:rFonts w:hint="eastAsia"/>
                <w:color w:val="auto"/>
                <w:sz w:val="21"/>
                <w:szCs w:val="21"/>
                <w:highlight w:val="none"/>
              </w:rPr>
            </w:pPr>
            <w:r>
              <w:rPr>
                <w:rFonts w:hint="eastAsia"/>
                <w:color w:val="auto"/>
                <w:sz w:val="21"/>
                <w:szCs w:val="21"/>
                <w:highlight w:val="none"/>
                <w:lang w:val="en-US" w:eastAsia="zh-CN"/>
              </w:rPr>
              <w:t>2.</w:t>
            </w:r>
            <w:r>
              <w:rPr>
                <w:rFonts w:hint="eastAsia"/>
                <w:color w:val="auto"/>
                <w:sz w:val="21"/>
                <w:szCs w:val="21"/>
                <w:highlight w:val="none"/>
              </w:rPr>
              <w:t>建立应急监测系统，配置相应的仪器和装备，配备专业的人员并进行技能培训和应急演练，以满足突发环境事件应急环境监测要求。此外，保持与外部第三方监测机构的密切联系，确保其能补充提供相关监测能力的不足。</w:t>
            </w:r>
          </w:p>
          <w:p w14:paraId="7160CF1D">
            <w:pPr>
              <w:spacing w:line="240" w:lineRule="auto"/>
              <w:jc w:val="both"/>
              <w:rPr>
                <w:color w:val="auto"/>
                <w:sz w:val="21"/>
                <w:szCs w:val="21"/>
                <w:highlight w:val="none"/>
              </w:rPr>
            </w:pPr>
            <w:r>
              <w:rPr>
                <w:rFonts w:hint="eastAsia"/>
                <w:color w:val="auto"/>
                <w:sz w:val="21"/>
                <w:szCs w:val="21"/>
                <w:highlight w:val="none"/>
                <w:lang w:val="en-US" w:eastAsia="zh-CN"/>
              </w:rPr>
              <w:t>3.</w:t>
            </w:r>
            <w:r>
              <w:rPr>
                <w:rFonts w:hint="eastAsia"/>
                <w:color w:val="auto"/>
                <w:sz w:val="21"/>
                <w:szCs w:val="21"/>
                <w:highlight w:val="none"/>
              </w:rPr>
              <w:t>经常性开展对员工环境安全培训，对环境应急预案进行有效演练，提高应急队伍应急水平。针对演练情况，结合自身实际，对应急演练方案进行调整、改进、完善，保证应急演练方案、措施的有效性、针对性。</w:t>
            </w:r>
          </w:p>
        </w:tc>
      </w:tr>
    </w:tbl>
    <w:p w14:paraId="7566053B">
      <w:pPr>
        <w:spacing w:line="360" w:lineRule="auto"/>
        <w:ind w:firstLine="480" w:firstLineChars="200"/>
        <w:rPr>
          <w:color w:val="auto"/>
          <w:sz w:val="24"/>
          <w:lang w:val="en-GB"/>
        </w:rPr>
      </w:pPr>
      <w:r>
        <w:rPr>
          <w:color w:val="auto"/>
          <w:sz w:val="24"/>
        </w:rPr>
        <w:t>（4）</w:t>
      </w:r>
      <w:r>
        <w:rPr>
          <w:color w:val="auto"/>
          <w:sz w:val="24"/>
          <w:lang w:val="en-GB"/>
        </w:rPr>
        <w:t>环境风险评价结论和建议</w:t>
      </w:r>
      <w:bookmarkEnd w:id="284"/>
    </w:p>
    <w:p w14:paraId="3D2AE9E8">
      <w:pPr>
        <w:spacing w:line="360" w:lineRule="auto"/>
        <w:ind w:firstLine="480" w:firstLineChars="200"/>
        <w:rPr>
          <w:color w:val="auto"/>
          <w:sz w:val="24"/>
        </w:rPr>
      </w:pPr>
      <w:r>
        <w:rPr>
          <w:color w:val="auto"/>
          <w:sz w:val="24"/>
        </w:rPr>
        <w:t>从预测结果可见，事故发生时，达到毒性终点浓度的范围主要为企业内部和周边工业企业，此范围能对人群造成生命威胁，因此企业应加强管理，坚决杜绝该类事故发生。企业</w:t>
      </w:r>
      <w:r>
        <w:rPr>
          <w:rFonts w:hint="eastAsia"/>
          <w:color w:val="auto"/>
          <w:sz w:val="24"/>
        </w:rPr>
        <w:t>拟建的</w:t>
      </w:r>
      <w:r>
        <w:rPr>
          <w:color w:val="auto"/>
          <w:sz w:val="24"/>
        </w:rPr>
        <w:t>应急事故池能够满足接纳本项目的事故水量。只要做好安全防范措施和应急对策，本次新建项目的安全隐患可以控制，其风险水平可以接受。</w:t>
      </w:r>
    </w:p>
    <w:p w14:paraId="57BC15EA">
      <w:pPr>
        <w:adjustRightInd w:val="0"/>
        <w:snapToGrid w:val="0"/>
        <w:spacing w:beforeLines="25" w:afterLines="25"/>
        <w:ind w:firstLine="422"/>
        <w:jc w:val="center"/>
        <w:outlineLvl w:val="3"/>
        <w:rPr>
          <w:b/>
          <w:bCs/>
          <w:color w:val="auto"/>
          <w:szCs w:val="21"/>
        </w:rPr>
      </w:pPr>
      <w:r>
        <w:rPr>
          <w:rFonts w:hint="eastAsia"/>
          <w:b/>
          <w:bCs/>
          <w:color w:val="auto"/>
          <w:szCs w:val="21"/>
        </w:rPr>
        <w:t>表7.</w:t>
      </w:r>
      <w:r>
        <w:rPr>
          <w:b/>
          <w:bCs/>
          <w:color w:val="auto"/>
          <w:szCs w:val="21"/>
        </w:rPr>
        <w:t>12-</w:t>
      </w:r>
      <w:r>
        <w:rPr>
          <w:rFonts w:hint="eastAsia"/>
          <w:b/>
          <w:bCs/>
          <w:color w:val="auto"/>
          <w:szCs w:val="21"/>
          <w:lang w:val="en-US" w:eastAsia="zh-CN"/>
        </w:rPr>
        <w:t>2</w:t>
      </w:r>
      <w:r>
        <w:rPr>
          <w:b/>
          <w:bCs/>
          <w:color w:val="auto"/>
          <w:szCs w:val="21"/>
        </w:rPr>
        <w:t xml:space="preserve">   环境风险评价自查表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39"/>
        <w:gridCol w:w="1098"/>
        <w:gridCol w:w="450"/>
        <w:gridCol w:w="477"/>
        <w:gridCol w:w="1305"/>
        <w:gridCol w:w="196"/>
        <w:gridCol w:w="299"/>
        <w:gridCol w:w="110"/>
        <w:gridCol w:w="596"/>
        <w:gridCol w:w="103"/>
        <w:gridCol w:w="107"/>
        <w:gridCol w:w="332"/>
        <w:gridCol w:w="866"/>
        <w:gridCol w:w="146"/>
        <w:gridCol w:w="1036"/>
        <w:gridCol w:w="123"/>
        <w:gridCol w:w="116"/>
        <w:gridCol w:w="1200"/>
      </w:tblGrid>
      <w:tr w14:paraId="155FA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blHeader/>
          <w:jc w:val="center"/>
        </w:trPr>
        <w:tc>
          <w:tcPr>
            <w:tcW w:w="807" w:type="pct"/>
            <w:gridSpan w:val="2"/>
            <w:vAlign w:val="center"/>
          </w:tcPr>
          <w:p w14:paraId="13A2FB3E">
            <w:pPr>
              <w:spacing w:line="280" w:lineRule="exact"/>
              <w:jc w:val="center"/>
              <w:rPr>
                <w:color w:val="auto"/>
              </w:rPr>
            </w:pPr>
            <w:r>
              <w:rPr>
                <w:color w:val="auto"/>
              </w:rPr>
              <w:t>工作内容</w:t>
            </w:r>
          </w:p>
        </w:tc>
        <w:tc>
          <w:tcPr>
            <w:tcW w:w="4192" w:type="pct"/>
            <w:gridSpan w:val="16"/>
            <w:vAlign w:val="center"/>
          </w:tcPr>
          <w:p w14:paraId="4FE550BC">
            <w:pPr>
              <w:spacing w:line="280" w:lineRule="exact"/>
              <w:jc w:val="center"/>
              <w:rPr>
                <w:color w:val="auto"/>
              </w:rPr>
            </w:pPr>
            <w:r>
              <w:rPr>
                <w:color w:val="auto"/>
              </w:rPr>
              <w:t>完成情况</w:t>
            </w:r>
          </w:p>
        </w:tc>
      </w:tr>
      <w:tr w14:paraId="32644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restart"/>
            <w:vAlign w:val="center"/>
          </w:tcPr>
          <w:p w14:paraId="6990E658">
            <w:pPr>
              <w:spacing w:line="280" w:lineRule="exact"/>
              <w:jc w:val="center"/>
              <w:rPr>
                <w:color w:val="auto"/>
              </w:rPr>
            </w:pPr>
            <w:r>
              <w:rPr>
                <w:color w:val="auto"/>
              </w:rPr>
              <w:t>风</w:t>
            </w:r>
          </w:p>
          <w:p w14:paraId="56C24E51">
            <w:pPr>
              <w:spacing w:line="280" w:lineRule="exact"/>
              <w:jc w:val="center"/>
              <w:rPr>
                <w:color w:val="auto"/>
              </w:rPr>
            </w:pPr>
            <w:r>
              <w:rPr>
                <w:color w:val="auto"/>
              </w:rPr>
              <w:t>险</w:t>
            </w:r>
          </w:p>
          <w:p w14:paraId="4AD5EC82">
            <w:pPr>
              <w:spacing w:line="280" w:lineRule="exact"/>
              <w:jc w:val="center"/>
              <w:rPr>
                <w:color w:val="auto"/>
              </w:rPr>
            </w:pPr>
            <w:r>
              <w:rPr>
                <w:color w:val="auto"/>
              </w:rPr>
              <w:t>调</w:t>
            </w:r>
          </w:p>
          <w:p w14:paraId="46128F01">
            <w:pPr>
              <w:spacing w:line="280" w:lineRule="exact"/>
              <w:jc w:val="center"/>
              <w:rPr>
                <w:color w:val="auto"/>
              </w:rPr>
            </w:pPr>
            <w:r>
              <w:rPr>
                <w:color w:val="auto"/>
              </w:rPr>
              <w:t>查</w:t>
            </w:r>
          </w:p>
        </w:tc>
        <w:tc>
          <w:tcPr>
            <w:tcW w:w="616" w:type="pct"/>
            <w:vMerge w:val="restart"/>
            <w:vAlign w:val="center"/>
          </w:tcPr>
          <w:p w14:paraId="14C73069">
            <w:pPr>
              <w:spacing w:line="280" w:lineRule="exact"/>
              <w:jc w:val="center"/>
              <w:rPr>
                <w:color w:val="auto"/>
              </w:rPr>
            </w:pPr>
            <w:r>
              <w:rPr>
                <w:color w:val="auto"/>
              </w:rPr>
              <w:t>危险物质</w:t>
            </w:r>
          </w:p>
        </w:tc>
        <w:tc>
          <w:tcPr>
            <w:tcW w:w="520" w:type="pct"/>
            <w:gridSpan w:val="2"/>
            <w:vAlign w:val="center"/>
          </w:tcPr>
          <w:p w14:paraId="51C6F5B9">
            <w:pPr>
              <w:spacing w:line="280" w:lineRule="exact"/>
              <w:jc w:val="center"/>
              <w:rPr>
                <w:color w:val="auto"/>
              </w:rPr>
            </w:pPr>
            <w:r>
              <w:rPr>
                <w:color w:val="auto"/>
              </w:rPr>
              <w:t>名称</w:t>
            </w:r>
          </w:p>
        </w:tc>
        <w:tc>
          <w:tcPr>
            <w:tcW w:w="733" w:type="pct"/>
            <w:vAlign w:val="center"/>
          </w:tcPr>
          <w:p w14:paraId="0CDF4D9F">
            <w:pPr>
              <w:spacing w:line="280" w:lineRule="exact"/>
              <w:jc w:val="center"/>
              <w:rPr>
                <w:rFonts w:ascii="Times New Roman" w:hAnsi="Times New Roman" w:eastAsia="宋体" w:cs="Times New Roman"/>
                <w:color w:val="auto"/>
              </w:rPr>
            </w:pPr>
            <w:r>
              <w:rPr>
                <w:rFonts w:ascii="Times New Roman" w:hAnsi="Times New Roman" w:eastAsia="宋体" w:cs="Times New Roman"/>
                <w:color w:val="auto"/>
              </w:rPr>
              <w:t>氯化氢</w:t>
            </w:r>
          </w:p>
        </w:tc>
        <w:tc>
          <w:tcPr>
            <w:tcW w:w="732" w:type="pct"/>
            <w:gridSpan w:val="5"/>
            <w:vAlign w:val="center"/>
          </w:tcPr>
          <w:p w14:paraId="43EC9322">
            <w:pPr>
              <w:spacing w:line="280" w:lineRule="exact"/>
              <w:jc w:val="center"/>
              <w:rPr>
                <w:rFonts w:ascii="Times New Roman" w:hAnsi="Times New Roman" w:eastAsia="宋体" w:cs="Times New Roman"/>
                <w:color w:val="auto"/>
              </w:rPr>
            </w:pPr>
            <w:r>
              <w:rPr>
                <w:rFonts w:ascii="Times New Roman" w:hAnsi="Times New Roman" w:eastAsia="宋体" w:cs="Times New Roman"/>
                <w:color w:val="auto"/>
              </w:rPr>
              <w:t>氢氟酸</w:t>
            </w:r>
          </w:p>
        </w:tc>
        <w:tc>
          <w:tcPr>
            <w:tcW w:w="733" w:type="pct"/>
            <w:gridSpan w:val="3"/>
            <w:vAlign w:val="center"/>
          </w:tcPr>
          <w:p w14:paraId="0BF81603">
            <w:pPr>
              <w:spacing w:line="280" w:lineRule="exact"/>
              <w:jc w:val="center"/>
              <w:rPr>
                <w:rFonts w:ascii="Times New Roman" w:hAnsi="Times New Roman" w:eastAsia="宋体" w:cs="Times New Roman"/>
                <w:color w:val="auto"/>
              </w:rPr>
            </w:pPr>
            <w:r>
              <w:rPr>
                <w:rFonts w:ascii="Times New Roman" w:hAnsi="Times New Roman" w:eastAsia="宋体" w:cs="Times New Roman"/>
                <w:color w:val="auto"/>
              </w:rPr>
              <w:t>盐酸</w:t>
            </w:r>
          </w:p>
        </w:tc>
        <w:tc>
          <w:tcPr>
            <w:tcW w:w="733" w:type="pct"/>
            <w:gridSpan w:val="3"/>
            <w:vAlign w:val="center"/>
          </w:tcPr>
          <w:p w14:paraId="1E030D77">
            <w:pPr>
              <w:spacing w:line="280" w:lineRule="exact"/>
              <w:jc w:val="center"/>
              <w:rPr>
                <w:rFonts w:ascii="Times New Roman" w:hAnsi="Times New Roman" w:eastAsia="宋体" w:cs="Times New Roman"/>
                <w:color w:val="auto"/>
              </w:rPr>
            </w:pPr>
            <w:r>
              <w:rPr>
                <w:rFonts w:ascii="Times New Roman" w:hAnsi="Times New Roman" w:eastAsia="宋体" w:cs="Times New Roman"/>
                <w:color w:val="auto"/>
              </w:rPr>
              <w:t>油类物质</w:t>
            </w:r>
          </w:p>
        </w:tc>
        <w:tc>
          <w:tcPr>
            <w:tcW w:w="739" w:type="pct"/>
            <w:gridSpan w:val="2"/>
            <w:vAlign w:val="center"/>
          </w:tcPr>
          <w:p w14:paraId="78FC32A2">
            <w:pPr>
              <w:spacing w:line="280" w:lineRule="exact"/>
              <w:jc w:val="center"/>
              <w:rPr>
                <w:rFonts w:ascii="Times New Roman" w:hAnsi="Times New Roman" w:eastAsia="宋体" w:cs="Times New Roman"/>
                <w:color w:val="auto"/>
              </w:rPr>
            </w:pPr>
            <w:r>
              <w:rPr>
                <w:rFonts w:ascii="Times New Roman" w:hAnsi="Times New Roman" w:eastAsia="宋体" w:cs="Times New Roman"/>
                <w:color w:val="auto"/>
              </w:rPr>
              <w:t>危险废物</w:t>
            </w:r>
          </w:p>
        </w:tc>
      </w:tr>
      <w:tr w14:paraId="77FA5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1B1BBB0D">
            <w:pPr>
              <w:spacing w:line="280" w:lineRule="exact"/>
              <w:jc w:val="center"/>
              <w:rPr>
                <w:color w:val="auto"/>
              </w:rPr>
            </w:pPr>
          </w:p>
        </w:tc>
        <w:tc>
          <w:tcPr>
            <w:tcW w:w="616" w:type="pct"/>
            <w:vMerge w:val="continue"/>
            <w:vAlign w:val="center"/>
          </w:tcPr>
          <w:p w14:paraId="0E2E0952">
            <w:pPr>
              <w:spacing w:line="280" w:lineRule="exact"/>
              <w:jc w:val="center"/>
              <w:rPr>
                <w:color w:val="auto"/>
              </w:rPr>
            </w:pPr>
          </w:p>
        </w:tc>
        <w:tc>
          <w:tcPr>
            <w:tcW w:w="520" w:type="pct"/>
            <w:gridSpan w:val="2"/>
            <w:vAlign w:val="center"/>
          </w:tcPr>
          <w:p w14:paraId="0BAD2E2A">
            <w:pPr>
              <w:spacing w:line="280" w:lineRule="exact"/>
              <w:jc w:val="center"/>
              <w:rPr>
                <w:color w:val="auto"/>
              </w:rPr>
            </w:pPr>
            <w:r>
              <w:rPr>
                <w:color w:val="auto"/>
              </w:rPr>
              <w:t>存在总量/t</w:t>
            </w:r>
          </w:p>
        </w:tc>
        <w:tc>
          <w:tcPr>
            <w:tcW w:w="733" w:type="pct"/>
            <w:vAlign w:val="center"/>
          </w:tcPr>
          <w:p w14:paraId="65D2C002">
            <w:pPr>
              <w:spacing w:line="28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0.85</w:t>
            </w:r>
          </w:p>
        </w:tc>
        <w:tc>
          <w:tcPr>
            <w:tcW w:w="732" w:type="pct"/>
            <w:gridSpan w:val="5"/>
            <w:vAlign w:val="center"/>
          </w:tcPr>
          <w:p w14:paraId="65E9320D">
            <w:pPr>
              <w:spacing w:line="28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24.25</w:t>
            </w:r>
          </w:p>
        </w:tc>
        <w:tc>
          <w:tcPr>
            <w:tcW w:w="733" w:type="pct"/>
            <w:gridSpan w:val="3"/>
            <w:vAlign w:val="center"/>
          </w:tcPr>
          <w:p w14:paraId="44525652">
            <w:pPr>
              <w:spacing w:line="28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66.90</w:t>
            </w:r>
          </w:p>
        </w:tc>
        <w:tc>
          <w:tcPr>
            <w:tcW w:w="733" w:type="pct"/>
            <w:gridSpan w:val="3"/>
            <w:vAlign w:val="center"/>
          </w:tcPr>
          <w:p w14:paraId="28C8F92E">
            <w:pPr>
              <w:spacing w:line="28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0.16</w:t>
            </w:r>
          </w:p>
        </w:tc>
        <w:tc>
          <w:tcPr>
            <w:tcW w:w="739" w:type="pct"/>
            <w:gridSpan w:val="2"/>
            <w:vAlign w:val="center"/>
          </w:tcPr>
          <w:p w14:paraId="1DCD9452">
            <w:pPr>
              <w:spacing w:line="28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28.9</w:t>
            </w:r>
          </w:p>
        </w:tc>
      </w:tr>
      <w:tr w14:paraId="2E02A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42730ADD">
            <w:pPr>
              <w:spacing w:line="280" w:lineRule="exact"/>
              <w:jc w:val="center"/>
              <w:rPr>
                <w:color w:val="auto"/>
              </w:rPr>
            </w:pPr>
          </w:p>
        </w:tc>
        <w:tc>
          <w:tcPr>
            <w:tcW w:w="616" w:type="pct"/>
            <w:vMerge w:val="restart"/>
            <w:vAlign w:val="center"/>
          </w:tcPr>
          <w:p w14:paraId="71831C62">
            <w:pPr>
              <w:spacing w:line="280" w:lineRule="exact"/>
              <w:jc w:val="center"/>
              <w:rPr>
                <w:color w:val="auto"/>
              </w:rPr>
            </w:pPr>
            <w:r>
              <w:rPr>
                <w:color w:val="auto"/>
              </w:rPr>
              <w:t>环境敏感性</w:t>
            </w:r>
          </w:p>
        </w:tc>
        <w:tc>
          <w:tcPr>
            <w:tcW w:w="520" w:type="pct"/>
            <w:gridSpan w:val="2"/>
            <w:vAlign w:val="center"/>
          </w:tcPr>
          <w:p w14:paraId="75E51A27">
            <w:pPr>
              <w:spacing w:line="280" w:lineRule="exact"/>
              <w:jc w:val="center"/>
              <w:rPr>
                <w:color w:val="auto"/>
              </w:rPr>
            </w:pPr>
            <w:r>
              <w:rPr>
                <w:color w:val="auto"/>
              </w:rPr>
              <w:t>大气</w:t>
            </w:r>
          </w:p>
        </w:tc>
        <w:tc>
          <w:tcPr>
            <w:tcW w:w="1526" w:type="pct"/>
            <w:gridSpan w:val="7"/>
            <w:vAlign w:val="center"/>
          </w:tcPr>
          <w:p w14:paraId="4411628C">
            <w:pPr>
              <w:spacing w:line="280" w:lineRule="exact"/>
              <w:jc w:val="center"/>
              <w:rPr>
                <w:color w:val="auto"/>
              </w:rPr>
            </w:pPr>
            <w:r>
              <w:rPr>
                <w:color w:val="auto"/>
              </w:rPr>
              <w:t>500m范围内人口数＞</w:t>
            </w:r>
            <w:r>
              <w:rPr>
                <w:rFonts w:hint="eastAsia"/>
                <w:color w:val="auto"/>
                <w:lang w:val="en-US" w:eastAsia="zh-CN"/>
              </w:rPr>
              <w:t>1000</w:t>
            </w:r>
            <w:r>
              <w:rPr>
                <w:color w:val="auto"/>
              </w:rPr>
              <w:t>人</w:t>
            </w:r>
          </w:p>
        </w:tc>
        <w:tc>
          <w:tcPr>
            <w:tcW w:w="2145" w:type="pct"/>
            <w:gridSpan w:val="7"/>
            <w:vAlign w:val="center"/>
          </w:tcPr>
          <w:p w14:paraId="46FDCE44">
            <w:pPr>
              <w:spacing w:line="280" w:lineRule="exact"/>
              <w:jc w:val="center"/>
              <w:rPr>
                <w:color w:val="auto"/>
              </w:rPr>
            </w:pPr>
            <w:r>
              <w:rPr>
                <w:color w:val="auto"/>
              </w:rPr>
              <w:t>5 km 范围内人口数 ＞5万</w:t>
            </w:r>
          </w:p>
        </w:tc>
      </w:tr>
      <w:tr w14:paraId="68CD3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1D18BD43">
            <w:pPr>
              <w:spacing w:line="280" w:lineRule="exact"/>
              <w:jc w:val="center"/>
              <w:rPr>
                <w:color w:val="auto"/>
              </w:rPr>
            </w:pPr>
          </w:p>
        </w:tc>
        <w:tc>
          <w:tcPr>
            <w:tcW w:w="616" w:type="pct"/>
            <w:vMerge w:val="continue"/>
            <w:vAlign w:val="center"/>
          </w:tcPr>
          <w:p w14:paraId="4055BEA1">
            <w:pPr>
              <w:spacing w:line="280" w:lineRule="exact"/>
              <w:jc w:val="center"/>
              <w:rPr>
                <w:color w:val="auto"/>
              </w:rPr>
            </w:pPr>
          </w:p>
        </w:tc>
        <w:tc>
          <w:tcPr>
            <w:tcW w:w="520" w:type="pct"/>
            <w:gridSpan w:val="2"/>
            <w:vMerge w:val="restart"/>
            <w:vAlign w:val="center"/>
          </w:tcPr>
          <w:p w14:paraId="2727B4D3">
            <w:pPr>
              <w:spacing w:line="280" w:lineRule="exact"/>
              <w:jc w:val="center"/>
              <w:rPr>
                <w:color w:val="auto"/>
              </w:rPr>
            </w:pPr>
            <w:r>
              <w:rPr>
                <w:color w:val="auto"/>
              </w:rPr>
              <w:t>地表水</w:t>
            </w:r>
          </w:p>
        </w:tc>
        <w:tc>
          <w:tcPr>
            <w:tcW w:w="1073" w:type="pct"/>
            <w:gridSpan w:val="4"/>
            <w:vAlign w:val="center"/>
          </w:tcPr>
          <w:p w14:paraId="639A41ED">
            <w:pPr>
              <w:spacing w:line="280" w:lineRule="exact"/>
              <w:jc w:val="center"/>
              <w:rPr>
                <w:color w:val="auto"/>
              </w:rPr>
            </w:pPr>
            <w:r>
              <w:rPr>
                <w:color w:val="auto"/>
              </w:rPr>
              <w:t>地表水功能敏感性</w:t>
            </w:r>
          </w:p>
        </w:tc>
        <w:tc>
          <w:tcPr>
            <w:tcW w:w="452" w:type="pct"/>
            <w:gridSpan w:val="3"/>
            <w:vAlign w:val="center"/>
          </w:tcPr>
          <w:p w14:paraId="18FED0E9">
            <w:pPr>
              <w:spacing w:line="280" w:lineRule="exact"/>
              <w:jc w:val="center"/>
              <w:rPr>
                <w:color w:val="auto"/>
              </w:rPr>
            </w:pPr>
            <w:r>
              <w:rPr>
                <w:color w:val="auto"/>
              </w:rPr>
              <w:t>F1 □</w:t>
            </w:r>
          </w:p>
        </w:tc>
        <w:tc>
          <w:tcPr>
            <w:tcW w:w="1337" w:type="pct"/>
            <w:gridSpan w:val="4"/>
            <w:vAlign w:val="center"/>
          </w:tcPr>
          <w:p w14:paraId="7742A007">
            <w:pPr>
              <w:spacing w:line="280" w:lineRule="exact"/>
              <w:jc w:val="center"/>
              <w:rPr>
                <w:color w:val="auto"/>
              </w:rPr>
            </w:pPr>
            <w:r>
              <w:rPr>
                <w:color w:val="auto"/>
              </w:rPr>
              <w:t xml:space="preserve">F2 </w:t>
            </w:r>
            <w:r>
              <w:rPr>
                <w:color w:val="auto"/>
              </w:rPr>
              <w:sym w:font="Wingdings 2" w:char="0052"/>
            </w:r>
          </w:p>
        </w:tc>
        <w:tc>
          <w:tcPr>
            <w:tcW w:w="808" w:type="pct"/>
            <w:gridSpan w:val="3"/>
            <w:vAlign w:val="center"/>
          </w:tcPr>
          <w:p w14:paraId="23937A9B">
            <w:pPr>
              <w:spacing w:line="280" w:lineRule="exact"/>
              <w:jc w:val="center"/>
              <w:rPr>
                <w:color w:val="auto"/>
              </w:rPr>
            </w:pPr>
            <w:r>
              <w:rPr>
                <w:color w:val="auto"/>
              </w:rPr>
              <w:t>F3 □</w:t>
            </w:r>
          </w:p>
        </w:tc>
      </w:tr>
      <w:tr w14:paraId="0E4B3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63A85CDF">
            <w:pPr>
              <w:spacing w:line="280" w:lineRule="exact"/>
              <w:jc w:val="center"/>
              <w:rPr>
                <w:color w:val="auto"/>
              </w:rPr>
            </w:pPr>
          </w:p>
        </w:tc>
        <w:tc>
          <w:tcPr>
            <w:tcW w:w="616" w:type="pct"/>
            <w:vMerge w:val="continue"/>
            <w:vAlign w:val="center"/>
          </w:tcPr>
          <w:p w14:paraId="5CBBD43C">
            <w:pPr>
              <w:spacing w:line="280" w:lineRule="exact"/>
              <w:jc w:val="center"/>
              <w:rPr>
                <w:color w:val="auto"/>
              </w:rPr>
            </w:pPr>
          </w:p>
        </w:tc>
        <w:tc>
          <w:tcPr>
            <w:tcW w:w="520" w:type="pct"/>
            <w:gridSpan w:val="2"/>
            <w:vMerge w:val="continue"/>
            <w:vAlign w:val="center"/>
          </w:tcPr>
          <w:p w14:paraId="73E429F0">
            <w:pPr>
              <w:spacing w:line="280" w:lineRule="exact"/>
              <w:jc w:val="center"/>
              <w:rPr>
                <w:color w:val="auto"/>
              </w:rPr>
            </w:pPr>
          </w:p>
        </w:tc>
        <w:tc>
          <w:tcPr>
            <w:tcW w:w="1073" w:type="pct"/>
            <w:gridSpan w:val="4"/>
            <w:vAlign w:val="center"/>
          </w:tcPr>
          <w:p w14:paraId="43C2F4D9">
            <w:pPr>
              <w:spacing w:line="280" w:lineRule="exact"/>
              <w:jc w:val="center"/>
              <w:rPr>
                <w:color w:val="auto"/>
              </w:rPr>
            </w:pPr>
            <w:r>
              <w:rPr>
                <w:color w:val="auto"/>
              </w:rPr>
              <w:t>环境敏感目标分级</w:t>
            </w:r>
          </w:p>
        </w:tc>
        <w:tc>
          <w:tcPr>
            <w:tcW w:w="452" w:type="pct"/>
            <w:gridSpan w:val="3"/>
            <w:vAlign w:val="center"/>
          </w:tcPr>
          <w:p w14:paraId="28716B54">
            <w:pPr>
              <w:spacing w:line="280" w:lineRule="exact"/>
              <w:jc w:val="center"/>
              <w:rPr>
                <w:color w:val="auto"/>
              </w:rPr>
            </w:pPr>
            <w:r>
              <w:rPr>
                <w:color w:val="auto"/>
              </w:rPr>
              <w:t>S1 □</w:t>
            </w:r>
          </w:p>
        </w:tc>
        <w:tc>
          <w:tcPr>
            <w:tcW w:w="1337" w:type="pct"/>
            <w:gridSpan w:val="4"/>
            <w:vAlign w:val="center"/>
          </w:tcPr>
          <w:p w14:paraId="3779C04C">
            <w:pPr>
              <w:spacing w:line="280" w:lineRule="exact"/>
              <w:jc w:val="center"/>
              <w:rPr>
                <w:rFonts w:hint="eastAsia" w:eastAsia="宋体"/>
                <w:color w:val="auto"/>
                <w:lang w:eastAsia="zh-CN"/>
              </w:rPr>
            </w:pPr>
            <w:r>
              <w:rPr>
                <w:color w:val="auto"/>
              </w:rPr>
              <w:t xml:space="preserve">S2 </w:t>
            </w:r>
            <w:r>
              <w:rPr>
                <w:rFonts w:hint="eastAsia"/>
                <w:color w:val="auto"/>
                <w:lang w:eastAsia="zh-CN"/>
              </w:rPr>
              <w:t>☑</w:t>
            </w:r>
          </w:p>
        </w:tc>
        <w:tc>
          <w:tcPr>
            <w:tcW w:w="808" w:type="pct"/>
            <w:gridSpan w:val="3"/>
            <w:vAlign w:val="center"/>
          </w:tcPr>
          <w:p w14:paraId="02392B7C">
            <w:pPr>
              <w:spacing w:line="280" w:lineRule="exact"/>
              <w:jc w:val="center"/>
              <w:rPr>
                <w:color w:val="auto"/>
              </w:rPr>
            </w:pPr>
            <w:r>
              <w:rPr>
                <w:color w:val="auto"/>
              </w:rPr>
              <w:t xml:space="preserve">S3 </w:t>
            </w:r>
            <w:r>
              <w:rPr>
                <w:color w:val="auto"/>
              </w:rPr>
              <w:sym w:font="Wingdings 2" w:char="00A3"/>
            </w:r>
          </w:p>
        </w:tc>
      </w:tr>
      <w:tr w14:paraId="78264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33B19B30">
            <w:pPr>
              <w:spacing w:line="280" w:lineRule="exact"/>
              <w:jc w:val="center"/>
              <w:rPr>
                <w:color w:val="auto"/>
              </w:rPr>
            </w:pPr>
          </w:p>
        </w:tc>
        <w:tc>
          <w:tcPr>
            <w:tcW w:w="616" w:type="pct"/>
            <w:vMerge w:val="continue"/>
            <w:vAlign w:val="center"/>
          </w:tcPr>
          <w:p w14:paraId="73A3E7E8">
            <w:pPr>
              <w:spacing w:line="280" w:lineRule="exact"/>
              <w:jc w:val="center"/>
              <w:rPr>
                <w:color w:val="auto"/>
              </w:rPr>
            </w:pPr>
          </w:p>
        </w:tc>
        <w:tc>
          <w:tcPr>
            <w:tcW w:w="520" w:type="pct"/>
            <w:gridSpan w:val="2"/>
            <w:vMerge w:val="restart"/>
            <w:vAlign w:val="center"/>
          </w:tcPr>
          <w:p w14:paraId="0E73A8AD">
            <w:pPr>
              <w:spacing w:line="280" w:lineRule="exact"/>
              <w:jc w:val="center"/>
              <w:rPr>
                <w:color w:val="auto"/>
              </w:rPr>
            </w:pPr>
            <w:r>
              <w:rPr>
                <w:color w:val="auto"/>
              </w:rPr>
              <w:t>地下水</w:t>
            </w:r>
          </w:p>
        </w:tc>
        <w:tc>
          <w:tcPr>
            <w:tcW w:w="1073" w:type="pct"/>
            <w:gridSpan w:val="4"/>
            <w:vAlign w:val="center"/>
          </w:tcPr>
          <w:p w14:paraId="6EB3463D">
            <w:pPr>
              <w:spacing w:line="280" w:lineRule="exact"/>
              <w:jc w:val="center"/>
              <w:rPr>
                <w:color w:val="auto"/>
              </w:rPr>
            </w:pPr>
            <w:r>
              <w:rPr>
                <w:color w:val="auto"/>
              </w:rPr>
              <w:t>地下水功能敏感性</w:t>
            </w:r>
          </w:p>
        </w:tc>
        <w:tc>
          <w:tcPr>
            <w:tcW w:w="452" w:type="pct"/>
            <w:gridSpan w:val="3"/>
            <w:vAlign w:val="center"/>
          </w:tcPr>
          <w:p w14:paraId="62060DE4">
            <w:pPr>
              <w:spacing w:line="280" w:lineRule="exact"/>
              <w:jc w:val="center"/>
              <w:rPr>
                <w:color w:val="auto"/>
              </w:rPr>
            </w:pPr>
            <w:r>
              <w:rPr>
                <w:color w:val="auto"/>
              </w:rPr>
              <w:t>G1 □</w:t>
            </w:r>
          </w:p>
        </w:tc>
        <w:tc>
          <w:tcPr>
            <w:tcW w:w="1337" w:type="pct"/>
            <w:gridSpan w:val="4"/>
            <w:vAlign w:val="center"/>
          </w:tcPr>
          <w:p w14:paraId="462EF02A">
            <w:pPr>
              <w:spacing w:line="280" w:lineRule="exact"/>
              <w:jc w:val="center"/>
              <w:rPr>
                <w:color w:val="auto"/>
              </w:rPr>
            </w:pPr>
            <w:r>
              <w:rPr>
                <w:color w:val="auto"/>
              </w:rPr>
              <w:t>G2 □</w:t>
            </w:r>
          </w:p>
        </w:tc>
        <w:tc>
          <w:tcPr>
            <w:tcW w:w="808" w:type="pct"/>
            <w:gridSpan w:val="3"/>
            <w:vAlign w:val="center"/>
          </w:tcPr>
          <w:p w14:paraId="5FC2DDD1">
            <w:pPr>
              <w:spacing w:line="280" w:lineRule="exact"/>
              <w:jc w:val="center"/>
              <w:rPr>
                <w:color w:val="auto"/>
              </w:rPr>
            </w:pPr>
            <w:r>
              <w:rPr>
                <w:color w:val="auto"/>
              </w:rPr>
              <w:t xml:space="preserve">G3 </w:t>
            </w:r>
            <w:r>
              <w:rPr>
                <w:color w:val="auto"/>
              </w:rPr>
              <w:sym w:font="Wingdings 2" w:char="0052"/>
            </w:r>
          </w:p>
        </w:tc>
      </w:tr>
      <w:tr w14:paraId="0BCD5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604198EA">
            <w:pPr>
              <w:spacing w:line="280" w:lineRule="exact"/>
              <w:jc w:val="center"/>
              <w:rPr>
                <w:color w:val="auto"/>
              </w:rPr>
            </w:pPr>
          </w:p>
        </w:tc>
        <w:tc>
          <w:tcPr>
            <w:tcW w:w="616" w:type="pct"/>
            <w:vMerge w:val="continue"/>
            <w:vAlign w:val="center"/>
          </w:tcPr>
          <w:p w14:paraId="5E5BDC91">
            <w:pPr>
              <w:spacing w:line="280" w:lineRule="exact"/>
              <w:jc w:val="center"/>
              <w:rPr>
                <w:color w:val="auto"/>
              </w:rPr>
            </w:pPr>
          </w:p>
        </w:tc>
        <w:tc>
          <w:tcPr>
            <w:tcW w:w="520" w:type="pct"/>
            <w:gridSpan w:val="2"/>
            <w:vMerge w:val="continue"/>
            <w:vAlign w:val="center"/>
          </w:tcPr>
          <w:p w14:paraId="5493BBB1">
            <w:pPr>
              <w:spacing w:line="280" w:lineRule="exact"/>
              <w:jc w:val="center"/>
              <w:rPr>
                <w:color w:val="auto"/>
              </w:rPr>
            </w:pPr>
          </w:p>
        </w:tc>
        <w:tc>
          <w:tcPr>
            <w:tcW w:w="1073" w:type="pct"/>
            <w:gridSpan w:val="4"/>
            <w:vAlign w:val="center"/>
          </w:tcPr>
          <w:p w14:paraId="59CF4B3A">
            <w:pPr>
              <w:spacing w:line="280" w:lineRule="exact"/>
              <w:jc w:val="center"/>
              <w:rPr>
                <w:color w:val="auto"/>
              </w:rPr>
            </w:pPr>
            <w:r>
              <w:rPr>
                <w:color w:val="auto"/>
              </w:rPr>
              <w:t>包气带防污性能</w:t>
            </w:r>
          </w:p>
        </w:tc>
        <w:tc>
          <w:tcPr>
            <w:tcW w:w="452" w:type="pct"/>
            <w:gridSpan w:val="3"/>
            <w:vAlign w:val="center"/>
          </w:tcPr>
          <w:p w14:paraId="0FA2CFC4">
            <w:pPr>
              <w:spacing w:line="280" w:lineRule="exact"/>
              <w:jc w:val="center"/>
              <w:rPr>
                <w:color w:val="auto"/>
              </w:rPr>
            </w:pPr>
            <w:r>
              <w:rPr>
                <w:color w:val="auto"/>
              </w:rPr>
              <w:t>D1 □</w:t>
            </w:r>
          </w:p>
        </w:tc>
        <w:tc>
          <w:tcPr>
            <w:tcW w:w="1337" w:type="pct"/>
            <w:gridSpan w:val="4"/>
            <w:vAlign w:val="center"/>
          </w:tcPr>
          <w:p w14:paraId="30C2C49A">
            <w:pPr>
              <w:spacing w:line="280" w:lineRule="exact"/>
              <w:jc w:val="center"/>
              <w:rPr>
                <w:color w:val="auto"/>
              </w:rPr>
            </w:pPr>
            <w:r>
              <w:rPr>
                <w:color w:val="auto"/>
              </w:rPr>
              <w:t>D2</w:t>
            </w:r>
            <w:r>
              <w:rPr>
                <w:color w:val="auto"/>
              </w:rPr>
              <w:sym w:font="Wingdings 2" w:char="00A3"/>
            </w:r>
          </w:p>
        </w:tc>
        <w:tc>
          <w:tcPr>
            <w:tcW w:w="808" w:type="pct"/>
            <w:gridSpan w:val="3"/>
            <w:vAlign w:val="center"/>
          </w:tcPr>
          <w:p w14:paraId="66266451">
            <w:pPr>
              <w:spacing w:line="280" w:lineRule="exact"/>
              <w:jc w:val="center"/>
              <w:rPr>
                <w:color w:val="auto"/>
              </w:rPr>
            </w:pPr>
            <w:r>
              <w:rPr>
                <w:color w:val="auto"/>
              </w:rPr>
              <w:t>D3 ☑</w:t>
            </w:r>
          </w:p>
        </w:tc>
      </w:tr>
      <w:tr w14:paraId="6A898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Merge w:val="restart"/>
            <w:vAlign w:val="center"/>
          </w:tcPr>
          <w:p w14:paraId="743ABDA9">
            <w:pPr>
              <w:spacing w:line="280" w:lineRule="exact"/>
              <w:jc w:val="center"/>
              <w:rPr>
                <w:color w:val="auto"/>
              </w:rPr>
            </w:pPr>
            <w:r>
              <w:rPr>
                <w:color w:val="auto"/>
              </w:rPr>
              <w:t>物质及工艺系统危险性</w:t>
            </w:r>
          </w:p>
        </w:tc>
        <w:tc>
          <w:tcPr>
            <w:tcW w:w="520" w:type="pct"/>
            <w:gridSpan w:val="2"/>
            <w:vAlign w:val="center"/>
          </w:tcPr>
          <w:p w14:paraId="20C38D06">
            <w:pPr>
              <w:spacing w:line="280" w:lineRule="exact"/>
              <w:jc w:val="center"/>
              <w:rPr>
                <w:color w:val="auto"/>
              </w:rPr>
            </w:pPr>
            <w:r>
              <w:rPr>
                <w:color w:val="auto"/>
              </w:rPr>
              <w:t>Q 值</w:t>
            </w:r>
          </w:p>
        </w:tc>
        <w:tc>
          <w:tcPr>
            <w:tcW w:w="1073" w:type="pct"/>
            <w:gridSpan w:val="4"/>
            <w:vAlign w:val="center"/>
          </w:tcPr>
          <w:p w14:paraId="40F00789">
            <w:pPr>
              <w:spacing w:line="280" w:lineRule="exact"/>
              <w:jc w:val="center"/>
              <w:rPr>
                <w:color w:val="auto"/>
              </w:rPr>
            </w:pPr>
            <w:r>
              <w:rPr>
                <w:color w:val="auto"/>
              </w:rPr>
              <w:t>Q＜1 □</w:t>
            </w:r>
          </w:p>
        </w:tc>
        <w:tc>
          <w:tcPr>
            <w:tcW w:w="639" w:type="pct"/>
            <w:gridSpan w:val="4"/>
            <w:vAlign w:val="center"/>
          </w:tcPr>
          <w:p w14:paraId="68181787">
            <w:pPr>
              <w:spacing w:line="280" w:lineRule="exact"/>
              <w:jc w:val="center"/>
              <w:rPr>
                <w:color w:val="auto"/>
              </w:rPr>
            </w:pPr>
            <w:r>
              <w:rPr>
                <w:color w:val="auto"/>
              </w:rPr>
              <w:t xml:space="preserve">1≤Q＜10 </w:t>
            </w:r>
            <w:r>
              <w:rPr>
                <w:color w:val="auto"/>
              </w:rPr>
              <w:sym w:font="Wingdings 2" w:char="00A3"/>
            </w:r>
          </w:p>
        </w:tc>
        <w:tc>
          <w:tcPr>
            <w:tcW w:w="1150" w:type="pct"/>
            <w:gridSpan w:val="3"/>
            <w:vAlign w:val="center"/>
          </w:tcPr>
          <w:p w14:paraId="0DC34A12">
            <w:pPr>
              <w:spacing w:line="280" w:lineRule="exact"/>
              <w:jc w:val="center"/>
              <w:rPr>
                <w:color w:val="auto"/>
              </w:rPr>
            </w:pPr>
            <w:r>
              <w:rPr>
                <w:color w:val="auto"/>
              </w:rPr>
              <w:t>10≤Q＜100</w:t>
            </w:r>
            <w:r>
              <w:rPr>
                <w:color w:val="auto"/>
              </w:rPr>
              <w:sym w:font="Wingdings 2" w:char="0052"/>
            </w:r>
          </w:p>
        </w:tc>
        <w:tc>
          <w:tcPr>
            <w:tcW w:w="808" w:type="pct"/>
            <w:gridSpan w:val="3"/>
            <w:vAlign w:val="center"/>
          </w:tcPr>
          <w:p w14:paraId="1E209555">
            <w:pPr>
              <w:spacing w:line="280" w:lineRule="exact"/>
              <w:jc w:val="center"/>
              <w:rPr>
                <w:color w:val="auto"/>
              </w:rPr>
            </w:pPr>
            <w:r>
              <w:rPr>
                <w:color w:val="auto"/>
              </w:rPr>
              <w:t xml:space="preserve">Q＞100  </w:t>
            </w:r>
            <w:r>
              <w:rPr>
                <w:color w:val="auto"/>
              </w:rPr>
              <w:sym w:font="Wingdings 2" w:char="00A3"/>
            </w:r>
          </w:p>
        </w:tc>
      </w:tr>
      <w:tr w14:paraId="701D7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Merge w:val="continue"/>
            <w:vAlign w:val="center"/>
          </w:tcPr>
          <w:p w14:paraId="200D6CAC">
            <w:pPr>
              <w:spacing w:line="280" w:lineRule="exact"/>
              <w:jc w:val="center"/>
              <w:rPr>
                <w:color w:val="auto"/>
              </w:rPr>
            </w:pPr>
          </w:p>
        </w:tc>
        <w:tc>
          <w:tcPr>
            <w:tcW w:w="520" w:type="pct"/>
            <w:gridSpan w:val="2"/>
            <w:vAlign w:val="center"/>
          </w:tcPr>
          <w:p w14:paraId="7503387D">
            <w:pPr>
              <w:spacing w:line="280" w:lineRule="exact"/>
              <w:jc w:val="center"/>
              <w:rPr>
                <w:color w:val="auto"/>
              </w:rPr>
            </w:pPr>
            <w:r>
              <w:rPr>
                <w:color w:val="auto"/>
              </w:rPr>
              <w:t>M 值</w:t>
            </w:r>
          </w:p>
        </w:tc>
        <w:tc>
          <w:tcPr>
            <w:tcW w:w="1073" w:type="pct"/>
            <w:gridSpan w:val="4"/>
            <w:vAlign w:val="center"/>
          </w:tcPr>
          <w:p w14:paraId="0D2A4C25">
            <w:pPr>
              <w:spacing w:line="280" w:lineRule="exact"/>
              <w:jc w:val="center"/>
              <w:rPr>
                <w:color w:val="auto"/>
              </w:rPr>
            </w:pPr>
            <w:r>
              <w:rPr>
                <w:color w:val="auto"/>
              </w:rPr>
              <w:t>M1</w:t>
            </w:r>
            <w:r>
              <w:rPr>
                <w:color w:val="auto"/>
              </w:rPr>
              <w:sym w:font="Wingdings 2" w:char="00A3"/>
            </w:r>
          </w:p>
        </w:tc>
        <w:tc>
          <w:tcPr>
            <w:tcW w:w="452" w:type="pct"/>
            <w:gridSpan w:val="3"/>
            <w:vAlign w:val="center"/>
          </w:tcPr>
          <w:p w14:paraId="5A83F409">
            <w:pPr>
              <w:spacing w:line="280" w:lineRule="exact"/>
              <w:jc w:val="center"/>
              <w:rPr>
                <w:color w:val="auto"/>
              </w:rPr>
            </w:pPr>
            <w:r>
              <w:rPr>
                <w:color w:val="auto"/>
              </w:rPr>
              <w:t xml:space="preserve">M2 </w:t>
            </w:r>
            <w:r>
              <w:rPr>
                <w:color w:val="auto"/>
              </w:rPr>
              <w:sym w:font="Wingdings 2" w:char="0052"/>
            </w:r>
          </w:p>
        </w:tc>
        <w:tc>
          <w:tcPr>
            <w:tcW w:w="1337" w:type="pct"/>
            <w:gridSpan w:val="4"/>
            <w:vAlign w:val="center"/>
          </w:tcPr>
          <w:p w14:paraId="4772EBAD">
            <w:pPr>
              <w:spacing w:line="280" w:lineRule="exact"/>
              <w:jc w:val="center"/>
              <w:rPr>
                <w:color w:val="auto"/>
              </w:rPr>
            </w:pPr>
            <w:r>
              <w:rPr>
                <w:color w:val="auto"/>
              </w:rPr>
              <w:t>M3</w:t>
            </w:r>
            <w:r>
              <w:rPr>
                <w:color w:val="auto"/>
              </w:rPr>
              <w:sym w:font="Wingdings 2" w:char="00A3"/>
            </w:r>
          </w:p>
        </w:tc>
        <w:tc>
          <w:tcPr>
            <w:tcW w:w="808" w:type="pct"/>
            <w:gridSpan w:val="3"/>
            <w:vAlign w:val="center"/>
          </w:tcPr>
          <w:p w14:paraId="7705F40C">
            <w:pPr>
              <w:spacing w:line="280" w:lineRule="exact"/>
              <w:jc w:val="center"/>
              <w:rPr>
                <w:rFonts w:hint="eastAsia" w:eastAsia="宋体"/>
                <w:color w:val="auto"/>
                <w:lang w:eastAsia="zh-CN"/>
              </w:rPr>
            </w:pPr>
            <w:r>
              <w:rPr>
                <w:color w:val="auto"/>
              </w:rPr>
              <w:t xml:space="preserve">M4 </w:t>
            </w:r>
            <w:r>
              <w:rPr>
                <w:rFonts w:hint="eastAsia"/>
                <w:color w:val="auto"/>
                <w:lang w:eastAsia="zh-CN"/>
              </w:rPr>
              <w:t>□</w:t>
            </w:r>
          </w:p>
        </w:tc>
      </w:tr>
      <w:tr w14:paraId="7B0D3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Merge w:val="continue"/>
            <w:vAlign w:val="center"/>
          </w:tcPr>
          <w:p w14:paraId="06A037F6">
            <w:pPr>
              <w:spacing w:line="280" w:lineRule="exact"/>
              <w:jc w:val="center"/>
              <w:rPr>
                <w:color w:val="auto"/>
              </w:rPr>
            </w:pPr>
          </w:p>
        </w:tc>
        <w:tc>
          <w:tcPr>
            <w:tcW w:w="520" w:type="pct"/>
            <w:gridSpan w:val="2"/>
            <w:vAlign w:val="center"/>
          </w:tcPr>
          <w:p w14:paraId="7F63307D">
            <w:pPr>
              <w:spacing w:line="280" w:lineRule="exact"/>
              <w:jc w:val="center"/>
              <w:rPr>
                <w:color w:val="auto"/>
              </w:rPr>
            </w:pPr>
            <w:r>
              <w:rPr>
                <w:color w:val="auto"/>
              </w:rPr>
              <w:t>P 值</w:t>
            </w:r>
          </w:p>
        </w:tc>
        <w:tc>
          <w:tcPr>
            <w:tcW w:w="1073" w:type="pct"/>
            <w:gridSpan w:val="4"/>
            <w:vAlign w:val="center"/>
          </w:tcPr>
          <w:p w14:paraId="32FA08C3">
            <w:pPr>
              <w:spacing w:line="280" w:lineRule="exact"/>
              <w:jc w:val="center"/>
              <w:rPr>
                <w:color w:val="auto"/>
              </w:rPr>
            </w:pPr>
            <w:r>
              <w:rPr>
                <w:color w:val="auto"/>
              </w:rPr>
              <w:t>P1</w:t>
            </w:r>
            <w:r>
              <w:rPr>
                <w:color w:val="auto"/>
              </w:rPr>
              <w:sym w:font="Wingdings 2" w:char="00A3"/>
            </w:r>
          </w:p>
        </w:tc>
        <w:tc>
          <w:tcPr>
            <w:tcW w:w="452" w:type="pct"/>
            <w:gridSpan w:val="3"/>
            <w:vAlign w:val="center"/>
          </w:tcPr>
          <w:p w14:paraId="690E2D20">
            <w:pPr>
              <w:spacing w:line="280" w:lineRule="exact"/>
              <w:jc w:val="center"/>
              <w:rPr>
                <w:color w:val="auto"/>
              </w:rPr>
            </w:pPr>
            <w:r>
              <w:rPr>
                <w:color w:val="auto"/>
              </w:rPr>
              <w:t xml:space="preserve">P2 </w:t>
            </w:r>
            <w:r>
              <w:rPr>
                <w:color w:val="auto"/>
              </w:rPr>
              <w:sym w:font="Wingdings 2" w:char="0052"/>
            </w:r>
          </w:p>
        </w:tc>
        <w:tc>
          <w:tcPr>
            <w:tcW w:w="1337" w:type="pct"/>
            <w:gridSpan w:val="4"/>
            <w:vAlign w:val="center"/>
          </w:tcPr>
          <w:p w14:paraId="0C3C900E">
            <w:pPr>
              <w:spacing w:line="280" w:lineRule="exact"/>
              <w:jc w:val="center"/>
              <w:rPr>
                <w:color w:val="auto"/>
              </w:rPr>
            </w:pPr>
            <w:r>
              <w:rPr>
                <w:color w:val="auto"/>
              </w:rPr>
              <w:t xml:space="preserve">P3 </w:t>
            </w:r>
            <w:r>
              <w:rPr>
                <w:color w:val="auto"/>
              </w:rPr>
              <w:sym w:font="Wingdings 2" w:char="00A3"/>
            </w:r>
          </w:p>
        </w:tc>
        <w:tc>
          <w:tcPr>
            <w:tcW w:w="808" w:type="pct"/>
            <w:gridSpan w:val="3"/>
            <w:vAlign w:val="center"/>
          </w:tcPr>
          <w:p w14:paraId="73360DCC">
            <w:pPr>
              <w:spacing w:line="280" w:lineRule="exact"/>
              <w:jc w:val="center"/>
              <w:rPr>
                <w:color w:val="auto"/>
              </w:rPr>
            </w:pPr>
            <w:r>
              <w:rPr>
                <w:color w:val="auto"/>
              </w:rPr>
              <w:t>P4</w:t>
            </w:r>
            <w:r>
              <w:rPr>
                <w:rFonts w:hint="eastAsia"/>
                <w:color w:val="auto"/>
                <w:lang w:eastAsia="zh-CN"/>
              </w:rPr>
              <w:t>□</w:t>
            </w:r>
            <w:r>
              <w:rPr>
                <w:color w:val="auto"/>
              </w:rPr>
              <w:t xml:space="preserve">  </w:t>
            </w:r>
          </w:p>
        </w:tc>
      </w:tr>
      <w:tr w14:paraId="2FB11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Merge w:val="restart"/>
            <w:vAlign w:val="center"/>
          </w:tcPr>
          <w:p w14:paraId="494F9B54">
            <w:pPr>
              <w:spacing w:line="280" w:lineRule="exact"/>
              <w:jc w:val="center"/>
              <w:rPr>
                <w:color w:val="auto"/>
              </w:rPr>
            </w:pPr>
            <w:r>
              <w:rPr>
                <w:color w:val="auto"/>
              </w:rPr>
              <w:t>环境敏感</w:t>
            </w:r>
          </w:p>
          <w:p w14:paraId="56D1AC30">
            <w:pPr>
              <w:spacing w:line="280" w:lineRule="exact"/>
              <w:jc w:val="center"/>
              <w:rPr>
                <w:color w:val="auto"/>
              </w:rPr>
            </w:pPr>
            <w:r>
              <w:rPr>
                <w:color w:val="auto"/>
              </w:rPr>
              <w:t>程度</w:t>
            </w:r>
          </w:p>
        </w:tc>
        <w:tc>
          <w:tcPr>
            <w:tcW w:w="520" w:type="pct"/>
            <w:gridSpan w:val="2"/>
            <w:vAlign w:val="center"/>
          </w:tcPr>
          <w:p w14:paraId="213A8F9C">
            <w:pPr>
              <w:spacing w:line="280" w:lineRule="exact"/>
              <w:jc w:val="center"/>
              <w:rPr>
                <w:color w:val="auto"/>
              </w:rPr>
            </w:pPr>
            <w:r>
              <w:rPr>
                <w:color w:val="auto"/>
              </w:rPr>
              <w:t>大气</w:t>
            </w:r>
          </w:p>
        </w:tc>
        <w:tc>
          <w:tcPr>
            <w:tcW w:w="1073" w:type="pct"/>
            <w:gridSpan w:val="4"/>
            <w:vAlign w:val="center"/>
          </w:tcPr>
          <w:p w14:paraId="139018BE">
            <w:pPr>
              <w:spacing w:line="280" w:lineRule="exact"/>
              <w:jc w:val="center"/>
              <w:rPr>
                <w:color w:val="auto"/>
              </w:rPr>
            </w:pPr>
            <w:r>
              <w:rPr>
                <w:color w:val="auto"/>
              </w:rPr>
              <w:t xml:space="preserve">E1 </w:t>
            </w:r>
            <w:r>
              <w:rPr>
                <w:color w:val="auto"/>
              </w:rPr>
              <w:sym w:font="Wingdings 2" w:char="0052"/>
            </w:r>
          </w:p>
        </w:tc>
        <w:tc>
          <w:tcPr>
            <w:tcW w:w="452" w:type="pct"/>
            <w:gridSpan w:val="3"/>
            <w:vAlign w:val="center"/>
          </w:tcPr>
          <w:p w14:paraId="06663245">
            <w:pPr>
              <w:spacing w:line="280" w:lineRule="exact"/>
              <w:jc w:val="center"/>
              <w:rPr>
                <w:color w:val="auto"/>
              </w:rPr>
            </w:pPr>
            <w:r>
              <w:rPr>
                <w:color w:val="auto"/>
              </w:rPr>
              <w:t xml:space="preserve">E2 </w:t>
            </w:r>
            <w:r>
              <w:rPr>
                <w:color w:val="auto"/>
              </w:rPr>
              <w:sym w:font="Wingdings 2" w:char="00A3"/>
            </w:r>
          </w:p>
        </w:tc>
        <w:tc>
          <w:tcPr>
            <w:tcW w:w="2145" w:type="pct"/>
            <w:gridSpan w:val="7"/>
            <w:vAlign w:val="center"/>
          </w:tcPr>
          <w:p w14:paraId="6FECE59A">
            <w:pPr>
              <w:spacing w:line="280" w:lineRule="exact"/>
              <w:jc w:val="center"/>
              <w:rPr>
                <w:color w:val="auto"/>
              </w:rPr>
            </w:pPr>
            <w:r>
              <w:rPr>
                <w:color w:val="auto"/>
              </w:rPr>
              <w:t xml:space="preserve">E3 </w:t>
            </w:r>
            <w:r>
              <w:rPr>
                <w:color w:val="auto"/>
              </w:rPr>
              <w:sym w:font="Wingdings 2" w:char="00A3"/>
            </w:r>
          </w:p>
        </w:tc>
      </w:tr>
      <w:tr w14:paraId="191B5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Merge w:val="continue"/>
            <w:vAlign w:val="center"/>
          </w:tcPr>
          <w:p w14:paraId="021A90C9">
            <w:pPr>
              <w:spacing w:line="280" w:lineRule="exact"/>
              <w:jc w:val="center"/>
              <w:rPr>
                <w:color w:val="auto"/>
              </w:rPr>
            </w:pPr>
          </w:p>
        </w:tc>
        <w:tc>
          <w:tcPr>
            <w:tcW w:w="520" w:type="pct"/>
            <w:gridSpan w:val="2"/>
            <w:vAlign w:val="center"/>
          </w:tcPr>
          <w:p w14:paraId="38A6BC66">
            <w:pPr>
              <w:spacing w:line="280" w:lineRule="exact"/>
              <w:jc w:val="center"/>
              <w:rPr>
                <w:color w:val="auto"/>
              </w:rPr>
            </w:pPr>
            <w:r>
              <w:rPr>
                <w:color w:val="auto"/>
              </w:rPr>
              <w:t>地表水</w:t>
            </w:r>
          </w:p>
        </w:tc>
        <w:tc>
          <w:tcPr>
            <w:tcW w:w="1073" w:type="pct"/>
            <w:gridSpan w:val="4"/>
            <w:vAlign w:val="center"/>
          </w:tcPr>
          <w:p w14:paraId="1B8E2D8B">
            <w:pPr>
              <w:spacing w:line="280" w:lineRule="exact"/>
              <w:jc w:val="center"/>
              <w:rPr>
                <w:color w:val="auto"/>
              </w:rPr>
            </w:pPr>
            <w:r>
              <w:rPr>
                <w:color w:val="auto"/>
              </w:rPr>
              <w:t xml:space="preserve">E1 </w:t>
            </w:r>
            <w:r>
              <w:rPr>
                <w:color w:val="auto"/>
              </w:rPr>
              <w:sym w:font="Wingdings 2" w:char="00A3"/>
            </w:r>
          </w:p>
        </w:tc>
        <w:tc>
          <w:tcPr>
            <w:tcW w:w="452" w:type="pct"/>
            <w:gridSpan w:val="3"/>
            <w:vAlign w:val="center"/>
          </w:tcPr>
          <w:p w14:paraId="538B12B9">
            <w:pPr>
              <w:spacing w:line="280" w:lineRule="exact"/>
              <w:jc w:val="center"/>
              <w:rPr>
                <w:color w:val="auto"/>
              </w:rPr>
            </w:pPr>
            <w:r>
              <w:rPr>
                <w:color w:val="auto"/>
              </w:rPr>
              <w:t xml:space="preserve">E2 </w:t>
            </w:r>
            <w:r>
              <w:rPr>
                <w:color w:val="auto"/>
              </w:rPr>
              <w:sym w:font="Wingdings 2" w:char="0052"/>
            </w:r>
          </w:p>
        </w:tc>
        <w:tc>
          <w:tcPr>
            <w:tcW w:w="2145" w:type="pct"/>
            <w:gridSpan w:val="7"/>
            <w:vAlign w:val="center"/>
          </w:tcPr>
          <w:p w14:paraId="58DB126A">
            <w:pPr>
              <w:spacing w:line="280" w:lineRule="exact"/>
              <w:jc w:val="center"/>
              <w:rPr>
                <w:color w:val="auto"/>
              </w:rPr>
            </w:pPr>
            <w:r>
              <w:rPr>
                <w:color w:val="auto"/>
              </w:rPr>
              <w:t xml:space="preserve">E3 </w:t>
            </w:r>
            <w:r>
              <w:rPr>
                <w:color w:val="auto"/>
              </w:rPr>
              <w:sym w:font="Wingdings 2" w:char="00A3"/>
            </w:r>
          </w:p>
        </w:tc>
      </w:tr>
      <w:tr w14:paraId="0DBC3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Merge w:val="continue"/>
            <w:vAlign w:val="center"/>
          </w:tcPr>
          <w:p w14:paraId="6F090895">
            <w:pPr>
              <w:spacing w:line="280" w:lineRule="exact"/>
              <w:jc w:val="center"/>
              <w:rPr>
                <w:color w:val="auto"/>
              </w:rPr>
            </w:pPr>
          </w:p>
        </w:tc>
        <w:tc>
          <w:tcPr>
            <w:tcW w:w="520" w:type="pct"/>
            <w:gridSpan w:val="2"/>
            <w:vAlign w:val="center"/>
          </w:tcPr>
          <w:p w14:paraId="012500B1">
            <w:pPr>
              <w:spacing w:line="280" w:lineRule="exact"/>
              <w:jc w:val="center"/>
              <w:rPr>
                <w:color w:val="auto"/>
              </w:rPr>
            </w:pPr>
            <w:r>
              <w:rPr>
                <w:color w:val="auto"/>
              </w:rPr>
              <w:t>地下水</w:t>
            </w:r>
          </w:p>
        </w:tc>
        <w:tc>
          <w:tcPr>
            <w:tcW w:w="1073" w:type="pct"/>
            <w:gridSpan w:val="4"/>
            <w:vAlign w:val="center"/>
          </w:tcPr>
          <w:p w14:paraId="16F1BBB8">
            <w:pPr>
              <w:spacing w:line="280" w:lineRule="exact"/>
              <w:jc w:val="center"/>
              <w:rPr>
                <w:color w:val="auto"/>
              </w:rPr>
            </w:pPr>
            <w:r>
              <w:rPr>
                <w:color w:val="auto"/>
              </w:rPr>
              <w:t xml:space="preserve">E1 </w:t>
            </w:r>
            <w:r>
              <w:rPr>
                <w:color w:val="auto"/>
              </w:rPr>
              <w:sym w:font="Wingdings 2" w:char="00A3"/>
            </w:r>
          </w:p>
        </w:tc>
        <w:tc>
          <w:tcPr>
            <w:tcW w:w="452" w:type="pct"/>
            <w:gridSpan w:val="3"/>
            <w:vAlign w:val="center"/>
          </w:tcPr>
          <w:p w14:paraId="3EE0E9DD">
            <w:pPr>
              <w:spacing w:line="280" w:lineRule="exact"/>
              <w:jc w:val="center"/>
              <w:rPr>
                <w:color w:val="auto"/>
              </w:rPr>
            </w:pPr>
            <w:r>
              <w:rPr>
                <w:color w:val="auto"/>
              </w:rPr>
              <w:t xml:space="preserve">E2 </w:t>
            </w:r>
            <w:r>
              <w:rPr>
                <w:color w:val="auto"/>
              </w:rPr>
              <w:sym w:font="Wingdings 2" w:char="00A3"/>
            </w:r>
          </w:p>
        </w:tc>
        <w:tc>
          <w:tcPr>
            <w:tcW w:w="2145" w:type="pct"/>
            <w:gridSpan w:val="7"/>
            <w:vAlign w:val="center"/>
          </w:tcPr>
          <w:p w14:paraId="0E8D5C11">
            <w:pPr>
              <w:spacing w:line="280" w:lineRule="exact"/>
              <w:jc w:val="center"/>
              <w:rPr>
                <w:color w:val="auto"/>
              </w:rPr>
            </w:pPr>
            <w:r>
              <w:rPr>
                <w:color w:val="auto"/>
              </w:rPr>
              <w:t xml:space="preserve">E3 </w:t>
            </w:r>
            <w:r>
              <w:rPr>
                <w:color w:val="auto"/>
              </w:rPr>
              <w:sym w:font="Wingdings 2" w:char="0052"/>
            </w:r>
          </w:p>
        </w:tc>
      </w:tr>
      <w:tr w14:paraId="5377D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Align w:val="center"/>
          </w:tcPr>
          <w:p w14:paraId="3F4D8286">
            <w:pPr>
              <w:spacing w:line="280" w:lineRule="exact"/>
              <w:jc w:val="center"/>
              <w:rPr>
                <w:color w:val="auto"/>
              </w:rPr>
            </w:pPr>
            <w:r>
              <w:rPr>
                <w:color w:val="auto"/>
              </w:rPr>
              <w:t>环境风险</w:t>
            </w:r>
          </w:p>
          <w:p w14:paraId="0F8DE75D">
            <w:pPr>
              <w:spacing w:line="280" w:lineRule="exact"/>
              <w:jc w:val="center"/>
              <w:rPr>
                <w:color w:val="auto"/>
              </w:rPr>
            </w:pPr>
            <w:r>
              <w:rPr>
                <w:color w:val="auto"/>
              </w:rPr>
              <w:t>潜势</w:t>
            </w:r>
          </w:p>
        </w:tc>
        <w:tc>
          <w:tcPr>
            <w:tcW w:w="1364" w:type="pct"/>
            <w:gridSpan w:val="4"/>
            <w:vAlign w:val="center"/>
          </w:tcPr>
          <w:p w14:paraId="68C2107E">
            <w:pPr>
              <w:spacing w:line="280" w:lineRule="exact"/>
              <w:jc w:val="center"/>
              <w:rPr>
                <w:color w:val="auto"/>
              </w:rPr>
            </w:pPr>
            <w:r>
              <w:rPr>
                <w:color w:val="auto"/>
              </w:rPr>
              <w:t xml:space="preserve">Ⅳ+ </w:t>
            </w:r>
            <w:r>
              <w:rPr>
                <w:color w:val="auto"/>
              </w:rPr>
              <w:sym w:font="Wingdings 2" w:char="00A3"/>
            </w:r>
          </w:p>
        </w:tc>
        <w:tc>
          <w:tcPr>
            <w:tcW w:w="564" w:type="pct"/>
            <w:gridSpan w:val="3"/>
            <w:vAlign w:val="center"/>
          </w:tcPr>
          <w:p w14:paraId="789235DB">
            <w:pPr>
              <w:spacing w:line="280" w:lineRule="exact"/>
              <w:jc w:val="center"/>
              <w:rPr>
                <w:color w:val="auto"/>
              </w:rPr>
            </w:pPr>
            <w:r>
              <w:rPr>
                <w:color w:val="auto"/>
              </w:rPr>
              <w:t>Ⅳ</w:t>
            </w:r>
            <w:r>
              <w:rPr>
                <w:color w:val="auto"/>
              </w:rPr>
              <w:sym w:font="Wingdings 2" w:char="0052"/>
            </w:r>
          </w:p>
        </w:tc>
        <w:tc>
          <w:tcPr>
            <w:tcW w:w="873" w:type="pct"/>
            <w:gridSpan w:val="5"/>
            <w:vAlign w:val="center"/>
          </w:tcPr>
          <w:p w14:paraId="6C680B6D">
            <w:pPr>
              <w:spacing w:line="280" w:lineRule="exact"/>
              <w:jc w:val="center"/>
              <w:rPr>
                <w:color w:val="auto"/>
              </w:rPr>
            </w:pPr>
            <w:r>
              <w:rPr>
                <w:color w:val="auto"/>
              </w:rPr>
              <w:t xml:space="preserve">Ⅲ </w:t>
            </w:r>
            <w:r>
              <w:rPr>
                <w:color w:val="auto"/>
              </w:rPr>
              <w:sym w:font="Wingdings 2" w:char="0052"/>
            </w:r>
          </w:p>
        </w:tc>
        <w:tc>
          <w:tcPr>
            <w:tcW w:w="716" w:type="pct"/>
            <w:gridSpan w:val="3"/>
            <w:vAlign w:val="center"/>
          </w:tcPr>
          <w:p w14:paraId="1EF636A9">
            <w:pPr>
              <w:spacing w:line="280" w:lineRule="exact"/>
              <w:jc w:val="center"/>
              <w:rPr>
                <w:color w:val="auto"/>
              </w:rPr>
            </w:pPr>
            <w:r>
              <w:rPr>
                <w:color w:val="auto"/>
              </w:rPr>
              <w:t xml:space="preserve">Ⅱ </w:t>
            </w:r>
            <w:r>
              <w:rPr>
                <w:color w:val="auto"/>
              </w:rPr>
              <w:sym w:font="Wingdings 2" w:char="00A3"/>
            </w:r>
          </w:p>
        </w:tc>
        <w:tc>
          <w:tcPr>
            <w:tcW w:w="674" w:type="pct"/>
            <w:vAlign w:val="center"/>
          </w:tcPr>
          <w:p w14:paraId="6710719F">
            <w:pPr>
              <w:spacing w:line="280" w:lineRule="exact"/>
              <w:jc w:val="center"/>
              <w:rPr>
                <w:color w:val="auto"/>
              </w:rPr>
            </w:pPr>
            <w:r>
              <w:rPr>
                <w:color w:val="auto"/>
              </w:rPr>
              <w:t xml:space="preserve">I </w:t>
            </w:r>
            <w:r>
              <w:rPr>
                <w:color w:val="auto"/>
              </w:rPr>
              <w:sym w:font="Wingdings 2" w:char="00A3"/>
            </w:r>
          </w:p>
        </w:tc>
      </w:tr>
      <w:tr w14:paraId="3EECD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Align w:val="center"/>
          </w:tcPr>
          <w:p w14:paraId="275B075F">
            <w:pPr>
              <w:spacing w:line="280" w:lineRule="exact"/>
              <w:jc w:val="center"/>
              <w:rPr>
                <w:color w:val="auto"/>
              </w:rPr>
            </w:pPr>
            <w:r>
              <w:rPr>
                <w:color w:val="auto"/>
              </w:rPr>
              <w:t>评价等级</w:t>
            </w:r>
          </w:p>
        </w:tc>
        <w:tc>
          <w:tcPr>
            <w:tcW w:w="1928" w:type="pct"/>
            <w:gridSpan w:val="7"/>
            <w:vAlign w:val="center"/>
          </w:tcPr>
          <w:p w14:paraId="19B582E3">
            <w:pPr>
              <w:spacing w:line="280" w:lineRule="exact"/>
              <w:jc w:val="center"/>
              <w:rPr>
                <w:color w:val="auto"/>
              </w:rPr>
            </w:pPr>
            <w:r>
              <w:rPr>
                <w:color w:val="auto"/>
              </w:rPr>
              <w:t xml:space="preserve">一级 </w:t>
            </w:r>
            <w:r>
              <w:rPr>
                <w:color w:val="auto"/>
              </w:rPr>
              <w:sym w:font="Wingdings 2" w:char="0052"/>
            </w:r>
          </w:p>
        </w:tc>
        <w:tc>
          <w:tcPr>
            <w:tcW w:w="873" w:type="pct"/>
            <w:gridSpan w:val="5"/>
            <w:vAlign w:val="center"/>
          </w:tcPr>
          <w:p w14:paraId="7CD4BCCD">
            <w:pPr>
              <w:spacing w:line="280" w:lineRule="exact"/>
              <w:jc w:val="center"/>
              <w:rPr>
                <w:color w:val="auto"/>
              </w:rPr>
            </w:pPr>
            <w:r>
              <w:rPr>
                <w:color w:val="auto"/>
              </w:rPr>
              <w:t xml:space="preserve">二级 </w:t>
            </w:r>
            <w:r>
              <w:rPr>
                <w:color w:val="auto"/>
              </w:rPr>
              <w:sym w:font="Wingdings 2" w:char="00A3"/>
            </w:r>
          </w:p>
        </w:tc>
        <w:tc>
          <w:tcPr>
            <w:tcW w:w="716" w:type="pct"/>
            <w:gridSpan w:val="3"/>
            <w:vAlign w:val="center"/>
          </w:tcPr>
          <w:p w14:paraId="5D79E12A">
            <w:pPr>
              <w:spacing w:line="280" w:lineRule="exact"/>
              <w:jc w:val="center"/>
              <w:rPr>
                <w:color w:val="auto"/>
              </w:rPr>
            </w:pPr>
            <w:r>
              <w:rPr>
                <w:color w:val="auto"/>
              </w:rPr>
              <w:t>三级 □</w:t>
            </w:r>
          </w:p>
        </w:tc>
        <w:tc>
          <w:tcPr>
            <w:tcW w:w="674" w:type="pct"/>
            <w:vAlign w:val="center"/>
          </w:tcPr>
          <w:p w14:paraId="28CFFA08">
            <w:pPr>
              <w:spacing w:line="280" w:lineRule="exact"/>
              <w:jc w:val="center"/>
              <w:rPr>
                <w:color w:val="auto"/>
              </w:rPr>
            </w:pPr>
            <w:r>
              <w:rPr>
                <w:color w:val="auto"/>
              </w:rPr>
              <w:t>简单分析 □</w:t>
            </w:r>
          </w:p>
        </w:tc>
      </w:tr>
      <w:tr w14:paraId="35B3C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restart"/>
            <w:vAlign w:val="center"/>
          </w:tcPr>
          <w:p w14:paraId="3284E1C4">
            <w:pPr>
              <w:spacing w:line="280" w:lineRule="exact"/>
              <w:jc w:val="center"/>
              <w:rPr>
                <w:color w:val="auto"/>
              </w:rPr>
            </w:pPr>
            <w:r>
              <w:rPr>
                <w:color w:val="auto"/>
              </w:rPr>
              <w:t>风</w:t>
            </w:r>
          </w:p>
          <w:p w14:paraId="4979A263">
            <w:pPr>
              <w:spacing w:line="280" w:lineRule="exact"/>
              <w:jc w:val="center"/>
              <w:rPr>
                <w:color w:val="auto"/>
              </w:rPr>
            </w:pPr>
            <w:r>
              <w:rPr>
                <w:color w:val="auto"/>
              </w:rPr>
              <w:t>险</w:t>
            </w:r>
          </w:p>
          <w:p w14:paraId="7A07339C">
            <w:pPr>
              <w:spacing w:line="280" w:lineRule="exact"/>
              <w:jc w:val="center"/>
              <w:rPr>
                <w:color w:val="auto"/>
              </w:rPr>
            </w:pPr>
            <w:r>
              <w:rPr>
                <w:color w:val="auto"/>
              </w:rPr>
              <w:t>识</w:t>
            </w:r>
          </w:p>
          <w:p w14:paraId="5C9C3A5F">
            <w:pPr>
              <w:spacing w:line="280" w:lineRule="exact"/>
              <w:jc w:val="center"/>
              <w:rPr>
                <w:color w:val="auto"/>
              </w:rPr>
            </w:pPr>
            <w:r>
              <w:rPr>
                <w:color w:val="auto"/>
              </w:rPr>
              <w:t>别</w:t>
            </w:r>
          </w:p>
        </w:tc>
        <w:tc>
          <w:tcPr>
            <w:tcW w:w="616" w:type="pct"/>
            <w:vAlign w:val="center"/>
          </w:tcPr>
          <w:p w14:paraId="3F4B82AB">
            <w:pPr>
              <w:spacing w:line="280" w:lineRule="exact"/>
              <w:jc w:val="center"/>
              <w:rPr>
                <w:color w:val="auto"/>
              </w:rPr>
            </w:pPr>
            <w:r>
              <w:rPr>
                <w:color w:val="auto"/>
              </w:rPr>
              <w:t>物质危险性</w:t>
            </w:r>
          </w:p>
        </w:tc>
        <w:tc>
          <w:tcPr>
            <w:tcW w:w="2046" w:type="pct"/>
            <w:gridSpan w:val="9"/>
            <w:vAlign w:val="center"/>
          </w:tcPr>
          <w:p w14:paraId="0B3C39DC">
            <w:pPr>
              <w:spacing w:line="280" w:lineRule="exact"/>
              <w:jc w:val="center"/>
              <w:rPr>
                <w:color w:val="auto"/>
              </w:rPr>
            </w:pPr>
            <w:r>
              <w:rPr>
                <w:color w:val="auto"/>
              </w:rPr>
              <w:t xml:space="preserve">有毒有害 </w:t>
            </w:r>
            <w:r>
              <w:rPr>
                <w:color w:val="auto"/>
              </w:rPr>
              <w:sym w:font="Wingdings 2" w:char="0052"/>
            </w:r>
          </w:p>
        </w:tc>
        <w:tc>
          <w:tcPr>
            <w:tcW w:w="2145" w:type="pct"/>
            <w:gridSpan w:val="7"/>
            <w:vAlign w:val="center"/>
          </w:tcPr>
          <w:p w14:paraId="14F95672">
            <w:pPr>
              <w:spacing w:line="280" w:lineRule="exact"/>
              <w:jc w:val="center"/>
              <w:rPr>
                <w:color w:val="auto"/>
              </w:rPr>
            </w:pPr>
            <w:r>
              <w:rPr>
                <w:color w:val="auto"/>
              </w:rPr>
              <w:t xml:space="preserve">易燃易爆  </w:t>
            </w:r>
            <w:r>
              <w:rPr>
                <w:color w:val="auto"/>
              </w:rPr>
              <w:sym w:font="Wingdings 2" w:char="0052"/>
            </w:r>
          </w:p>
        </w:tc>
      </w:tr>
      <w:tr w14:paraId="7A399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479F637D">
            <w:pPr>
              <w:spacing w:line="280" w:lineRule="exact"/>
              <w:jc w:val="center"/>
              <w:rPr>
                <w:color w:val="auto"/>
              </w:rPr>
            </w:pPr>
          </w:p>
        </w:tc>
        <w:tc>
          <w:tcPr>
            <w:tcW w:w="616" w:type="pct"/>
            <w:vAlign w:val="center"/>
          </w:tcPr>
          <w:p w14:paraId="696471BC">
            <w:pPr>
              <w:spacing w:line="280" w:lineRule="exact"/>
              <w:jc w:val="center"/>
              <w:rPr>
                <w:color w:val="auto"/>
              </w:rPr>
            </w:pPr>
            <w:r>
              <w:rPr>
                <w:color w:val="auto"/>
              </w:rPr>
              <w:t>环境风险</w:t>
            </w:r>
          </w:p>
          <w:p w14:paraId="18A8C3CC">
            <w:pPr>
              <w:spacing w:line="280" w:lineRule="exact"/>
              <w:jc w:val="center"/>
              <w:rPr>
                <w:color w:val="auto"/>
              </w:rPr>
            </w:pPr>
            <w:r>
              <w:rPr>
                <w:color w:val="auto"/>
              </w:rPr>
              <w:t>类型</w:t>
            </w:r>
          </w:p>
        </w:tc>
        <w:tc>
          <w:tcPr>
            <w:tcW w:w="1928" w:type="pct"/>
            <w:gridSpan w:val="7"/>
            <w:vAlign w:val="center"/>
          </w:tcPr>
          <w:p w14:paraId="7CD31765">
            <w:pPr>
              <w:spacing w:line="280" w:lineRule="exact"/>
              <w:jc w:val="center"/>
              <w:rPr>
                <w:color w:val="auto"/>
              </w:rPr>
            </w:pPr>
            <w:r>
              <w:rPr>
                <w:color w:val="auto"/>
              </w:rPr>
              <w:t xml:space="preserve">泄漏 </w:t>
            </w:r>
            <w:r>
              <w:rPr>
                <w:color w:val="auto"/>
              </w:rPr>
              <w:sym w:font="Wingdings 2" w:char="0052"/>
            </w:r>
          </w:p>
        </w:tc>
        <w:tc>
          <w:tcPr>
            <w:tcW w:w="2263" w:type="pct"/>
            <w:gridSpan w:val="9"/>
            <w:vAlign w:val="center"/>
          </w:tcPr>
          <w:p w14:paraId="30AA4E8F">
            <w:pPr>
              <w:spacing w:line="280" w:lineRule="exact"/>
              <w:jc w:val="center"/>
              <w:rPr>
                <w:color w:val="auto"/>
              </w:rPr>
            </w:pPr>
            <w:r>
              <w:rPr>
                <w:color w:val="auto"/>
              </w:rPr>
              <w:t xml:space="preserve">火灾、爆炸引发伴生/次生污染物排放 </w:t>
            </w:r>
            <w:r>
              <w:rPr>
                <w:color w:val="auto"/>
              </w:rPr>
              <w:sym w:font="Wingdings 2" w:char="0052"/>
            </w:r>
          </w:p>
        </w:tc>
      </w:tr>
      <w:tr w14:paraId="72DB2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1E989E67">
            <w:pPr>
              <w:spacing w:line="280" w:lineRule="exact"/>
              <w:jc w:val="center"/>
              <w:rPr>
                <w:color w:val="auto"/>
              </w:rPr>
            </w:pPr>
          </w:p>
        </w:tc>
        <w:tc>
          <w:tcPr>
            <w:tcW w:w="616" w:type="pct"/>
            <w:vAlign w:val="center"/>
          </w:tcPr>
          <w:p w14:paraId="12489092">
            <w:pPr>
              <w:spacing w:line="280" w:lineRule="exact"/>
              <w:jc w:val="center"/>
              <w:rPr>
                <w:color w:val="auto"/>
              </w:rPr>
            </w:pPr>
            <w:r>
              <w:rPr>
                <w:color w:val="auto"/>
              </w:rPr>
              <w:t>影响途径</w:t>
            </w:r>
          </w:p>
        </w:tc>
        <w:tc>
          <w:tcPr>
            <w:tcW w:w="1593" w:type="pct"/>
            <w:gridSpan w:val="6"/>
            <w:vAlign w:val="center"/>
          </w:tcPr>
          <w:p w14:paraId="4CAA1DC1">
            <w:pPr>
              <w:spacing w:line="280" w:lineRule="exact"/>
              <w:jc w:val="center"/>
              <w:rPr>
                <w:color w:val="auto"/>
              </w:rPr>
            </w:pPr>
            <w:r>
              <w:rPr>
                <w:color w:val="auto"/>
              </w:rPr>
              <w:t xml:space="preserve">大气 </w:t>
            </w:r>
            <w:r>
              <w:rPr>
                <w:color w:val="auto"/>
              </w:rPr>
              <w:sym w:font="Wingdings 2" w:char="0052"/>
            </w:r>
          </w:p>
        </w:tc>
        <w:tc>
          <w:tcPr>
            <w:tcW w:w="1208" w:type="pct"/>
            <w:gridSpan w:val="6"/>
            <w:vAlign w:val="center"/>
          </w:tcPr>
          <w:p w14:paraId="3E56D04C">
            <w:pPr>
              <w:spacing w:line="280" w:lineRule="exact"/>
              <w:jc w:val="center"/>
              <w:rPr>
                <w:color w:val="auto"/>
              </w:rPr>
            </w:pPr>
            <w:r>
              <w:rPr>
                <w:color w:val="auto"/>
              </w:rPr>
              <w:t xml:space="preserve">地表水 </w:t>
            </w:r>
            <w:r>
              <w:rPr>
                <w:color w:val="auto"/>
              </w:rPr>
              <w:sym w:font="Wingdings 2" w:char="0052"/>
            </w:r>
          </w:p>
        </w:tc>
        <w:tc>
          <w:tcPr>
            <w:tcW w:w="1390" w:type="pct"/>
            <w:gridSpan w:val="4"/>
            <w:vAlign w:val="center"/>
          </w:tcPr>
          <w:p w14:paraId="17D1684C">
            <w:pPr>
              <w:spacing w:line="280" w:lineRule="exact"/>
              <w:jc w:val="center"/>
              <w:rPr>
                <w:color w:val="auto"/>
              </w:rPr>
            </w:pPr>
            <w:r>
              <w:rPr>
                <w:color w:val="auto"/>
              </w:rPr>
              <w:t xml:space="preserve">地下水 </w:t>
            </w:r>
            <w:r>
              <w:rPr>
                <w:color w:val="auto"/>
              </w:rPr>
              <w:sym w:font="Wingdings 2" w:char="0052"/>
            </w:r>
          </w:p>
        </w:tc>
      </w:tr>
      <w:tr w14:paraId="7EB1E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Align w:val="center"/>
          </w:tcPr>
          <w:p w14:paraId="65236CD5">
            <w:pPr>
              <w:spacing w:line="280" w:lineRule="exact"/>
              <w:jc w:val="center"/>
              <w:rPr>
                <w:color w:val="auto"/>
              </w:rPr>
            </w:pPr>
            <w:r>
              <w:rPr>
                <w:color w:val="auto"/>
              </w:rPr>
              <w:t>事故情形分析</w:t>
            </w:r>
          </w:p>
        </w:tc>
        <w:tc>
          <w:tcPr>
            <w:tcW w:w="1364" w:type="pct"/>
            <w:gridSpan w:val="4"/>
            <w:vAlign w:val="center"/>
          </w:tcPr>
          <w:p w14:paraId="201A497B">
            <w:pPr>
              <w:spacing w:line="280" w:lineRule="exact"/>
              <w:jc w:val="center"/>
              <w:rPr>
                <w:color w:val="auto"/>
              </w:rPr>
            </w:pPr>
            <w:r>
              <w:rPr>
                <w:color w:val="auto"/>
              </w:rPr>
              <w:t>源强设定方法</w:t>
            </w:r>
          </w:p>
        </w:tc>
        <w:tc>
          <w:tcPr>
            <w:tcW w:w="564" w:type="pct"/>
            <w:gridSpan w:val="3"/>
            <w:vAlign w:val="center"/>
          </w:tcPr>
          <w:p w14:paraId="230844DF">
            <w:pPr>
              <w:spacing w:line="280" w:lineRule="exact"/>
              <w:jc w:val="center"/>
              <w:rPr>
                <w:color w:val="auto"/>
              </w:rPr>
            </w:pPr>
            <w:r>
              <w:rPr>
                <w:color w:val="auto"/>
              </w:rPr>
              <w:t xml:space="preserve">计算法 </w:t>
            </w:r>
            <w:r>
              <w:rPr>
                <w:color w:val="auto"/>
              </w:rPr>
              <w:sym w:font="Wingdings 2" w:char="0052"/>
            </w:r>
          </w:p>
        </w:tc>
        <w:tc>
          <w:tcPr>
            <w:tcW w:w="873" w:type="pct"/>
            <w:gridSpan w:val="5"/>
            <w:vAlign w:val="center"/>
          </w:tcPr>
          <w:p w14:paraId="2D5F836E">
            <w:pPr>
              <w:spacing w:line="280" w:lineRule="exact"/>
              <w:jc w:val="center"/>
              <w:rPr>
                <w:color w:val="auto"/>
              </w:rPr>
            </w:pPr>
            <w:r>
              <w:rPr>
                <w:color w:val="auto"/>
              </w:rPr>
              <w:t xml:space="preserve">经验估算法 </w:t>
            </w:r>
            <w:r>
              <w:rPr>
                <w:color w:val="auto"/>
              </w:rPr>
              <w:sym w:font="Wingdings 2" w:char="00A3"/>
            </w:r>
          </w:p>
        </w:tc>
        <w:tc>
          <w:tcPr>
            <w:tcW w:w="1390" w:type="pct"/>
            <w:gridSpan w:val="4"/>
            <w:vAlign w:val="center"/>
          </w:tcPr>
          <w:p w14:paraId="121E970D">
            <w:pPr>
              <w:spacing w:line="280" w:lineRule="exact"/>
              <w:jc w:val="center"/>
              <w:rPr>
                <w:color w:val="auto"/>
              </w:rPr>
            </w:pPr>
            <w:r>
              <w:rPr>
                <w:color w:val="auto"/>
              </w:rPr>
              <w:t xml:space="preserve">其他估算法 </w:t>
            </w:r>
            <w:r>
              <w:rPr>
                <w:color w:val="auto"/>
              </w:rPr>
              <w:sym w:font="Wingdings 2" w:char="00A3"/>
            </w:r>
          </w:p>
        </w:tc>
      </w:tr>
      <w:tr w14:paraId="282B7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restart"/>
            <w:vAlign w:val="center"/>
          </w:tcPr>
          <w:p w14:paraId="344DC942">
            <w:pPr>
              <w:spacing w:line="280" w:lineRule="exact"/>
              <w:jc w:val="center"/>
              <w:rPr>
                <w:color w:val="auto"/>
              </w:rPr>
            </w:pPr>
            <w:r>
              <w:rPr>
                <w:color w:val="auto"/>
              </w:rPr>
              <w:t>风</w:t>
            </w:r>
          </w:p>
          <w:p w14:paraId="7BBA3A43">
            <w:pPr>
              <w:spacing w:line="280" w:lineRule="exact"/>
              <w:jc w:val="center"/>
              <w:rPr>
                <w:color w:val="auto"/>
              </w:rPr>
            </w:pPr>
            <w:r>
              <w:rPr>
                <w:color w:val="auto"/>
              </w:rPr>
              <w:t>险</w:t>
            </w:r>
          </w:p>
          <w:p w14:paraId="2B810466">
            <w:pPr>
              <w:spacing w:line="280" w:lineRule="exact"/>
              <w:jc w:val="center"/>
              <w:rPr>
                <w:color w:val="auto"/>
              </w:rPr>
            </w:pPr>
            <w:r>
              <w:rPr>
                <w:color w:val="auto"/>
              </w:rPr>
              <w:t>预</w:t>
            </w:r>
          </w:p>
          <w:p w14:paraId="502C1EBC">
            <w:pPr>
              <w:spacing w:line="280" w:lineRule="exact"/>
              <w:jc w:val="center"/>
              <w:rPr>
                <w:color w:val="auto"/>
              </w:rPr>
            </w:pPr>
            <w:r>
              <w:rPr>
                <w:color w:val="auto"/>
              </w:rPr>
              <w:t>测</w:t>
            </w:r>
          </w:p>
          <w:p w14:paraId="6992BCCD">
            <w:pPr>
              <w:spacing w:line="280" w:lineRule="exact"/>
              <w:jc w:val="center"/>
              <w:rPr>
                <w:color w:val="auto"/>
              </w:rPr>
            </w:pPr>
            <w:r>
              <w:rPr>
                <w:color w:val="auto"/>
              </w:rPr>
              <w:t>与</w:t>
            </w:r>
          </w:p>
          <w:p w14:paraId="6D61511D">
            <w:pPr>
              <w:spacing w:line="280" w:lineRule="exact"/>
              <w:jc w:val="center"/>
              <w:rPr>
                <w:color w:val="auto"/>
              </w:rPr>
            </w:pPr>
            <w:r>
              <w:rPr>
                <w:color w:val="auto"/>
              </w:rPr>
              <w:t>评</w:t>
            </w:r>
          </w:p>
          <w:p w14:paraId="79D3E27D">
            <w:pPr>
              <w:spacing w:line="280" w:lineRule="exact"/>
              <w:jc w:val="center"/>
              <w:rPr>
                <w:color w:val="auto"/>
              </w:rPr>
            </w:pPr>
            <w:r>
              <w:rPr>
                <w:color w:val="auto"/>
              </w:rPr>
              <w:t>价</w:t>
            </w:r>
          </w:p>
        </w:tc>
        <w:tc>
          <w:tcPr>
            <w:tcW w:w="616" w:type="pct"/>
            <w:vMerge w:val="restart"/>
            <w:vAlign w:val="center"/>
          </w:tcPr>
          <w:p w14:paraId="1FA32018">
            <w:pPr>
              <w:spacing w:line="280" w:lineRule="exact"/>
              <w:jc w:val="center"/>
              <w:rPr>
                <w:color w:val="auto"/>
              </w:rPr>
            </w:pPr>
            <w:r>
              <w:rPr>
                <w:color w:val="auto"/>
              </w:rPr>
              <w:t>大气</w:t>
            </w:r>
          </w:p>
        </w:tc>
        <w:tc>
          <w:tcPr>
            <w:tcW w:w="1364" w:type="pct"/>
            <w:gridSpan w:val="4"/>
            <w:vAlign w:val="center"/>
          </w:tcPr>
          <w:p w14:paraId="6E0A3D13">
            <w:pPr>
              <w:spacing w:line="280" w:lineRule="exact"/>
              <w:jc w:val="center"/>
              <w:rPr>
                <w:color w:val="auto"/>
              </w:rPr>
            </w:pPr>
            <w:r>
              <w:rPr>
                <w:color w:val="auto"/>
              </w:rPr>
              <w:t>预测模型</w:t>
            </w:r>
          </w:p>
        </w:tc>
        <w:tc>
          <w:tcPr>
            <w:tcW w:w="564" w:type="pct"/>
            <w:gridSpan w:val="3"/>
            <w:vAlign w:val="center"/>
          </w:tcPr>
          <w:p w14:paraId="36777C7D">
            <w:pPr>
              <w:spacing w:line="280" w:lineRule="exact"/>
              <w:jc w:val="center"/>
              <w:rPr>
                <w:color w:val="auto"/>
              </w:rPr>
            </w:pPr>
            <w:r>
              <w:rPr>
                <w:color w:val="auto"/>
              </w:rPr>
              <w:t xml:space="preserve">SLAB </w:t>
            </w:r>
            <w:r>
              <w:rPr>
                <w:color w:val="auto"/>
              </w:rPr>
              <w:sym w:font="Wingdings 2" w:char="0052"/>
            </w:r>
          </w:p>
        </w:tc>
        <w:tc>
          <w:tcPr>
            <w:tcW w:w="873" w:type="pct"/>
            <w:gridSpan w:val="5"/>
            <w:vAlign w:val="center"/>
          </w:tcPr>
          <w:p w14:paraId="6F8FC47D">
            <w:pPr>
              <w:spacing w:line="280" w:lineRule="exact"/>
              <w:jc w:val="center"/>
              <w:rPr>
                <w:color w:val="auto"/>
              </w:rPr>
            </w:pPr>
            <w:r>
              <w:rPr>
                <w:color w:val="auto"/>
              </w:rPr>
              <w:t xml:space="preserve">AFTOX </w:t>
            </w:r>
            <w:r>
              <w:rPr>
                <w:color w:val="auto"/>
              </w:rPr>
              <w:sym w:font="Wingdings 2" w:char="0052"/>
            </w:r>
          </w:p>
        </w:tc>
        <w:tc>
          <w:tcPr>
            <w:tcW w:w="1390" w:type="pct"/>
            <w:gridSpan w:val="4"/>
            <w:vAlign w:val="center"/>
          </w:tcPr>
          <w:p w14:paraId="11A5B342">
            <w:pPr>
              <w:spacing w:line="280" w:lineRule="exact"/>
              <w:jc w:val="center"/>
              <w:rPr>
                <w:color w:val="auto"/>
              </w:rPr>
            </w:pPr>
            <w:r>
              <w:rPr>
                <w:color w:val="auto"/>
              </w:rPr>
              <w:t xml:space="preserve">其他 </w:t>
            </w:r>
            <w:r>
              <w:rPr>
                <w:color w:val="auto"/>
              </w:rPr>
              <w:sym w:font="Wingdings 2" w:char="00A3"/>
            </w:r>
          </w:p>
        </w:tc>
      </w:tr>
      <w:tr w14:paraId="73E4D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754F00A6">
            <w:pPr>
              <w:spacing w:line="280" w:lineRule="exact"/>
              <w:jc w:val="center"/>
              <w:rPr>
                <w:color w:val="auto"/>
              </w:rPr>
            </w:pPr>
          </w:p>
        </w:tc>
        <w:tc>
          <w:tcPr>
            <w:tcW w:w="616" w:type="pct"/>
            <w:vMerge w:val="continue"/>
            <w:vAlign w:val="center"/>
          </w:tcPr>
          <w:p w14:paraId="1DA7B0E1">
            <w:pPr>
              <w:spacing w:line="280" w:lineRule="exact"/>
              <w:jc w:val="center"/>
              <w:rPr>
                <w:color w:val="auto"/>
              </w:rPr>
            </w:pPr>
          </w:p>
        </w:tc>
        <w:tc>
          <w:tcPr>
            <w:tcW w:w="252" w:type="pct"/>
            <w:vMerge w:val="restart"/>
            <w:vAlign w:val="center"/>
          </w:tcPr>
          <w:p w14:paraId="404913B5">
            <w:pPr>
              <w:spacing w:line="280" w:lineRule="exact"/>
              <w:jc w:val="center"/>
              <w:rPr>
                <w:rFonts w:eastAsia="宋体"/>
                <w:color w:val="auto"/>
              </w:rPr>
            </w:pPr>
            <w:r>
              <w:rPr>
                <w:rFonts w:eastAsia="宋体"/>
                <w:color w:val="auto"/>
              </w:rPr>
              <w:t>预测结果</w:t>
            </w:r>
          </w:p>
        </w:tc>
        <w:tc>
          <w:tcPr>
            <w:tcW w:w="1279" w:type="pct"/>
            <w:gridSpan w:val="4"/>
            <w:vMerge w:val="restart"/>
            <w:shd w:val="clear" w:color="auto" w:fill="auto"/>
            <w:vAlign w:val="center"/>
          </w:tcPr>
          <w:p w14:paraId="34358E9B">
            <w:pPr>
              <w:spacing w:line="280" w:lineRule="exact"/>
              <w:jc w:val="center"/>
              <w:rPr>
                <w:color w:val="auto"/>
              </w:rPr>
            </w:pPr>
            <w:r>
              <w:rPr>
                <w:rFonts w:hint="eastAsia"/>
                <w:color w:val="auto"/>
                <w:lang w:eastAsia="zh-CN"/>
              </w:rPr>
              <w:t>氢氟酸</w:t>
            </w:r>
            <w:r>
              <w:rPr>
                <w:color w:val="auto"/>
              </w:rPr>
              <w:t>（最不利，储罐）</w:t>
            </w:r>
          </w:p>
        </w:tc>
        <w:tc>
          <w:tcPr>
            <w:tcW w:w="2660" w:type="pct"/>
            <w:gridSpan w:val="11"/>
            <w:shd w:val="clear" w:color="auto" w:fill="auto"/>
            <w:vAlign w:val="center"/>
          </w:tcPr>
          <w:p w14:paraId="3BD5D9EF">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 最大影响范围</w:t>
            </w:r>
            <w:r>
              <w:rPr>
                <w:rFonts w:hint="eastAsia"/>
                <w:color w:val="auto"/>
                <w:lang w:val="en-US" w:eastAsia="zh-CN"/>
              </w:rPr>
              <w:t>310</w:t>
            </w:r>
            <w:r>
              <w:rPr>
                <w:color w:val="auto"/>
              </w:rPr>
              <w:t xml:space="preserve"> m</w:t>
            </w:r>
          </w:p>
        </w:tc>
      </w:tr>
      <w:tr w14:paraId="227A1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4C1BEEA6">
            <w:pPr>
              <w:spacing w:line="280" w:lineRule="exact"/>
              <w:jc w:val="center"/>
              <w:rPr>
                <w:color w:val="auto"/>
              </w:rPr>
            </w:pPr>
          </w:p>
        </w:tc>
        <w:tc>
          <w:tcPr>
            <w:tcW w:w="616" w:type="pct"/>
            <w:vMerge w:val="continue"/>
            <w:vAlign w:val="center"/>
          </w:tcPr>
          <w:p w14:paraId="66BCD91E">
            <w:pPr>
              <w:spacing w:line="280" w:lineRule="exact"/>
              <w:jc w:val="center"/>
              <w:rPr>
                <w:color w:val="auto"/>
              </w:rPr>
            </w:pPr>
          </w:p>
        </w:tc>
        <w:tc>
          <w:tcPr>
            <w:tcW w:w="252" w:type="pct"/>
            <w:vMerge w:val="continue"/>
            <w:vAlign w:val="center"/>
          </w:tcPr>
          <w:p w14:paraId="60EAA833">
            <w:pPr>
              <w:spacing w:line="280" w:lineRule="exact"/>
              <w:jc w:val="center"/>
              <w:rPr>
                <w:color w:val="auto"/>
              </w:rPr>
            </w:pPr>
          </w:p>
        </w:tc>
        <w:tc>
          <w:tcPr>
            <w:tcW w:w="1279" w:type="pct"/>
            <w:gridSpan w:val="4"/>
            <w:vMerge w:val="continue"/>
            <w:vAlign w:val="center"/>
          </w:tcPr>
          <w:p w14:paraId="2867EA64">
            <w:pPr>
              <w:spacing w:line="280" w:lineRule="exact"/>
              <w:jc w:val="center"/>
              <w:rPr>
                <w:color w:val="auto"/>
              </w:rPr>
            </w:pPr>
          </w:p>
        </w:tc>
        <w:tc>
          <w:tcPr>
            <w:tcW w:w="2660" w:type="pct"/>
            <w:gridSpan w:val="11"/>
            <w:shd w:val="clear" w:color="auto" w:fill="auto"/>
            <w:vAlign w:val="center"/>
          </w:tcPr>
          <w:p w14:paraId="781733DA">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 最大影响范围</w:t>
            </w:r>
            <w:r>
              <w:rPr>
                <w:rFonts w:hint="eastAsia"/>
                <w:color w:val="auto"/>
                <w:lang w:val="en-US" w:eastAsia="zh-CN"/>
              </w:rPr>
              <w:t>440</w:t>
            </w:r>
            <w:r>
              <w:rPr>
                <w:color w:val="auto"/>
              </w:rPr>
              <w:t>m</w:t>
            </w:r>
          </w:p>
        </w:tc>
      </w:tr>
      <w:tr w14:paraId="4028A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6ACA1968">
            <w:pPr>
              <w:spacing w:line="280" w:lineRule="exact"/>
              <w:jc w:val="center"/>
              <w:rPr>
                <w:color w:val="auto"/>
              </w:rPr>
            </w:pPr>
          </w:p>
        </w:tc>
        <w:tc>
          <w:tcPr>
            <w:tcW w:w="616" w:type="pct"/>
            <w:vMerge w:val="continue"/>
            <w:vAlign w:val="center"/>
          </w:tcPr>
          <w:p w14:paraId="45E4C272">
            <w:pPr>
              <w:spacing w:line="280" w:lineRule="exact"/>
              <w:jc w:val="center"/>
              <w:rPr>
                <w:color w:val="auto"/>
              </w:rPr>
            </w:pPr>
          </w:p>
        </w:tc>
        <w:tc>
          <w:tcPr>
            <w:tcW w:w="252" w:type="pct"/>
            <w:vMerge w:val="continue"/>
            <w:vAlign w:val="center"/>
          </w:tcPr>
          <w:p w14:paraId="23D5FABD">
            <w:pPr>
              <w:spacing w:line="280" w:lineRule="exact"/>
              <w:jc w:val="center"/>
              <w:rPr>
                <w:color w:val="auto"/>
              </w:rPr>
            </w:pPr>
          </w:p>
        </w:tc>
        <w:tc>
          <w:tcPr>
            <w:tcW w:w="1279" w:type="pct"/>
            <w:gridSpan w:val="4"/>
            <w:vMerge w:val="restart"/>
            <w:vAlign w:val="center"/>
          </w:tcPr>
          <w:p w14:paraId="5891D892">
            <w:pPr>
              <w:spacing w:line="280" w:lineRule="exact"/>
              <w:jc w:val="center"/>
              <w:rPr>
                <w:color w:val="auto"/>
              </w:rPr>
            </w:pPr>
            <w:r>
              <w:rPr>
                <w:color w:val="auto"/>
              </w:rPr>
              <w:t>氯化氢（最不利，仓库）</w:t>
            </w:r>
          </w:p>
        </w:tc>
        <w:tc>
          <w:tcPr>
            <w:tcW w:w="2660" w:type="pct"/>
            <w:gridSpan w:val="11"/>
            <w:vAlign w:val="center"/>
          </w:tcPr>
          <w:p w14:paraId="4204A3BE">
            <w:pPr>
              <w:spacing w:line="280" w:lineRule="exact"/>
              <w:jc w:val="center"/>
              <w:rPr>
                <w:color w:val="auto"/>
              </w:rPr>
            </w:pPr>
            <w:r>
              <w:rPr>
                <w:color w:val="auto"/>
              </w:rPr>
              <w:t>大气毒性终点浓度-1 最大影响范围</w:t>
            </w:r>
            <w:r>
              <w:rPr>
                <w:rFonts w:hint="eastAsia"/>
                <w:color w:val="auto"/>
                <w:lang w:val="en-US" w:eastAsia="zh-CN"/>
              </w:rPr>
              <w:t>90</w:t>
            </w:r>
            <w:r>
              <w:rPr>
                <w:color w:val="auto"/>
              </w:rPr>
              <w:t>m</w:t>
            </w:r>
          </w:p>
        </w:tc>
      </w:tr>
      <w:tr w14:paraId="30BA4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44513468">
            <w:pPr>
              <w:spacing w:line="280" w:lineRule="exact"/>
              <w:jc w:val="center"/>
              <w:rPr>
                <w:color w:val="auto"/>
              </w:rPr>
            </w:pPr>
          </w:p>
        </w:tc>
        <w:tc>
          <w:tcPr>
            <w:tcW w:w="616" w:type="pct"/>
            <w:vMerge w:val="continue"/>
            <w:vAlign w:val="center"/>
          </w:tcPr>
          <w:p w14:paraId="3BF49703">
            <w:pPr>
              <w:spacing w:line="280" w:lineRule="exact"/>
              <w:jc w:val="center"/>
              <w:rPr>
                <w:color w:val="auto"/>
              </w:rPr>
            </w:pPr>
          </w:p>
        </w:tc>
        <w:tc>
          <w:tcPr>
            <w:tcW w:w="252" w:type="pct"/>
            <w:vMerge w:val="continue"/>
            <w:vAlign w:val="center"/>
          </w:tcPr>
          <w:p w14:paraId="2444D322">
            <w:pPr>
              <w:spacing w:line="280" w:lineRule="exact"/>
              <w:jc w:val="center"/>
              <w:rPr>
                <w:color w:val="auto"/>
              </w:rPr>
            </w:pPr>
          </w:p>
        </w:tc>
        <w:tc>
          <w:tcPr>
            <w:tcW w:w="1279" w:type="pct"/>
            <w:gridSpan w:val="4"/>
            <w:vMerge w:val="continue"/>
            <w:vAlign w:val="center"/>
          </w:tcPr>
          <w:p w14:paraId="459CFB00">
            <w:pPr>
              <w:spacing w:line="280" w:lineRule="exact"/>
              <w:jc w:val="center"/>
              <w:rPr>
                <w:color w:val="auto"/>
              </w:rPr>
            </w:pPr>
          </w:p>
        </w:tc>
        <w:tc>
          <w:tcPr>
            <w:tcW w:w="2660" w:type="pct"/>
            <w:gridSpan w:val="11"/>
            <w:vAlign w:val="center"/>
          </w:tcPr>
          <w:p w14:paraId="1AEF19F7">
            <w:pPr>
              <w:spacing w:line="280" w:lineRule="exact"/>
              <w:jc w:val="center"/>
              <w:rPr>
                <w:color w:val="auto"/>
              </w:rPr>
            </w:pPr>
            <w:r>
              <w:rPr>
                <w:color w:val="auto"/>
              </w:rPr>
              <w:t>大气毒性终点浓度-2 最大影响范围</w:t>
            </w:r>
            <w:r>
              <w:rPr>
                <w:rFonts w:hint="eastAsia"/>
                <w:color w:val="auto"/>
                <w:lang w:val="en-US" w:eastAsia="zh-CN"/>
              </w:rPr>
              <w:t>25</w:t>
            </w:r>
            <w:r>
              <w:rPr>
                <w:color w:val="auto"/>
              </w:rPr>
              <w:t>0m</w:t>
            </w:r>
          </w:p>
        </w:tc>
      </w:tr>
      <w:tr w14:paraId="25C01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26E45844">
            <w:pPr>
              <w:spacing w:line="280" w:lineRule="exact"/>
              <w:jc w:val="center"/>
              <w:rPr>
                <w:color w:val="auto"/>
              </w:rPr>
            </w:pPr>
          </w:p>
        </w:tc>
        <w:tc>
          <w:tcPr>
            <w:tcW w:w="616" w:type="pct"/>
            <w:vMerge w:val="continue"/>
            <w:vAlign w:val="center"/>
          </w:tcPr>
          <w:p w14:paraId="3C909C65">
            <w:pPr>
              <w:spacing w:line="280" w:lineRule="exact"/>
              <w:jc w:val="center"/>
              <w:rPr>
                <w:color w:val="auto"/>
              </w:rPr>
            </w:pPr>
          </w:p>
        </w:tc>
        <w:tc>
          <w:tcPr>
            <w:tcW w:w="252" w:type="pct"/>
            <w:vMerge w:val="continue"/>
            <w:vAlign w:val="center"/>
          </w:tcPr>
          <w:p w14:paraId="5E9816D4">
            <w:pPr>
              <w:spacing w:line="280" w:lineRule="exact"/>
              <w:jc w:val="center"/>
              <w:rPr>
                <w:color w:val="auto"/>
              </w:rPr>
            </w:pPr>
          </w:p>
        </w:tc>
        <w:tc>
          <w:tcPr>
            <w:tcW w:w="1279" w:type="pct"/>
            <w:gridSpan w:val="4"/>
            <w:vMerge w:val="restart"/>
            <w:shd w:val="clear" w:color="auto" w:fill="auto"/>
            <w:vAlign w:val="center"/>
          </w:tcPr>
          <w:p w14:paraId="2E53DCED">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盐酸</w:t>
            </w:r>
            <w:r>
              <w:rPr>
                <w:color w:val="auto"/>
              </w:rPr>
              <w:t>（最</w:t>
            </w:r>
            <w:r>
              <w:rPr>
                <w:rFonts w:hint="eastAsia"/>
                <w:color w:val="auto"/>
                <w:lang w:val="en-US" w:eastAsia="zh-CN"/>
              </w:rPr>
              <w:t>常见</w:t>
            </w:r>
            <w:r>
              <w:rPr>
                <w:color w:val="auto"/>
              </w:rPr>
              <w:t>，储罐）</w:t>
            </w:r>
          </w:p>
        </w:tc>
        <w:tc>
          <w:tcPr>
            <w:tcW w:w="2660" w:type="pct"/>
            <w:gridSpan w:val="11"/>
            <w:shd w:val="clear" w:color="auto" w:fill="auto"/>
            <w:vAlign w:val="center"/>
          </w:tcPr>
          <w:p w14:paraId="4A9FE99B">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 最大影响范围</w:t>
            </w:r>
            <w:r>
              <w:rPr>
                <w:rFonts w:hint="eastAsia"/>
                <w:color w:val="auto"/>
                <w:lang w:val="en-US" w:eastAsia="zh-CN"/>
              </w:rPr>
              <w:t>110</w:t>
            </w:r>
            <w:r>
              <w:rPr>
                <w:color w:val="auto"/>
              </w:rPr>
              <w:t>m</w:t>
            </w:r>
          </w:p>
        </w:tc>
      </w:tr>
      <w:tr w14:paraId="44CC1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1DF155E9">
            <w:pPr>
              <w:spacing w:line="280" w:lineRule="exact"/>
              <w:jc w:val="center"/>
              <w:rPr>
                <w:color w:val="auto"/>
              </w:rPr>
            </w:pPr>
          </w:p>
        </w:tc>
        <w:tc>
          <w:tcPr>
            <w:tcW w:w="616" w:type="pct"/>
            <w:vMerge w:val="continue"/>
            <w:vAlign w:val="center"/>
          </w:tcPr>
          <w:p w14:paraId="512CEF20">
            <w:pPr>
              <w:spacing w:line="280" w:lineRule="exact"/>
              <w:jc w:val="center"/>
              <w:rPr>
                <w:color w:val="auto"/>
              </w:rPr>
            </w:pPr>
          </w:p>
        </w:tc>
        <w:tc>
          <w:tcPr>
            <w:tcW w:w="252" w:type="pct"/>
            <w:vMerge w:val="continue"/>
            <w:vAlign w:val="center"/>
          </w:tcPr>
          <w:p w14:paraId="01332088">
            <w:pPr>
              <w:spacing w:line="280" w:lineRule="exact"/>
              <w:jc w:val="center"/>
              <w:rPr>
                <w:color w:val="auto"/>
              </w:rPr>
            </w:pPr>
          </w:p>
        </w:tc>
        <w:tc>
          <w:tcPr>
            <w:tcW w:w="1279" w:type="pct"/>
            <w:gridSpan w:val="4"/>
            <w:vMerge w:val="continue"/>
            <w:vAlign w:val="center"/>
          </w:tcPr>
          <w:p w14:paraId="49C80C82">
            <w:pPr>
              <w:spacing w:line="280" w:lineRule="exact"/>
              <w:jc w:val="center"/>
              <w:rPr>
                <w:color w:val="auto"/>
              </w:rPr>
            </w:pPr>
          </w:p>
        </w:tc>
        <w:tc>
          <w:tcPr>
            <w:tcW w:w="2660" w:type="pct"/>
            <w:gridSpan w:val="11"/>
            <w:shd w:val="clear" w:color="auto" w:fill="auto"/>
            <w:vAlign w:val="center"/>
          </w:tcPr>
          <w:p w14:paraId="3968F4B4">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 最大影响范围</w:t>
            </w:r>
            <w:r>
              <w:rPr>
                <w:rFonts w:hint="eastAsia"/>
                <w:color w:val="auto"/>
                <w:lang w:val="en-US" w:eastAsia="zh-CN"/>
              </w:rPr>
              <w:t>290</w:t>
            </w:r>
            <w:r>
              <w:rPr>
                <w:color w:val="auto"/>
              </w:rPr>
              <w:t>m</w:t>
            </w:r>
          </w:p>
        </w:tc>
      </w:tr>
      <w:tr w14:paraId="02AE4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6F5C689E">
            <w:pPr>
              <w:spacing w:line="280" w:lineRule="exact"/>
              <w:jc w:val="center"/>
              <w:rPr>
                <w:color w:val="auto"/>
              </w:rPr>
            </w:pPr>
          </w:p>
        </w:tc>
        <w:tc>
          <w:tcPr>
            <w:tcW w:w="616" w:type="pct"/>
            <w:vMerge w:val="continue"/>
            <w:vAlign w:val="center"/>
          </w:tcPr>
          <w:p w14:paraId="0AF2047C">
            <w:pPr>
              <w:spacing w:line="280" w:lineRule="exact"/>
              <w:jc w:val="center"/>
              <w:rPr>
                <w:color w:val="auto"/>
              </w:rPr>
            </w:pPr>
          </w:p>
        </w:tc>
        <w:tc>
          <w:tcPr>
            <w:tcW w:w="252" w:type="pct"/>
            <w:vMerge w:val="continue"/>
            <w:vAlign w:val="center"/>
          </w:tcPr>
          <w:p w14:paraId="66E5C190">
            <w:pPr>
              <w:spacing w:line="280" w:lineRule="exact"/>
              <w:jc w:val="center"/>
              <w:rPr>
                <w:color w:val="auto"/>
              </w:rPr>
            </w:pPr>
          </w:p>
        </w:tc>
        <w:tc>
          <w:tcPr>
            <w:tcW w:w="1279" w:type="pct"/>
            <w:gridSpan w:val="4"/>
            <w:vMerge w:val="restart"/>
            <w:shd w:val="clear" w:color="auto" w:fill="auto"/>
            <w:vAlign w:val="center"/>
          </w:tcPr>
          <w:p w14:paraId="3EA7E91E">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eastAsia="zh-CN"/>
              </w:rPr>
              <w:t>氢氟酸</w:t>
            </w:r>
            <w:r>
              <w:rPr>
                <w:color w:val="auto"/>
              </w:rPr>
              <w:t>（最</w:t>
            </w:r>
            <w:r>
              <w:rPr>
                <w:rFonts w:hint="eastAsia"/>
                <w:color w:val="auto"/>
                <w:lang w:val="en-US" w:eastAsia="zh-CN"/>
              </w:rPr>
              <w:t>常见</w:t>
            </w:r>
            <w:r>
              <w:rPr>
                <w:color w:val="auto"/>
              </w:rPr>
              <w:t>，储罐）</w:t>
            </w:r>
          </w:p>
        </w:tc>
        <w:tc>
          <w:tcPr>
            <w:tcW w:w="2660" w:type="pct"/>
            <w:gridSpan w:val="11"/>
            <w:shd w:val="clear" w:color="auto" w:fill="auto"/>
            <w:vAlign w:val="center"/>
          </w:tcPr>
          <w:p w14:paraId="2B50FD32">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 最大影响范围</w:t>
            </w:r>
            <w:r>
              <w:rPr>
                <w:rFonts w:hint="eastAsia"/>
                <w:color w:val="auto"/>
                <w:lang w:val="en-US" w:eastAsia="zh-CN"/>
              </w:rPr>
              <w:t>220</w:t>
            </w:r>
            <w:r>
              <w:rPr>
                <w:color w:val="auto"/>
              </w:rPr>
              <w:t xml:space="preserve"> m</w:t>
            </w:r>
          </w:p>
        </w:tc>
      </w:tr>
      <w:tr w14:paraId="1645D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2E2F638C">
            <w:pPr>
              <w:spacing w:line="280" w:lineRule="exact"/>
              <w:jc w:val="center"/>
              <w:rPr>
                <w:color w:val="auto"/>
              </w:rPr>
            </w:pPr>
          </w:p>
        </w:tc>
        <w:tc>
          <w:tcPr>
            <w:tcW w:w="616" w:type="pct"/>
            <w:vMerge w:val="continue"/>
            <w:vAlign w:val="center"/>
          </w:tcPr>
          <w:p w14:paraId="0C3073C7">
            <w:pPr>
              <w:spacing w:line="280" w:lineRule="exact"/>
              <w:jc w:val="center"/>
              <w:rPr>
                <w:color w:val="auto"/>
              </w:rPr>
            </w:pPr>
          </w:p>
        </w:tc>
        <w:tc>
          <w:tcPr>
            <w:tcW w:w="252" w:type="pct"/>
            <w:vMerge w:val="continue"/>
            <w:vAlign w:val="center"/>
          </w:tcPr>
          <w:p w14:paraId="69441D2B">
            <w:pPr>
              <w:spacing w:line="280" w:lineRule="exact"/>
              <w:jc w:val="center"/>
              <w:rPr>
                <w:color w:val="auto"/>
              </w:rPr>
            </w:pPr>
          </w:p>
        </w:tc>
        <w:tc>
          <w:tcPr>
            <w:tcW w:w="1279" w:type="pct"/>
            <w:gridSpan w:val="4"/>
            <w:vMerge w:val="continue"/>
            <w:vAlign w:val="center"/>
          </w:tcPr>
          <w:p w14:paraId="7DC9B5A0">
            <w:pPr>
              <w:spacing w:line="280" w:lineRule="exact"/>
              <w:jc w:val="center"/>
              <w:rPr>
                <w:color w:val="auto"/>
              </w:rPr>
            </w:pPr>
          </w:p>
        </w:tc>
        <w:tc>
          <w:tcPr>
            <w:tcW w:w="2660" w:type="pct"/>
            <w:gridSpan w:val="11"/>
            <w:shd w:val="clear" w:color="auto" w:fill="auto"/>
            <w:vAlign w:val="center"/>
          </w:tcPr>
          <w:p w14:paraId="290C8EA7">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 最大影响范围</w:t>
            </w:r>
            <w:r>
              <w:rPr>
                <w:rFonts w:hint="eastAsia"/>
                <w:color w:val="auto"/>
                <w:lang w:val="en-US" w:eastAsia="zh-CN"/>
              </w:rPr>
              <w:t>310</w:t>
            </w:r>
            <w:r>
              <w:rPr>
                <w:color w:val="auto"/>
              </w:rPr>
              <w:t>m</w:t>
            </w:r>
          </w:p>
        </w:tc>
      </w:tr>
      <w:tr w14:paraId="1056E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37BD6B13">
            <w:pPr>
              <w:spacing w:line="280" w:lineRule="exact"/>
              <w:jc w:val="center"/>
              <w:rPr>
                <w:color w:val="auto"/>
              </w:rPr>
            </w:pPr>
          </w:p>
        </w:tc>
        <w:tc>
          <w:tcPr>
            <w:tcW w:w="616" w:type="pct"/>
            <w:vMerge w:val="continue"/>
            <w:vAlign w:val="center"/>
          </w:tcPr>
          <w:p w14:paraId="17FF5F12">
            <w:pPr>
              <w:spacing w:line="280" w:lineRule="exact"/>
              <w:jc w:val="center"/>
              <w:rPr>
                <w:color w:val="auto"/>
              </w:rPr>
            </w:pPr>
          </w:p>
        </w:tc>
        <w:tc>
          <w:tcPr>
            <w:tcW w:w="252" w:type="pct"/>
            <w:vMerge w:val="continue"/>
            <w:vAlign w:val="center"/>
          </w:tcPr>
          <w:p w14:paraId="1B7619ED">
            <w:pPr>
              <w:spacing w:line="280" w:lineRule="exact"/>
              <w:jc w:val="center"/>
              <w:rPr>
                <w:color w:val="auto"/>
              </w:rPr>
            </w:pPr>
          </w:p>
        </w:tc>
        <w:tc>
          <w:tcPr>
            <w:tcW w:w="1279" w:type="pct"/>
            <w:gridSpan w:val="4"/>
            <w:vMerge w:val="restart"/>
            <w:shd w:val="clear" w:color="auto" w:fill="auto"/>
            <w:vAlign w:val="center"/>
          </w:tcPr>
          <w:p w14:paraId="605A0113">
            <w:pPr>
              <w:spacing w:line="280" w:lineRule="exact"/>
              <w:jc w:val="center"/>
              <w:rPr>
                <w:rFonts w:ascii="Times New Roman" w:hAnsi="Times New Roman" w:eastAsia="宋体" w:cs="Times New Roman"/>
                <w:color w:val="auto"/>
                <w:kern w:val="2"/>
                <w:sz w:val="21"/>
                <w:szCs w:val="24"/>
                <w:lang w:val="en-US" w:eastAsia="zh-CN" w:bidi="ar-SA"/>
              </w:rPr>
            </w:pPr>
            <w:r>
              <w:rPr>
                <w:color w:val="auto"/>
              </w:rPr>
              <w:t>氯化氢（最</w:t>
            </w:r>
            <w:r>
              <w:rPr>
                <w:rFonts w:hint="eastAsia"/>
                <w:color w:val="auto"/>
                <w:lang w:val="en-US" w:eastAsia="zh-CN"/>
              </w:rPr>
              <w:t>常见</w:t>
            </w:r>
            <w:r>
              <w:rPr>
                <w:color w:val="auto"/>
              </w:rPr>
              <w:t>，仓库）</w:t>
            </w:r>
          </w:p>
        </w:tc>
        <w:tc>
          <w:tcPr>
            <w:tcW w:w="2660" w:type="pct"/>
            <w:gridSpan w:val="11"/>
            <w:shd w:val="clear" w:color="auto" w:fill="auto"/>
            <w:vAlign w:val="center"/>
          </w:tcPr>
          <w:p w14:paraId="3E5E72DF">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 最大影响范围</w:t>
            </w:r>
            <w:r>
              <w:rPr>
                <w:rFonts w:hint="eastAsia"/>
                <w:color w:val="auto"/>
                <w:lang w:val="en-US" w:eastAsia="zh-CN"/>
              </w:rPr>
              <w:t>40</w:t>
            </w:r>
            <w:r>
              <w:rPr>
                <w:color w:val="auto"/>
              </w:rPr>
              <w:t>m</w:t>
            </w:r>
          </w:p>
        </w:tc>
      </w:tr>
      <w:tr w14:paraId="19DB9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6BDEC0E7">
            <w:pPr>
              <w:spacing w:line="280" w:lineRule="exact"/>
              <w:jc w:val="center"/>
              <w:rPr>
                <w:color w:val="auto"/>
              </w:rPr>
            </w:pPr>
          </w:p>
        </w:tc>
        <w:tc>
          <w:tcPr>
            <w:tcW w:w="616" w:type="pct"/>
            <w:vMerge w:val="continue"/>
            <w:vAlign w:val="center"/>
          </w:tcPr>
          <w:p w14:paraId="06FE215E">
            <w:pPr>
              <w:spacing w:line="280" w:lineRule="exact"/>
              <w:jc w:val="center"/>
              <w:rPr>
                <w:color w:val="auto"/>
              </w:rPr>
            </w:pPr>
          </w:p>
        </w:tc>
        <w:tc>
          <w:tcPr>
            <w:tcW w:w="252" w:type="pct"/>
            <w:vMerge w:val="continue"/>
            <w:vAlign w:val="center"/>
          </w:tcPr>
          <w:p w14:paraId="5E4BFF9F">
            <w:pPr>
              <w:spacing w:line="280" w:lineRule="exact"/>
              <w:jc w:val="center"/>
              <w:rPr>
                <w:color w:val="auto"/>
              </w:rPr>
            </w:pPr>
          </w:p>
        </w:tc>
        <w:tc>
          <w:tcPr>
            <w:tcW w:w="1279" w:type="pct"/>
            <w:gridSpan w:val="4"/>
            <w:vMerge w:val="continue"/>
            <w:vAlign w:val="center"/>
          </w:tcPr>
          <w:p w14:paraId="7B9CE7AC">
            <w:pPr>
              <w:spacing w:line="280" w:lineRule="exact"/>
              <w:jc w:val="center"/>
              <w:rPr>
                <w:color w:val="auto"/>
              </w:rPr>
            </w:pPr>
          </w:p>
        </w:tc>
        <w:tc>
          <w:tcPr>
            <w:tcW w:w="2660" w:type="pct"/>
            <w:gridSpan w:val="11"/>
            <w:shd w:val="clear" w:color="auto" w:fill="auto"/>
            <w:vAlign w:val="center"/>
          </w:tcPr>
          <w:p w14:paraId="11710502">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 最大影响范围</w:t>
            </w:r>
            <w:r>
              <w:rPr>
                <w:rFonts w:hint="eastAsia"/>
                <w:color w:val="auto"/>
                <w:lang w:val="en-US" w:eastAsia="zh-CN"/>
              </w:rPr>
              <w:t>120</w:t>
            </w:r>
            <w:r>
              <w:rPr>
                <w:color w:val="auto"/>
              </w:rPr>
              <w:t>m</w:t>
            </w:r>
          </w:p>
        </w:tc>
      </w:tr>
      <w:tr w14:paraId="07FE1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2937D9DD">
            <w:pPr>
              <w:spacing w:line="280" w:lineRule="exact"/>
              <w:jc w:val="center"/>
              <w:rPr>
                <w:color w:val="auto"/>
              </w:rPr>
            </w:pPr>
          </w:p>
        </w:tc>
        <w:tc>
          <w:tcPr>
            <w:tcW w:w="616" w:type="pct"/>
            <w:vMerge w:val="continue"/>
            <w:vAlign w:val="center"/>
          </w:tcPr>
          <w:p w14:paraId="3347B958">
            <w:pPr>
              <w:spacing w:line="280" w:lineRule="exact"/>
              <w:jc w:val="center"/>
              <w:rPr>
                <w:color w:val="auto"/>
              </w:rPr>
            </w:pPr>
          </w:p>
        </w:tc>
        <w:tc>
          <w:tcPr>
            <w:tcW w:w="252" w:type="pct"/>
            <w:vMerge w:val="continue"/>
            <w:vAlign w:val="center"/>
          </w:tcPr>
          <w:p w14:paraId="5F00F0FA">
            <w:pPr>
              <w:spacing w:line="280" w:lineRule="exact"/>
              <w:jc w:val="center"/>
              <w:rPr>
                <w:color w:val="auto"/>
              </w:rPr>
            </w:pPr>
          </w:p>
        </w:tc>
        <w:tc>
          <w:tcPr>
            <w:tcW w:w="1279" w:type="pct"/>
            <w:gridSpan w:val="4"/>
            <w:vMerge w:val="restart"/>
            <w:shd w:val="clear" w:color="auto" w:fill="auto"/>
            <w:vAlign w:val="center"/>
          </w:tcPr>
          <w:p w14:paraId="5C4A46FC">
            <w:pPr>
              <w:spacing w:line="280" w:lineRule="exact"/>
              <w:jc w:val="center"/>
              <w:rPr>
                <w:rFonts w:ascii="Times New Roman" w:hAnsi="Times New Roman" w:eastAsia="宋体" w:cs="Times New Roman"/>
                <w:color w:val="auto"/>
                <w:kern w:val="2"/>
                <w:sz w:val="21"/>
                <w:szCs w:val="24"/>
                <w:lang w:val="en-US" w:eastAsia="zh-CN" w:bidi="ar-SA"/>
              </w:rPr>
            </w:pPr>
            <w:r>
              <w:rPr>
                <w:rFonts w:hint="eastAsia"/>
                <w:color w:val="auto"/>
                <w:lang w:val="en-US" w:eastAsia="zh-CN"/>
              </w:rPr>
              <w:t>盐酸</w:t>
            </w:r>
            <w:r>
              <w:rPr>
                <w:color w:val="auto"/>
              </w:rPr>
              <w:t>（最</w:t>
            </w:r>
            <w:r>
              <w:rPr>
                <w:rFonts w:hint="eastAsia"/>
                <w:color w:val="auto"/>
                <w:lang w:val="en-US" w:eastAsia="zh-CN"/>
              </w:rPr>
              <w:t>常见</w:t>
            </w:r>
            <w:r>
              <w:rPr>
                <w:color w:val="auto"/>
              </w:rPr>
              <w:t>，储罐）</w:t>
            </w:r>
          </w:p>
        </w:tc>
        <w:tc>
          <w:tcPr>
            <w:tcW w:w="2660" w:type="pct"/>
            <w:gridSpan w:val="11"/>
            <w:shd w:val="clear" w:color="auto" w:fill="auto"/>
            <w:vAlign w:val="center"/>
          </w:tcPr>
          <w:p w14:paraId="32ED79A6">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大气毒性终点浓度-1 最大影响范围</w:t>
            </w:r>
            <w:r>
              <w:rPr>
                <w:rFonts w:hint="eastAsia"/>
                <w:color w:val="auto"/>
                <w:lang w:val="en-US" w:eastAsia="zh-CN"/>
              </w:rPr>
              <w:t>50</w:t>
            </w:r>
            <w:r>
              <w:rPr>
                <w:color w:val="auto"/>
              </w:rPr>
              <w:t>m</w:t>
            </w:r>
          </w:p>
        </w:tc>
      </w:tr>
      <w:tr w14:paraId="0E80A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48E0EB2D">
            <w:pPr>
              <w:spacing w:line="280" w:lineRule="exact"/>
              <w:jc w:val="center"/>
              <w:rPr>
                <w:color w:val="auto"/>
              </w:rPr>
            </w:pPr>
          </w:p>
        </w:tc>
        <w:tc>
          <w:tcPr>
            <w:tcW w:w="616" w:type="pct"/>
            <w:vMerge w:val="continue"/>
            <w:vAlign w:val="center"/>
          </w:tcPr>
          <w:p w14:paraId="22EF7944">
            <w:pPr>
              <w:spacing w:line="280" w:lineRule="exact"/>
              <w:jc w:val="center"/>
              <w:rPr>
                <w:color w:val="auto"/>
              </w:rPr>
            </w:pPr>
          </w:p>
        </w:tc>
        <w:tc>
          <w:tcPr>
            <w:tcW w:w="252" w:type="pct"/>
            <w:vMerge w:val="continue"/>
            <w:vAlign w:val="center"/>
          </w:tcPr>
          <w:p w14:paraId="51964A28">
            <w:pPr>
              <w:spacing w:line="280" w:lineRule="exact"/>
              <w:jc w:val="center"/>
              <w:rPr>
                <w:color w:val="auto"/>
              </w:rPr>
            </w:pPr>
          </w:p>
        </w:tc>
        <w:tc>
          <w:tcPr>
            <w:tcW w:w="1279" w:type="pct"/>
            <w:gridSpan w:val="4"/>
            <w:vMerge w:val="continue"/>
            <w:vAlign w:val="center"/>
          </w:tcPr>
          <w:p w14:paraId="49E25547">
            <w:pPr>
              <w:spacing w:line="280" w:lineRule="exact"/>
              <w:jc w:val="center"/>
              <w:rPr>
                <w:color w:val="auto"/>
              </w:rPr>
            </w:pPr>
          </w:p>
        </w:tc>
        <w:tc>
          <w:tcPr>
            <w:tcW w:w="2660" w:type="pct"/>
            <w:gridSpan w:val="11"/>
            <w:shd w:val="clear" w:color="auto" w:fill="auto"/>
            <w:vAlign w:val="center"/>
          </w:tcPr>
          <w:p w14:paraId="34856904">
            <w:pPr>
              <w:spacing w:line="280" w:lineRule="exact"/>
              <w:jc w:val="center"/>
              <w:rPr>
                <w:rFonts w:ascii="Times New Roman" w:hAnsi="Times New Roman" w:eastAsia="宋体" w:cs="Times New Roman"/>
                <w:color w:val="auto"/>
                <w:kern w:val="2"/>
                <w:sz w:val="21"/>
                <w:szCs w:val="24"/>
                <w:lang w:val="en-US" w:eastAsia="zh-CN" w:bidi="ar-SA"/>
              </w:rPr>
            </w:pPr>
            <w:r>
              <w:rPr>
                <w:color w:val="auto"/>
              </w:rPr>
              <w:t>大气毒性终点浓度-2 最大影响范围</w:t>
            </w:r>
            <w:r>
              <w:rPr>
                <w:rFonts w:hint="eastAsia"/>
                <w:color w:val="auto"/>
                <w:lang w:val="en-US" w:eastAsia="zh-CN"/>
              </w:rPr>
              <w:t>120</w:t>
            </w:r>
            <w:r>
              <w:rPr>
                <w:color w:val="auto"/>
              </w:rPr>
              <w:t>m</w:t>
            </w:r>
          </w:p>
        </w:tc>
      </w:tr>
      <w:tr w14:paraId="44AC4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3EBE4C81">
            <w:pPr>
              <w:spacing w:line="280" w:lineRule="exact"/>
              <w:jc w:val="center"/>
              <w:rPr>
                <w:color w:val="auto"/>
              </w:rPr>
            </w:pPr>
          </w:p>
        </w:tc>
        <w:tc>
          <w:tcPr>
            <w:tcW w:w="616" w:type="pct"/>
            <w:vAlign w:val="center"/>
          </w:tcPr>
          <w:p w14:paraId="783D380E">
            <w:pPr>
              <w:spacing w:line="280" w:lineRule="exact"/>
              <w:jc w:val="center"/>
              <w:rPr>
                <w:color w:val="auto"/>
              </w:rPr>
            </w:pPr>
            <w:r>
              <w:rPr>
                <w:color w:val="auto"/>
              </w:rPr>
              <w:t>地表水</w:t>
            </w:r>
          </w:p>
        </w:tc>
        <w:tc>
          <w:tcPr>
            <w:tcW w:w="4192" w:type="pct"/>
            <w:gridSpan w:val="16"/>
            <w:vAlign w:val="center"/>
          </w:tcPr>
          <w:p w14:paraId="75747B1A">
            <w:pPr>
              <w:spacing w:line="280" w:lineRule="exact"/>
              <w:jc w:val="center"/>
              <w:rPr>
                <w:color w:val="auto"/>
              </w:rPr>
            </w:pPr>
            <w:r>
              <w:rPr>
                <w:color w:val="auto"/>
              </w:rPr>
              <w:t>最近环境敏感目标   /    ，到达时间  /   h</w:t>
            </w:r>
          </w:p>
        </w:tc>
      </w:tr>
      <w:tr w14:paraId="037C1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63077F5B">
            <w:pPr>
              <w:spacing w:line="280" w:lineRule="exact"/>
              <w:jc w:val="center"/>
              <w:rPr>
                <w:color w:val="auto"/>
              </w:rPr>
            </w:pPr>
          </w:p>
        </w:tc>
        <w:tc>
          <w:tcPr>
            <w:tcW w:w="616" w:type="pct"/>
            <w:vMerge w:val="restart"/>
            <w:vAlign w:val="center"/>
          </w:tcPr>
          <w:p w14:paraId="1E1F752A">
            <w:pPr>
              <w:spacing w:line="280" w:lineRule="exact"/>
              <w:jc w:val="center"/>
              <w:rPr>
                <w:color w:val="auto"/>
              </w:rPr>
            </w:pPr>
            <w:r>
              <w:rPr>
                <w:color w:val="auto"/>
              </w:rPr>
              <w:t>地下水</w:t>
            </w:r>
          </w:p>
        </w:tc>
        <w:tc>
          <w:tcPr>
            <w:tcW w:w="4192" w:type="pct"/>
            <w:gridSpan w:val="16"/>
            <w:vAlign w:val="center"/>
          </w:tcPr>
          <w:p w14:paraId="3DA4CA02">
            <w:pPr>
              <w:spacing w:line="280" w:lineRule="exact"/>
              <w:jc w:val="center"/>
              <w:rPr>
                <w:color w:val="auto"/>
              </w:rPr>
            </w:pPr>
            <w:r>
              <w:rPr>
                <w:color w:val="auto"/>
              </w:rPr>
              <w:t>下游厂区边界到达时间  /  d</w:t>
            </w:r>
          </w:p>
        </w:tc>
      </w:tr>
      <w:tr w14:paraId="2460D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90" w:type="pct"/>
            <w:vMerge w:val="continue"/>
            <w:vAlign w:val="center"/>
          </w:tcPr>
          <w:p w14:paraId="36BB5AB2">
            <w:pPr>
              <w:spacing w:line="280" w:lineRule="exact"/>
              <w:jc w:val="center"/>
              <w:rPr>
                <w:color w:val="auto"/>
              </w:rPr>
            </w:pPr>
          </w:p>
        </w:tc>
        <w:tc>
          <w:tcPr>
            <w:tcW w:w="616" w:type="pct"/>
            <w:vMerge w:val="continue"/>
            <w:vAlign w:val="center"/>
          </w:tcPr>
          <w:p w14:paraId="2610888D">
            <w:pPr>
              <w:spacing w:line="280" w:lineRule="exact"/>
              <w:jc w:val="center"/>
              <w:rPr>
                <w:color w:val="auto"/>
              </w:rPr>
            </w:pPr>
          </w:p>
        </w:tc>
        <w:tc>
          <w:tcPr>
            <w:tcW w:w="4192" w:type="pct"/>
            <w:gridSpan w:val="16"/>
            <w:vAlign w:val="center"/>
          </w:tcPr>
          <w:p w14:paraId="59BA4E86">
            <w:pPr>
              <w:spacing w:line="280" w:lineRule="exact"/>
              <w:jc w:val="center"/>
              <w:rPr>
                <w:color w:val="auto"/>
              </w:rPr>
            </w:pPr>
            <w:r>
              <w:rPr>
                <w:color w:val="auto"/>
              </w:rPr>
              <w:t>最近环境敏感目标    /   ，到达时间   /  d</w:t>
            </w:r>
          </w:p>
        </w:tc>
      </w:tr>
      <w:tr w14:paraId="2E052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Align w:val="center"/>
          </w:tcPr>
          <w:p w14:paraId="4613EBF5">
            <w:pPr>
              <w:spacing w:line="280" w:lineRule="exact"/>
              <w:jc w:val="center"/>
              <w:rPr>
                <w:color w:val="auto"/>
              </w:rPr>
            </w:pPr>
            <w:r>
              <w:rPr>
                <w:color w:val="auto"/>
              </w:rPr>
              <w:t>重点风险防范</w:t>
            </w:r>
          </w:p>
          <w:p w14:paraId="49E6334A">
            <w:pPr>
              <w:spacing w:line="280" w:lineRule="exact"/>
              <w:jc w:val="center"/>
              <w:rPr>
                <w:color w:val="auto"/>
              </w:rPr>
            </w:pPr>
            <w:r>
              <w:rPr>
                <w:color w:val="auto"/>
              </w:rPr>
              <w:t>措施</w:t>
            </w:r>
          </w:p>
        </w:tc>
        <w:tc>
          <w:tcPr>
            <w:tcW w:w="4192" w:type="pct"/>
            <w:gridSpan w:val="16"/>
            <w:vAlign w:val="center"/>
          </w:tcPr>
          <w:p w14:paraId="528A835C">
            <w:pPr>
              <w:spacing w:line="280" w:lineRule="exact"/>
              <w:jc w:val="left"/>
              <w:rPr>
                <w:color w:val="auto"/>
              </w:rPr>
            </w:pPr>
            <w:r>
              <w:rPr>
                <w:color w:val="auto"/>
              </w:rPr>
              <w:t>1、设立安全环保科，负责全厂的安全管理，制定相关安全生产管理制度和安全操作规程；制定巡回检查制定，确保设备实施正常运行；</w:t>
            </w:r>
          </w:p>
          <w:p w14:paraId="7515524C">
            <w:pPr>
              <w:spacing w:line="280" w:lineRule="exact"/>
              <w:jc w:val="left"/>
              <w:rPr>
                <w:color w:val="auto"/>
              </w:rPr>
            </w:pPr>
            <w:r>
              <w:rPr>
                <w:color w:val="auto"/>
              </w:rPr>
              <w:t>2、提高生产过程的自动化程度，生产时严格控制操作参数，严格按操作规程操作；</w:t>
            </w:r>
          </w:p>
          <w:p w14:paraId="79D38C9B">
            <w:pPr>
              <w:spacing w:line="280" w:lineRule="exact"/>
              <w:jc w:val="left"/>
              <w:rPr>
                <w:color w:val="auto"/>
              </w:rPr>
            </w:pPr>
            <w:r>
              <w:rPr>
                <w:color w:val="auto"/>
              </w:rPr>
              <w:t>3、废水收集管道，生产区域设置收集管道，水收集管道设置排水切换阀门，确保废水的分类收集；厂区设置事故应急池，收集整个厂区的事故废水，建立三级环境风险防控体系；</w:t>
            </w:r>
          </w:p>
          <w:p w14:paraId="16328E6F">
            <w:pPr>
              <w:spacing w:line="280" w:lineRule="exact"/>
              <w:jc w:val="left"/>
              <w:rPr>
                <w:color w:val="auto"/>
              </w:rPr>
            </w:pPr>
            <w:r>
              <w:rPr>
                <w:color w:val="auto"/>
              </w:rPr>
              <w:t>4、厂区进行分区防渗，做好地下水的污染防治工作；</w:t>
            </w:r>
          </w:p>
          <w:p w14:paraId="777E58BF">
            <w:pPr>
              <w:spacing w:line="280" w:lineRule="exact"/>
              <w:jc w:val="left"/>
              <w:rPr>
                <w:color w:val="auto"/>
              </w:rPr>
            </w:pPr>
            <w:r>
              <w:rPr>
                <w:color w:val="auto"/>
              </w:rPr>
              <w:t>5、编制突发环境事件应急预案，并定期开展应急演练；</w:t>
            </w:r>
          </w:p>
        </w:tc>
      </w:tr>
      <w:tr w14:paraId="5C0E3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807" w:type="pct"/>
            <w:gridSpan w:val="2"/>
            <w:vAlign w:val="center"/>
          </w:tcPr>
          <w:p w14:paraId="2DCC18FA">
            <w:pPr>
              <w:spacing w:line="280" w:lineRule="exact"/>
              <w:jc w:val="center"/>
              <w:rPr>
                <w:color w:val="auto"/>
              </w:rPr>
            </w:pPr>
            <w:r>
              <w:rPr>
                <w:color w:val="auto"/>
              </w:rPr>
              <w:t>评价结论与建议</w:t>
            </w:r>
          </w:p>
        </w:tc>
        <w:tc>
          <w:tcPr>
            <w:tcW w:w="4192" w:type="pct"/>
            <w:gridSpan w:val="16"/>
            <w:vAlign w:val="center"/>
          </w:tcPr>
          <w:p w14:paraId="2DD32B90">
            <w:pPr>
              <w:spacing w:line="280" w:lineRule="exact"/>
              <w:jc w:val="left"/>
              <w:rPr>
                <w:color w:val="auto"/>
              </w:rPr>
            </w:pPr>
            <w:r>
              <w:rPr>
                <w:color w:val="auto"/>
              </w:rPr>
              <w:t>在通过制定严格的管理规定和岗位责任制，人为造成的风险事故是可以避免的，而参照本评价提出的环境风险的预防及应急措施后，项目的风险事故是可预防与可控制的。环评要求企业根据《企业事业单位突发环境事件应急预案备案管理办法（试行）》（环发[2015]4号）文件要求编制应急预案进行编制，对应急物资等进行明确。环评要求企业根据要求进行应急预案的演练，并上报备案。综合分析，本项目环境风险在可接受范围内。</w:t>
            </w:r>
          </w:p>
        </w:tc>
      </w:tr>
      <w:tr w14:paraId="54133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000" w:type="pct"/>
            <w:gridSpan w:val="18"/>
            <w:vAlign w:val="center"/>
          </w:tcPr>
          <w:p w14:paraId="75221B05">
            <w:pPr>
              <w:spacing w:line="280" w:lineRule="exact"/>
              <w:jc w:val="center"/>
              <w:rPr>
                <w:color w:val="auto"/>
              </w:rPr>
            </w:pPr>
            <w:r>
              <w:rPr>
                <w:color w:val="auto"/>
              </w:rPr>
              <w:t>注：“□”为勾选项，“  ”为填写项。</w:t>
            </w:r>
          </w:p>
        </w:tc>
      </w:tr>
    </w:tbl>
    <w:p w14:paraId="22925F00">
      <w:pPr>
        <w:pStyle w:val="29"/>
        <w:adjustRightInd w:val="0"/>
        <w:snapToGrid w:val="0"/>
        <w:spacing w:before="0" w:beforeAutospacing="0" w:after="0" w:afterAutospacing="0" w:line="648" w:lineRule="auto"/>
        <w:outlineLvl w:val="0"/>
        <w:rPr>
          <w:rFonts w:ascii="Times New Roman" w:hAnsi="Times New Roman"/>
          <w:snapToGrid w:val="0"/>
          <w:color w:val="auto"/>
          <w:sz w:val="32"/>
          <w:szCs w:val="32"/>
        </w:rPr>
        <w:sectPr>
          <w:pgSz w:w="11905" w:h="16838"/>
          <w:pgMar w:top="1701" w:right="1531" w:bottom="1701" w:left="1531" w:header="851" w:footer="850" w:gutter="0"/>
          <w:cols w:space="720" w:num="1"/>
          <w:docGrid w:linePitch="312" w:charSpace="0"/>
        </w:sectPr>
      </w:pPr>
    </w:p>
    <w:p w14:paraId="64AE0CA5">
      <w:pPr>
        <w:pStyle w:val="29"/>
        <w:adjustRightInd w:val="0"/>
        <w:snapToGrid w:val="0"/>
        <w:spacing w:before="0" w:beforeAutospacing="0" w:after="0" w:afterAutospacing="0" w:line="648" w:lineRule="auto"/>
        <w:outlineLvl w:val="0"/>
        <w:rPr>
          <w:rFonts w:ascii="Times New Roman" w:hAnsi="Times New Roman"/>
          <w:snapToGrid w:val="0"/>
          <w:color w:val="auto"/>
          <w:sz w:val="32"/>
          <w:szCs w:val="32"/>
        </w:rPr>
      </w:pPr>
      <w:bookmarkStart w:id="285" w:name="_Toc24387"/>
      <w:bookmarkStart w:id="286" w:name="_Toc113544794"/>
      <w:r>
        <w:rPr>
          <w:rFonts w:ascii="Times New Roman" w:hAnsi="Times New Roman"/>
          <w:snapToGrid w:val="0"/>
          <w:color w:val="auto"/>
          <w:sz w:val="32"/>
          <w:szCs w:val="32"/>
        </w:rPr>
        <w:t>附表</w:t>
      </w:r>
      <w:bookmarkEnd w:id="188"/>
      <w:bookmarkEnd w:id="285"/>
      <w:bookmarkEnd w:id="286"/>
    </w:p>
    <w:p w14:paraId="23C490AF">
      <w:pPr>
        <w:pStyle w:val="29"/>
        <w:adjustRightInd w:val="0"/>
        <w:snapToGrid w:val="0"/>
        <w:spacing w:before="0" w:beforeAutospacing="0" w:after="0" w:afterAutospacing="0" w:line="360" w:lineRule="auto"/>
        <w:jc w:val="center"/>
        <w:rPr>
          <w:rFonts w:ascii="Times New Roman" w:hAnsi="Times New Roman"/>
          <w:snapToGrid w:val="0"/>
          <w:color w:val="auto"/>
          <w:sz w:val="38"/>
          <w:szCs w:val="38"/>
        </w:rPr>
      </w:pPr>
      <w:bookmarkStart w:id="287" w:name="_Toc113544795"/>
      <w:bookmarkStart w:id="288" w:name="_Toc113261002"/>
      <w:r>
        <w:rPr>
          <w:rFonts w:ascii="Times New Roman" w:hAnsi="Times New Roman"/>
          <w:snapToGrid w:val="0"/>
          <w:color w:val="auto"/>
          <w:sz w:val="38"/>
          <w:szCs w:val="38"/>
        </w:rPr>
        <w:t>建设项目污染物排放量汇总表</w:t>
      </w:r>
      <w:bookmarkEnd w:id="287"/>
      <w:bookmarkEnd w:id="288"/>
    </w:p>
    <w:p w14:paraId="2A1335CE">
      <w:pPr>
        <w:pStyle w:val="29"/>
        <w:adjustRightInd w:val="0"/>
        <w:snapToGrid w:val="0"/>
        <w:spacing w:before="0" w:beforeAutospacing="0" w:after="0" w:afterAutospacing="0" w:line="360" w:lineRule="auto"/>
        <w:jc w:val="right"/>
        <w:rPr>
          <w:rFonts w:ascii="Times New Roman" w:hAnsi="Times New Roman"/>
          <w:snapToGrid w:val="0"/>
          <w:color w:val="auto"/>
          <w:sz w:val="38"/>
          <w:szCs w:val="38"/>
        </w:rPr>
      </w:pPr>
      <w:r>
        <w:rPr>
          <w:rFonts w:ascii="Times New Roman" w:hAnsi="Times New Roman"/>
          <w:snapToGrid w:val="0"/>
          <w:color w:val="auto"/>
          <w:sz w:val="18"/>
          <w:szCs w:val="18"/>
        </w:rPr>
        <w:t xml:space="preserve">   </w:t>
      </w:r>
      <w:bookmarkStart w:id="289" w:name="_Toc113544796"/>
      <w:bookmarkStart w:id="290" w:name="_Toc113261003"/>
      <w:r>
        <w:rPr>
          <w:rFonts w:ascii="Times New Roman" w:hAnsi="Times New Roman"/>
          <w:snapToGrid w:val="0"/>
          <w:color w:val="auto"/>
          <w:sz w:val="18"/>
          <w:szCs w:val="18"/>
        </w:rPr>
        <w:t>单位：t/a</w:t>
      </w:r>
      <w:bookmarkEnd w:id="289"/>
      <w:bookmarkEnd w:id="290"/>
    </w:p>
    <w:tbl>
      <w:tblPr>
        <w:tblStyle w:val="3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87"/>
        <w:gridCol w:w="1631"/>
        <w:gridCol w:w="1276"/>
        <w:gridCol w:w="1701"/>
        <w:gridCol w:w="1559"/>
        <w:gridCol w:w="1761"/>
        <w:gridCol w:w="1641"/>
        <w:gridCol w:w="1144"/>
      </w:tblGrid>
      <w:tr w14:paraId="4D0D7C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404F4BE3">
            <w:pPr>
              <w:pStyle w:val="78"/>
              <w:spacing w:beforeLines="0" w:afterLines="0" w:line="240" w:lineRule="auto"/>
              <w:jc w:val="right"/>
              <w:rPr>
                <w:rFonts w:ascii="Times New Roman"/>
                <w:snapToGrid w:val="0"/>
                <w:color w:val="auto"/>
                <w:spacing w:val="-6"/>
                <w:kern w:val="21"/>
                <w:szCs w:val="21"/>
              </w:rPr>
            </w:pPr>
            <w:r>
              <w:rPr>
                <w:rFonts w:ascii="Times New Roman"/>
                <w:snapToGrid w:val="0"/>
                <w:color w:val="auto"/>
                <w:spacing w:val="-6"/>
                <w:kern w:val="21"/>
                <w:szCs w:val="21"/>
              </w:rPr>
              <w:t>项目</w:t>
            </w:r>
          </w:p>
          <w:p w14:paraId="36E0C6C7">
            <w:pPr>
              <w:pStyle w:val="78"/>
              <w:spacing w:beforeLines="0" w:afterLines="0" w:line="240" w:lineRule="auto"/>
              <w:jc w:val="left"/>
              <w:rPr>
                <w:rFonts w:ascii="Times New Roman"/>
                <w:snapToGrid w:val="0"/>
                <w:color w:val="auto"/>
                <w:spacing w:val="-6"/>
                <w:kern w:val="21"/>
                <w:szCs w:val="21"/>
              </w:rPr>
            </w:pPr>
            <w:r>
              <w:rPr>
                <w:rFonts w:ascii="Times New Roman"/>
                <w:snapToGrid w:val="0"/>
                <w:color w:val="auto"/>
                <w:spacing w:val="-6"/>
                <w:kern w:val="21"/>
                <w:szCs w:val="21"/>
              </w:rPr>
              <w:t>分类</w:t>
            </w:r>
          </w:p>
        </w:tc>
        <w:tc>
          <w:tcPr>
            <w:tcW w:w="1487" w:type="dxa"/>
            <w:tcMar>
              <w:left w:w="28" w:type="dxa"/>
              <w:right w:w="28" w:type="dxa"/>
            </w:tcMar>
            <w:vAlign w:val="center"/>
          </w:tcPr>
          <w:p w14:paraId="50678848">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631" w:type="dxa"/>
            <w:tcMar>
              <w:left w:w="28" w:type="dxa"/>
              <w:right w:w="28" w:type="dxa"/>
            </w:tcMar>
            <w:vAlign w:val="center"/>
          </w:tcPr>
          <w:p w14:paraId="1E029F16">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4208100A">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kern w:val="2"/>
                <w:szCs w:val="21"/>
              </w:rPr>
              <w:t>①</w:t>
            </w:r>
            <w:r>
              <w:rPr>
                <w:rFonts w:ascii="Times New Roman"/>
                <w:snapToGrid w:val="0"/>
                <w:color w:val="auto"/>
                <w:spacing w:val="-6"/>
                <w:kern w:val="21"/>
                <w:szCs w:val="21"/>
              </w:rPr>
              <w:fldChar w:fldCharType="end"/>
            </w:r>
          </w:p>
        </w:tc>
        <w:tc>
          <w:tcPr>
            <w:tcW w:w="1276" w:type="dxa"/>
            <w:tcMar>
              <w:left w:w="28" w:type="dxa"/>
              <w:right w:w="28" w:type="dxa"/>
            </w:tcMar>
            <w:vAlign w:val="center"/>
          </w:tcPr>
          <w:p w14:paraId="4212B07B">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06B7C568">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许可排放量</w:t>
            </w:r>
          </w:p>
          <w:p w14:paraId="1597AC8A">
            <w:pPr>
              <w:pStyle w:val="78"/>
              <w:spacing w:beforeLines="0" w:afterLines="0"/>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snapToGrid w:val="0"/>
                <w:color w:val="auto"/>
                <w:spacing w:val="-6"/>
                <w:kern w:val="21"/>
                <w:szCs w:val="21"/>
              </w:rPr>
              <w:fldChar w:fldCharType="end"/>
            </w:r>
          </w:p>
        </w:tc>
        <w:tc>
          <w:tcPr>
            <w:tcW w:w="1701" w:type="dxa"/>
            <w:tcMar>
              <w:left w:w="28" w:type="dxa"/>
              <w:right w:w="28" w:type="dxa"/>
            </w:tcMar>
            <w:vAlign w:val="center"/>
          </w:tcPr>
          <w:p w14:paraId="5DFE6B7E">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14:paraId="0E7534C4">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kern w:val="2"/>
                <w:szCs w:val="21"/>
              </w:rPr>
              <w:t>③</w:t>
            </w:r>
            <w:r>
              <w:rPr>
                <w:rFonts w:ascii="Times New Roman"/>
                <w:snapToGrid w:val="0"/>
                <w:color w:val="auto"/>
                <w:spacing w:val="-6"/>
                <w:kern w:val="21"/>
                <w:szCs w:val="21"/>
              </w:rPr>
              <w:fldChar w:fldCharType="end"/>
            </w:r>
          </w:p>
        </w:tc>
        <w:tc>
          <w:tcPr>
            <w:tcW w:w="1559" w:type="dxa"/>
            <w:tcMar>
              <w:left w:w="28" w:type="dxa"/>
              <w:right w:w="28" w:type="dxa"/>
            </w:tcMar>
            <w:vAlign w:val="center"/>
          </w:tcPr>
          <w:p w14:paraId="001B67CE">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本项目</w:t>
            </w:r>
          </w:p>
          <w:p w14:paraId="6FD11EF7">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kern w:val="2"/>
                <w:szCs w:val="21"/>
              </w:rPr>
              <w:t>④</w:t>
            </w:r>
            <w:r>
              <w:rPr>
                <w:rFonts w:ascii="Times New Roman"/>
                <w:snapToGrid w:val="0"/>
                <w:color w:val="auto"/>
                <w:spacing w:val="-6"/>
                <w:kern w:val="21"/>
                <w:szCs w:val="21"/>
              </w:rPr>
              <w:fldChar w:fldCharType="end"/>
            </w:r>
          </w:p>
        </w:tc>
        <w:tc>
          <w:tcPr>
            <w:tcW w:w="1761" w:type="dxa"/>
            <w:tcMar>
              <w:left w:w="28" w:type="dxa"/>
              <w:right w:w="28" w:type="dxa"/>
            </w:tcMar>
            <w:vAlign w:val="center"/>
          </w:tcPr>
          <w:p w14:paraId="244A657E">
            <w:pPr>
              <w:pStyle w:val="78"/>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063D16DC">
            <w:pPr>
              <w:pStyle w:val="78"/>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kern w:val="2"/>
                <w:szCs w:val="21"/>
              </w:rPr>
              <w:t>⑤</w:t>
            </w:r>
            <w:r>
              <w:rPr>
                <w:rFonts w:ascii="Times New Roman"/>
                <w:snapToGrid w:val="0"/>
                <w:color w:val="auto"/>
                <w:spacing w:val="-16"/>
                <w:kern w:val="21"/>
                <w:szCs w:val="21"/>
              </w:rPr>
              <w:fldChar w:fldCharType="end"/>
            </w:r>
          </w:p>
        </w:tc>
        <w:tc>
          <w:tcPr>
            <w:tcW w:w="1641" w:type="dxa"/>
            <w:tcMar>
              <w:left w:w="28" w:type="dxa"/>
              <w:right w:w="28" w:type="dxa"/>
            </w:tcMar>
            <w:vAlign w:val="center"/>
          </w:tcPr>
          <w:p w14:paraId="6BE4C348">
            <w:pPr>
              <w:pStyle w:val="78"/>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52CD4DEC">
            <w:pPr>
              <w:pStyle w:val="78"/>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kern w:val="2"/>
                <w:szCs w:val="21"/>
              </w:rPr>
              <w:t>⑥</w:t>
            </w:r>
            <w:r>
              <w:rPr>
                <w:rFonts w:ascii="Times New Roman"/>
                <w:snapToGrid w:val="0"/>
                <w:color w:val="auto"/>
                <w:spacing w:val="-16"/>
                <w:kern w:val="21"/>
                <w:szCs w:val="21"/>
              </w:rPr>
              <w:fldChar w:fldCharType="end"/>
            </w:r>
          </w:p>
        </w:tc>
        <w:tc>
          <w:tcPr>
            <w:tcW w:w="1144" w:type="dxa"/>
            <w:tcMar>
              <w:left w:w="28" w:type="dxa"/>
              <w:right w:w="28" w:type="dxa"/>
            </w:tcMar>
            <w:vAlign w:val="center"/>
          </w:tcPr>
          <w:p w14:paraId="42098CCF">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变化量</w:t>
            </w:r>
          </w:p>
          <w:p w14:paraId="670298C6">
            <w:pPr>
              <w:pStyle w:val="78"/>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kern w:val="2"/>
                <w:szCs w:val="21"/>
              </w:rPr>
              <w:t>⑦</w:t>
            </w:r>
            <w:r>
              <w:rPr>
                <w:rFonts w:ascii="Times New Roman"/>
                <w:snapToGrid w:val="0"/>
                <w:color w:val="auto"/>
                <w:spacing w:val="-6"/>
                <w:kern w:val="21"/>
                <w:szCs w:val="21"/>
              </w:rPr>
              <w:fldChar w:fldCharType="end"/>
            </w:r>
          </w:p>
        </w:tc>
      </w:tr>
      <w:tr w14:paraId="1B3B7F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628A033E">
            <w:pPr>
              <w:pStyle w:val="78"/>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487" w:type="dxa"/>
            <w:vAlign w:val="center"/>
          </w:tcPr>
          <w:p w14:paraId="08F5CA93">
            <w:pPr>
              <w:widowControl/>
              <w:jc w:val="center"/>
              <w:textAlignment w:val="center"/>
              <w:rPr>
                <w:snapToGrid w:val="0"/>
                <w:color w:val="auto"/>
                <w:kern w:val="21"/>
                <w:szCs w:val="21"/>
              </w:rPr>
            </w:pPr>
            <w:r>
              <w:rPr>
                <w:snapToGrid w:val="0"/>
                <w:color w:val="auto"/>
                <w:kern w:val="21"/>
                <w:szCs w:val="21"/>
              </w:rPr>
              <w:t>颗粒物</w:t>
            </w:r>
          </w:p>
        </w:tc>
        <w:tc>
          <w:tcPr>
            <w:tcW w:w="1631" w:type="dxa"/>
            <w:vAlign w:val="center"/>
          </w:tcPr>
          <w:p w14:paraId="2B046B72">
            <w:pPr>
              <w:widowControl/>
              <w:jc w:val="center"/>
              <w:textAlignment w:val="center"/>
              <w:rPr>
                <w:snapToGrid w:val="0"/>
                <w:color w:val="auto"/>
                <w:kern w:val="21"/>
                <w:szCs w:val="21"/>
              </w:rPr>
            </w:pPr>
          </w:p>
        </w:tc>
        <w:tc>
          <w:tcPr>
            <w:tcW w:w="1276" w:type="dxa"/>
            <w:vAlign w:val="center"/>
          </w:tcPr>
          <w:p w14:paraId="67C4EBA7">
            <w:pPr>
              <w:widowControl/>
              <w:jc w:val="center"/>
              <w:textAlignment w:val="center"/>
              <w:rPr>
                <w:snapToGrid w:val="0"/>
                <w:color w:val="auto"/>
                <w:kern w:val="21"/>
                <w:szCs w:val="21"/>
              </w:rPr>
            </w:pPr>
          </w:p>
        </w:tc>
        <w:tc>
          <w:tcPr>
            <w:tcW w:w="1701" w:type="dxa"/>
            <w:vAlign w:val="center"/>
          </w:tcPr>
          <w:p w14:paraId="4AA6D365">
            <w:pPr>
              <w:widowControl/>
              <w:jc w:val="center"/>
              <w:textAlignment w:val="center"/>
              <w:rPr>
                <w:snapToGrid w:val="0"/>
                <w:color w:val="auto"/>
                <w:kern w:val="21"/>
                <w:szCs w:val="21"/>
              </w:rPr>
            </w:pPr>
          </w:p>
        </w:tc>
        <w:tc>
          <w:tcPr>
            <w:tcW w:w="1559" w:type="dxa"/>
            <w:vAlign w:val="center"/>
          </w:tcPr>
          <w:p w14:paraId="678E8A72">
            <w:pPr>
              <w:widowControl/>
              <w:jc w:val="center"/>
              <w:textAlignment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0.898</w:t>
            </w:r>
          </w:p>
        </w:tc>
        <w:tc>
          <w:tcPr>
            <w:tcW w:w="1761" w:type="dxa"/>
            <w:vAlign w:val="center"/>
          </w:tcPr>
          <w:p w14:paraId="6FB6308F">
            <w:pPr>
              <w:jc w:val="center"/>
              <w:rPr>
                <w:snapToGrid w:val="0"/>
                <w:color w:val="auto"/>
                <w:kern w:val="21"/>
                <w:szCs w:val="21"/>
              </w:rPr>
            </w:pPr>
          </w:p>
        </w:tc>
        <w:tc>
          <w:tcPr>
            <w:tcW w:w="1641" w:type="dxa"/>
            <w:vAlign w:val="center"/>
          </w:tcPr>
          <w:p w14:paraId="58D04962">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lang w:val="en-US" w:eastAsia="zh-CN"/>
              </w:rPr>
              <w:t>0.898</w:t>
            </w:r>
          </w:p>
        </w:tc>
        <w:tc>
          <w:tcPr>
            <w:tcW w:w="1144" w:type="dxa"/>
            <w:vAlign w:val="center"/>
          </w:tcPr>
          <w:p w14:paraId="55F157AC">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lang w:val="en-US" w:eastAsia="zh-CN"/>
              </w:rPr>
              <w:t>+0.898</w:t>
            </w:r>
          </w:p>
        </w:tc>
      </w:tr>
      <w:tr w14:paraId="6E9353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6C21CE0">
            <w:pPr>
              <w:pStyle w:val="78"/>
              <w:spacing w:beforeLines="0" w:afterLines="0" w:line="240" w:lineRule="auto"/>
              <w:rPr>
                <w:rFonts w:ascii="Times New Roman"/>
                <w:snapToGrid w:val="0"/>
                <w:color w:val="auto"/>
                <w:kern w:val="21"/>
                <w:szCs w:val="21"/>
              </w:rPr>
            </w:pPr>
          </w:p>
        </w:tc>
        <w:tc>
          <w:tcPr>
            <w:tcW w:w="1487" w:type="dxa"/>
            <w:vAlign w:val="center"/>
          </w:tcPr>
          <w:p w14:paraId="145F0A3B">
            <w:pPr>
              <w:widowControl/>
              <w:jc w:val="center"/>
              <w:textAlignment w:val="center"/>
              <w:rPr>
                <w:snapToGrid w:val="0"/>
                <w:color w:val="auto"/>
                <w:kern w:val="21"/>
                <w:szCs w:val="21"/>
              </w:rPr>
            </w:pPr>
            <w:r>
              <w:rPr>
                <w:snapToGrid w:val="0"/>
                <w:color w:val="auto"/>
                <w:kern w:val="21"/>
                <w:szCs w:val="21"/>
              </w:rPr>
              <w:t>氯化氢</w:t>
            </w:r>
          </w:p>
        </w:tc>
        <w:tc>
          <w:tcPr>
            <w:tcW w:w="1631" w:type="dxa"/>
            <w:vAlign w:val="center"/>
          </w:tcPr>
          <w:p w14:paraId="79A75D4E">
            <w:pPr>
              <w:widowControl/>
              <w:jc w:val="center"/>
              <w:textAlignment w:val="center"/>
              <w:rPr>
                <w:snapToGrid w:val="0"/>
                <w:color w:val="auto"/>
                <w:kern w:val="21"/>
                <w:szCs w:val="21"/>
              </w:rPr>
            </w:pPr>
          </w:p>
        </w:tc>
        <w:tc>
          <w:tcPr>
            <w:tcW w:w="1276" w:type="dxa"/>
            <w:vAlign w:val="center"/>
          </w:tcPr>
          <w:p w14:paraId="328381DA">
            <w:pPr>
              <w:widowControl/>
              <w:jc w:val="center"/>
              <w:textAlignment w:val="center"/>
              <w:rPr>
                <w:snapToGrid w:val="0"/>
                <w:color w:val="auto"/>
                <w:kern w:val="21"/>
                <w:szCs w:val="21"/>
              </w:rPr>
            </w:pPr>
          </w:p>
        </w:tc>
        <w:tc>
          <w:tcPr>
            <w:tcW w:w="1701" w:type="dxa"/>
            <w:vAlign w:val="center"/>
          </w:tcPr>
          <w:p w14:paraId="67950280">
            <w:pPr>
              <w:widowControl/>
              <w:jc w:val="center"/>
              <w:textAlignment w:val="center"/>
              <w:rPr>
                <w:snapToGrid w:val="0"/>
                <w:color w:val="auto"/>
                <w:kern w:val="21"/>
                <w:szCs w:val="21"/>
              </w:rPr>
            </w:pPr>
          </w:p>
        </w:tc>
        <w:tc>
          <w:tcPr>
            <w:tcW w:w="1559" w:type="dxa"/>
            <w:vAlign w:val="center"/>
          </w:tcPr>
          <w:p w14:paraId="09EE0547">
            <w:pPr>
              <w:widowControl/>
              <w:jc w:val="center"/>
              <w:textAlignment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0.743</w:t>
            </w:r>
          </w:p>
        </w:tc>
        <w:tc>
          <w:tcPr>
            <w:tcW w:w="1761" w:type="dxa"/>
            <w:vAlign w:val="center"/>
          </w:tcPr>
          <w:p w14:paraId="3F8B3430">
            <w:pPr>
              <w:jc w:val="center"/>
              <w:rPr>
                <w:snapToGrid w:val="0"/>
                <w:color w:val="auto"/>
                <w:kern w:val="21"/>
                <w:szCs w:val="21"/>
              </w:rPr>
            </w:pPr>
          </w:p>
        </w:tc>
        <w:tc>
          <w:tcPr>
            <w:tcW w:w="1641" w:type="dxa"/>
            <w:vAlign w:val="center"/>
          </w:tcPr>
          <w:p w14:paraId="27BE0B72">
            <w:pPr>
              <w:widowControl/>
              <w:jc w:val="center"/>
              <w:textAlignment w:val="center"/>
              <w:rPr>
                <w:snapToGrid w:val="0"/>
                <w:color w:val="auto"/>
                <w:kern w:val="21"/>
                <w:szCs w:val="21"/>
              </w:rPr>
            </w:pPr>
            <w:r>
              <w:rPr>
                <w:rFonts w:hint="eastAsia"/>
                <w:snapToGrid w:val="0"/>
                <w:color w:val="auto"/>
                <w:kern w:val="21"/>
                <w:szCs w:val="21"/>
                <w:lang w:val="en-US" w:eastAsia="zh-CN"/>
              </w:rPr>
              <w:t>0.743</w:t>
            </w:r>
          </w:p>
        </w:tc>
        <w:tc>
          <w:tcPr>
            <w:tcW w:w="1144" w:type="dxa"/>
            <w:vAlign w:val="center"/>
          </w:tcPr>
          <w:p w14:paraId="017CAAFB">
            <w:pPr>
              <w:widowControl/>
              <w:jc w:val="center"/>
              <w:textAlignment w:val="center"/>
              <w:rPr>
                <w:snapToGrid w:val="0"/>
                <w:color w:val="auto"/>
                <w:kern w:val="21"/>
                <w:szCs w:val="21"/>
              </w:rPr>
            </w:pPr>
            <w:r>
              <w:rPr>
                <w:rFonts w:hint="eastAsia"/>
                <w:snapToGrid w:val="0"/>
                <w:color w:val="auto"/>
                <w:kern w:val="21"/>
                <w:szCs w:val="21"/>
                <w:lang w:val="en-US" w:eastAsia="zh-CN"/>
              </w:rPr>
              <w:t>+0.743</w:t>
            </w:r>
          </w:p>
        </w:tc>
      </w:tr>
      <w:tr w14:paraId="47B010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97E03D1">
            <w:pPr>
              <w:pStyle w:val="78"/>
              <w:spacing w:beforeLines="0" w:afterLines="0" w:line="240" w:lineRule="auto"/>
              <w:rPr>
                <w:rFonts w:ascii="Times New Roman"/>
                <w:snapToGrid w:val="0"/>
                <w:color w:val="auto"/>
                <w:kern w:val="21"/>
                <w:szCs w:val="21"/>
              </w:rPr>
            </w:pPr>
          </w:p>
        </w:tc>
        <w:tc>
          <w:tcPr>
            <w:tcW w:w="1487" w:type="dxa"/>
            <w:vAlign w:val="center"/>
          </w:tcPr>
          <w:p w14:paraId="0AA7EA53">
            <w:pPr>
              <w:widowControl/>
              <w:jc w:val="center"/>
              <w:textAlignment w:val="center"/>
              <w:rPr>
                <w:snapToGrid w:val="0"/>
                <w:color w:val="auto"/>
                <w:kern w:val="21"/>
                <w:szCs w:val="21"/>
              </w:rPr>
            </w:pPr>
            <w:r>
              <w:rPr>
                <w:snapToGrid w:val="0"/>
                <w:color w:val="auto"/>
                <w:kern w:val="21"/>
                <w:szCs w:val="21"/>
              </w:rPr>
              <w:t>氟化氢</w:t>
            </w:r>
          </w:p>
        </w:tc>
        <w:tc>
          <w:tcPr>
            <w:tcW w:w="1631" w:type="dxa"/>
            <w:vAlign w:val="center"/>
          </w:tcPr>
          <w:p w14:paraId="27BC41BC">
            <w:pPr>
              <w:widowControl/>
              <w:jc w:val="center"/>
              <w:textAlignment w:val="center"/>
              <w:rPr>
                <w:snapToGrid w:val="0"/>
                <w:color w:val="auto"/>
                <w:kern w:val="21"/>
                <w:szCs w:val="21"/>
              </w:rPr>
            </w:pPr>
          </w:p>
        </w:tc>
        <w:tc>
          <w:tcPr>
            <w:tcW w:w="1276" w:type="dxa"/>
            <w:vAlign w:val="center"/>
          </w:tcPr>
          <w:p w14:paraId="7EF94B69">
            <w:pPr>
              <w:widowControl/>
              <w:jc w:val="center"/>
              <w:textAlignment w:val="center"/>
              <w:rPr>
                <w:snapToGrid w:val="0"/>
                <w:color w:val="auto"/>
                <w:kern w:val="21"/>
                <w:szCs w:val="21"/>
              </w:rPr>
            </w:pPr>
          </w:p>
        </w:tc>
        <w:tc>
          <w:tcPr>
            <w:tcW w:w="1701" w:type="dxa"/>
            <w:vAlign w:val="center"/>
          </w:tcPr>
          <w:p w14:paraId="57A57766">
            <w:pPr>
              <w:widowControl/>
              <w:jc w:val="center"/>
              <w:textAlignment w:val="center"/>
              <w:rPr>
                <w:snapToGrid w:val="0"/>
                <w:color w:val="auto"/>
                <w:kern w:val="21"/>
                <w:szCs w:val="21"/>
              </w:rPr>
            </w:pPr>
          </w:p>
        </w:tc>
        <w:tc>
          <w:tcPr>
            <w:tcW w:w="1559" w:type="dxa"/>
            <w:vAlign w:val="center"/>
          </w:tcPr>
          <w:p w14:paraId="47998C81">
            <w:pPr>
              <w:widowControl/>
              <w:jc w:val="center"/>
              <w:textAlignment w:val="center"/>
              <w:rPr>
                <w:rFonts w:hint="eastAsia" w:eastAsia="宋体"/>
                <w:snapToGrid w:val="0"/>
                <w:color w:val="auto"/>
                <w:kern w:val="21"/>
                <w:szCs w:val="21"/>
                <w:lang w:eastAsia="zh-CN"/>
              </w:rPr>
            </w:pPr>
            <w:r>
              <w:rPr>
                <w:snapToGrid w:val="0"/>
                <w:color w:val="auto"/>
                <w:kern w:val="21"/>
                <w:szCs w:val="21"/>
              </w:rPr>
              <w:t>0.00</w:t>
            </w:r>
            <w:r>
              <w:rPr>
                <w:rFonts w:hint="eastAsia"/>
                <w:snapToGrid w:val="0"/>
                <w:color w:val="auto"/>
                <w:kern w:val="21"/>
                <w:szCs w:val="21"/>
                <w:lang w:val="en-US" w:eastAsia="zh-CN"/>
              </w:rPr>
              <w:t>3</w:t>
            </w:r>
          </w:p>
        </w:tc>
        <w:tc>
          <w:tcPr>
            <w:tcW w:w="1761" w:type="dxa"/>
            <w:vAlign w:val="center"/>
          </w:tcPr>
          <w:p w14:paraId="0752CFAC">
            <w:pPr>
              <w:jc w:val="center"/>
              <w:rPr>
                <w:snapToGrid w:val="0"/>
                <w:color w:val="auto"/>
                <w:kern w:val="21"/>
                <w:szCs w:val="21"/>
              </w:rPr>
            </w:pPr>
          </w:p>
        </w:tc>
        <w:tc>
          <w:tcPr>
            <w:tcW w:w="1641" w:type="dxa"/>
            <w:vAlign w:val="center"/>
          </w:tcPr>
          <w:p w14:paraId="28FAB270">
            <w:pPr>
              <w:widowControl/>
              <w:jc w:val="center"/>
              <w:textAlignment w:val="center"/>
              <w:rPr>
                <w:snapToGrid w:val="0"/>
                <w:color w:val="auto"/>
                <w:kern w:val="21"/>
                <w:szCs w:val="21"/>
              </w:rPr>
            </w:pPr>
            <w:r>
              <w:rPr>
                <w:snapToGrid w:val="0"/>
                <w:color w:val="auto"/>
                <w:kern w:val="21"/>
                <w:szCs w:val="21"/>
              </w:rPr>
              <w:t>0.00</w:t>
            </w:r>
            <w:r>
              <w:rPr>
                <w:rFonts w:hint="eastAsia"/>
                <w:snapToGrid w:val="0"/>
                <w:color w:val="auto"/>
                <w:kern w:val="21"/>
                <w:szCs w:val="21"/>
                <w:lang w:val="en-US" w:eastAsia="zh-CN"/>
              </w:rPr>
              <w:t>3</w:t>
            </w:r>
          </w:p>
        </w:tc>
        <w:tc>
          <w:tcPr>
            <w:tcW w:w="1144" w:type="dxa"/>
            <w:vAlign w:val="center"/>
          </w:tcPr>
          <w:p w14:paraId="3C724A01">
            <w:pPr>
              <w:widowControl/>
              <w:jc w:val="center"/>
              <w:textAlignment w:val="center"/>
              <w:rPr>
                <w:snapToGrid w:val="0"/>
                <w:color w:val="auto"/>
                <w:kern w:val="21"/>
                <w:szCs w:val="21"/>
              </w:rPr>
            </w:pPr>
            <w:r>
              <w:rPr>
                <w:rFonts w:hint="eastAsia"/>
                <w:snapToGrid w:val="0"/>
                <w:color w:val="auto"/>
                <w:kern w:val="21"/>
                <w:szCs w:val="21"/>
                <w:lang w:val="en-US" w:eastAsia="zh-CN"/>
              </w:rPr>
              <w:t>+</w:t>
            </w:r>
            <w:r>
              <w:rPr>
                <w:snapToGrid w:val="0"/>
                <w:color w:val="auto"/>
                <w:kern w:val="21"/>
                <w:szCs w:val="21"/>
              </w:rPr>
              <w:t>0.00</w:t>
            </w:r>
            <w:r>
              <w:rPr>
                <w:rFonts w:hint="eastAsia"/>
                <w:snapToGrid w:val="0"/>
                <w:color w:val="auto"/>
                <w:kern w:val="21"/>
                <w:szCs w:val="21"/>
                <w:lang w:val="en-US" w:eastAsia="zh-CN"/>
              </w:rPr>
              <w:t>3</w:t>
            </w:r>
          </w:p>
        </w:tc>
      </w:tr>
      <w:tr w14:paraId="1C8F5D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876942F">
            <w:pPr>
              <w:pStyle w:val="78"/>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p w14:paraId="1F29B4CC">
            <w:pPr>
              <w:pStyle w:val="78"/>
              <w:spacing w:beforeLines="0" w:afterLines="0" w:line="240" w:lineRule="auto"/>
              <w:rPr>
                <w:rFonts w:ascii="Times New Roman"/>
                <w:snapToGrid w:val="0"/>
                <w:color w:val="auto"/>
                <w:kern w:val="21"/>
                <w:szCs w:val="21"/>
              </w:rPr>
            </w:pPr>
            <w:r>
              <w:rPr>
                <w:rFonts w:ascii="Times New Roman"/>
                <w:snapToGrid w:val="0"/>
                <w:color w:val="auto"/>
                <w:kern w:val="21"/>
                <w:szCs w:val="21"/>
              </w:rPr>
              <w:t>（生产废水及生活污水）</w:t>
            </w:r>
          </w:p>
        </w:tc>
        <w:tc>
          <w:tcPr>
            <w:tcW w:w="1487" w:type="dxa"/>
            <w:vAlign w:val="center"/>
          </w:tcPr>
          <w:p w14:paraId="07724C96">
            <w:pPr>
              <w:widowControl/>
              <w:jc w:val="center"/>
              <w:textAlignment w:val="center"/>
              <w:rPr>
                <w:snapToGrid w:val="0"/>
                <w:color w:val="auto"/>
                <w:kern w:val="21"/>
                <w:szCs w:val="21"/>
              </w:rPr>
            </w:pPr>
            <w:r>
              <w:rPr>
                <w:snapToGrid w:val="0"/>
                <w:color w:val="auto"/>
                <w:kern w:val="21"/>
                <w:szCs w:val="21"/>
              </w:rPr>
              <w:t>废水量(吨/年)</w:t>
            </w:r>
          </w:p>
        </w:tc>
        <w:tc>
          <w:tcPr>
            <w:tcW w:w="1631" w:type="dxa"/>
            <w:vAlign w:val="center"/>
          </w:tcPr>
          <w:p w14:paraId="26B5F940">
            <w:pPr>
              <w:widowControl/>
              <w:jc w:val="center"/>
              <w:textAlignment w:val="center"/>
              <w:rPr>
                <w:snapToGrid w:val="0"/>
                <w:color w:val="auto"/>
                <w:kern w:val="21"/>
                <w:szCs w:val="21"/>
              </w:rPr>
            </w:pPr>
          </w:p>
        </w:tc>
        <w:tc>
          <w:tcPr>
            <w:tcW w:w="1276" w:type="dxa"/>
            <w:vAlign w:val="center"/>
          </w:tcPr>
          <w:p w14:paraId="23E225D5">
            <w:pPr>
              <w:widowControl/>
              <w:jc w:val="center"/>
              <w:textAlignment w:val="center"/>
              <w:rPr>
                <w:snapToGrid w:val="0"/>
                <w:color w:val="auto"/>
                <w:kern w:val="21"/>
                <w:szCs w:val="21"/>
              </w:rPr>
            </w:pPr>
          </w:p>
        </w:tc>
        <w:tc>
          <w:tcPr>
            <w:tcW w:w="1701" w:type="dxa"/>
            <w:vAlign w:val="center"/>
          </w:tcPr>
          <w:p w14:paraId="6949717A">
            <w:pPr>
              <w:widowControl/>
              <w:jc w:val="center"/>
              <w:textAlignment w:val="center"/>
              <w:rPr>
                <w:snapToGrid w:val="0"/>
                <w:color w:val="auto"/>
                <w:kern w:val="21"/>
                <w:szCs w:val="21"/>
              </w:rPr>
            </w:pPr>
          </w:p>
        </w:tc>
        <w:tc>
          <w:tcPr>
            <w:tcW w:w="1559" w:type="dxa"/>
            <w:vAlign w:val="center"/>
          </w:tcPr>
          <w:p w14:paraId="4EB1A47D">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lang w:eastAsia="zh-CN"/>
              </w:rPr>
              <w:t>20700</w:t>
            </w:r>
          </w:p>
        </w:tc>
        <w:tc>
          <w:tcPr>
            <w:tcW w:w="1761" w:type="dxa"/>
            <w:vAlign w:val="center"/>
          </w:tcPr>
          <w:p w14:paraId="30788481">
            <w:pPr>
              <w:jc w:val="center"/>
              <w:rPr>
                <w:snapToGrid w:val="0"/>
                <w:color w:val="auto"/>
                <w:kern w:val="21"/>
                <w:szCs w:val="21"/>
              </w:rPr>
            </w:pPr>
          </w:p>
        </w:tc>
        <w:tc>
          <w:tcPr>
            <w:tcW w:w="1641" w:type="dxa"/>
            <w:vAlign w:val="center"/>
          </w:tcPr>
          <w:p w14:paraId="173BA1B6">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lang w:eastAsia="zh-CN"/>
              </w:rPr>
              <w:t>20700</w:t>
            </w:r>
          </w:p>
        </w:tc>
        <w:tc>
          <w:tcPr>
            <w:tcW w:w="1144" w:type="dxa"/>
            <w:vAlign w:val="center"/>
          </w:tcPr>
          <w:p w14:paraId="19F91CFE">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rPr>
              <w:t>+</w:t>
            </w:r>
            <w:r>
              <w:rPr>
                <w:rFonts w:hint="eastAsia"/>
                <w:snapToGrid w:val="0"/>
                <w:color w:val="auto"/>
                <w:kern w:val="21"/>
                <w:szCs w:val="21"/>
                <w:lang w:eastAsia="zh-CN"/>
              </w:rPr>
              <w:t>20700</w:t>
            </w:r>
          </w:p>
        </w:tc>
      </w:tr>
      <w:tr w14:paraId="1BF8A5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E522E44">
            <w:pPr>
              <w:pStyle w:val="78"/>
              <w:spacing w:beforeLines="0" w:afterLines="0" w:line="240" w:lineRule="auto"/>
              <w:rPr>
                <w:rFonts w:ascii="Times New Roman"/>
                <w:snapToGrid w:val="0"/>
                <w:color w:val="auto"/>
                <w:kern w:val="21"/>
                <w:szCs w:val="21"/>
              </w:rPr>
            </w:pPr>
          </w:p>
        </w:tc>
        <w:tc>
          <w:tcPr>
            <w:tcW w:w="1487" w:type="dxa"/>
            <w:vAlign w:val="center"/>
          </w:tcPr>
          <w:p w14:paraId="22842E75">
            <w:pPr>
              <w:widowControl/>
              <w:jc w:val="center"/>
              <w:textAlignment w:val="center"/>
              <w:rPr>
                <w:snapToGrid w:val="0"/>
                <w:color w:val="auto"/>
                <w:kern w:val="21"/>
                <w:szCs w:val="21"/>
              </w:rPr>
            </w:pPr>
            <w:r>
              <w:rPr>
                <w:snapToGrid w:val="0"/>
                <w:color w:val="auto"/>
                <w:kern w:val="21"/>
                <w:szCs w:val="21"/>
              </w:rPr>
              <w:t>COD</w:t>
            </w:r>
          </w:p>
        </w:tc>
        <w:tc>
          <w:tcPr>
            <w:tcW w:w="1631" w:type="dxa"/>
            <w:vAlign w:val="center"/>
          </w:tcPr>
          <w:p w14:paraId="4AAD1550">
            <w:pPr>
              <w:widowControl/>
              <w:jc w:val="center"/>
              <w:textAlignment w:val="center"/>
              <w:rPr>
                <w:snapToGrid w:val="0"/>
                <w:color w:val="auto"/>
                <w:kern w:val="21"/>
                <w:szCs w:val="21"/>
              </w:rPr>
            </w:pPr>
          </w:p>
        </w:tc>
        <w:tc>
          <w:tcPr>
            <w:tcW w:w="1276" w:type="dxa"/>
            <w:vAlign w:val="center"/>
          </w:tcPr>
          <w:p w14:paraId="21D64750">
            <w:pPr>
              <w:widowControl/>
              <w:jc w:val="center"/>
              <w:textAlignment w:val="center"/>
              <w:rPr>
                <w:snapToGrid w:val="0"/>
                <w:color w:val="auto"/>
                <w:kern w:val="21"/>
                <w:szCs w:val="21"/>
              </w:rPr>
            </w:pPr>
          </w:p>
        </w:tc>
        <w:tc>
          <w:tcPr>
            <w:tcW w:w="1701" w:type="dxa"/>
            <w:vAlign w:val="center"/>
          </w:tcPr>
          <w:p w14:paraId="7173CBA9">
            <w:pPr>
              <w:widowControl/>
              <w:jc w:val="center"/>
              <w:textAlignment w:val="center"/>
              <w:rPr>
                <w:snapToGrid w:val="0"/>
                <w:color w:val="auto"/>
                <w:kern w:val="21"/>
                <w:szCs w:val="21"/>
              </w:rPr>
            </w:pPr>
          </w:p>
        </w:tc>
        <w:tc>
          <w:tcPr>
            <w:tcW w:w="1559" w:type="dxa"/>
            <w:vAlign w:val="center"/>
          </w:tcPr>
          <w:p w14:paraId="415BA057">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lang w:eastAsia="zh-CN"/>
              </w:rPr>
              <w:t>1.035</w:t>
            </w:r>
          </w:p>
        </w:tc>
        <w:tc>
          <w:tcPr>
            <w:tcW w:w="1761" w:type="dxa"/>
            <w:vAlign w:val="center"/>
          </w:tcPr>
          <w:p w14:paraId="60387625">
            <w:pPr>
              <w:jc w:val="center"/>
              <w:rPr>
                <w:snapToGrid w:val="0"/>
                <w:color w:val="auto"/>
                <w:kern w:val="21"/>
                <w:szCs w:val="21"/>
              </w:rPr>
            </w:pPr>
          </w:p>
        </w:tc>
        <w:tc>
          <w:tcPr>
            <w:tcW w:w="1641" w:type="dxa"/>
            <w:vAlign w:val="center"/>
          </w:tcPr>
          <w:p w14:paraId="68EE5951">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lang w:eastAsia="zh-CN"/>
              </w:rPr>
              <w:t>1.035</w:t>
            </w:r>
          </w:p>
        </w:tc>
        <w:tc>
          <w:tcPr>
            <w:tcW w:w="1144" w:type="dxa"/>
            <w:vAlign w:val="center"/>
          </w:tcPr>
          <w:p w14:paraId="662475AC">
            <w:pPr>
              <w:widowControl/>
              <w:jc w:val="center"/>
              <w:textAlignment w:val="center"/>
              <w:rPr>
                <w:rFonts w:hint="eastAsia" w:eastAsia="宋体"/>
                <w:snapToGrid w:val="0"/>
                <w:color w:val="auto"/>
                <w:kern w:val="21"/>
                <w:szCs w:val="21"/>
                <w:lang w:eastAsia="zh-CN"/>
              </w:rPr>
            </w:pPr>
            <w:r>
              <w:rPr>
                <w:rFonts w:hint="eastAsia"/>
                <w:snapToGrid w:val="0"/>
                <w:color w:val="auto"/>
                <w:kern w:val="21"/>
                <w:szCs w:val="21"/>
              </w:rPr>
              <w:t>+</w:t>
            </w:r>
            <w:r>
              <w:rPr>
                <w:rFonts w:hint="eastAsia"/>
                <w:snapToGrid w:val="0"/>
                <w:color w:val="auto"/>
                <w:kern w:val="21"/>
                <w:szCs w:val="21"/>
                <w:lang w:eastAsia="zh-CN"/>
              </w:rPr>
              <w:t>1.035</w:t>
            </w:r>
          </w:p>
        </w:tc>
      </w:tr>
      <w:tr w14:paraId="281351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00B09BD">
            <w:pPr>
              <w:pStyle w:val="78"/>
              <w:spacing w:beforeLines="0" w:afterLines="0" w:line="240" w:lineRule="auto"/>
              <w:rPr>
                <w:rFonts w:ascii="Times New Roman"/>
                <w:snapToGrid w:val="0"/>
                <w:color w:val="auto"/>
                <w:kern w:val="21"/>
                <w:szCs w:val="21"/>
              </w:rPr>
            </w:pPr>
          </w:p>
        </w:tc>
        <w:tc>
          <w:tcPr>
            <w:tcW w:w="1487" w:type="dxa"/>
            <w:vAlign w:val="center"/>
          </w:tcPr>
          <w:p w14:paraId="6558DA23">
            <w:pPr>
              <w:widowControl/>
              <w:jc w:val="center"/>
              <w:textAlignment w:val="center"/>
              <w:rPr>
                <w:snapToGrid w:val="0"/>
                <w:color w:val="auto"/>
                <w:kern w:val="21"/>
                <w:szCs w:val="21"/>
              </w:rPr>
            </w:pPr>
            <w:r>
              <w:rPr>
                <w:snapToGrid w:val="0"/>
                <w:color w:val="auto"/>
                <w:kern w:val="21"/>
                <w:szCs w:val="21"/>
              </w:rPr>
              <w:t>氨氮</w:t>
            </w:r>
          </w:p>
        </w:tc>
        <w:tc>
          <w:tcPr>
            <w:tcW w:w="1631" w:type="dxa"/>
            <w:vAlign w:val="center"/>
          </w:tcPr>
          <w:p w14:paraId="39D40EA5">
            <w:pPr>
              <w:widowControl/>
              <w:jc w:val="center"/>
              <w:textAlignment w:val="center"/>
              <w:rPr>
                <w:snapToGrid w:val="0"/>
                <w:color w:val="auto"/>
                <w:kern w:val="21"/>
                <w:szCs w:val="21"/>
              </w:rPr>
            </w:pPr>
          </w:p>
        </w:tc>
        <w:tc>
          <w:tcPr>
            <w:tcW w:w="1276" w:type="dxa"/>
            <w:vAlign w:val="center"/>
          </w:tcPr>
          <w:p w14:paraId="012B0006">
            <w:pPr>
              <w:widowControl/>
              <w:jc w:val="center"/>
              <w:textAlignment w:val="center"/>
              <w:rPr>
                <w:snapToGrid w:val="0"/>
                <w:color w:val="auto"/>
                <w:kern w:val="21"/>
                <w:szCs w:val="21"/>
              </w:rPr>
            </w:pPr>
          </w:p>
        </w:tc>
        <w:tc>
          <w:tcPr>
            <w:tcW w:w="1701" w:type="dxa"/>
            <w:vAlign w:val="center"/>
          </w:tcPr>
          <w:p w14:paraId="0D807D4D">
            <w:pPr>
              <w:widowControl/>
              <w:jc w:val="center"/>
              <w:textAlignment w:val="center"/>
              <w:rPr>
                <w:snapToGrid w:val="0"/>
                <w:color w:val="auto"/>
                <w:kern w:val="21"/>
                <w:szCs w:val="21"/>
              </w:rPr>
            </w:pPr>
          </w:p>
        </w:tc>
        <w:tc>
          <w:tcPr>
            <w:tcW w:w="1559" w:type="dxa"/>
            <w:vAlign w:val="center"/>
          </w:tcPr>
          <w:p w14:paraId="31F2D7AA">
            <w:pPr>
              <w:widowControl/>
              <w:jc w:val="center"/>
              <w:textAlignment w:val="center"/>
              <w:rPr>
                <w:snapToGrid w:val="0"/>
                <w:color w:val="auto"/>
                <w:kern w:val="21"/>
                <w:szCs w:val="21"/>
              </w:rPr>
            </w:pPr>
            <w:r>
              <w:rPr>
                <w:rFonts w:hint="eastAsia"/>
                <w:snapToGrid w:val="0"/>
                <w:color w:val="auto"/>
                <w:kern w:val="21"/>
                <w:szCs w:val="21"/>
                <w:lang w:eastAsia="zh-CN"/>
              </w:rPr>
              <w:t>0.104</w:t>
            </w:r>
            <w:r>
              <w:rPr>
                <w:snapToGrid w:val="0"/>
                <w:color w:val="auto"/>
                <w:kern w:val="21"/>
                <w:szCs w:val="21"/>
              </w:rPr>
              <w:t xml:space="preserve"> </w:t>
            </w:r>
          </w:p>
        </w:tc>
        <w:tc>
          <w:tcPr>
            <w:tcW w:w="1761" w:type="dxa"/>
            <w:vAlign w:val="center"/>
          </w:tcPr>
          <w:p w14:paraId="4FF4CFE3">
            <w:pPr>
              <w:jc w:val="center"/>
              <w:rPr>
                <w:snapToGrid w:val="0"/>
                <w:color w:val="auto"/>
                <w:kern w:val="21"/>
                <w:szCs w:val="21"/>
              </w:rPr>
            </w:pPr>
          </w:p>
        </w:tc>
        <w:tc>
          <w:tcPr>
            <w:tcW w:w="1641" w:type="dxa"/>
            <w:vAlign w:val="center"/>
          </w:tcPr>
          <w:p w14:paraId="1D59D0ED">
            <w:pPr>
              <w:widowControl/>
              <w:jc w:val="center"/>
              <w:textAlignment w:val="center"/>
              <w:rPr>
                <w:snapToGrid w:val="0"/>
                <w:color w:val="auto"/>
                <w:kern w:val="21"/>
                <w:szCs w:val="21"/>
              </w:rPr>
            </w:pPr>
            <w:r>
              <w:rPr>
                <w:rFonts w:hint="eastAsia"/>
                <w:snapToGrid w:val="0"/>
                <w:color w:val="auto"/>
                <w:kern w:val="21"/>
                <w:szCs w:val="21"/>
                <w:lang w:eastAsia="zh-CN"/>
              </w:rPr>
              <w:t>0.104</w:t>
            </w:r>
            <w:r>
              <w:rPr>
                <w:snapToGrid w:val="0"/>
                <w:color w:val="auto"/>
                <w:kern w:val="21"/>
                <w:szCs w:val="21"/>
              </w:rPr>
              <w:t xml:space="preserve"> </w:t>
            </w:r>
          </w:p>
        </w:tc>
        <w:tc>
          <w:tcPr>
            <w:tcW w:w="1144" w:type="dxa"/>
            <w:vAlign w:val="center"/>
          </w:tcPr>
          <w:p w14:paraId="477758B4">
            <w:pPr>
              <w:widowControl/>
              <w:jc w:val="center"/>
              <w:textAlignment w:val="center"/>
              <w:rPr>
                <w:snapToGrid w:val="0"/>
                <w:color w:val="auto"/>
                <w:kern w:val="21"/>
                <w:szCs w:val="21"/>
              </w:rPr>
            </w:pPr>
            <w:r>
              <w:rPr>
                <w:rFonts w:hint="eastAsia"/>
                <w:snapToGrid w:val="0"/>
                <w:color w:val="auto"/>
                <w:kern w:val="21"/>
                <w:szCs w:val="21"/>
              </w:rPr>
              <w:t>+</w:t>
            </w:r>
            <w:r>
              <w:rPr>
                <w:rFonts w:hint="eastAsia"/>
                <w:snapToGrid w:val="0"/>
                <w:color w:val="auto"/>
                <w:kern w:val="21"/>
                <w:szCs w:val="21"/>
                <w:lang w:eastAsia="zh-CN"/>
              </w:rPr>
              <w:t>0.104</w:t>
            </w:r>
            <w:r>
              <w:rPr>
                <w:snapToGrid w:val="0"/>
                <w:color w:val="auto"/>
                <w:kern w:val="21"/>
                <w:szCs w:val="21"/>
              </w:rPr>
              <w:t xml:space="preserve"> </w:t>
            </w:r>
          </w:p>
        </w:tc>
      </w:tr>
      <w:tr w14:paraId="55EBFA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3A317F6">
            <w:pPr>
              <w:pStyle w:val="78"/>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14:paraId="10594B5E">
            <w:pPr>
              <w:pStyle w:val="78"/>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487" w:type="dxa"/>
            <w:shd w:val="clear" w:color="auto" w:fill="auto"/>
            <w:vAlign w:val="center"/>
          </w:tcPr>
          <w:p w14:paraId="0E163886">
            <w:pPr>
              <w:widowControl/>
              <w:jc w:val="center"/>
              <w:textAlignment w:val="center"/>
              <w:rPr>
                <w:rFonts w:hint="eastAsia"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eastAsia="zh-CN"/>
              </w:rPr>
              <w:t>收集的粉尘及布袋</w:t>
            </w:r>
          </w:p>
        </w:tc>
        <w:tc>
          <w:tcPr>
            <w:tcW w:w="1631" w:type="dxa"/>
            <w:vAlign w:val="center"/>
          </w:tcPr>
          <w:p w14:paraId="7FEB06CE">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19832C75">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32BD2E96">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3AD99FD0">
            <w:pPr>
              <w:widowControl/>
              <w:jc w:val="center"/>
              <w:textAlignment w:val="center"/>
              <w:rPr>
                <w:rFonts w:hint="eastAsia"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0.59</w:t>
            </w:r>
          </w:p>
        </w:tc>
        <w:tc>
          <w:tcPr>
            <w:tcW w:w="1761" w:type="dxa"/>
            <w:vAlign w:val="center"/>
          </w:tcPr>
          <w:p w14:paraId="25B7CDFD">
            <w:pPr>
              <w:jc w:val="center"/>
              <w:rPr>
                <w:snapToGrid w:val="0"/>
                <w:color w:val="auto"/>
                <w:kern w:val="21"/>
                <w:szCs w:val="21"/>
              </w:rPr>
            </w:pPr>
          </w:p>
        </w:tc>
        <w:tc>
          <w:tcPr>
            <w:tcW w:w="1641" w:type="dxa"/>
            <w:vAlign w:val="center"/>
          </w:tcPr>
          <w:p w14:paraId="5E2DDAF5">
            <w:pPr>
              <w:widowControl/>
              <w:jc w:val="center"/>
              <w:textAlignment w:val="center"/>
              <w:rPr>
                <w:rFonts w:hint="eastAsia" w:eastAsia="宋体"/>
                <w:snapToGrid w:val="0"/>
                <w:color w:val="auto"/>
                <w:kern w:val="21"/>
                <w:szCs w:val="21"/>
                <w:lang w:eastAsia="zh-CN"/>
              </w:rPr>
            </w:pPr>
            <w:r>
              <w:rPr>
                <w:rFonts w:hint="eastAsia" w:cs="Times New Roman"/>
                <w:snapToGrid w:val="0"/>
                <w:color w:val="auto"/>
                <w:kern w:val="21"/>
                <w:szCs w:val="21"/>
                <w:lang w:val="en-US" w:eastAsia="zh-CN"/>
              </w:rPr>
              <w:t>0.59</w:t>
            </w:r>
          </w:p>
        </w:tc>
        <w:tc>
          <w:tcPr>
            <w:tcW w:w="1144" w:type="dxa"/>
            <w:vAlign w:val="center"/>
          </w:tcPr>
          <w:p w14:paraId="06A7C1C9">
            <w:pPr>
              <w:widowControl/>
              <w:jc w:val="center"/>
              <w:textAlignment w:val="center"/>
              <w:rPr>
                <w:rFonts w:hint="eastAsia" w:eastAsia="宋体"/>
                <w:snapToGrid w:val="0"/>
                <w:color w:val="auto"/>
                <w:kern w:val="21"/>
                <w:szCs w:val="21"/>
                <w:lang w:eastAsia="zh-CN"/>
              </w:rPr>
            </w:pPr>
            <w:r>
              <w:rPr>
                <w:rFonts w:hint="eastAsia" w:ascii="Times New Roman" w:hAnsi="Times New Roman" w:eastAsia="宋体" w:cs="Times New Roman"/>
                <w:snapToGrid w:val="0"/>
                <w:color w:val="auto"/>
                <w:kern w:val="21"/>
                <w:szCs w:val="21"/>
                <w:lang w:val="en-US" w:eastAsia="zh-CN"/>
              </w:rPr>
              <w:t>+</w:t>
            </w:r>
            <w:r>
              <w:rPr>
                <w:rFonts w:hint="eastAsia" w:cs="Times New Roman"/>
                <w:snapToGrid w:val="0"/>
                <w:color w:val="auto"/>
                <w:kern w:val="21"/>
                <w:szCs w:val="21"/>
                <w:lang w:val="en-US" w:eastAsia="zh-CN"/>
              </w:rPr>
              <w:t>0.59</w:t>
            </w:r>
          </w:p>
        </w:tc>
      </w:tr>
      <w:tr w14:paraId="622032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5826AF0">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68FB2AEA">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废膜</w:t>
            </w:r>
          </w:p>
        </w:tc>
        <w:tc>
          <w:tcPr>
            <w:tcW w:w="1631" w:type="dxa"/>
            <w:vAlign w:val="center"/>
          </w:tcPr>
          <w:p w14:paraId="7C15980E">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05DE1310">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74C33044">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52A94917">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0.05</w:t>
            </w:r>
          </w:p>
        </w:tc>
        <w:tc>
          <w:tcPr>
            <w:tcW w:w="1761" w:type="dxa"/>
            <w:vAlign w:val="center"/>
          </w:tcPr>
          <w:p w14:paraId="10CF4A0C">
            <w:pPr>
              <w:jc w:val="center"/>
              <w:rPr>
                <w:snapToGrid w:val="0"/>
                <w:color w:val="auto"/>
                <w:kern w:val="21"/>
                <w:szCs w:val="21"/>
                <w:highlight w:val="yellow"/>
              </w:rPr>
            </w:pPr>
          </w:p>
        </w:tc>
        <w:tc>
          <w:tcPr>
            <w:tcW w:w="1641" w:type="dxa"/>
            <w:vAlign w:val="center"/>
          </w:tcPr>
          <w:p w14:paraId="42017ED7">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0.05</w:t>
            </w:r>
          </w:p>
        </w:tc>
        <w:tc>
          <w:tcPr>
            <w:tcW w:w="1144" w:type="dxa"/>
            <w:vAlign w:val="center"/>
          </w:tcPr>
          <w:p w14:paraId="1B8CBADD">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0.05</w:t>
            </w:r>
          </w:p>
        </w:tc>
      </w:tr>
      <w:tr w14:paraId="24FDD3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815DF23">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5D628464">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废石英砂</w:t>
            </w:r>
          </w:p>
        </w:tc>
        <w:tc>
          <w:tcPr>
            <w:tcW w:w="1631" w:type="dxa"/>
            <w:vAlign w:val="center"/>
          </w:tcPr>
          <w:p w14:paraId="14FBBB6D">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4F31577A">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4B2246CB">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5DE06B52">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0.2</w:t>
            </w:r>
          </w:p>
        </w:tc>
        <w:tc>
          <w:tcPr>
            <w:tcW w:w="1761" w:type="dxa"/>
            <w:vAlign w:val="center"/>
          </w:tcPr>
          <w:p w14:paraId="0B81CCEF">
            <w:pPr>
              <w:jc w:val="center"/>
              <w:rPr>
                <w:snapToGrid w:val="0"/>
                <w:color w:val="auto"/>
                <w:kern w:val="21"/>
                <w:szCs w:val="21"/>
                <w:highlight w:val="yellow"/>
              </w:rPr>
            </w:pPr>
          </w:p>
        </w:tc>
        <w:tc>
          <w:tcPr>
            <w:tcW w:w="1641" w:type="dxa"/>
            <w:vAlign w:val="center"/>
          </w:tcPr>
          <w:p w14:paraId="7AC77358">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0.2</w:t>
            </w:r>
          </w:p>
        </w:tc>
        <w:tc>
          <w:tcPr>
            <w:tcW w:w="1144" w:type="dxa"/>
            <w:vAlign w:val="center"/>
          </w:tcPr>
          <w:p w14:paraId="6FC875FC">
            <w:pPr>
              <w:widowControl/>
              <w:jc w:val="center"/>
              <w:textAlignment w:val="center"/>
              <w:rPr>
                <w:rFonts w:hint="eastAsia"/>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0.2</w:t>
            </w:r>
          </w:p>
        </w:tc>
      </w:tr>
      <w:tr w14:paraId="685BC5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98CBA38">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7FBBE100">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废活性炭</w:t>
            </w:r>
          </w:p>
        </w:tc>
        <w:tc>
          <w:tcPr>
            <w:tcW w:w="1631" w:type="dxa"/>
            <w:vAlign w:val="center"/>
          </w:tcPr>
          <w:p w14:paraId="359F144F">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6775E048">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266069AF">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6DABF921">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0.1</w:t>
            </w:r>
          </w:p>
        </w:tc>
        <w:tc>
          <w:tcPr>
            <w:tcW w:w="1761" w:type="dxa"/>
            <w:vAlign w:val="center"/>
          </w:tcPr>
          <w:p w14:paraId="3148ACD9">
            <w:pPr>
              <w:jc w:val="center"/>
              <w:rPr>
                <w:snapToGrid w:val="0"/>
                <w:color w:val="auto"/>
                <w:kern w:val="21"/>
                <w:szCs w:val="21"/>
                <w:highlight w:val="yellow"/>
              </w:rPr>
            </w:pPr>
          </w:p>
        </w:tc>
        <w:tc>
          <w:tcPr>
            <w:tcW w:w="1641" w:type="dxa"/>
            <w:vAlign w:val="center"/>
          </w:tcPr>
          <w:p w14:paraId="7F4421FD">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0.1</w:t>
            </w:r>
          </w:p>
        </w:tc>
        <w:tc>
          <w:tcPr>
            <w:tcW w:w="1144" w:type="dxa"/>
            <w:vAlign w:val="center"/>
          </w:tcPr>
          <w:p w14:paraId="722C76A4">
            <w:pPr>
              <w:widowControl/>
              <w:jc w:val="center"/>
              <w:textAlignment w:val="center"/>
              <w:rPr>
                <w:rFonts w:hint="eastAsia"/>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0.1</w:t>
            </w:r>
          </w:p>
        </w:tc>
      </w:tr>
      <w:tr w14:paraId="6EFAB8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5BC531F">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7693CB90">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磁性物料</w:t>
            </w:r>
          </w:p>
        </w:tc>
        <w:tc>
          <w:tcPr>
            <w:tcW w:w="1631" w:type="dxa"/>
            <w:vAlign w:val="center"/>
          </w:tcPr>
          <w:p w14:paraId="4AFA36BC">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67A7C475">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2BB5DF34">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4CD502C7">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0.4</w:t>
            </w:r>
          </w:p>
        </w:tc>
        <w:tc>
          <w:tcPr>
            <w:tcW w:w="1761" w:type="dxa"/>
            <w:vAlign w:val="center"/>
          </w:tcPr>
          <w:p w14:paraId="6F8FC91C">
            <w:pPr>
              <w:jc w:val="center"/>
              <w:rPr>
                <w:snapToGrid w:val="0"/>
                <w:color w:val="auto"/>
                <w:kern w:val="21"/>
                <w:szCs w:val="21"/>
                <w:highlight w:val="yellow"/>
              </w:rPr>
            </w:pPr>
          </w:p>
        </w:tc>
        <w:tc>
          <w:tcPr>
            <w:tcW w:w="1641" w:type="dxa"/>
            <w:vAlign w:val="center"/>
          </w:tcPr>
          <w:p w14:paraId="1D5F1969">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0.4</w:t>
            </w:r>
          </w:p>
        </w:tc>
        <w:tc>
          <w:tcPr>
            <w:tcW w:w="1144" w:type="dxa"/>
            <w:vAlign w:val="center"/>
          </w:tcPr>
          <w:p w14:paraId="1FD9EE31">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0.4</w:t>
            </w:r>
          </w:p>
        </w:tc>
      </w:tr>
      <w:tr w14:paraId="1A6CC6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6F00FF8">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2BB8DCEF">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废矿砂</w:t>
            </w:r>
          </w:p>
        </w:tc>
        <w:tc>
          <w:tcPr>
            <w:tcW w:w="1631" w:type="dxa"/>
            <w:vAlign w:val="center"/>
          </w:tcPr>
          <w:p w14:paraId="3ECAB98D">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259EE144">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2B243BF3">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4F5B095F">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20</w:t>
            </w:r>
          </w:p>
        </w:tc>
        <w:tc>
          <w:tcPr>
            <w:tcW w:w="1761" w:type="dxa"/>
            <w:vAlign w:val="center"/>
          </w:tcPr>
          <w:p w14:paraId="668D4086">
            <w:pPr>
              <w:jc w:val="center"/>
              <w:rPr>
                <w:snapToGrid w:val="0"/>
                <w:color w:val="auto"/>
                <w:kern w:val="21"/>
                <w:szCs w:val="21"/>
                <w:highlight w:val="yellow"/>
              </w:rPr>
            </w:pPr>
          </w:p>
        </w:tc>
        <w:tc>
          <w:tcPr>
            <w:tcW w:w="1641" w:type="dxa"/>
            <w:vAlign w:val="center"/>
          </w:tcPr>
          <w:p w14:paraId="5A2529C9">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20</w:t>
            </w:r>
          </w:p>
        </w:tc>
        <w:tc>
          <w:tcPr>
            <w:tcW w:w="1144" w:type="dxa"/>
            <w:vAlign w:val="center"/>
          </w:tcPr>
          <w:p w14:paraId="1D2D39F4">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20</w:t>
            </w:r>
          </w:p>
        </w:tc>
      </w:tr>
      <w:tr w14:paraId="5D665A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8B88852">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4ECF384C">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废渣</w:t>
            </w:r>
          </w:p>
        </w:tc>
        <w:tc>
          <w:tcPr>
            <w:tcW w:w="1631" w:type="dxa"/>
            <w:vAlign w:val="center"/>
          </w:tcPr>
          <w:p w14:paraId="07906B04">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4F4FAA4F">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0CB18519">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3DACB0DB">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70</w:t>
            </w:r>
          </w:p>
        </w:tc>
        <w:tc>
          <w:tcPr>
            <w:tcW w:w="1761" w:type="dxa"/>
            <w:vAlign w:val="center"/>
          </w:tcPr>
          <w:p w14:paraId="4F524751">
            <w:pPr>
              <w:jc w:val="center"/>
              <w:rPr>
                <w:snapToGrid w:val="0"/>
                <w:color w:val="auto"/>
                <w:kern w:val="21"/>
                <w:szCs w:val="21"/>
                <w:highlight w:val="yellow"/>
              </w:rPr>
            </w:pPr>
          </w:p>
        </w:tc>
        <w:tc>
          <w:tcPr>
            <w:tcW w:w="1641" w:type="dxa"/>
            <w:vAlign w:val="center"/>
          </w:tcPr>
          <w:p w14:paraId="7EDEE45A">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70</w:t>
            </w:r>
          </w:p>
        </w:tc>
        <w:tc>
          <w:tcPr>
            <w:tcW w:w="1144" w:type="dxa"/>
            <w:vAlign w:val="center"/>
          </w:tcPr>
          <w:p w14:paraId="1F9CF2D1">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+70</w:t>
            </w:r>
          </w:p>
        </w:tc>
      </w:tr>
      <w:tr w14:paraId="4BA312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D0CA611">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7F04C330">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废滤材</w:t>
            </w:r>
          </w:p>
        </w:tc>
        <w:tc>
          <w:tcPr>
            <w:tcW w:w="1631" w:type="dxa"/>
            <w:vAlign w:val="center"/>
          </w:tcPr>
          <w:p w14:paraId="4EAA7991">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0D057044">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1D568430">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3290A3E0">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4</w:t>
            </w:r>
          </w:p>
        </w:tc>
        <w:tc>
          <w:tcPr>
            <w:tcW w:w="1761" w:type="dxa"/>
            <w:vAlign w:val="center"/>
          </w:tcPr>
          <w:p w14:paraId="3D3E379D">
            <w:pPr>
              <w:jc w:val="center"/>
              <w:rPr>
                <w:snapToGrid w:val="0"/>
                <w:color w:val="auto"/>
                <w:kern w:val="21"/>
                <w:szCs w:val="21"/>
                <w:highlight w:val="yellow"/>
              </w:rPr>
            </w:pPr>
          </w:p>
        </w:tc>
        <w:tc>
          <w:tcPr>
            <w:tcW w:w="1641" w:type="dxa"/>
            <w:vAlign w:val="center"/>
          </w:tcPr>
          <w:p w14:paraId="6633F8B8">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4</w:t>
            </w:r>
          </w:p>
        </w:tc>
        <w:tc>
          <w:tcPr>
            <w:tcW w:w="1144" w:type="dxa"/>
            <w:vAlign w:val="center"/>
          </w:tcPr>
          <w:p w14:paraId="25AA7AB7">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+4</w:t>
            </w:r>
          </w:p>
        </w:tc>
      </w:tr>
      <w:tr w14:paraId="50855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BD80897">
            <w:pPr>
              <w:pStyle w:val="78"/>
              <w:spacing w:before="24" w:after="24" w:line="240" w:lineRule="auto"/>
              <w:rPr>
                <w:rFonts w:ascii="Times New Roman"/>
                <w:snapToGrid w:val="0"/>
                <w:color w:val="auto"/>
                <w:kern w:val="21"/>
                <w:szCs w:val="21"/>
              </w:rPr>
            </w:pPr>
            <w:r>
              <w:rPr>
                <w:rFonts w:ascii="Times New Roman"/>
                <w:snapToGrid w:val="0"/>
                <w:color w:val="auto"/>
                <w:kern w:val="21"/>
                <w:szCs w:val="21"/>
              </w:rPr>
              <w:t>危险废物</w:t>
            </w:r>
          </w:p>
        </w:tc>
        <w:tc>
          <w:tcPr>
            <w:tcW w:w="1487" w:type="dxa"/>
            <w:shd w:val="clear" w:color="auto" w:fill="auto"/>
            <w:vAlign w:val="center"/>
          </w:tcPr>
          <w:p w14:paraId="223E1163">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废包装材料</w:t>
            </w:r>
          </w:p>
        </w:tc>
        <w:tc>
          <w:tcPr>
            <w:tcW w:w="1631" w:type="dxa"/>
            <w:vAlign w:val="center"/>
          </w:tcPr>
          <w:p w14:paraId="424417C1">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2F8913D7">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32DF8A92">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7E871979">
            <w:pPr>
              <w:widowControl/>
              <w:jc w:val="center"/>
              <w:textAlignment w:val="center"/>
              <w:rPr>
                <w:rFonts w:hint="eastAsia"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0.1</w:t>
            </w:r>
          </w:p>
        </w:tc>
        <w:tc>
          <w:tcPr>
            <w:tcW w:w="1761" w:type="dxa"/>
            <w:vAlign w:val="center"/>
          </w:tcPr>
          <w:p w14:paraId="1AA540CC">
            <w:pPr>
              <w:jc w:val="center"/>
              <w:rPr>
                <w:snapToGrid w:val="0"/>
                <w:color w:val="auto"/>
                <w:kern w:val="21"/>
                <w:szCs w:val="21"/>
                <w:highlight w:val="yellow"/>
              </w:rPr>
            </w:pPr>
          </w:p>
        </w:tc>
        <w:tc>
          <w:tcPr>
            <w:tcW w:w="1641" w:type="dxa"/>
            <w:vAlign w:val="center"/>
          </w:tcPr>
          <w:p w14:paraId="148D50D7">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0.1</w:t>
            </w:r>
          </w:p>
        </w:tc>
        <w:tc>
          <w:tcPr>
            <w:tcW w:w="1144" w:type="dxa"/>
            <w:vAlign w:val="center"/>
          </w:tcPr>
          <w:p w14:paraId="61F8FB3B">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0.1</w:t>
            </w:r>
          </w:p>
        </w:tc>
      </w:tr>
      <w:tr w14:paraId="72C2E4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94D1C0A">
            <w:pPr>
              <w:pStyle w:val="78"/>
              <w:spacing w:before="24" w:after="24" w:line="240" w:lineRule="auto"/>
              <w:rPr>
                <w:rFonts w:ascii="Times New Roman"/>
                <w:snapToGrid w:val="0"/>
                <w:color w:val="auto"/>
                <w:kern w:val="21"/>
                <w:szCs w:val="21"/>
              </w:rPr>
            </w:pPr>
          </w:p>
        </w:tc>
        <w:tc>
          <w:tcPr>
            <w:tcW w:w="1487" w:type="dxa"/>
            <w:shd w:val="clear" w:color="auto" w:fill="auto"/>
            <w:vAlign w:val="center"/>
          </w:tcPr>
          <w:p w14:paraId="3FF0B132">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废油桶</w:t>
            </w:r>
          </w:p>
        </w:tc>
        <w:tc>
          <w:tcPr>
            <w:tcW w:w="1631" w:type="dxa"/>
            <w:vAlign w:val="center"/>
          </w:tcPr>
          <w:p w14:paraId="547DE50D">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4AD44FD5">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3FB9EF19">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7D9FE7F0">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0.05</w:t>
            </w:r>
          </w:p>
        </w:tc>
        <w:tc>
          <w:tcPr>
            <w:tcW w:w="1761" w:type="dxa"/>
            <w:vAlign w:val="center"/>
          </w:tcPr>
          <w:p w14:paraId="3AA889BA">
            <w:pPr>
              <w:jc w:val="center"/>
              <w:rPr>
                <w:snapToGrid w:val="0"/>
                <w:color w:val="auto"/>
                <w:kern w:val="21"/>
                <w:szCs w:val="21"/>
                <w:highlight w:val="yellow"/>
              </w:rPr>
            </w:pPr>
          </w:p>
        </w:tc>
        <w:tc>
          <w:tcPr>
            <w:tcW w:w="1641" w:type="dxa"/>
            <w:vAlign w:val="center"/>
          </w:tcPr>
          <w:p w14:paraId="69FE2BD9">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0.05</w:t>
            </w:r>
          </w:p>
        </w:tc>
        <w:tc>
          <w:tcPr>
            <w:tcW w:w="1144" w:type="dxa"/>
            <w:vAlign w:val="center"/>
          </w:tcPr>
          <w:p w14:paraId="38419DB5">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0.05</w:t>
            </w:r>
          </w:p>
        </w:tc>
      </w:tr>
      <w:tr w14:paraId="0AD8FF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154D01C">
            <w:pPr>
              <w:pStyle w:val="78"/>
              <w:spacing w:before="24" w:after="24" w:line="240" w:lineRule="auto"/>
              <w:rPr>
                <w:rFonts w:ascii="Times New Roman"/>
                <w:snapToGrid w:val="0"/>
                <w:color w:val="auto"/>
                <w:kern w:val="21"/>
                <w:szCs w:val="21"/>
              </w:rPr>
            </w:pPr>
          </w:p>
        </w:tc>
        <w:tc>
          <w:tcPr>
            <w:tcW w:w="1487" w:type="dxa"/>
            <w:shd w:val="clear" w:color="auto" w:fill="auto"/>
            <w:vAlign w:val="center"/>
          </w:tcPr>
          <w:p w14:paraId="3FE68CE9">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过滤材料</w:t>
            </w:r>
          </w:p>
        </w:tc>
        <w:tc>
          <w:tcPr>
            <w:tcW w:w="1631" w:type="dxa"/>
            <w:vAlign w:val="center"/>
          </w:tcPr>
          <w:p w14:paraId="1C32C04B">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42F725D1">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788BFC17">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0AA0ACEF">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1</w:t>
            </w:r>
          </w:p>
        </w:tc>
        <w:tc>
          <w:tcPr>
            <w:tcW w:w="1761" w:type="dxa"/>
            <w:vAlign w:val="center"/>
          </w:tcPr>
          <w:p w14:paraId="29E19A56">
            <w:pPr>
              <w:jc w:val="center"/>
              <w:rPr>
                <w:snapToGrid w:val="0"/>
                <w:color w:val="auto"/>
                <w:kern w:val="21"/>
                <w:szCs w:val="21"/>
                <w:highlight w:val="yellow"/>
              </w:rPr>
            </w:pPr>
          </w:p>
        </w:tc>
        <w:tc>
          <w:tcPr>
            <w:tcW w:w="1641" w:type="dxa"/>
            <w:vAlign w:val="center"/>
          </w:tcPr>
          <w:p w14:paraId="045DA458">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1</w:t>
            </w:r>
          </w:p>
        </w:tc>
        <w:tc>
          <w:tcPr>
            <w:tcW w:w="1144" w:type="dxa"/>
            <w:vAlign w:val="center"/>
          </w:tcPr>
          <w:p w14:paraId="4F7D460A">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1</w:t>
            </w:r>
          </w:p>
        </w:tc>
      </w:tr>
      <w:tr w14:paraId="5F41F5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0422951">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3A35449E">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污泥</w:t>
            </w:r>
          </w:p>
        </w:tc>
        <w:tc>
          <w:tcPr>
            <w:tcW w:w="1631" w:type="dxa"/>
            <w:vAlign w:val="center"/>
          </w:tcPr>
          <w:p w14:paraId="531B4CF3">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3C7BCB7D">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34326C09">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38DF8305">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150</w:t>
            </w:r>
          </w:p>
        </w:tc>
        <w:tc>
          <w:tcPr>
            <w:tcW w:w="1761" w:type="dxa"/>
            <w:vAlign w:val="center"/>
          </w:tcPr>
          <w:p w14:paraId="15E6E321">
            <w:pPr>
              <w:jc w:val="center"/>
              <w:rPr>
                <w:snapToGrid w:val="0"/>
                <w:color w:val="auto"/>
                <w:kern w:val="21"/>
                <w:szCs w:val="21"/>
                <w:highlight w:val="yellow"/>
              </w:rPr>
            </w:pPr>
          </w:p>
        </w:tc>
        <w:tc>
          <w:tcPr>
            <w:tcW w:w="1641" w:type="dxa"/>
            <w:vAlign w:val="center"/>
          </w:tcPr>
          <w:p w14:paraId="378540C1">
            <w:pPr>
              <w:widowControl/>
              <w:jc w:val="center"/>
              <w:textAlignment w:val="center"/>
              <w:rPr>
                <w:rFonts w:hint="default" w:eastAsia="宋体"/>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150</w:t>
            </w:r>
          </w:p>
        </w:tc>
        <w:tc>
          <w:tcPr>
            <w:tcW w:w="1144" w:type="dxa"/>
            <w:vAlign w:val="center"/>
          </w:tcPr>
          <w:p w14:paraId="41725A45">
            <w:pPr>
              <w:widowControl/>
              <w:jc w:val="center"/>
              <w:textAlignment w:val="center"/>
              <w:rPr>
                <w:rFonts w:hint="default" w:eastAsia="宋体"/>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+150</w:t>
            </w:r>
          </w:p>
        </w:tc>
      </w:tr>
      <w:tr w14:paraId="0C7AC1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CDD65AA">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04B118E0">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废润滑油</w:t>
            </w:r>
          </w:p>
        </w:tc>
        <w:tc>
          <w:tcPr>
            <w:tcW w:w="1631" w:type="dxa"/>
            <w:vAlign w:val="center"/>
          </w:tcPr>
          <w:p w14:paraId="4EFB1C9A">
            <w:pPr>
              <w:widowControl/>
              <w:jc w:val="center"/>
              <w:textAlignment w:val="center"/>
              <w:rPr>
                <w:rFonts w:ascii="Times New Roman" w:hAnsi="Times New Roman" w:eastAsia="宋体" w:cs="Times New Roman"/>
                <w:snapToGrid w:val="0"/>
                <w:color w:val="auto"/>
                <w:kern w:val="21"/>
                <w:szCs w:val="21"/>
              </w:rPr>
            </w:pPr>
          </w:p>
        </w:tc>
        <w:tc>
          <w:tcPr>
            <w:tcW w:w="1276" w:type="dxa"/>
            <w:vAlign w:val="center"/>
          </w:tcPr>
          <w:p w14:paraId="270DB9A4">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4D57AE6D">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35F34417">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0.5</w:t>
            </w:r>
          </w:p>
        </w:tc>
        <w:tc>
          <w:tcPr>
            <w:tcW w:w="1761" w:type="dxa"/>
            <w:vAlign w:val="center"/>
          </w:tcPr>
          <w:p w14:paraId="1873DDE7">
            <w:pPr>
              <w:jc w:val="center"/>
              <w:rPr>
                <w:snapToGrid w:val="0"/>
                <w:color w:val="auto"/>
                <w:kern w:val="21"/>
                <w:szCs w:val="21"/>
                <w:highlight w:val="yellow"/>
              </w:rPr>
            </w:pPr>
          </w:p>
        </w:tc>
        <w:tc>
          <w:tcPr>
            <w:tcW w:w="1641" w:type="dxa"/>
            <w:vAlign w:val="center"/>
          </w:tcPr>
          <w:p w14:paraId="2C580590">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0.5</w:t>
            </w:r>
          </w:p>
        </w:tc>
        <w:tc>
          <w:tcPr>
            <w:tcW w:w="1144" w:type="dxa"/>
            <w:vAlign w:val="center"/>
          </w:tcPr>
          <w:p w14:paraId="2B1531E2">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0.5</w:t>
            </w:r>
          </w:p>
        </w:tc>
      </w:tr>
      <w:tr w14:paraId="28EA65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8FFE72C">
            <w:pPr>
              <w:pStyle w:val="78"/>
              <w:spacing w:beforeLines="0" w:afterLines="0" w:line="240" w:lineRule="auto"/>
              <w:rPr>
                <w:rFonts w:ascii="Times New Roman"/>
                <w:snapToGrid w:val="0"/>
                <w:color w:val="auto"/>
                <w:kern w:val="21"/>
                <w:szCs w:val="21"/>
              </w:rPr>
            </w:pPr>
          </w:p>
        </w:tc>
        <w:tc>
          <w:tcPr>
            <w:tcW w:w="1487" w:type="dxa"/>
            <w:tcBorders>
              <w:bottom w:val="single" w:color="auto" w:sz="4" w:space="0"/>
            </w:tcBorders>
            <w:shd w:val="clear" w:color="auto" w:fill="auto"/>
            <w:vAlign w:val="center"/>
          </w:tcPr>
          <w:p w14:paraId="0048B651">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废液压油</w:t>
            </w:r>
          </w:p>
        </w:tc>
        <w:tc>
          <w:tcPr>
            <w:tcW w:w="1631" w:type="dxa"/>
            <w:tcBorders>
              <w:bottom w:val="single" w:color="auto" w:sz="4" w:space="0"/>
            </w:tcBorders>
            <w:vAlign w:val="center"/>
          </w:tcPr>
          <w:p w14:paraId="3AE78325">
            <w:pPr>
              <w:widowControl/>
              <w:jc w:val="center"/>
              <w:textAlignment w:val="center"/>
              <w:rPr>
                <w:rFonts w:ascii="Times New Roman" w:hAnsi="Times New Roman" w:eastAsia="宋体" w:cs="Times New Roman"/>
                <w:snapToGrid w:val="0"/>
                <w:color w:val="auto"/>
                <w:kern w:val="21"/>
                <w:szCs w:val="21"/>
              </w:rPr>
            </w:pPr>
          </w:p>
        </w:tc>
        <w:tc>
          <w:tcPr>
            <w:tcW w:w="1276" w:type="dxa"/>
            <w:tcBorders>
              <w:bottom w:val="single" w:color="auto" w:sz="4" w:space="0"/>
            </w:tcBorders>
            <w:vAlign w:val="center"/>
          </w:tcPr>
          <w:p w14:paraId="19C41D3E">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697E504F">
            <w:pPr>
              <w:widowControl/>
              <w:jc w:val="center"/>
              <w:textAlignment w:val="center"/>
              <w:rPr>
                <w:rFonts w:ascii="Times New Roman" w:hAnsi="Times New Roman" w:eastAsia="宋体" w:cs="Times New Roman"/>
                <w:snapToGrid w:val="0"/>
                <w:color w:val="auto"/>
                <w:kern w:val="21"/>
                <w:szCs w:val="21"/>
              </w:rPr>
            </w:pPr>
          </w:p>
        </w:tc>
        <w:tc>
          <w:tcPr>
            <w:tcW w:w="1559" w:type="dxa"/>
            <w:tcBorders>
              <w:bottom w:val="single" w:color="auto" w:sz="4" w:space="0"/>
            </w:tcBorders>
            <w:shd w:val="clear" w:color="auto" w:fill="auto"/>
            <w:vAlign w:val="center"/>
          </w:tcPr>
          <w:p w14:paraId="578DF228">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0.5</w:t>
            </w:r>
          </w:p>
        </w:tc>
        <w:tc>
          <w:tcPr>
            <w:tcW w:w="1761" w:type="dxa"/>
            <w:tcBorders>
              <w:bottom w:val="single" w:color="auto" w:sz="4" w:space="0"/>
            </w:tcBorders>
            <w:vAlign w:val="center"/>
          </w:tcPr>
          <w:p w14:paraId="270E1B0F">
            <w:pPr>
              <w:jc w:val="center"/>
              <w:rPr>
                <w:snapToGrid w:val="0"/>
                <w:color w:val="auto"/>
                <w:kern w:val="21"/>
                <w:szCs w:val="21"/>
                <w:highlight w:val="yellow"/>
              </w:rPr>
            </w:pPr>
          </w:p>
        </w:tc>
        <w:tc>
          <w:tcPr>
            <w:tcW w:w="1641" w:type="dxa"/>
            <w:tcBorders>
              <w:bottom w:val="single" w:color="auto" w:sz="4" w:space="0"/>
            </w:tcBorders>
            <w:vAlign w:val="center"/>
          </w:tcPr>
          <w:p w14:paraId="10FDDC55">
            <w:pPr>
              <w:widowControl/>
              <w:jc w:val="center"/>
              <w:textAlignment w:val="center"/>
              <w:rPr>
                <w:snapToGrid w:val="0"/>
                <w:color w:val="auto"/>
                <w:kern w:val="21"/>
                <w:szCs w:val="21"/>
              </w:rPr>
            </w:pPr>
            <w:r>
              <w:rPr>
                <w:rFonts w:hint="default" w:ascii="Times New Roman" w:hAnsi="Times New Roman" w:eastAsia="宋体" w:cs="Times New Roman"/>
                <w:snapToGrid w:val="0"/>
                <w:color w:val="auto"/>
                <w:kern w:val="21"/>
                <w:szCs w:val="21"/>
              </w:rPr>
              <w:t>0.5</w:t>
            </w:r>
          </w:p>
        </w:tc>
        <w:tc>
          <w:tcPr>
            <w:tcW w:w="1144" w:type="dxa"/>
            <w:tcBorders>
              <w:bottom w:val="single" w:color="auto" w:sz="4" w:space="0"/>
            </w:tcBorders>
            <w:vAlign w:val="center"/>
          </w:tcPr>
          <w:p w14:paraId="34559340">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r>
              <w:rPr>
                <w:rFonts w:hint="default" w:ascii="Times New Roman" w:hAnsi="Times New Roman" w:eastAsia="宋体" w:cs="Times New Roman"/>
                <w:snapToGrid w:val="0"/>
                <w:color w:val="auto"/>
                <w:kern w:val="21"/>
                <w:szCs w:val="21"/>
              </w:rPr>
              <w:t>0.5</w:t>
            </w:r>
          </w:p>
        </w:tc>
      </w:tr>
      <w:tr w14:paraId="73B3D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F7A2488">
            <w:pPr>
              <w:pStyle w:val="78"/>
              <w:spacing w:beforeLines="0" w:afterLines="0" w:line="240" w:lineRule="auto"/>
              <w:rPr>
                <w:rFonts w:ascii="Times New Roman"/>
                <w:snapToGrid w:val="0"/>
                <w:color w:val="auto"/>
                <w:kern w:val="21"/>
                <w:szCs w:val="21"/>
              </w:rPr>
            </w:pPr>
          </w:p>
        </w:tc>
        <w:tc>
          <w:tcPr>
            <w:tcW w:w="1487" w:type="dxa"/>
            <w:tcBorders>
              <w:top w:val="single" w:color="auto" w:sz="4" w:space="0"/>
            </w:tcBorders>
            <w:shd w:val="clear" w:color="auto" w:fill="auto"/>
            <w:vAlign w:val="center"/>
          </w:tcPr>
          <w:p w14:paraId="710002F9">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废酸</w:t>
            </w:r>
          </w:p>
        </w:tc>
        <w:tc>
          <w:tcPr>
            <w:tcW w:w="1631" w:type="dxa"/>
            <w:tcBorders>
              <w:top w:val="single" w:color="auto" w:sz="4" w:space="0"/>
            </w:tcBorders>
            <w:vAlign w:val="center"/>
          </w:tcPr>
          <w:p w14:paraId="4DB417C3">
            <w:pPr>
              <w:widowControl/>
              <w:jc w:val="center"/>
              <w:textAlignment w:val="center"/>
              <w:rPr>
                <w:rFonts w:ascii="Times New Roman" w:hAnsi="Times New Roman" w:eastAsia="宋体" w:cs="Times New Roman"/>
                <w:snapToGrid w:val="0"/>
                <w:color w:val="auto"/>
                <w:kern w:val="21"/>
                <w:szCs w:val="21"/>
              </w:rPr>
            </w:pPr>
          </w:p>
        </w:tc>
        <w:tc>
          <w:tcPr>
            <w:tcW w:w="1276" w:type="dxa"/>
            <w:tcBorders>
              <w:top w:val="single" w:color="auto" w:sz="4" w:space="0"/>
            </w:tcBorders>
            <w:vAlign w:val="center"/>
          </w:tcPr>
          <w:p w14:paraId="5A0B297D">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1DD3B238">
            <w:pPr>
              <w:widowControl/>
              <w:jc w:val="center"/>
              <w:textAlignment w:val="center"/>
              <w:rPr>
                <w:rFonts w:ascii="Times New Roman" w:hAnsi="Times New Roman" w:eastAsia="宋体" w:cs="Times New Roman"/>
                <w:snapToGrid w:val="0"/>
                <w:color w:val="auto"/>
                <w:kern w:val="21"/>
                <w:szCs w:val="21"/>
              </w:rPr>
            </w:pPr>
          </w:p>
        </w:tc>
        <w:tc>
          <w:tcPr>
            <w:tcW w:w="1559" w:type="dxa"/>
            <w:tcBorders>
              <w:top w:val="single" w:color="auto" w:sz="4" w:space="0"/>
            </w:tcBorders>
            <w:shd w:val="clear" w:color="auto" w:fill="auto"/>
            <w:vAlign w:val="center"/>
          </w:tcPr>
          <w:p w14:paraId="1DA725E4">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928</w:t>
            </w:r>
          </w:p>
        </w:tc>
        <w:tc>
          <w:tcPr>
            <w:tcW w:w="1761" w:type="dxa"/>
            <w:tcBorders>
              <w:top w:val="single" w:color="auto" w:sz="4" w:space="0"/>
            </w:tcBorders>
            <w:vAlign w:val="center"/>
          </w:tcPr>
          <w:p w14:paraId="2D297A9A">
            <w:pPr>
              <w:jc w:val="center"/>
              <w:rPr>
                <w:snapToGrid w:val="0"/>
                <w:color w:val="auto"/>
                <w:kern w:val="21"/>
                <w:szCs w:val="21"/>
                <w:highlight w:val="yellow"/>
              </w:rPr>
            </w:pPr>
          </w:p>
        </w:tc>
        <w:tc>
          <w:tcPr>
            <w:tcW w:w="1641" w:type="dxa"/>
            <w:tcBorders>
              <w:top w:val="single" w:color="auto" w:sz="4" w:space="0"/>
            </w:tcBorders>
            <w:vAlign w:val="center"/>
          </w:tcPr>
          <w:p w14:paraId="4C64A1E3">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928</w:t>
            </w:r>
          </w:p>
        </w:tc>
        <w:tc>
          <w:tcPr>
            <w:tcW w:w="1144" w:type="dxa"/>
            <w:tcBorders>
              <w:top w:val="single" w:color="auto" w:sz="4" w:space="0"/>
            </w:tcBorders>
            <w:vAlign w:val="center"/>
          </w:tcPr>
          <w:p w14:paraId="1792A95E">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+928</w:t>
            </w:r>
          </w:p>
        </w:tc>
      </w:tr>
      <w:tr w14:paraId="39BF12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1E3C818">
            <w:pPr>
              <w:pStyle w:val="78"/>
              <w:spacing w:beforeLines="0" w:afterLines="0" w:line="240" w:lineRule="auto"/>
              <w:rPr>
                <w:rFonts w:ascii="Times New Roman"/>
                <w:snapToGrid w:val="0"/>
                <w:color w:val="auto"/>
                <w:kern w:val="21"/>
                <w:szCs w:val="21"/>
              </w:rPr>
            </w:pPr>
          </w:p>
        </w:tc>
        <w:tc>
          <w:tcPr>
            <w:tcW w:w="1487" w:type="dxa"/>
            <w:tcBorders>
              <w:top w:val="single" w:color="auto" w:sz="4" w:space="0"/>
            </w:tcBorders>
            <w:shd w:val="clear" w:color="auto" w:fill="auto"/>
            <w:vAlign w:val="center"/>
          </w:tcPr>
          <w:p w14:paraId="668BEA9F">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rPr>
              <w:t>废酸渣</w:t>
            </w:r>
          </w:p>
        </w:tc>
        <w:tc>
          <w:tcPr>
            <w:tcW w:w="1631" w:type="dxa"/>
            <w:tcBorders>
              <w:top w:val="single" w:color="auto" w:sz="4" w:space="0"/>
            </w:tcBorders>
            <w:vAlign w:val="center"/>
          </w:tcPr>
          <w:p w14:paraId="33C93C64">
            <w:pPr>
              <w:widowControl/>
              <w:jc w:val="center"/>
              <w:textAlignment w:val="center"/>
              <w:rPr>
                <w:rFonts w:ascii="Times New Roman" w:hAnsi="Times New Roman" w:eastAsia="宋体" w:cs="Times New Roman"/>
                <w:snapToGrid w:val="0"/>
                <w:color w:val="auto"/>
                <w:kern w:val="21"/>
                <w:szCs w:val="21"/>
              </w:rPr>
            </w:pPr>
          </w:p>
        </w:tc>
        <w:tc>
          <w:tcPr>
            <w:tcW w:w="1276" w:type="dxa"/>
            <w:tcBorders>
              <w:top w:val="single" w:color="auto" w:sz="4" w:space="0"/>
            </w:tcBorders>
            <w:vAlign w:val="center"/>
          </w:tcPr>
          <w:p w14:paraId="36F23073">
            <w:pPr>
              <w:widowControl/>
              <w:jc w:val="center"/>
              <w:textAlignment w:val="center"/>
              <w:rPr>
                <w:rFonts w:ascii="Times New Roman" w:hAnsi="Times New Roman" w:eastAsia="宋体" w:cs="Times New Roman"/>
                <w:snapToGrid w:val="0"/>
                <w:color w:val="auto"/>
                <w:kern w:val="21"/>
                <w:szCs w:val="21"/>
              </w:rPr>
            </w:pPr>
          </w:p>
        </w:tc>
        <w:tc>
          <w:tcPr>
            <w:tcW w:w="1701" w:type="dxa"/>
            <w:vAlign w:val="center"/>
          </w:tcPr>
          <w:p w14:paraId="3053E768">
            <w:pPr>
              <w:widowControl/>
              <w:jc w:val="center"/>
              <w:textAlignment w:val="center"/>
              <w:rPr>
                <w:rFonts w:ascii="Times New Roman" w:hAnsi="Times New Roman" w:eastAsia="宋体" w:cs="Times New Roman"/>
                <w:snapToGrid w:val="0"/>
                <w:color w:val="auto"/>
                <w:kern w:val="21"/>
                <w:szCs w:val="21"/>
              </w:rPr>
            </w:pPr>
          </w:p>
        </w:tc>
        <w:tc>
          <w:tcPr>
            <w:tcW w:w="1559" w:type="dxa"/>
            <w:tcBorders>
              <w:top w:val="single" w:color="auto" w:sz="4" w:space="0"/>
            </w:tcBorders>
            <w:shd w:val="clear" w:color="auto" w:fill="auto"/>
            <w:vAlign w:val="center"/>
          </w:tcPr>
          <w:p w14:paraId="5B268221">
            <w:pPr>
              <w:widowControl/>
              <w:jc w:val="center"/>
              <w:textAlignment w:val="center"/>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20</w:t>
            </w:r>
          </w:p>
        </w:tc>
        <w:tc>
          <w:tcPr>
            <w:tcW w:w="1761" w:type="dxa"/>
            <w:tcBorders>
              <w:top w:val="single" w:color="auto" w:sz="4" w:space="0"/>
            </w:tcBorders>
            <w:vAlign w:val="center"/>
          </w:tcPr>
          <w:p w14:paraId="084189CB">
            <w:pPr>
              <w:jc w:val="center"/>
              <w:rPr>
                <w:snapToGrid w:val="0"/>
                <w:color w:val="auto"/>
                <w:kern w:val="21"/>
                <w:szCs w:val="21"/>
                <w:highlight w:val="yellow"/>
              </w:rPr>
            </w:pPr>
          </w:p>
        </w:tc>
        <w:tc>
          <w:tcPr>
            <w:tcW w:w="1641" w:type="dxa"/>
            <w:tcBorders>
              <w:top w:val="single" w:color="auto" w:sz="4" w:space="0"/>
            </w:tcBorders>
            <w:vAlign w:val="center"/>
          </w:tcPr>
          <w:p w14:paraId="5ADE36E1">
            <w:pPr>
              <w:widowControl/>
              <w:jc w:val="center"/>
              <w:textAlignment w:val="center"/>
              <w:rPr>
                <w:rFonts w:hint="eastAsia"/>
                <w:snapToGrid w:val="0"/>
                <w:color w:val="auto"/>
                <w:kern w:val="21"/>
                <w:szCs w:val="21"/>
              </w:rPr>
            </w:pPr>
            <w:r>
              <w:rPr>
                <w:rFonts w:hint="eastAsia" w:ascii="Times New Roman" w:hAnsi="Times New Roman" w:eastAsia="宋体" w:cs="Times New Roman"/>
                <w:snapToGrid w:val="0"/>
                <w:color w:val="auto"/>
                <w:kern w:val="21"/>
                <w:szCs w:val="21"/>
                <w:lang w:val="en-US" w:eastAsia="zh-CN"/>
              </w:rPr>
              <w:t>20</w:t>
            </w:r>
          </w:p>
        </w:tc>
        <w:tc>
          <w:tcPr>
            <w:tcW w:w="1144" w:type="dxa"/>
            <w:tcBorders>
              <w:top w:val="single" w:color="auto" w:sz="4" w:space="0"/>
            </w:tcBorders>
            <w:vAlign w:val="center"/>
          </w:tcPr>
          <w:p w14:paraId="61BB6D5B">
            <w:pPr>
              <w:widowControl/>
              <w:jc w:val="center"/>
              <w:textAlignment w:val="center"/>
              <w:rPr>
                <w:rFonts w:hint="eastAsia"/>
                <w:snapToGrid w:val="0"/>
                <w:color w:val="auto"/>
                <w:kern w:val="21"/>
                <w:szCs w:val="21"/>
              </w:rPr>
            </w:pPr>
            <w:r>
              <w:rPr>
                <w:rFonts w:hint="eastAsia" w:ascii="Times New Roman" w:hAnsi="Times New Roman" w:eastAsia="宋体" w:cs="Times New Roman"/>
                <w:snapToGrid w:val="0"/>
                <w:color w:val="auto"/>
                <w:kern w:val="21"/>
                <w:szCs w:val="21"/>
                <w:lang w:val="en-US" w:eastAsia="zh-CN"/>
              </w:rPr>
              <w:t>+20</w:t>
            </w:r>
          </w:p>
        </w:tc>
      </w:tr>
      <w:tr w14:paraId="0AA0F0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Pr>
          <w:p w14:paraId="1591A22A">
            <w:pPr>
              <w:pStyle w:val="78"/>
              <w:spacing w:beforeLines="0" w:afterLines="0" w:line="240" w:lineRule="auto"/>
              <w:rPr>
                <w:rFonts w:ascii="Times New Roman"/>
                <w:snapToGrid w:val="0"/>
                <w:color w:val="auto"/>
                <w:kern w:val="21"/>
                <w:szCs w:val="21"/>
              </w:rPr>
            </w:pPr>
          </w:p>
        </w:tc>
        <w:tc>
          <w:tcPr>
            <w:tcW w:w="1487" w:type="dxa"/>
            <w:shd w:val="clear" w:color="auto" w:fill="auto"/>
            <w:vAlign w:val="center"/>
          </w:tcPr>
          <w:p w14:paraId="35AA6BB2">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再生废液</w:t>
            </w:r>
          </w:p>
        </w:tc>
        <w:tc>
          <w:tcPr>
            <w:tcW w:w="1631" w:type="dxa"/>
          </w:tcPr>
          <w:p w14:paraId="720A0862">
            <w:pPr>
              <w:widowControl/>
              <w:jc w:val="center"/>
              <w:textAlignment w:val="center"/>
              <w:rPr>
                <w:rFonts w:ascii="Times New Roman" w:hAnsi="Times New Roman" w:eastAsia="宋体" w:cs="Times New Roman"/>
                <w:snapToGrid w:val="0"/>
                <w:color w:val="auto"/>
                <w:kern w:val="21"/>
                <w:szCs w:val="21"/>
              </w:rPr>
            </w:pPr>
          </w:p>
        </w:tc>
        <w:tc>
          <w:tcPr>
            <w:tcW w:w="1276" w:type="dxa"/>
          </w:tcPr>
          <w:p w14:paraId="769359D9">
            <w:pPr>
              <w:widowControl/>
              <w:jc w:val="center"/>
              <w:textAlignment w:val="center"/>
              <w:rPr>
                <w:rFonts w:ascii="Times New Roman" w:hAnsi="Times New Roman" w:eastAsia="宋体" w:cs="Times New Roman"/>
                <w:snapToGrid w:val="0"/>
                <w:color w:val="auto"/>
                <w:kern w:val="21"/>
                <w:szCs w:val="21"/>
              </w:rPr>
            </w:pPr>
          </w:p>
        </w:tc>
        <w:tc>
          <w:tcPr>
            <w:tcW w:w="1701" w:type="dxa"/>
          </w:tcPr>
          <w:p w14:paraId="782F8C58">
            <w:pPr>
              <w:widowControl/>
              <w:jc w:val="center"/>
              <w:textAlignment w:val="center"/>
              <w:rPr>
                <w:rFonts w:ascii="Times New Roman" w:hAnsi="Times New Roman" w:eastAsia="宋体" w:cs="Times New Roman"/>
                <w:snapToGrid w:val="0"/>
                <w:color w:val="auto"/>
                <w:kern w:val="21"/>
                <w:szCs w:val="21"/>
              </w:rPr>
            </w:pPr>
          </w:p>
        </w:tc>
        <w:tc>
          <w:tcPr>
            <w:tcW w:w="1559" w:type="dxa"/>
            <w:shd w:val="clear" w:color="auto" w:fill="auto"/>
            <w:vAlign w:val="center"/>
          </w:tcPr>
          <w:p w14:paraId="6617305C">
            <w:pPr>
              <w:widowControl/>
              <w:jc w:val="center"/>
              <w:textAlignment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1</w:t>
            </w:r>
          </w:p>
        </w:tc>
        <w:tc>
          <w:tcPr>
            <w:tcW w:w="1761" w:type="dxa"/>
          </w:tcPr>
          <w:p w14:paraId="092B1E0F">
            <w:pPr>
              <w:jc w:val="center"/>
              <w:rPr>
                <w:snapToGrid w:val="0"/>
                <w:color w:val="auto"/>
                <w:kern w:val="21"/>
                <w:szCs w:val="21"/>
                <w:highlight w:val="yellow"/>
              </w:rPr>
            </w:pPr>
          </w:p>
        </w:tc>
        <w:tc>
          <w:tcPr>
            <w:tcW w:w="1641" w:type="dxa"/>
            <w:vAlign w:val="center"/>
          </w:tcPr>
          <w:p w14:paraId="47EA1E2F">
            <w:pPr>
              <w:widowControl/>
              <w:jc w:val="center"/>
              <w:textAlignment w:val="center"/>
              <w:rPr>
                <w:snapToGrid w:val="0"/>
                <w:color w:val="auto"/>
                <w:kern w:val="21"/>
                <w:szCs w:val="21"/>
                <w:highlight w:val="yellow"/>
              </w:rPr>
            </w:pPr>
            <w:r>
              <w:rPr>
                <w:rFonts w:hint="eastAsia" w:ascii="Times New Roman" w:hAnsi="Times New Roman" w:eastAsia="宋体" w:cs="Times New Roman"/>
                <w:snapToGrid w:val="0"/>
                <w:color w:val="auto"/>
                <w:kern w:val="21"/>
                <w:szCs w:val="21"/>
                <w:lang w:val="en-US" w:eastAsia="zh-CN"/>
              </w:rPr>
              <w:t>1</w:t>
            </w:r>
          </w:p>
        </w:tc>
        <w:tc>
          <w:tcPr>
            <w:tcW w:w="1144" w:type="dxa"/>
            <w:vAlign w:val="center"/>
          </w:tcPr>
          <w:p w14:paraId="34975AD5">
            <w:pPr>
              <w:widowControl/>
              <w:jc w:val="center"/>
              <w:textAlignment w:val="center"/>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+1</w:t>
            </w:r>
          </w:p>
        </w:tc>
      </w:tr>
    </w:tbl>
    <w:p w14:paraId="2148EC0B">
      <w:pPr>
        <w:pStyle w:val="78"/>
        <w:spacing w:beforeLines="80" w:after="24"/>
        <w:jc w:val="left"/>
        <w:rPr>
          <w:rFonts w:ascii="Times New Roman"/>
          <w:color w:val="auto"/>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sectPr>
      <w:pgSz w:w="16838" w:h="11905" w:orient="landscape"/>
      <w:pgMar w:top="1531" w:right="1701" w:bottom="1531" w:left="1701" w:header="851" w:footer="850"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moder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6D8CDE">
    <w:pPr>
      <w:pStyle w:val="22"/>
      <w:ind w:right="360"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90668B">
    <w:pPr>
      <w:pStyle w:val="22"/>
      <w:jc w:val="center"/>
    </w:pPr>
    <w:r>
      <mc:AlternateContent>
        <mc:Choice Requires="wps">
          <w:drawing>
            <wp:anchor distT="0" distB="0" distL="114300" distR="114300" simplePos="0" relativeHeight="251661312" behindDoc="0" locked="0" layoutInCell="1" allowOverlap="1">
              <wp:simplePos x="0" y="0"/>
              <wp:positionH relativeFrom="margin">
                <wp:posOffset>2750820</wp:posOffset>
              </wp:positionH>
              <wp:positionV relativeFrom="paragraph">
                <wp:posOffset>0</wp:posOffset>
              </wp:positionV>
              <wp:extent cx="268605" cy="1828800"/>
              <wp:effectExtent l="0" t="0" r="0" b="0"/>
              <wp:wrapNone/>
              <wp:docPr id="2" name="文本框 3"/>
              <wp:cNvGraphicFramePr/>
              <a:graphic xmlns:a="http://schemas.openxmlformats.org/drawingml/2006/main">
                <a:graphicData uri="http://schemas.microsoft.com/office/word/2010/wordprocessingShape">
                  <wps:wsp>
                    <wps:cNvSpPr txBox="1"/>
                    <wps:spPr>
                      <a:xfrm>
                        <a:off x="0" y="0"/>
                        <a:ext cx="268605" cy="1828800"/>
                      </a:xfrm>
                      <a:prstGeom prst="rect">
                        <a:avLst/>
                      </a:prstGeom>
                      <a:noFill/>
                      <a:ln>
                        <a:noFill/>
                      </a:ln>
                    </wps:spPr>
                    <wps:txbx>
                      <w:txbxContent>
                        <w:p w14:paraId="2058FBBA">
                          <w:pPr>
                            <w:pStyle w:val="22"/>
                          </w:pPr>
                          <w:r>
                            <w:fldChar w:fldCharType="begin"/>
                          </w:r>
                          <w:r>
                            <w:instrText xml:space="preserve"> PAGE  \* MERGEFORMAT </w:instrText>
                          </w:r>
                          <w:r>
                            <w:fldChar w:fldCharType="separate"/>
                          </w:r>
                          <w:r>
                            <w:t>123</w:t>
                          </w:r>
                          <w:r>
                            <w:fldChar w:fldCharType="end"/>
                          </w:r>
                        </w:p>
                      </w:txbxContent>
                    </wps:txbx>
                    <wps:bodyPr wrap="square" lIns="0" tIns="0" rIns="0" bIns="0" upright="1">
                      <a:spAutoFit/>
                    </wps:bodyPr>
                  </wps:wsp>
                </a:graphicData>
              </a:graphic>
            </wp:anchor>
          </w:drawing>
        </mc:Choice>
        <mc:Fallback>
          <w:pict>
            <v:shape id="文本框 3" o:spid="_x0000_s1026" o:spt="202" type="#_x0000_t202" style="position:absolute;left:0pt;margin-left:216.6pt;margin-top:0pt;height:144pt;width:21.15pt;mso-position-horizontal-relative:margin;z-index:251661312;mso-width-relative:page;mso-height-relative:page;" filled="f" stroked="f" coordsize="21600,21600" o:gfxdata="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4bglk9YAAAAIAQAADwAAAAAAAAABACAAAAAiAAAA&#10;ZHJzL2Rvd25yZXYueG1sUEsBAhQAFAAAAAgAh07iQFHpKV7QAQAAmgMAAA4AAAAAAAAAAQAgAAAA&#10;JQEAAGRycy9lMm9Eb2MueG1sUEsFBgAAAAAGAAYAWQEAAGcFAAAAAA==&#10;">
              <v:fill on="f" focussize="0,0"/>
              <v:stroke on="f"/>
              <v:imagedata o:title=""/>
              <o:lock v:ext="edit" aspectratio="f"/>
              <v:textbox inset="0mm,0mm,0mm,0mm" style="mso-fit-shape-to-text:t;">
                <w:txbxContent>
                  <w:p w14:paraId="2058FBBA">
                    <w:pPr>
                      <w:pStyle w:val="22"/>
                    </w:pPr>
                    <w:r>
                      <w:fldChar w:fldCharType="begin"/>
                    </w:r>
                    <w:r>
                      <w:instrText xml:space="preserve"> PAGE  \* MERGEFORMAT </w:instrText>
                    </w:r>
                    <w:r>
                      <w:fldChar w:fldCharType="separate"/>
                    </w:r>
                    <w:r>
                      <w:t>123</w:t>
                    </w:r>
                    <w:r>
                      <w:fldChar w:fldCharType="end"/>
                    </w:r>
                  </w:p>
                </w:txbxContent>
              </v:textbox>
            </v:shape>
          </w:pict>
        </mc:Fallback>
      </mc:AlternateContent>
    </w:r>
  </w:p>
  <w:p w14:paraId="55114A97">
    <w:pPr>
      <w:pStyle w:val="22"/>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2A4343"/>
    <w:multiLevelType w:val="singleLevel"/>
    <w:tmpl w:val="8C2A4343"/>
    <w:lvl w:ilvl="0" w:tentative="0">
      <w:start w:val="1"/>
      <w:numFmt w:val="decimal"/>
      <w:suff w:val="nothing"/>
      <w:lvlText w:val="%1、"/>
      <w:lvlJc w:val="left"/>
    </w:lvl>
  </w:abstractNum>
  <w:abstractNum w:abstractNumId="1">
    <w:nsid w:val="15F5F2BB"/>
    <w:multiLevelType w:val="singleLevel"/>
    <w:tmpl w:val="15F5F2BB"/>
    <w:lvl w:ilvl="0" w:tentative="0">
      <w:start w:val="1"/>
      <w:numFmt w:val="decimal"/>
      <w:suff w:val="nothing"/>
      <w:lvlText w:val="%1、"/>
      <w:lvlJc w:val="left"/>
    </w:lvl>
  </w:abstractNum>
  <w:abstractNum w:abstractNumId="2">
    <w:nsid w:val="6FAC7C87"/>
    <w:multiLevelType w:val="singleLevel"/>
    <w:tmpl w:val="6FAC7C87"/>
    <w:lvl w:ilvl="0" w:tentative="0">
      <w:start w:val="1"/>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2"/>
  <w:displayBackgroundShape w:val="1"/>
  <w:bordersDoNotSurroundHeader w:val="0"/>
  <w:bordersDoNotSurroundFooter w:val="0"/>
  <w:hideSpellingErrors/>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YzNjBkOTgyNWQ1YTMxYzM3MzMwNWFiODNmOWIzYWMifQ=="/>
    <w:docVar w:name="KSO_WPS_MARK_KEY" w:val="06658193-fbae-41e0-8bed-9fca06fabe9b"/>
  </w:docVars>
  <w:rsids>
    <w:rsidRoot w:val="00172A27"/>
    <w:rsid w:val="00000106"/>
    <w:rsid w:val="00000AEF"/>
    <w:rsid w:val="000010B6"/>
    <w:rsid w:val="0000325A"/>
    <w:rsid w:val="000051D4"/>
    <w:rsid w:val="00005337"/>
    <w:rsid w:val="00005E32"/>
    <w:rsid w:val="000060B3"/>
    <w:rsid w:val="000065D7"/>
    <w:rsid w:val="00010A44"/>
    <w:rsid w:val="0001236B"/>
    <w:rsid w:val="00012C4D"/>
    <w:rsid w:val="00013712"/>
    <w:rsid w:val="00014610"/>
    <w:rsid w:val="00016699"/>
    <w:rsid w:val="0001695D"/>
    <w:rsid w:val="00017B18"/>
    <w:rsid w:val="00023D98"/>
    <w:rsid w:val="0002524D"/>
    <w:rsid w:val="00026324"/>
    <w:rsid w:val="000313D5"/>
    <w:rsid w:val="000331B1"/>
    <w:rsid w:val="00033B9B"/>
    <w:rsid w:val="0003403C"/>
    <w:rsid w:val="00035378"/>
    <w:rsid w:val="000363C6"/>
    <w:rsid w:val="000365B5"/>
    <w:rsid w:val="000374A0"/>
    <w:rsid w:val="00037517"/>
    <w:rsid w:val="00037AF7"/>
    <w:rsid w:val="0004277E"/>
    <w:rsid w:val="00042D7E"/>
    <w:rsid w:val="0004364B"/>
    <w:rsid w:val="000456B7"/>
    <w:rsid w:val="000473BD"/>
    <w:rsid w:val="00047989"/>
    <w:rsid w:val="000518B8"/>
    <w:rsid w:val="00051D5D"/>
    <w:rsid w:val="00051F3C"/>
    <w:rsid w:val="000520D8"/>
    <w:rsid w:val="000548EF"/>
    <w:rsid w:val="00054F00"/>
    <w:rsid w:val="000552AF"/>
    <w:rsid w:val="00056EDD"/>
    <w:rsid w:val="0005706C"/>
    <w:rsid w:val="000573F5"/>
    <w:rsid w:val="00057567"/>
    <w:rsid w:val="00057E28"/>
    <w:rsid w:val="00061B1F"/>
    <w:rsid w:val="00062528"/>
    <w:rsid w:val="00065640"/>
    <w:rsid w:val="00065A72"/>
    <w:rsid w:val="00070F1F"/>
    <w:rsid w:val="00071510"/>
    <w:rsid w:val="000716F5"/>
    <w:rsid w:val="00071CD9"/>
    <w:rsid w:val="000727E8"/>
    <w:rsid w:val="000733C4"/>
    <w:rsid w:val="00074783"/>
    <w:rsid w:val="00075190"/>
    <w:rsid w:val="000776C2"/>
    <w:rsid w:val="00077A2A"/>
    <w:rsid w:val="0008070B"/>
    <w:rsid w:val="000810AC"/>
    <w:rsid w:val="00081A02"/>
    <w:rsid w:val="00082231"/>
    <w:rsid w:val="00083F50"/>
    <w:rsid w:val="000851A5"/>
    <w:rsid w:val="000852CE"/>
    <w:rsid w:val="00085849"/>
    <w:rsid w:val="0008622F"/>
    <w:rsid w:val="00086BA4"/>
    <w:rsid w:val="000902C4"/>
    <w:rsid w:val="00091246"/>
    <w:rsid w:val="00092120"/>
    <w:rsid w:val="00092D38"/>
    <w:rsid w:val="00092F82"/>
    <w:rsid w:val="0009377B"/>
    <w:rsid w:val="00094D43"/>
    <w:rsid w:val="00095CEE"/>
    <w:rsid w:val="00097386"/>
    <w:rsid w:val="000A0198"/>
    <w:rsid w:val="000A1776"/>
    <w:rsid w:val="000A1D3B"/>
    <w:rsid w:val="000A20C9"/>
    <w:rsid w:val="000A34AE"/>
    <w:rsid w:val="000A5B1E"/>
    <w:rsid w:val="000A65D6"/>
    <w:rsid w:val="000A6698"/>
    <w:rsid w:val="000A6D66"/>
    <w:rsid w:val="000B058F"/>
    <w:rsid w:val="000B2DEE"/>
    <w:rsid w:val="000B4467"/>
    <w:rsid w:val="000B4DB9"/>
    <w:rsid w:val="000B70B5"/>
    <w:rsid w:val="000B7597"/>
    <w:rsid w:val="000B7D8E"/>
    <w:rsid w:val="000C009A"/>
    <w:rsid w:val="000C09AC"/>
    <w:rsid w:val="000C4062"/>
    <w:rsid w:val="000C455C"/>
    <w:rsid w:val="000C46E7"/>
    <w:rsid w:val="000C6B9F"/>
    <w:rsid w:val="000C767F"/>
    <w:rsid w:val="000D01EA"/>
    <w:rsid w:val="000D300F"/>
    <w:rsid w:val="000D3753"/>
    <w:rsid w:val="000D5A44"/>
    <w:rsid w:val="000D5B7D"/>
    <w:rsid w:val="000D5FF0"/>
    <w:rsid w:val="000D767A"/>
    <w:rsid w:val="000E1D82"/>
    <w:rsid w:val="000E1E26"/>
    <w:rsid w:val="000E2AE8"/>
    <w:rsid w:val="000E2B56"/>
    <w:rsid w:val="000E36AD"/>
    <w:rsid w:val="000E3844"/>
    <w:rsid w:val="000E3ED2"/>
    <w:rsid w:val="000E45E6"/>
    <w:rsid w:val="000E5E7B"/>
    <w:rsid w:val="000E6C27"/>
    <w:rsid w:val="000E73C9"/>
    <w:rsid w:val="000F0A5E"/>
    <w:rsid w:val="000F18FF"/>
    <w:rsid w:val="000F2750"/>
    <w:rsid w:val="000F2A6F"/>
    <w:rsid w:val="000F385B"/>
    <w:rsid w:val="000F42C6"/>
    <w:rsid w:val="000F68A0"/>
    <w:rsid w:val="000F7412"/>
    <w:rsid w:val="00101890"/>
    <w:rsid w:val="0010308D"/>
    <w:rsid w:val="00103147"/>
    <w:rsid w:val="001044F6"/>
    <w:rsid w:val="00106CB3"/>
    <w:rsid w:val="00112236"/>
    <w:rsid w:val="00112244"/>
    <w:rsid w:val="00114442"/>
    <w:rsid w:val="001155E2"/>
    <w:rsid w:val="00122257"/>
    <w:rsid w:val="0012288F"/>
    <w:rsid w:val="00122ADE"/>
    <w:rsid w:val="00122AE8"/>
    <w:rsid w:val="001236E6"/>
    <w:rsid w:val="00124692"/>
    <w:rsid w:val="00125D11"/>
    <w:rsid w:val="00125E11"/>
    <w:rsid w:val="00126175"/>
    <w:rsid w:val="00126AA4"/>
    <w:rsid w:val="00131F42"/>
    <w:rsid w:val="0013267A"/>
    <w:rsid w:val="001338F9"/>
    <w:rsid w:val="00133F90"/>
    <w:rsid w:val="001357F1"/>
    <w:rsid w:val="00135933"/>
    <w:rsid w:val="00137698"/>
    <w:rsid w:val="00140FA8"/>
    <w:rsid w:val="001420F1"/>
    <w:rsid w:val="00142FEB"/>
    <w:rsid w:val="0014326D"/>
    <w:rsid w:val="00143A2D"/>
    <w:rsid w:val="00144F10"/>
    <w:rsid w:val="00145A41"/>
    <w:rsid w:val="00147A51"/>
    <w:rsid w:val="00150360"/>
    <w:rsid w:val="00150F9D"/>
    <w:rsid w:val="00151125"/>
    <w:rsid w:val="00151675"/>
    <w:rsid w:val="0015336F"/>
    <w:rsid w:val="001544CF"/>
    <w:rsid w:val="00156C17"/>
    <w:rsid w:val="00157435"/>
    <w:rsid w:val="00157F47"/>
    <w:rsid w:val="00161FD0"/>
    <w:rsid w:val="00162216"/>
    <w:rsid w:val="00163305"/>
    <w:rsid w:val="001635AA"/>
    <w:rsid w:val="00167356"/>
    <w:rsid w:val="001700C3"/>
    <w:rsid w:val="00170495"/>
    <w:rsid w:val="001706C2"/>
    <w:rsid w:val="00171107"/>
    <w:rsid w:val="00171E17"/>
    <w:rsid w:val="001743B3"/>
    <w:rsid w:val="0017504D"/>
    <w:rsid w:val="0017671A"/>
    <w:rsid w:val="00176788"/>
    <w:rsid w:val="001768EB"/>
    <w:rsid w:val="00176D52"/>
    <w:rsid w:val="00177422"/>
    <w:rsid w:val="00182F09"/>
    <w:rsid w:val="001841F4"/>
    <w:rsid w:val="00184590"/>
    <w:rsid w:val="00184BBE"/>
    <w:rsid w:val="001863E2"/>
    <w:rsid w:val="001870D1"/>
    <w:rsid w:val="0018781E"/>
    <w:rsid w:val="00187920"/>
    <w:rsid w:val="00191508"/>
    <w:rsid w:val="00191CC1"/>
    <w:rsid w:val="001925F3"/>
    <w:rsid w:val="0019262D"/>
    <w:rsid w:val="0019348C"/>
    <w:rsid w:val="0019558D"/>
    <w:rsid w:val="0019774F"/>
    <w:rsid w:val="00197CF8"/>
    <w:rsid w:val="001A1B35"/>
    <w:rsid w:val="001A2BFE"/>
    <w:rsid w:val="001A36CA"/>
    <w:rsid w:val="001A3841"/>
    <w:rsid w:val="001A3B5F"/>
    <w:rsid w:val="001A48A2"/>
    <w:rsid w:val="001A597B"/>
    <w:rsid w:val="001A5C3F"/>
    <w:rsid w:val="001A6225"/>
    <w:rsid w:val="001A6CD5"/>
    <w:rsid w:val="001A6F61"/>
    <w:rsid w:val="001B3FF2"/>
    <w:rsid w:val="001B476A"/>
    <w:rsid w:val="001B6E7F"/>
    <w:rsid w:val="001B6EFC"/>
    <w:rsid w:val="001B72B8"/>
    <w:rsid w:val="001C001F"/>
    <w:rsid w:val="001C0257"/>
    <w:rsid w:val="001C1B0C"/>
    <w:rsid w:val="001C2FC7"/>
    <w:rsid w:val="001C4094"/>
    <w:rsid w:val="001C601F"/>
    <w:rsid w:val="001C69B3"/>
    <w:rsid w:val="001D10C6"/>
    <w:rsid w:val="001D1DB5"/>
    <w:rsid w:val="001D22F8"/>
    <w:rsid w:val="001D2576"/>
    <w:rsid w:val="001D2E3E"/>
    <w:rsid w:val="001D31C5"/>
    <w:rsid w:val="001D453A"/>
    <w:rsid w:val="001D5595"/>
    <w:rsid w:val="001D5CD6"/>
    <w:rsid w:val="001D6E24"/>
    <w:rsid w:val="001D7874"/>
    <w:rsid w:val="001D7F22"/>
    <w:rsid w:val="001E0024"/>
    <w:rsid w:val="001E018C"/>
    <w:rsid w:val="001E1C9B"/>
    <w:rsid w:val="001E29FD"/>
    <w:rsid w:val="001E33C4"/>
    <w:rsid w:val="001E5E70"/>
    <w:rsid w:val="001F0BA1"/>
    <w:rsid w:val="001F0F17"/>
    <w:rsid w:val="001F2858"/>
    <w:rsid w:val="001F2DD6"/>
    <w:rsid w:val="001F3347"/>
    <w:rsid w:val="001F485E"/>
    <w:rsid w:val="001F4D41"/>
    <w:rsid w:val="001F55D8"/>
    <w:rsid w:val="001F5D85"/>
    <w:rsid w:val="001F69E4"/>
    <w:rsid w:val="001F6D35"/>
    <w:rsid w:val="001F74E2"/>
    <w:rsid w:val="00200A4F"/>
    <w:rsid w:val="00200EBE"/>
    <w:rsid w:val="00205524"/>
    <w:rsid w:val="002075EF"/>
    <w:rsid w:val="002076E5"/>
    <w:rsid w:val="0021057D"/>
    <w:rsid w:val="002125B4"/>
    <w:rsid w:val="002128F8"/>
    <w:rsid w:val="00212C99"/>
    <w:rsid w:val="00212E22"/>
    <w:rsid w:val="00212FE4"/>
    <w:rsid w:val="002143B0"/>
    <w:rsid w:val="002155B8"/>
    <w:rsid w:val="00215835"/>
    <w:rsid w:val="002163A2"/>
    <w:rsid w:val="0021665B"/>
    <w:rsid w:val="00224839"/>
    <w:rsid w:val="002249B2"/>
    <w:rsid w:val="00226574"/>
    <w:rsid w:val="00226673"/>
    <w:rsid w:val="002269EF"/>
    <w:rsid w:val="002278EC"/>
    <w:rsid w:val="0023172E"/>
    <w:rsid w:val="00231A17"/>
    <w:rsid w:val="00232137"/>
    <w:rsid w:val="00232510"/>
    <w:rsid w:val="0023280E"/>
    <w:rsid w:val="00232C47"/>
    <w:rsid w:val="00233509"/>
    <w:rsid w:val="00233C55"/>
    <w:rsid w:val="0023482E"/>
    <w:rsid w:val="00235443"/>
    <w:rsid w:val="00235B66"/>
    <w:rsid w:val="00236A5B"/>
    <w:rsid w:val="002377D1"/>
    <w:rsid w:val="0024253F"/>
    <w:rsid w:val="00244C53"/>
    <w:rsid w:val="0024510A"/>
    <w:rsid w:val="00245624"/>
    <w:rsid w:val="00247D7B"/>
    <w:rsid w:val="002506BC"/>
    <w:rsid w:val="00250D76"/>
    <w:rsid w:val="00251099"/>
    <w:rsid w:val="00252436"/>
    <w:rsid w:val="00254345"/>
    <w:rsid w:val="00255C6C"/>
    <w:rsid w:val="00255EB7"/>
    <w:rsid w:val="00255F2D"/>
    <w:rsid w:val="0025610C"/>
    <w:rsid w:val="00257721"/>
    <w:rsid w:val="00261804"/>
    <w:rsid w:val="002619D0"/>
    <w:rsid w:val="00264557"/>
    <w:rsid w:val="00265BD4"/>
    <w:rsid w:val="00265FF9"/>
    <w:rsid w:val="0026728C"/>
    <w:rsid w:val="00270229"/>
    <w:rsid w:val="002735D1"/>
    <w:rsid w:val="002741BA"/>
    <w:rsid w:val="00276257"/>
    <w:rsid w:val="00277B2F"/>
    <w:rsid w:val="002805AB"/>
    <w:rsid w:val="00280964"/>
    <w:rsid w:val="002826D6"/>
    <w:rsid w:val="00284204"/>
    <w:rsid w:val="00284B23"/>
    <w:rsid w:val="00291773"/>
    <w:rsid w:val="00291C49"/>
    <w:rsid w:val="00292076"/>
    <w:rsid w:val="00292A4C"/>
    <w:rsid w:val="00293CB5"/>
    <w:rsid w:val="00294AC4"/>
    <w:rsid w:val="00296436"/>
    <w:rsid w:val="002A090C"/>
    <w:rsid w:val="002A168C"/>
    <w:rsid w:val="002A34F3"/>
    <w:rsid w:val="002A3DC7"/>
    <w:rsid w:val="002A40FC"/>
    <w:rsid w:val="002A4C08"/>
    <w:rsid w:val="002A535A"/>
    <w:rsid w:val="002A648D"/>
    <w:rsid w:val="002A75A1"/>
    <w:rsid w:val="002A7FA9"/>
    <w:rsid w:val="002B0F6B"/>
    <w:rsid w:val="002B25A6"/>
    <w:rsid w:val="002B4732"/>
    <w:rsid w:val="002B490A"/>
    <w:rsid w:val="002B497C"/>
    <w:rsid w:val="002B49E2"/>
    <w:rsid w:val="002B4EBD"/>
    <w:rsid w:val="002B6444"/>
    <w:rsid w:val="002B7B00"/>
    <w:rsid w:val="002B7C44"/>
    <w:rsid w:val="002C0CF7"/>
    <w:rsid w:val="002C1861"/>
    <w:rsid w:val="002C2014"/>
    <w:rsid w:val="002C2B17"/>
    <w:rsid w:val="002C327F"/>
    <w:rsid w:val="002C5971"/>
    <w:rsid w:val="002C65FA"/>
    <w:rsid w:val="002C7EC2"/>
    <w:rsid w:val="002D00F8"/>
    <w:rsid w:val="002D1B08"/>
    <w:rsid w:val="002D1C71"/>
    <w:rsid w:val="002D292B"/>
    <w:rsid w:val="002D2D07"/>
    <w:rsid w:val="002D399C"/>
    <w:rsid w:val="002D3DD0"/>
    <w:rsid w:val="002D54DC"/>
    <w:rsid w:val="002D6666"/>
    <w:rsid w:val="002D6F98"/>
    <w:rsid w:val="002E055E"/>
    <w:rsid w:val="002E1F3A"/>
    <w:rsid w:val="002E20D6"/>
    <w:rsid w:val="002E298A"/>
    <w:rsid w:val="002E441E"/>
    <w:rsid w:val="002E48FC"/>
    <w:rsid w:val="002E4D4D"/>
    <w:rsid w:val="002E57E6"/>
    <w:rsid w:val="002E60FA"/>
    <w:rsid w:val="002E684C"/>
    <w:rsid w:val="002E7715"/>
    <w:rsid w:val="002E7A59"/>
    <w:rsid w:val="002F00F8"/>
    <w:rsid w:val="002F1806"/>
    <w:rsid w:val="002F187A"/>
    <w:rsid w:val="002F1F85"/>
    <w:rsid w:val="002F52B1"/>
    <w:rsid w:val="002F5CD8"/>
    <w:rsid w:val="002F672C"/>
    <w:rsid w:val="002F766B"/>
    <w:rsid w:val="00301978"/>
    <w:rsid w:val="00301A67"/>
    <w:rsid w:val="0030223E"/>
    <w:rsid w:val="00302D01"/>
    <w:rsid w:val="0030332C"/>
    <w:rsid w:val="003033A2"/>
    <w:rsid w:val="003040EC"/>
    <w:rsid w:val="00304B59"/>
    <w:rsid w:val="003051C2"/>
    <w:rsid w:val="00311BA8"/>
    <w:rsid w:val="00312296"/>
    <w:rsid w:val="00312720"/>
    <w:rsid w:val="00313FFD"/>
    <w:rsid w:val="003146E5"/>
    <w:rsid w:val="00314F0E"/>
    <w:rsid w:val="00315C02"/>
    <w:rsid w:val="00315C1C"/>
    <w:rsid w:val="00316CF0"/>
    <w:rsid w:val="003171FC"/>
    <w:rsid w:val="00320956"/>
    <w:rsid w:val="003216F6"/>
    <w:rsid w:val="00321D8E"/>
    <w:rsid w:val="00321F22"/>
    <w:rsid w:val="00322B8C"/>
    <w:rsid w:val="00323661"/>
    <w:rsid w:val="00323E85"/>
    <w:rsid w:val="00324A24"/>
    <w:rsid w:val="00325928"/>
    <w:rsid w:val="00325ADC"/>
    <w:rsid w:val="00326A91"/>
    <w:rsid w:val="00326F5E"/>
    <w:rsid w:val="0032711C"/>
    <w:rsid w:val="00330B8E"/>
    <w:rsid w:val="00332863"/>
    <w:rsid w:val="00334DB0"/>
    <w:rsid w:val="00335397"/>
    <w:rsid w:val="00335A8F"/>
    <w:rsid w:val="00335D61"/>
    <w:rsid w:val="00335F81"/>
    <w:rsid w:val="0033684D"/>
    <w:rsid w:val="00337239"/>
    <w:rsid w:val="00337B42"/>
    <w:rsid w:val="003403FF"/>
    <w:rsid w:val="00340DB6"/>
    <w:rsid w:val="00341B42"/>
    <w:rsid w:val="00342D8F"/>
    <w:rsid w:val="0034348F"/>
    <w:rsid w:val="003440B8"/>
    <w:rsid w:val="00344526"/>
    <w:rsid w:val="003449AD"/>
    <w:rsid w:val="00346A9E"/>
    <w:rsid w:val="00350EE9"/>
    <w:rsid w:val="0035103E"/>
    <w:rsid w:val="003528FD"/>
    <w:rsid w:val="00352C8B"/>
    <w:rsid w:val="00352F3F"/>
    <w:rsid w:val="00355721"/>
    <w:rsid w:val="00356242"/>
    <w:rsid w:val="0035661D"/>
    <w:rsid w:val="00356653"/>
    <w:rsid w:val="00356AD7"/>
    <w:rsid w:val="0035743F"/>
    <w:rsid w:val="00357BE2"/>
    <w:rsid w:val="0036122F"/>
    <w:rsid w:val="0036170C"/>
    <w:rsid w:val="00362C7E"/>
    <w:rsid w:val="0036382E"/>
    <w:rsid w:val="00366D53"/>
    <w:rsid w:val="00366E0F"/>
    <w:rsid w:val="00367A7C"/>
    <w:rsid w:val="003708C2"/>
    <w:rsid w:val="00371548"/>
    <w:rsid w:val="00373884"/>
    <w:rsid w:val="00374048"/>
    <w:rsid w:val="0037698A"/>
    <w:rsid w:val="00380852"/>
    <w:rsid w:val="00380A49"/>
    <w:rsid w:val="00381A72"/>
    <w:rsid w:val="00384676"/>
    <w:rsid w:val="00386871"/>
    <w:rsid w:val="00387F75"/>
    <w:rsid w:val="00390857"/>
    <w:rsid w:val="00394130"/>
    <w:rsid w:val="003949A7"/>
    <w:rsid w:val="003A0DE3"/>
    <w:rsid w:val="003A189C"/>
    <w:rsid w:val="003A1AF7"/>
    <w:rsid w:val="003A26D3"/>
    <w:rsid w:val="003A427E"/>
    <w:rsid w:val="003A4BF3"/>
    <w:rsid w:val="003A6657"/>
    <w:rsid w:val="003A66CB"/>
    <w:rsid w:val="003A6EBB"/>
    <w:rsid w:val="003B054E"/>
    <w:rsid w:val="003B1433"/>
    <w:rsid w:val="003B420D"/>
    <w:rsid w:val="003B471D"/>
    <w:rsid w:val="003B743B"/>
    <w:rsid w:val="003B7CBB"/>
    <w:rsid w:val="003C0D3F"/>
    <w:rsid w:val="003C1DEB"/>
    <w:rsid w:val="003C1E5F"/>
    <w:rsid w:val="003C206C"/>
    <w:rsid w:val="003C56C8"/>
    <w:rsid w:val="003C5DBD"/>
    <w:rsid w:val="003C5F5D"/>
    <w:rsid w:val="003C6343"/>
    <w:rsid w:val="003C6C16"/>
    <w:rsid w:val="003C6D2D"/>
    <w:rsid w:val="003C79C6"/>
    <w:rsid w:val="003D0439"/>
    <w:rsid w:val="003D0557"/>
    <w:rsid w:val="003D1DE0"/>
    <w:rsid w:val="003D42FD"/>
    <w:rsid w:val="003D4485"/>
    <w:rsid w:val="003D6522"/>
    <w:rsid w:val="003D73AE"/>
    <w:rsid w:val="003D794D"/>
    <w:rsid w:val="003D7AAD"/>
    <w:rsid w:val="003D7F7D"/>
    <w:rsid w:val="003E1E0D"/>
    <w:rsid w:val="003E2373"/>
    <w:rsid w:val="003E259B"/>
    <w:rsid w:val="003E27FE"/>
    <w:rsid w:val="003E3058"/>
    <w:rsid w:val="003E4986"/>
    <w:rsid w:val="003E4E51"/>
    <w:rsid w:val="003E76A9"/>
    <w:rsid w:val="003F0809"/>
    <w:rsid w:val="003F14D4"/>
    <w:rsid w:val="003F2622"/>
    <w:rsid w:val="003F2845"/>
    <w:rsid w:val="003F3950"/>
    <w:rsid w:val="003F4CFA"/>
    <w:rsid w:val="003F56C8"/>
    <w:rsid w:val="003F6A8C"/>
    <w:rsid w:val="003F6BCA"/>
    <w:rsid w:val="003F6EBC"/>
    <w:rsid w:val="003F755C"/>
    <w:rsid w:val="00400B17"/>
    <w:rsid w:val="00402420"/>
    <w:rsid w:val="004026CD"/>
    <w:rsid w:val="00403F3B"/>
    <w:rsid w:val="0040422A"/>
    <w:rsid w:val="004048F3"/>
    <w:rsid w:val="00405680"/>
    <w:rsid w:val="00405C15"/>
    <w:rsid w:val="00406983"/>
    <w:rsid w:val="00406EF1"/>
    <w:rsid w:val="00406F01"/>
    <w:rsid w:val="00407CBE"/>
    <w:rsid w:val="00413E17"/>
    <w:rsid w:val="00414887"/>
    <w:rsid w:val="00416D50"/>
    <w:rsid w:val="00416FD5"/>
    <w:rsid w:val="0041762A"/>
    <w:rsid w:val="00417772"/>
    <w:rsid w:val="00420947"/>
    <w:rsid w:val="0042097F"/>
    <w:rsid w:val="00420E6A"/>
    <w:rsid w:val="0042118B"/>
    <w:rsid w:val="004220FB"/>
    <w:rsid w:val="004228B5"/>
    <w:rsid w:val="00425563"/>
    <w:rsid w:val="00425A9E"/>
    <w:rsid w:val="00425EB7"/>
    <w:rsid w:val="0042666B"/>
    <w:rsid w:val="00426D6B"/>
    <w:rsid w:val="00426FB4"/>
    <w:rsid w:val="00431611"/>
    <w:rsid w:val="00431E6C"/>
    <w:rsid w:val="004331CC"/>
    <w:rsid w:val="00433CE7"/>
    <w:rsid w:val="00434F80"/>
    <w:rsid w:val="004355BD"/>
    <w:rsid w:val="004357B2"/>
    <w:rsid w:val="00436C0B"/>
    <w:rsid w:val="004410EC"/>
    <w:rsid w:val="004419E6"/>
    <w:rsid w:val="004427AC"/>
    <w:rsid w:val="0044544F"/>
    <w:rsid w:val="00447906"/>
    <w:rsid w:val="00447BA2"/>
    <w:rsid w:val="00447E00"/>
    <w:rsid w:val="00450207"/>
    <w:rsid w:val="00452738"/>
    <w:rsid w:val="00454209"/>
    <w:rsid w:val="00454BCF"/>
    <w:rsid w:val="00454E73"/>
    <w:rsid w:val="00455725"/>
    <w:rsid w:val="00455ECA"/>
    <w:rsid w:val="00456091"/>
    <w:rsid w:val="0045662C"/>
    <w:rsid w:val="00456681"/>
    <w:rsid w:val="004574D9"/>
    <w:rsid w:val="004601A0"/>
    <w:rsid w:val="004606BD"/>
    <w:rsid w:val="00461144"/>
    <w:rsid w:val="004614A3"/>
    <w:rsid w:val="00461525"/>
    <w:rsid w:val="00461E22"/>
    <w:rsid w:val="004620FA"/>
    <w:rsid w:val="004622F5"/>
    <w:rsid w:val="00462629"/>
    <w:rsid w:val="00463B7A"/>
    <w:rsid w:val="0046481C"/>
    <w:rsid w:val="004648DD"/>
    <w:rsid w:val="00464E99"/>
    <w:rsid w:val="00466321"/>
    <w:rsid w:val="00467266"/>
    <w:rsid w:val="00467D5A"/>
    <w:rsid w:val="004707A1"/>
    <w:rsid w:val="0047084F"/>
    <w:rsid w:val="00470982"/>
    <w:rsid w:val="00472CF3"/>
    <w:rsid w:val="00474208"/>
    <w:rsid w:val="0047522F"/>
    <w:rsid w:val="00476A90"/>
    <w:rsid w:val="004770E0"/>
    <w:rsid w:val="004774FF"/>
    <w:rsid w:val="004814EC"/>
    <w:rsid w:val="004833F3"/>
    <w:rsid w:val="00484A6B"/>
    <w:rsid w:val="00484B9B"/>
    <w:rsid w:val="0048546A"/>
    <w:rsid w:val="004855F6"/>
    <w:rsid w:val="004858D4"/>
    <w:rsid w:val="0048661E"/>
    <w:rsid w:val="00487A47"/>
    <w:rsid w:val="004935E1"/>
    <w:rsid w:val="00493B15"/>
    <w:rsid w:val="00494670"/>
    <w:rsid w:val="004955BA"/>
    <w:rsid w:val="004958F5"/>
    <w:rsid w:val="00495FC8"/>
    <w:rsid w:val="00496632"/>
    <w:rsid w:val="00496F9F"/>
    <w:rsid w:val="004A1B33"/>
    <w:rsid w:val="004A2561"/>
    <w:rsid w:val="004A369A"/>
    <w:rsid w:val="004A3823"/>
    <w:rsid w:val="004A4A6C"/>
    <w:rsid w:val="004B01E5"/>
    <w:rsid w:val="004B2A63"/>
    <w:rsid w:val="004B31A1"/>
    <w:rsid w:val="004B36D6"/>
    <w:rsid w:val="004B57C6"/>
    <w:rsid w:val="004B6031"/>
    <w:rsid w:val="004B61A9"/>
    <w:rsid w:val="004B7BE2"/>
    <w:rsid w:val="004C177D"/>
    <w:rsid w:val="004C1878"/>
    <w:rsid w:val="004C2590"/>
    <w:rsid w:val="004C2BC3"/>
    <w:rsid w:val="004C2EBE"/>
    <w:rsid w:val="004C331E"/>
    <w:rsid w:val="004C3537"/>
    <w:rsid w:val="004C424C"/>
    <w:rsid w:val="004C42B0"/>
    <w:rsid w:val="004D1798"/>
    <w:rsid w:val="004D38C3"/>
    <w:rsid w:val="004D3C8E"/>
    <w:rsid w:val="004D42F6"/>
    <w:rsid w:val="004D4F2A"/>
    <w:rsid w:val="004D544A"/>
    <w:rsid w:val="004D5611"/>
    <w:rsid w:val="004D5E61"/>
    <w:rsid w:val="004E012C"/>
    <w:rsid w:val="004E170B"/>
    <w:rsid w:val="004E338B"/>
    <w:rsid w:val="004E5793"/>
    <w:rsid w:val="004E603C"/>
    <w:rsid w:val="004E6946"/>
    <w:rsid w:val="004F089A"/>
    <w:rsid w:val="004F1AD8"/>
    <w:rsid w:val="004F1BE6"/>
    <w:rsid w:val="004F48BD"/>
    <w:rsid w:val="004F49F5"/>
    <w:rsid w:val="004F62C1"/>
    <w:rsid w:val="004F66AC"/>
    <w:rsid w:val="004F7932"/>
    <w:rsid w:val="004F79BB"/>
    <w:rsid w:val="004F7C2D"/>
    <w:rsid w:val="00500996"/>
    <w:rsid w:val="005012B0"/>
    <w:rsid w:val="005012BD"/>
    <w:rsid w:val="005039CB"/>
    <w:rsid w:val="0050558F"/>
    <w:rsid w:val="00505948"/>
    <w:rsid w:val="00506286"/>
    <w:rsid w:val="005068D1"/>
    <w:rsid w:val="00506DA3"/>
    <w:rsid w:val="00507010"/>
    <w:rsid w:val="00510706"/>
    <w:rsid w:val="00510813"/>
    <w:rsid w:val="00511990"/>
    <w:rsid w:val="00511DE0"/>
    <w:rsid w:val="00512FE4"/>
    <w:rsid w:val="00514590"/>
    <w:rsid w:val="00514870"/>
    <w:rsid w:val="00514B9B"/>
    <w:rsid w:val="00514D42"/>
    <w:rsid w:val="00514FCF"/>
    <w:rsid w:val="0051517E"/>
    <w:rsid w:val="00516A7F"/>
    <w:rsid w:val="00517400"/>
    <w:rsid w:val="0051797C"/>
    <w:rsid w:val="00517F02"/>
    <w:rsid w:val="00521D8D"/>
    <w:rsid w:val="00522B71"/>
    <w:rsid w:val="00524303"/>
    <w:rsid w:val="005246A7"/>
    <w:rsid w:val="0052507C"/>
    <w:rsid w:val="00525726"/>
    <w:rsid w:val="005258A2"/>
    <w:rsid w:val="00526025"/>
    <w:rsid w:val="00527E2D"/>
    <w:rsid w:val="00531401"/>
    <w:rsid w:val="00531F9F"/>
    <w:rsid w:val="00534537"/>
    <w:rsid w:val="005375E0"/>
    <w:rsid w:val="00537B61"/>
    <w:rsid w:val="00537F59"/>
    <w:rsid w:val="005401AE"/>
    <w:rsid w:val="0054037A"/>
    <w:rsid w:val="00541CAC"/>
    <w:rsid w:val="005420C1"/>
    <w:rsid w:val="00542E07"/>
    <w:rsid w:val="005431D7"/>
    <w:rsid w:val="00543574"/>
    <w:rsid w:val="00543917"/>
    <w:rsid w:val="00545424"/>
    <w:rsid w:val="00545E82"/>
    <w:rsid w:val="00547A12"/>
    <w:rsid w:val="0055014B"/>
    <w:rsid w:val="0055055B"/>
    <w:rsid w:val="00550C09"/>
    <w:rsid w:val="00551475"/>
    <w:rsid w:val="00551E3B"/>
    <w:rsid w:val="005529C7"/>
    <w:rsid w:val="0055472F"/>
    <w:rsid w:val="00554A7B"/>
    <w:rsid w:val="0055572C"/>
    <w:rsid w:val="00560D77"/>
    <w:rsid w:val="0056106A"/>
    <w:rsid w:val="00561B19"/>
    <w:rsid w:val="00562592"/>
    <w:rsid w:val="00570658"/>
    <w:rsid w:val="0057100C"/>
    <w:rsid w:val="0057139D"/>
    <w:rsid w:val="005720AE"/>
    <w:rsid w:val="005720F6"/>
    <w:rsid w:val="005724B8"/>
    <w:rsid w:val="00573929"/>
    <w:rsid w:val="00575066"/>
    <w:rsid w:val="00576809"/>
    <w:rsid w:val="005772E7"/>
    <w:rsid w:val="00577FF9"/>
    <w:rsid w:val="0058110A"/>
    <w:rsid w:val="00581215"/>
    <w:rsid w:val="005814CB"/>
    <w:rsid w:val="00582993"/>
    <w:rsid w:val="00582FE4"/>
    <w:rsid w:val="005835E2"/>
    <w:rsid w:val="005839B4"/>
    <w:rsid w:val="005849C2"/>
    <w:rsid w:val="00585610"/>
    <w:rsid w:val="005863B2"/>
    <w:rsid w:val="00586D08"/>
    <w:rsid w:val="00587331"/>
    <w:rsid w:val="00590265"/>
    <w:rsid w:val="00590923"/>
    <w:rsid w:val="00590E52"/>
    <w:rsid w:val="0059142D"/>
    <w:rsid w:val="00591809"/>
    <w:rsid w:val="00592BC8"/>
    <w:rsid w:val="00594D77"/>
    <w:rsid w:val="005969E4"/>
    <w:rsid w:val="00597BF5"/>
    <w:rsid w:val="005A06B7"/>
    <w:rsid w:val="005A1759"/>
    <w:rsid w:val="005A1FCC"/>
    <w:rsid w:val="005A2E94"/>
    <w:rsid w:val="005A2F21"/>
    <w:rsid w:val="005A41B9"/>
    <w:rsid w:val="005A49D9"/>
    <w:rsid w:val="005A6293"/>
    <w:rsid w:val="005A68A7"/>
    <w:rsid w:val="005A6F18"/>
    <w:rsid w:val="005B16FA"/>
    <w:rsid w:val="005B65FC"/>
    <w:rsid w:val="005C0A88"/>
    <w:rsid w:val="005C141C"/>
    <w:rsid w:val="005C26F2"/>
    <w:rsid w:val="005C312B"/>
    <w:rsid w:val="005C3C12"/>
    <w:rsid w:val="005C425F"/>
    <w:rsid w:val="005C44FC"/>
    <w:rsid w:val="005C4FCA"/>
    <w:rsid w:val="005C513E"/>
    <w:rsid w:val="005C627C"/>
    <w:rsid w:val="005C681F"/>
    <w:rsid w:val="005C76ED"/>
    <w:rsid w:val="005C7C0D"/>
    <w:rsid w:val="005D12A8"/>
    <w:rsid w:val="005D16CB"/>
    <w:rsid w:val="005D1959"/>
    <w:rsid w:val="005D1CAD"/>
    <w:rsid w:val="005D1E43"/>
    <w:rsid w:val="005D36AB"/>
    <w:rsid w:val="005D5EF3"/>
    <w:rsid w:val="005E059D"/>
    <w:rsid w:val="005E0FC5"/>
    <w:rsid w:val="005E1870"/>
    <w:rsid w:val="005E4347"/>
    <w:rsid w:val="005E52FF"/>
    <w:rsid w:val="005E7413"/>
    <w:rsid w:val="005E77FB"/>
    <w:rsid w:val="005F0C79"/>
    <w:rsid w:val="005F0E5F"/>
    <w:rsid w:val="005F21E6"/>
    <w:rsid w:val="005F2231"/>
    <w:rsid w:val="005F2742"/>
    <w:rsid w:val="005F3F31"/>
    <w:rsid w:val="005F47CF"/>
    <w:rsid w:val="005F7C78"/>
    <w:rsid w:val="00600FA6"/>
    <w:rsid w:val="00601643"/>
    <w:rsid w:val="006018C6"/>
    <w:rsid w:val="00603101"/>
    <w:rsid w:val="0060481E"/>
    <w:rsid w:val="00606082"/>
    <w:rsid w:val="00610385"/>
    <w:rsid w:val="00610882"/>
    <w:rsid w:val="00611A24"/>
    <w:rsid w:val="00611FA8"/>
    <w:rsid w:val="00612D06"/>
    <w:rsid w:val="00613BD3"/>
    <w:rsid w:val="00614368"/>
    <w:rsid w:val="006145C3"/>
    <w:rsid w:val="006155A4"/>
    <w:rsid w:val="006177DB"/>
    <w:rsid w:val="00617CC3"/>
    <w:rsid w:val="00617DEF"/>
    <w:rsid w:val="00621A60"/>
    <w:rsid w:val="00621AC5"/>
    <w:rsid w:val="00621CB7"/>
    <w:rsid w:val="00621FCF"/>
    <w:rsid w:val="006240CA"/>
    <w:rsid w:val="0062420F"/>
    <w:rsid w:val="00626A07"/>
    <w:rsid w:val="006274D3"/>
    <w:rsid w:val="00627C91"/>
    <w:rsid w:val="00630F26"/>
    <w:rsid w:val="00631B5B"/>
    <w:rsid w:val="00631C09"/>
    <w:rsid w:val="00632317"/>
    <w:rsid w:val="006354EC"/>
    <w:rsid w:val="0063728B"/>
    <w:rsid w:val="006377A6"/>
    <w:rsid w:val="00637A3D"/>
    <w:rsid w:val="00637F5A"/>
    <w:rsid w:val="00640442"/>
    <w:rsid w:val="006411EF"/>
    <w:rsid w:val="00643C81"/>
    <w:rsid w:val="00644FCE"/>
    <w:rsid w:val="006476B0"/>
    <w:rsid w:val="00652495"/>
    <w:rsid w:val="00653788"/>
    <w:rsid w:val="00653885"/>
    <w:rsid w:val="00654458"/>
    <w:rsid w:val="006546B5"/>
    <w:rsid w:val="00655155"/>
    <w:rsid w:val="00655AA1"/>
    <w:rsid w:val="00655F63"/>
    <w:rsid w:val="00656B97"/>
    <w:rsid w:val="00657E1B"/>
    <w:rsid w:val="006602B7"/>
    <w:rsid w:val="00660CB5"/>
    <w:rsid w:val="00661128"/>
    <w:rsid w:val="006615D8"/>
    <w:rsid w:val="00661AC6"/>
    <w:rsid w:val="00661D1C"/>
    <w:rsid w:val="00662E78"/>
    <w:rsid w:val="006644DE"/>
    <w:rsid w:val="00664869"/>
    <w:rsid w:val="00664ABA"/>
    <w:rsid w:val="00665337"/>
    <w:rsid w:val="00665509"/>
    <w:rsid w:val="00667575"/>
    <w:rsid w:val="00670100"/>
    <w:rsid w:val="00671D63"/>
    <w:rsid w:val="006721A0"/>
    <w:rsid w:val="00672629"/>
    <w:rsid w:val="006729B5"/>
    <w:rsid w:val="00672C70"/>
    <w:rsid w:val="00673D71"/>
    <w:rsid w:val="006748B8"/>
    <w:rsid w:val="006750E0"/>
    <w:rsid w:val="00676921"/>
    <w:rsid w:val="006775C3"/>
    <w:rsid w:val="0067760D"/>
    <w:rsid w:val="006814CF"/>
    <w:rsid w:val="006817E5"/>
    <w:rsid w:val="00681B4C"/>
    <w:rsid w:val="00681D27"/>
    <w:rsid w:val="00682FCD"/>
    <w:rsid w:val="00684379"/>
    <w:rsid w:val="0068571B"/>
    <w:rsid w:val="00685E25"/>
    <w:rsid w:val="0068668F"/>
    <w:rsid w:val="00687703"/>
    <w:rsid w:val="0069063C"/>
    <w:rsid w:val="00691DE4"/>
    <w:rsid w:val="0069290A"/>
    <w:rsid w:val="00693018"/>
    <w:rsid w:val="00693BA1"/>
    <w:rsid w:val="0069775A"/>
    <w:rsid w:val="00697813"/>
    <w:rsid w:val="00697D68"/>
    <w:rsid w:val="006A3EE8"/>
    <w:rsid w:val="006A5E46"/>
    <w:rsid w:val="006A72BF"/>
    <w:rsid w:val="006B03F2"/>
    <w:rsid w:val="006B24D4"/>
    <w:rsid w:val="006B293B"/>
    <w:rsid w:val="006B2C76"/>
    <w:rsid w:val="006B37A0"/>
    <w:rsid w:val="006B37DC"/>
    <w:rsid w:val="006B39DD"/>
    <w:rsid w:val="006B4F68"/>
    <w:rsid w:val="006C0532"/>
    <w:rsid w:val="006C0592"/>
    <w:rsid w:val="006C05CE"/>
    <w:rsid w:val="006C272E"/>
    <w:rsid w:val="006C2B37"/>
    <w:rsid w:val="006C503E"/>
    <w:rsid w:val="006C5479"/>
    <w:rsid w:val="006C5D0A"/>
    <w:rsid w:val="006C62A3"/>
    <w:rsid w:val="006D13B5"/>
    <w:rsid w:val="006D21BE"/>
    <w:rsid w:val="006D5A04"/>
    <w:rsid w:val="006D6C0A"/>
    <w:rsid w:val="006E12FF"/>
    <w:rsid w:val="006E3EBD"/>
    <w:rsid w:val="006E607E"/>
    <w:rsid w:val="006E6750"/>
    <w:rsid w:val="006E6C00"/>
    <w:rsid w:val="006F120E"/>
    <w:rsid w:val="006F1803"/>
    <w:rsid w:val="006F3689"/>
    <w:rsid w:val="006F4A07"/>
    <w:rsid w:val="006F4BA8"/>
    <w:rsid w:val="006F4D03"/>
    <w:rsid w:val="006F51FB"/>
    <w:rsid w:val="006F6FFC"/>
    <w:rsid w:val="00703E47"/>
    <w:rsid w:val="0070466C"/>
    <w:rsid w:val="00705DB3"/>
    <w:rsid w:val="00706C5D"/>
    <w:rsid w:val="007072BD"/>
    <w:rsid w:val="00707E7D"/>
    <w:rsid w:val="00710607"/>
    <w:rsid w:val="00710C2C"/>
    <w:rsid w:val="00710E92"/>
    <w:rsid w:val="0071187C"/>
    <w:rsid w:val="00711CAC"/>
    <w:rsid w:val="00712790"/>
    <w:rsid w:val="00713E31"/>
    <w:rsid w:val="00714BEA"/>
    <w:rsid w:val="0071671A"/>
    <w:rsid w:val="00716F32"/>
    <w:rsid w:val="00716F6F"/>
    <w:rsid w:val="00721B43"/>
    <w:rsid w:val="007238AE"/>
    <w:rsid w:val="0072416A"/>
    <w:rsid w:val="007244EF"/>
    <w:rsid w:val="00724AE6"/>
    <w:rsid w:val="00727400"/>
    <w:rsid w:val="00727FC6"/>
    <w:rsid w:val="007310F0"/>
    <w:rsid w:val="0073170E"/>
    <w:rsid w:val="00732922"/>
    <w:rsid w:val="00732C7C"/>
    <w:rsid w:val="00732FF1"/>
    <w:rsid w:val="00733F04"/>
    <w:rsid w:val="00734555"/>
    <w:rsid w:val="007345A4"/>
    <w:rsid w:val="00741606"/>
    <w:rsid w:val="00741BB9"/>
    <w:rsid w:val="00742986"/>
    <w:rsid w:val="007432A9"/>
    <w:rsid w:val="00744D0B"/>
    <w:rsid w:val="007453E2"/>
    <w:rsid w:val="00745C54"/>
    <w:rsid w:val="00746164"/>
    <w:rsid w:val="00746A1C"/>
    <w:rsid w:val="00747FAC"/>
    <w:rsid w:val="00750471"/>
    <w:rsid w:val="00750F48"/>
    <w:rsid w:val="0075140D"/>
    <w:rsid w:val="0075162E"/>
    <w:rsid w:val="00751873"/>
    <w:rsid w:val="007519F3"/>
    <w:rsid w:val="00751C29"/>
    <w:rsid w:val="00751E35"/>
    <w:rsid w:val="007522F5"/>
    <w:rsid w:val="00752D8D"/>
    <w:rsid w:val="00753E4B"/>
    <w:rsid w:val="00754034"/>
    <w:rsid w:val="0075451F"/>
    <w:rsid w:val="007560E6"/>
    <w:rsid w:val="00756556"/>
    <w:rsid w:val="0075731D"/>
    <w:rsid w:val="00757836"/>
    <w:rsid w:val="00760688"/>
    <w:rsid w:val="00761520"/>
    <w:rsid w:val="007618C4"/>
    <w:rsid w:val="00762DFC"/>
    <w:rsid w:val="0076507C"/>
    <w:rsid w:val="0076664F"/>
    <w:rsid w:val="00767980"/>
    <w:rsid w:val="00770B19"/>
    <w:rsid w:val="0077185B"/>
    <w:rsid w:val="007734F2"/>
    <w:rsid w:val="00773ED5"/>
    <w:rsid w:val="00773F1D"/>
    <w:rsid w:val="0077463F"/>
    <w:rsid w:val="0077643A"/>
    <w:rsid w:val="00776976"/>
    <w:rsid w:val="00776CF4"/>
    <w:rsid w:val="0078031C"/>
    <w:rsid w:val="00780B43"/>
    <w:rsid w:val="0078143E"/>
    <w:rsid w:val="007836EA"/>
    <w:rsid w:val="00783A8B"/>
    <w:rsid w:val="00784B5A"/>
    <w:rsid w:val="00784CDA"/>
    <w:rsid w:val="0078537B"/>
    <w:rsid w:val="007906C4"/>
    <w:rsid w:val="00790F2D"/>
    <w:rsid w:val="00792161"/>
    <w:rsid w:val="007940EA"/>
    <w:rsid w:val="007967E8"/>
    <w:rsid w:val="0079690C"/>
    <w:rsid w:val="007969A0"/>
    <w:rsid w:val="00797267"/>
    <w:rsid w:val="007A2170"/>
    <w:rsid w:val="007A22BF"/>
    <w:rsid w:val="007A2388"/>
    <w:rsid w:val="007A3323"/>
    <w:rsid w:val="007A357F"/>
    <w:rsid w:val="007A4CFA"/>
    <w:rsid w:val="007A7B60"/>
    <w:rsid w:val="007B1415"/>
    <w:rsid w:val="007B1896"/>
    <w:rsid w:val="007B2907"/>
    <w:rsid w:val="007B377D"/>
    <w:rsid w:val="007B451F"/>
    <w:rsid w:val="007B6847"/>
    <w:rsid w:val="007B72B8"/>
    <w:rsid w:val="007B73F2"/>
    <w:rsid w:val="007B7A58"/>
    <w:rsid w:val="007B7F15"/>
    <w:rsid w:val="007C03AC"/>
    <w:rsid w:val="007C0EE1"/>
    <w:rsid w:val="007C21B5"/>
    <w:rsid w:val="007C21D8"/>
    <w:rsid w:val="007C2C23"/>
    <w:rsid w:val="007C37BA"/>
    <w:rsid w:val="007C4AB2"/>
    <w:rsid w:val="007C6B02"/>
    <w:rsid w:val="007C6C55"/>
    <w:rsid w:val="007D1DC0"/>
    <w:rsid w:val="007D3E30"/>
    <w:rsid w:val="007D611F"/>
    <w:rsid w:val="007D61F8"/>
    <w:rsid w:val="007D7A42"/>
    <w:rsid w:val="007E1096"/>
    <w:rsid w:val="007E1D18"/>
    <w:rsid w:val="007E1EA8"/>
    <w:rsid w:val="007E20E4"/>
    <w:rsid w:val="007E26DE"/>
    <w:rsid w:val="007E2F18"/>
    <w:rsid w:val="007E344E"/>
    <w:rsid w:val="007E4516"/>
    <w:rsid w:val="007E4BD2"/>
    <w:rsid w:val="007E4DC4"/>
    <w:rsid w:val="007E5B0D"/>
    <w:rsid w:val="007E63AF"/>
    <w:rsid w:val="007F2635"/>
    <w:rsid w:val="007F31F2"/>
    <w:rsid w:val="007F44F2"/>
    <w:rsid w:val="007F4DB6"/>
    <w:rsid w:val="007F60C6"/>
    <w:rsid w:val="007F647D"/>
    <w:rsid w:val="00801393"/>
    <w:rsid w:val="00802F88"/>
    <w:rsid w:val="008048B1"/>
    <w:rsid w:val="008055ED"/>
    <w:rsid w:val="00805D58"/>
    <w:rsid w:val="0080667D"/>
    <w:rsid w:val="008067DB"/>
    <w:rsid w:val="00807C46"/>
    <w:rsid w:val="00807FA7"/>
    <w:rsid w:val="00810D42"/>
    <w:rsid w:val="0081293E"/>
    <w:rsid w:val="008143B6"/>
    <w:rsid w:val="00814712"/>
    <w:rsid w:val="00815278"/>
    <w:rsid w:val="00815465"/>
    <w:rsid w:val="00815CBB"/>
    <w:rsid w:val="00817E9A"/>
    <w:rsid w:val="00820A61"/>
    <w:rsid w:val="008216C0"/>
    <w:rsid w:val="008227B6"/>
    <w:rsid w:val="00824A79"/>
    <w:rsid w:val="00825457"/>
    <w:rsid w:val="00825E76"/>
    <w:rsid w:val="0082616A"/>
    <w:rsid w:val="008306BD"/>
    <w:rsid w:val="008316AF"/>
    <w:rsid w:val="00831A80"/>
    <w:rsid w:val="00832687"/>
    <w:rsid w:val="008328A4"/>
    <w:rsid w:val="00832BD7"/>
    <w:rsid w:val="00832C15"/>
    <w:rsid w:val="00833743"/>
    <w:rsid w:val="00833A94"/>
    <w:rsid w:val="008340A4"/>
    <w:rsid w:val="00834D09"/>
    <w:rsid w:val="00840300"/>
    <w:rsid w:val="00843DF5"/>
    <w:rsid w:val="0084508D"/>
    <w:rsid w:val="008458DE"/>
    <w:rsid w:val="00846C91"/>
    <w:rsid w:val="00847622"/>
    <w:rsid w:val="00851ECB"/>
    <w:rsid w:val="00854439"/>
    <w:rsid w:val="00855685"/>
    <w:rsid w:val="008556FE"/>
    <w:rsid w:val="008579B4"/>
    <w:rsid w:val="00860BC3"/>
    <w:rsid w:val="008610CA"/>
    <w:rsid w:val="00863CC8"/>
    <w:rsid w:val="00867E11"/>
    <w:rsid w:val="008701B0"/>
    <w:rsid w:val="00871057"/>
    <w:rsid w:val="0087135F"/>
    <w:rsid w:val="00871980"/>
    <w:rsid w:val="00872431"/>
    <w:rsid w:val="00872D94"/>
    <w:rsid w:val="008737D8"/>
    <w:rsid w:val="00874E3B"/>
    <w:rsid w:val="00876776"/>
    <w:rsid w:val="0087682F"/>
    <w:rsid w:val="00880364"/>
    <w:rsid w:val="00880638"/>
    <w:rsid w:val="008817CF"/>
    <w:rsid w:val="00883F9A"/>
    <w:rsid w:val="00884266"/>
    <w:rsid w:val="00884946"/>
    <w:rsid w:val="008860C6"/>
    <w:rsid w:val="00887B9F"/>
    <w:rsid w:val="00891592"/>
    <w:rsid w:val="00891828"/>
    <w:rsid w:val="00891959"/>
    <w:rsid w:val="00891E9E"/>
    <w:rsid w:val="00891F51"/>
    <w:rsid w:val="00893265"/>
    <w:rsid w:val="00893A24"/>
    <w:rsid w:val="00893B8E"/>
    <w:rsid w:val="00893BE2"/>
    <w:rsid w:val="00894E4A"/>
    <w:rsid w:val="00895FE8"/>
    <w:rsid w:val="008A1060"/>
    <w:rsid w:val="008A1415"/>
    <w:rsid w:val="008A2A83"/>
    <w:rsid w:val="008A2F68"/>
    <w:rsid w:val="008A391D"/>
    <w:rsid w:val="008A56D1"/>
    <w:rsid w:val="008B2458"/>
    <w:rsid w:val="008B3296"/>
    <w:rsid w:val="008B3DEE"/>
    <w:rsid w:val="008B4812"/>
    <w:rsid w:val="008B4855"/>
    <w:rsid w:val="008B4FA6"/>
    <w:rsid w:val="008B5211"/>
    <w:rsid w:val="008B5282"/>
    <w:rsid w:val="008B54AE"/>
    <w:rsid w:val="008B6464"/>
    <w:rsid w:val="008B7C17"/>
    <w:rsid w:val="008B7EFC"/>
    <w:rsid w:val="008B7FD2"/>
    <w:rsid w:val="008C1000"/>
    <w:rsid w:val="008C130E"/>
    <w:rsid w:val="008C2BEF"/>
    <w:rsid w:val="008C2D01"/>
    <w:rsid w:val="008C3212"/>
    <w:rsid w:val="008C40E6"/>
    <w:rsid w:val="008C520F"/>
    <w:rsid w:val="008C67F8"/>
    <w:rsid w:val="008C7AB5"/>
    <w:rsid w:val="008C7DF0"/>
    <w:rsid w:val="008D0114"/>
    <w:rsid w:val="008D0E5E"/>
    <w:rsid w:val="008D0F7A"/>
    <w:rsid w:val="008D19AB"/>
    <w:rsid w:val="008D68E4"/>
    <w:rsid w:val="008D6AE9"/>
    <w:rsid w:val="008D7C29"/>
    <w:rsid w:val="008E0506"/>
    <w:rsid w:val="008E0CFF"/>
    <w:rsid w:val="008E0EF6"/>
    <w:rsid w:val="008E1805"/>
    <w:rsid w:val="008E2798"/>
    <w:rsid w:val="008E5D6B"/>
    <w:rsid w:val="008E76F0"/>
    <w:rsid w:val="008F15FE"/>
    <w:rsid w:val="008F1DF3"/>
    <w:rsid w:val="008F2D29"/>
    <w:rsid w:val="008F4DC9"/>
    <w:rsid w:val="008F5187"/>
    <w:rsid w:val="008F60D8"/>
    <w:rsid w:val="008F712D"/>
    <w:rsid w:val="00900B69"/>
    <w:rsid w:val="009011B5"/>
    <w:rsid w:val="00901351"/>
    <w:rsid w:val="00902727"/>
    <w:rsid w:val="00902A66"/>
    <w:rsid w:val="00902C30"/>
    <w:rsid w:val="0090312B"/>
    <w:rsid w:val="00903A8C"/>
    <w:rsid w:val="00903A96"/>
    <w:rsid w:val="00905186"/>
    <w:rsid w:val="00907E0F"/>
    <w:rsid w:val="009107F2"/>
    <w:rsid w:val="00911761"/>
    <w:rsid w:val="00911AA0"/>
    <w:rsid w:val="0091224E"/>
    <w:rsid w:val="0091235D"/>
    <w:rsid w:val="0091267B"/>
    <w:rsid w:val="00914587"/>
    <w:rsid w:val="0091736D"/>
    <w:rsid w:val="0091758F"/>
    <w:rsid w:val="009223AA"/>
    <w:rsid w:val="00922B36"/>
    <w:rsid w:val="00926780"/>
    <w:rsid w:val="00926ADD"/>
    <w:rsid w:val="0092746E"/>
    <w:rsid w:val="0093037A"/>
    <w:rsid w:val="00932565"/>
    <w:rsid w:val="0093554C"/>
    <w:rsid w:val="00935E81"/>
    <w:rsid w:val="009364B9"/>
    <w:rsid w:val="00937572"/>
    <w:rsid w:val="00937704"/>
    <w:rsid w:val="009377E7"/>
    <w:rsid w:val="009401A5"/>
    <w:rsid w:val="00940A4F"/>
    <w:rsid w:val="0094154D"/>
    <w:rsid w:val="0094165C"/>
    <w:rsid w:val="009425BB"/>
    <w:rsid w:val="009431A6"/>
    <w:rsid w:val="009431E4"/>
    <w:rsid w:val="00944388"/>
    <w:rsid w:val="009447C8"/>
    <w:rsid w:val="00945332"/>
    <w:rsid w:val="00945363"/>
    <w:rsid w:val="00945E03"/>
    <w:rsid w:val="009460DF"/>
    <w:rsid w:val="0094660E"/>
    <w:rsid w:val="00947ABE"/>
    <w:rsid w:val="00950097"/>
    <w:rsid w:val="0095155F"/>
    <w:rsid w:val="009522FC"/>
    <w:rsid w:val="00954429"/>
    <w:rsid w:val="009563CE"/>
    <w:rsid w:val="009564E0"/>
    <w:rsid w:val="009571AA"/>
    <w:rsid w:val="009615EA"/>
    <w:rsid w:val="00961920"/>
    <w:rsid w:val="00962236"/>
    <w:rsid w:val="00965383"/>
    <w:rsid w:val="009655C6"/>
    <w:rsid w:val="009703D2"/>
    <w:rsid w:val="009726D3"/>
    <w:rsid w:val="0097441A"/>
    <w:rsid w:val="009745D1"/>
    <w:rsid w:val="0097512E"/>
    <w:rsid w:val="00975601"/>
    <w:rsid w:val="00976328"/>
    <w:rsid w:val="0097680D"/>
    <w:rsid w:val="0098016F"/>
    <w:rsid w:val="00982438"/>
    <w:rsid w:val="009828DB"/>
    <w:rsid w:val="0098404C"/>
    <w:rsid w:val="00985283"/>
    <w:rsid w:val="00991EBF"/>
    <w:rsid w:val="00992E18"/>
    <w:rsid w:val="00995992"/>
    <w:rsid w:val="00997D32"/>
    <w:rsid w:val="009A03E5"/>
    <w:rsid w:val="009A0F3B"/>
    <w:rsid w:val="009A1BB4"/>
    <w:rsid w:val="009A2628"/>
    <w:rsid w:val="009A3200"/>
    <w:rsid w:val="009A6FEE"/>
    <w:rsid w:val="009A7DED"/>
    <w:rsid w:val="009A7FAB"/>
    <w:rsid w:val="009B07D1"/>
    <w:rsid w:val="009B0897"/>
    <w:rsid w:val="009B11F9"/>
    <w:rsid w:val="009B1872"/>
    <w:rsid w:val="009B30BC"/>
    <w:rsid w:val="009B3A88"/>
    <w:rsid w:val="009B6415"/>
    <w:rsid w:val="009B7AA2"/>
    <w:rsid w:val="009B7BD9"/>
    <w:rsid w:val="009C113E"/>
    <w:rsid w:val="009C2062"/>
    <w:rsid w:val="009C2FD1"/>
    <w:rsid w:val="009C3789"/>
    <w:rsid w:val="009C44E7"/>
    <w:rsid w:val="009C50E7"/>
    <w:rsid w:val="009C602E"/>
    <w:rsid w:val="009C6AC8"/>
    <w:rsid w:val="009C7396"/>
    <w:rsid w:val="009C7DD5"/>
    <w:rsid w:val="009D04CC"/>
    <w:rsid w:val="009D075D"/>
    <w:rsid w:val="009D0ED4"/>
    <w:rsid w:val="009D1054"/>
    <w:rsid w:val="009D1B31"/>
    <w:rsid w:val="009D48D4"/>
    <w:rsid w:val="009D58E0"/>
    <w:rsid w:val="009D6109"/>
    <w:rsid w:val="009D6ABA"/>
    <w:rsid w:val="009D6ACE"/>
    <w:rsid w:val="009D6FE3"/>
    <w:rsid w:val="009D7A8E"/>
    <w:rsid w:val="009E0437"/>
    <w:rsid w:val="009E0819"/>
    <w:rsid w:val="009E131A"/>
    <w:rsid w:val="009E1480"/>
    <w:rsid w:val="009E227D"/>
    <w:rsid w:val="009E27D5"/>
    <w:rsid w:val="009E30C4"/>
    <w:rsid w:val="009E3714"/>
    <w:rsid w:val="009E4AAC"/>
    <w:rsid w:val="009E5019"/>
    <w:rsid w:val="009E5B38"/>
    <w:rsid w:val="009E6474"/>
    <w:rsid w:val="009E7A5E"/>
    <w:rsid w:val="009E7F56"/>
    <w:rsid w:val="009F0905"/>
    <w:rsid w:val="009F172F"/>
    <w:rsid w:val="009F2383"/>
    <w:rsid w:val="009F2617"/>
    <w:rsid w:val="009F30D0"/>
    <w:rsid w:val="009F4F69"/>
    <w:rsid w:val="009F5F76"/>
    <w:rsid w:val="009F62E7"/>
    <w:rsid w:val="00A0136F"/>
    <w:rsid w:val="00A01CCE"/>
    <w:rsid w:val="00A0253E"/>
    <w:rsid w:val="00A02C51"/>
    <w:rsid w:val="00A031A6"/>
    <w:rsid w:val="00A03F54"/>
    <w:rsid w:val="00A04F1B"/>
    <w:rsid w:val="00A0501B"/>
    <w:rsid w:val="00A064C9"/>
    <w:rsid w:val="00A07260"/>
    <w:rsid w:val="00A07527"/>
    <w:rsid w:val="00A11927"/>
    <w:rsid w:val="00A11962"/>
    <w:rsid w:val="00A11EFA"/>
    <w:rsid w:val="00A13A12"/>
    <w:rsid w:val="00A13E00"/>
    <w:rsid w:val="00A14947"/>
    <w:rsid w:val="00A14A44"/>
    <w:rsid w:val="00A167D4"/>
    <w:rsid w:val="00A17041"/>
    <w:rsid w:val="00A17CDE"/>
    <w:rsid w:val="00A210B3"/>
    <w:rsid w:val="00A21DA7"/>
    <w:rsid w:val="00A224EB"/>
    <w:rsid w:val="00A22C43"/>
    <w:rsid w:val="00A230BA"/>
    <w:rsid w:val="00A24E3D"/>
    <w:rsid w:val="00A2789C"/>
    <w:rsid w:val="00A30197"/>
    <w:rsid w:val="00A3149C"/>
    <w:rsid w:val="00A3207B"/>
    <w:rsid w:val="00A32A83"/>
    <w:rsid w:val="00A333F4"/>
    <w:rsid w:val="00A33678"/>
    <w:rsid w:val="00A34C90"/>
    <w:rsid w:val="00A368DB"/>
    <w:rsid w:val="00A40464"/>
    <w:rsid w:val="00A40F9B"/>
    <w:rsid w:val="00A423AA"/>
    <w:rsid w:val="00A42EE2"/>
    <w:rsid w:val="00A447A2"/>
    <w:rsid w:val="00A46340"/>
    <w:rsid w:val="00A47786"/>
    <w:rsid w:val="00A5127C"/>
    <w:rsid w:val="00A53EC6"/>
    <w:rsid w:val="00A55C0F"/>
    <w:rsid w:val="00A567AB"/>
    <w:rsid w:val="00A57233"/>
    <w:rsid w:val="00A60277"/>
    <w:rsid w:val="00A6101E"/>
    <w:rsid w:val="00A61112"/>
    <w:rsid w:val="00A63D58"/>
    <w:rsid w:val="00A65607"/>
    <w:rsid w:val="00A65E03"/>
    <w:rsid w:val="00A66968"/>
    <w:rsid w:val="00A66981"/>
    <w:rsid w:val="00A67DB0"/>
    <w:rsid w:val="00A70B84"/>
    <w:rsid w:val="00A715C9"/>
    <w:rsid w:val="00A71B63"/>
    <w:rsid w:val="00A72745"/>
    <w:rsid w:val="00A76167"/>
    <w:rsid w:val="00A77C14"/>
    <w:rsid w:val="00A80289"/>
    <w:rsid w:val="00A812B6"/>
    <w:rsid w:val="00A814FB"/>
    <w:rsid w:val="00A8198E"/>
    <w:rsid w:val="00A83D9B"/>
    <w:rsid w:val="00A83E81"/>
    <w:rsid w:val="00A857C7"/>
    <w:rsid w:val="00A868D3"/>
    <w:rsid w:val="00A8713F"/>
    <w:rsid w:val="00A873CA"/>
    <w:rsid w:val="00A90BA1"/>
    <w:rsid w:val="00A90BE7"/>
    <w:rsid w:val="00A9227E"/>
    <w:rsid w:val="00A94713"/>
    <w:rsid w:val="00A954C0"/>
    <w:rsid w:val="00A97A9A"/>
    <w:rsid w:val="00AA0457"/>
    <w:rsid w:val="00AA0671"/>
    <w:rsid w:val="00AA2531"/>
    <w:rsid w:val="00AA275C"/>
    <w:rsid w:val="00AA2A3D"/>
    <w:rsid w:val="00AA3168"/>
    <w:rsid w:val="00AA5240"/>
    <w:rsid w:val="00AA7CDA"/>
    <w:rsid w:val="00AB05CA"/>
    <w:rsid w:val="00AB1E09"/>
    <w:rsid w:val="00AB4C4C"/>
    <w:rsid w:val="00AB5330"/>
    <w:rsid w:val="00AB7747"/>
    <w:rsid w:val="00AC119E"/>
    <w:rsid w:val="00AC14CE"/>
    <w:rsid w:val="00AC2A56"/>
    <w:rsid w:val="00AC3178"/>
    <w:rsid w:val="00AC51FF"/>
    <w:rsid w:val="00AC688E"/>
    <w:rsid w:val="00AC777E"/>
    <w:rsid w:val="00AD01A5"/>
    <w:rsid w:val="00AD055E"/>
    <w:rsid w:val="00AD068B"/>
    <w:rsid w:val="00AD0FB1"/>
    <w:rsid w:val="00AD2087"/>
    <w:rsid w:val="00AD2590"/>
    <w:rsid w:val="00AD2C71"/>
    <w:rsid w:val="00AD47A7"/>
    <w:rsid w:val="00AD4E1B"/>
    <w:rsid w:val="00AD58AF"/>
    <w:rsid w:val="00AD6680"/>
    <w:rsid w:val="00AD71E5"/>
    <w:rsid w:val="00AD77BB"/>
    <w:rsid w:val="00AD7EA4"/>
    <w:rsid w:val="00AE0590"/>
    <w:rsid w:val="00AE0A80"/>
    <w:rsid w:val="00AE1E1D"/>
    <w:rsid w:val="00AE38F9"/>
    <w:rsid w:val="00AE45F4"/>
    <w:rsid w:val="00AE53F5"/>
    <w:rsid w:val="00AE6893"/>
    <w:rsid w:val="00AF0CBF"/>
    <w:rsid w:val="00AF11BE"/>
    <w:rsid w:val="00AF12FA"/>
    <w:rsid w:val="00AF1E2A"/>
    <w:rsid w:val="00AF202E"/>
    <w:rsid w:val="00AF257F"/>
    <w:rsid w:val="00AF2816"/>
    <w:rsid w:val="00AF33CF"/>
    <w:rsid w:val="00AF4D50"/>
    <w:rsid w:val="00AF5F71"/>
    <w:rsid w:val="00AF6179"/>
    <w:rsid w:val="00AF72C9"/>
    <w:rsid w:val="00B0059B"/>
    <w:rsid w:val="00B009D5"/>
    <w:rsid w:val="00B015EB"/>
    <w:rsid w:val="00B018CC"/>
    <w:rsid w:val="00B02651"/>
    <w:rsid w:val="00B02ADA"/>
    <w:rsid w:val="00B037B5"/>
    <w:rsid w:val="00B044F9"/>
    <w:rsid w:val="00B05DD8"/>
    <w:rsid w:val="00B06EAB"/>
    <w:rsid w:val="00B07AC8"/>
    <w:rsid w:val="00B10488"/>
    <w:rsid w:val="00B10510"/>
    <w:rsid w:val="00B1175B"/>
    <w:rsid w:val="00B1257B"/>
    <w:rsid w:val="00B1295A"/>
    <w:rsid w:val="00B15756"/>
    <w:rsid w:val="00B2057F"/>
    <w:rsid w:val="00B20A45"/>
    <w:rsid w:val="00B21E11"/>
    <w:rsid w:val="00B21E27"/>
    <w:rsid w:val="00B22036"/>
    <w:rsid w:val="00B22314"/>
    <w:rsid w:val="00B2244A"/>
    <w:rsid w:val="00B2257C"/>
    <w:rsid w:val="00B22ABF"/>
    <w:rsid w:val="00B22C5C"/>
    <w:rsid w:val="00B22E6B"/>
    <w:rsid w:val="00B23190"/>
    <w:rsid w:val="00B24F30"/>
    <w:rsid w:val="00B2640A"/>
    <w:rsid w:val="00B302A2"/>
    <w:rsid w:val="00B306B6"/>
    <w:rsid w:val="00B3084F"/>
    <w:rsid w:val="00B31ABF"/>
    <w:rsid w:val="00B33142"/>
    <w:rsid w:val="00B33BE3"/>
    <w:rsid w:val="00B34F0A"/>
    <w:rsid w:val="00B40432"/>
    <w:rsid w:val="00B40702"/>
    <w:rsid w:val="00B4328F"/>
    <w:rsid w:val="00B44062"/>
    <w:rsid w:val="00B46686"/>
    <w:rsid w:val="00B50691"/>
    <w:rsid w:val="00B507FC"/>
    <w:rsid w:val="00B51B51"/>
    <w:rsid w:val="00B521A2"/>
    <w:rsid w:val="00B53B5D"/>
    <w:rsid w:val="00B54F0D"/>
    <w:rsid w:val="00B54FD7"/>
    <w:rsid w:val="00B55C06"/>
    <w:rsid w:val="00B5731C"/>
    <w:rsid w:val="00B5789A"/>
    <w:rsid w:val="00B6055E"/>
    <w:rsid w:val="00B607BB"/>
    <w:rsid w:val="00B61BEC"/>
    <w:rsid w:val="00B61DE0"/>
    <w:rsid w:val="00B6317D"/>
    <w:rsid w:val="00B6369C"/>
    <w:rsid w:val="00B6369F"/>
    <w:rsid w:val="00B639A4"/>
    <w:rsid w:val="00B63F08"/>
    <w:rsid w:val="00B64CD8"/>
    <w:rsid w:val="00B65BF9"/>
    <w:rsid w:val="00B66F89"/>
    <w:rsid w:val="00B672A9"/>
    <w:rsid w:val="00B70138"/>
    <w:rsid w:val="00B7038B"/>
    <w:rsid w:val="00B703F4"/>
    <w:rsid w:val="00B7111F"/>
    <w:rsid w:val="00B737F0"/>
    <w:rsid w:val="00B73B95"/>
    <w:rsid w:val="00B74271"/>
    <w:rsid w:val="00B74B84"/>
    <w:rsid w:val="00B74EDE"/>
    <w:rsid w:val="00B76B9D"/>
    <w:rsid w:val="00B76BAD"/>
    <w:rsid w:val="00B7723F"/>
    <w:rsid w:val="00B80534"/>
    <w:rsid w:val="00B831AB"/>
    <w:rsid w:val="00B83547"/>
    <w:rsid w:val="00B83F82"/>
    <w:rsid w:val="00B84300"/>
    <w:rsid w:val="00B8433C"/>
    <w:rsid w:val="00B8680A"/>
    <w:rsid w:val="00B86BDB"/>
    <w:rsid w:val="00B86E6E"/>
    <w:rsid w:val="00B87491"/>
    <w:rsid w:val="00B87A3F"/>
    <w:rsid w:val="00B90D3A"/>
    <w:rsid w:val="00B91859"/>
    <w:rsid w:val="00B95759"/>
    <w:rsid w:val="00B96518"/>
    <w:rsid w:val="00BA0487"/>
    <w:rsid w:val="00BA125F"/>
    <w:rsid w:val="00BA17F2"/>
    <w:rsid w:val="00BA25A6"/>
    <w:rsid w:val="00BA29E9"/>
    <w:rsid w:val="00BA2D85"/>
    <w:rsid w:val="00BA41F7"/>
    <w:rsid w:val="00BA7142"/>
    <w:rsid w:val="00BA7DC6"/>
    <w:rsid w:val="00BB0A80"/>
    <w:rsid w:val="00BB1DC1"/>
    <w:rsid w:val="00BB20E0"/>
    <w:rsid w:val="00BB237C"/>
    <w:rsid w:val="00BB327B"/>
    <w:rsid w:val="00BB3EFA"/>
    <w:rsid w:val="00BB41A3"/>
    <w:rsid w:val="00BB4223"/>
    <w:rsid w:val="00BB5431"/>
    <w:rsid w:val="00BB5B1E"/>
    <w:rsid w:val="00BB6F14"/>
    <w:rsid w:val="00BC24DA"/>
    <w:rsid w:val="00BC250A"/>
    <w:rsid w:val="00BC32DC"/>
    <w:rsid w:val="00BC35B6"/>
    <w:rsid w:val="00BC3A9A"/>
    <w:rsid w:val="00BC5F30"/>
    <w:rsid w:val="00BC6EDC"/>
    <w:rsid w:val="00BD0409"/>
    <w:rsid w:val="00BD0689"/>
    <w:rsid w:val="00BD0EF8"/>
    <w:rsid w:val="00BD1B51"/>
    <w:rsid w:val="00BD237B"/>
    <w:rsid w:val="00BD442B"/>
    <w:rsid w:val="00BD4596"/>
    <w:rsid w:val="00BD4D11"/>
    <w:rsid w:val="00BD63A7"/>
    <w:rsid w:val="00BD7363"/>
    <w:rsid w:val="00BE024D"/>
    <w:rsid w:val="00BE0882"/>
    <w:rsid w:val="00BE0B15"/>
    <w:rsid w:val="00BE1405"/>
    <w:rsid w:val="00BE2DF7"/>
    <w:rsid w:val="00BE312D"/>
    <w:rsid w:val="00BE63A5"/>
    <w:rsid w:val="00BE7954"/>
    <w:rsid w:val="00BF1555"/>
    <w:rsid w:val="00BF1C20"/>
    <w:rsid w:val="00BF2B1C"/>
    <w:rsid w:val="00BF2C62"/>
    <w:rsid w:val="00BF2D3D"/>
    <w:rsid w:val="00BF3D84"/>
    <w:rsid w:val="00BF45FB"/>
    <w:rsid w:val="00BF5268"/>
    <w:rsid w:val="00BF59BC"/>
    <w:rsid w:val="00BF72EE"/>
    <w:rsid w:val="00C00B4E"/>
    <w:rsid w:val="00C00E8B"/>
    <w:rsid w:val="00C013FC"/>
    <w:rsid w:val="00C01DCD"/>
    <w:rsid w:val="00C0221A"/>
    <w:rsid w:val="00C02506"/>
    <w:rsid w:val="00C0295C"/>
    <w:rsid w:val="00C03FE0"/>
    <w:rsid w:val="00C0411D"/>
    <w:rsid w:val="00C043E9"/>
    <w:rsid w:val="00C04B07"/>
    <w:rsid w:val="00C10578"/>
    <w:rsid w:val="00C10C04"/>
    <w:rsid w:val="00C10DE8"/>
    <w:rsid w:val="00C12E21"/>
    <w:rsid w:val="00C1350E"/>
    <w:rsid w:val="00C135BC"/>
    <w:rsid w:val="00C13FB9"/>
    <w:rsid w:val="00C15C95"/>
    <w:rsid w:val="00C15D67"/>
    <w:rsid w:val="00C16C22"/>
    <w:rsid w:val="00C22BF3"/>
    <w:rsid w:val="00C230B3"/>
    <w:rsid w:val="00C2587E"/>
    <w:rsid w:val="00C2596A"/>
    <w:rsid w:val="00C264E2"/>
    <w:rsid w:val="00C2750F"/>
    <w:rsid w:val="00C27537"/>
    <w:rsid w:val="00C31678"/>
    <w:rsid w:val="00C328FE"/>
    <w:rsid w:val="00C33507"/>
    <w:rsid w:val="00C350F0"/>
    <w:rsid w:val="00C36033"/>
    <w:rsid w:val="00C3616A"/>
    <w:rsid w:val="00C379E7"/>
    <w:rsid w:val="00C37EF0"/>
    <w:rsid w:val="00C42412"/>
    <w:rsid w:val="00C4409D"/>
    <w:rsid w:val="00C44E72"/>
    <w:rsid w:val="00C455C8"/>
    <w:rsid w:val="00C45934"/>
    <w:rsid w:val="00C45A06"/>
    <w:rsid w:val="00C468E0"/>
    <w:rsid w:val="00C47E5B"/>
    <w:rsid w:val="00C50DE3"/>
    <w:rsid w:val="00C51F76"/>
    <w:rsid w:val="00C52676"/>
    <w:rsid w:val="00C52882"/>
    <w:rsid w:val="00C61E4B"/>
    <w:rsid w:val="00C6213B"/>
    <w:rsid w:val="00C6434B"/>
    <w:rsid w:val="00C64BFF"/>
    <w:rsid w:val="00C660AE"/>
    <w:rsid w:val="00C6735C"/>
    <w:rsid w:val="00C702B8"/>
    <w:rsid w:val="00C704E9"/>
    <w:rsid w:val="00C70682"/>
    <w:rsid w:val="00C7247B"/>
    <w:rsid w:val="00C763C9"/>
    <w:rsid w:val="00C763CC"/>
    <w:rsid w:val="00C77B24"/>
    <w:rsid w:val="00C77E2A"/>
    <w:rsid w:val="00C80057"/>
    <w:rsid w:val="00C80260"/>
    <w:rsid w:val="00C81192"/>
    <w:rsid w:val="00C8151B"/>
    <w:rsid w:val="00C8194E"/>
    <w:rsid w:val="00C82232"/>
    <w:rsid w:val="00C82913"/>
    <w:rsid w:val="00C8412D"/>
    <w:rsid w:val="00C84B5F"/>
    <w:rsid w:val="00C84B76"/>
    <w:rsid w:val="00C85565"/>
    <w:rsid w:val="00C85A13"/>
    <w:rsid w:val="00C87D0C"/>
    <w:rsid w:val="00C90A2F"/>
    <w:rsid w:val="00C92B28"/>
    <w:rsid w:val="00C9318F"/>
    <w:rsid w:val="00C967BF"/>
    <w:rsid w:val="00C9702D"/>
    <w:rsid w:val="00C972B1"/>
    <w:rsid w:val="00C975A5"/>
    <w:rsid w:val="00CA05E1"/>
    <w:rsid w:val="00CA15FD"/>
    <w:rsid w:val="00CA28A5"/>
    <w:rsid w:val="00CA2CCE"/>
    <w:rsid w:val="00CA3E33"/>
    <w:rsid w:val="00CA43FD"/>
    <w:rsid w:val="00CA46BA"/>
    <w:rsid w:val="00CA51B6"/>
    <w:rsid w:val="00CA63C2"/>
    <w:rsid w:val="00CA7EF8"/>
    <w:rsid w:val="00CB0EDD"/>
    <w:rsid w:val="00CB0EE7"/>
    <w:rsid w:val="00CB28F9"/>
    <w:rsid w:val="00CB34C0"/>
    <w:rsid w:val="00CB35CA"/>
    <w:rsid w:val="00CB4091"/>
    <w:rsid w:val="00CB6F0A"/>
    <w:rsid w:val="00CC0156"/>
    <w:rsid w:val="00CC0F00"/>
    <w:rsid w:val="00CC1371"/>
    <w:rsid w:val="00CC3B8E"/>
    <w:rsid w:val="00CC489B"/>
    <w:rsid w:val="00CC5B2B"/>
    <w:rsid w:val="00CC6234"/>
    <w:rsid w:val="00CD29F5"/>
    <w:rsid w:val="00CD2BCD"/>
    <w:rsid w:val="00CD3A4C"/>
    <w:rsid w:val="00CD3EF4"/>
    <w:rsid w:val="00CD503E"/>
    <w:rsid w:val="00CD59C1"/>
    <w:rsid w:val="00CD5E81"/>
    <w:rsid w:val="00CD7877"/>
    <w:rsid w:val="00CD78D7"/>
    <w:rsid w:val="00CE0F15"/>
    <w:rsid w:val="00CE10E9"/>
    <w:rsid w:val="00CE19E7"/>
    <w:rsid w:val="00CE257D"/>
    <w:rsid w:val="00CE2910"/>
    <w:rsid w:val="00CE29DF"/>
    <w:rsid w:val="00CE3049"/>
    <w:rsid w:val="00CE341D"/>
    <w:rsid w:val="00CE5393"/>
    <w:rsid w:val="00CE543C"/>
    <w:rsid w:val="00CE7885"/>
    <w:rsid w:val="00CF019D"/>
    <w:rsid w:val="00CF14A8"/>
    <w:rsid w:val="00CF2576"/>
    <w:rsid w:val="00CF27F6"/>
    <w:rsid w:val="00CF36BE"/>
    <w:rsid w:val="00CF5AA9"/>
    <w:rsid w:val="00CF5EEC"/>
    <w:rsid w:val="00CF6000"/>
    <w:rsid w:val="00CF65E1"/>
    <w:rsid w:val="00CF672D"/>
    <w:rsid w:val="00CF6B53"/>
    <w:rsid w:val="00CF7076"/>
    <w:rsid w:val="00CF74DA"/>
    <w:rsid w:val="00CF77A3"/>
    <w:rsid w:val="00CF7A47"/>
    <w:rsid w:val="00D003F3"/>
    <w:rsid w:val="00D00A9F"/>
    <w:rsid w:val="00D0138F"/>
    <w:rsid w:val="00D01F86"/>
    <w:rsid w:val="00D020D7"/>
    <w:rsid w:val="00D0364F"/>
    <w:rsid w:val="00D058AD"/>
    <w:rsid w:val="00D0606A"/>
    <w:rsid w:val="00D06834"/>
    <w:rsid w:val="00D0792C"/>
    <w:rsid w:val="00D11F1C"/>
    <w:rsid w:val="00D13890"/>
    <w:rsid w:val="00D16AC6"/>
    <w:rsid w:val="00D17013"/>
    <w:rsid w:val="00D212E6"/>
    <w:rsid w:val="00D2421B"/>
    <w:rsid w:val="00D308ED"/>
    <w:rsid w:val="00D34CBF"/>
    <w:rsid w:val="00D358AF"/>
    <w:rsid w:val="00D36145"/>
    <w:rsid w:val="00D3646C"/>
    <w:rsid w:val="00D36D86"/>
    <w:rsid w:val="00D4078E"/>
    <w:rsid w:val="00D40841"/>
    <w:rsid w:val="00D428AA"/>
    <w:rsid w:val="00D442C7"/>
    <w:rsid w:val="00D44304"/>
    <w:rsid w:val="00D4483F"/>
    <w:rsid w:val="00D4574B"/>
    <w:rsid w:val="00D469DF"/>
    <w:rsid w:val="00D47736"/>
    <w:rsid w:val="00D50A34"/>
    <w:rsid w:val="00D522A2"/>
    <w:rsid w:val="00D5378B"/>
    <w:rsid w:val="00D53EFA"/>
    <w:rsid w:val="00D543F1"/>
    <w:rsid w:val="00D54D3B"/>
    <w:rsid w:val="00D5647D"/>
    <w:rsid w:val="00D571E0"/>
    <w:rsid w:val="00D604C2"/>
    <w:rsid w:val="00D6173C"/>
    <w:rsid w:val="00D61921"/>
    <w:rsid w:val="00D61944"/>
    <w:rsid w:val="00D61F9B"/>
    <w:rsid w:val="00D6238F"/>
    <w:rsid w:val="00D6268C"/>
    <w:rsid w:val="00D62DE8"/>
    <w:rsid w:val="00D62E95"/>
    <w:rsid w:val="00D634A9"/>
    <w:rsid w:val="00D63A42"/>
    <w:rsid w:val="00D6483C"/>
    <w:rsid w:val="00D65A20"/>
    <w:rsid w:val="00D65B91"/>
    <w:rsid w:val="00D66F14"/>
    <w:rsid w:val="00D70072"/>
    <w:rsid w:val="00D71051"/>
    <w:rsid w:val="00D72D9D"/>
    <w:rsid w:val="00D751E1"/>
    <w:rsid w:val="00D7585E"/>
    <w:rsid w:val="00D75A0D"/>
    <w:rsid w:val="00D75FB1"/>
    <w:rsid w:val="00D77D00"/>
    <w:rsid w:val="00D82AC6"/>
    <w:rsid w:val="00D8341B"/>
    <w:rsid w:val="00D8517B"/>
    <w:rsid w:val="00D85296"/>
    <w:rsid w:val="00D87833"/>
    <w:rsid w:val="00D90F51"/>
    <w:rsid w:val="00D9241C"/>
    <w:rsid w:val="00D933E4"/>
    <w:rsid w:val="00D9394F"/>
    <w:rsid w:val="00D947D4"/>
    <w:rsid w:val="00D94A7C"/>
    <w:rsid w:val="00D94C6D"/>
    <w:rsid w:val="00D95896"/>
    <w:rsid w:val="00D95DE9"/>
    <w:rsid w:val="00D965CE"/>
    <w:rsid w:val="00D9763C"/>
    <w:rsid w:val="00DA08BD"/>
    <w:rsid w:val="00DA3FB2"/>
    <w:rsid w:val="00DA6CB8"/>
    <w:rsid w:val="00DB270B"/>
    <w:rsid w:val="00DB2983"/>
    <w:rsid w:val="00DB2DED"/>
    <w:rsid w:val="00DB3947"/>
    <w:rsid w:val="00DB469D"/>
    <w:rsid w:val="00DB511C"/>
    <w:rsid w:val="00DB6208"/>
    <w:rsid w:val="00DB6221"/>
    <w:rsid w:val="00DB6D0A"/>
    <w:rsid w:val="00DB6EB9"/>
    <w:rsid w:val="00DB72C9"/>
    <w:rsid w:val="00DC1257"/>
    <w:rsid w:val="00DC2CCE"/>
    <w:rsid w:val="00DC3DC0"/>
    <w:rsid w:val="00DC5B2B"/>
    <w:rsid w:val="00DC6188"/>
    <w:rsid w:val="00DC620A"/>
    <w:rsid w:val="00DC65B8"/>
    <w:rsid w:val="00DC6ACD"/>
    <w:rsid w:val="00DC78FF"/>
    <w:rsid w:val="00DD318D"/>
    <w:rsid w:val="00DD4651"/>
    <w:rsid w:val="00DD5B4D"/>
    <w:rsid w:val="00DD5C1B"/>
    <w:rsid w:val="00DE1DE0"/>
    <w:rsid w:val="00DE34E7"/>
    <w:rsid w:val="00DE4107"/>
    <w:rsid w:val="00DE41F6"/>
    <w:rsid w:val="00DE55BB"/>
    <w:rsid w:val="00DE6097"/>
    <w:rsid w:val="00DE624B"/>
    <w:rsid w:val="00DE7BF1"/>
    <w:rsid w:val="00DE7CF2"/>
    <w:rsid w:val="00DF1306"/>
    <w:rsid w:val="00DF2E12"/>
    <w:rsid w:val="00DF32F0"/>
    <w:rsid w:val="00DF3A0B"/>
    <w:rsid w:val="00DF4FF8"/>
    <w:rsid w:val="00DF514A"/>
    <w:rsid w:val="00DF652A"/>
    <w:rsid w:val="00DF6690"/>
    <w:rsid w:val="00DF6804"/>
    <w:rsid w:val="00E00FCB"/>
    <w:rsid w:val="00E0110E"/>
    <w:rsid w:val="00E0120D"/>
    <w:rsid w:val="00E0138F"/>
    <w:rsid w:val="00E0358D"/>
    <w:rsid w:val="00E04323"/>
    <w:rsid w:val="00E04673"/>
    <w:rsid w:val="00E0482C"/>
    <w:rsid w:val="00E05954"/>
    <w:rsid w:val="00E06D1B"/>
    <w:rsid w:val="00E070A2"/>
    <w:rsid w:val="00E07F73"/>
    <w:rsid w:val="00E1164F"/>
    <w:rsid w:val="00E11991"/>
    <w:rsid w:val="00E12D4F"/>
    <w:rsid w:val="00E15D05"/>
    <w:rsid w:val="00E16470"/>
    <w:rsid w:val="00E2056F"/>
    <w:rsid w:val="00E20F1B"/>
    <w:rsid w:val="00E20FBB"/>
    <w:rsid w:val="00E24B03"/>
    <w:rsid w:val="00E24D4E"/>
    <w:rsid w:val="00E255D8"/>
    <w:rsid w:val="00E2656A"/>
    <w:rsid w:val="00E27FE8"/>
    <w:rsid w:val="00E3028C"/>
    <w:rsid w:val="00E31DC1"/>
    <w:rsid w:val="00E324B1"/>
    <w:rsid w:val="00E32C53"/>
    <w:rsid w:val="00E32D12"/>
    <w:rsid w:val="00E33208"/>
    <w:rsid w:val="00E34807"/>
    <w:rsid w:val="00E35B12"/>
    <w:rsid w:val="00E373BD"/>
    <w:rsid w:val="00E40D8B"/>
    <w:rsid w:val="00E412D0"/>
    <w:rsid w:val="00E45D6C"/>
    <w:rsid w:val="00E460CC"/>
    <w:rsid w:val="00E46F5C"/>
    <w:rsid w:val="00E470F6"/>
    <w:rsid w:val="00E51983"/>
    <w:rsid w:val="00E52375"/>
    <w:rsid w:val="00E539E9"/>
    <w:rsid w:val="00E5444D"/>
    <w:rsid w:val="00E56322"/>
    <w:rsid w:val="00E575B1"/>
    <w:rsid w:val="00E60982"/>
    <w:rsid w:val="00E60FE1"/>
    <w:rsid w:val="00E610B1"/>
    <w:rsid w:val="00E61C23"/>
    <w:rsid w:val="00E62788"/>
    <w:rsid w:val="00E62C62"/>
    <w:rsid w:val="00E6404A"/>
    <w:rsid w:val="00E654C1"/>
    <w:rsid w:val="00E65D97"/>
    <w:rsid w:val="00E676BA"/>
    <w:rsid w:val="00E712E4"/>
    <w:rsid w:val="00E72A5A"/>
    <w:rsid w:val="00E72FA5"/>
    <w:rsid w:val="00E73309"/>
    <w:rsid w:val="00E73354"/>
    <w:rsid w:val="00E73A73"/>
    <w:rsid w:val="00E73DC6"/>
    <w:rsid w:val="00E7738F"/>
    <w:rsid w:val="00E77CE2"/>
    <w:rsid w:val="00E80213"/>
    <w:rsid w:val="00E81068"/>
    <w:rsid w:val="00E81951"/>
    <w:rsid w:val="00E81B8D"/>
    <w:rsid w:val="00E82FE0"/>
    <w:rsid w:val="00E8572E"/>
    <w:rsid w:val="00E85EA9"/>
    <w:rsid w:val="00E85EAD"/>
    <w:rsid w:val="00E86992"/>
    <w:rsid w:val="00E87EFF"/>
    <w:rsid w:val="00E87F46"/>
    <w:rsid w:val="00E90362"/>
    <w:rsid w:val="00E9242D"/>
    <w:rsid w:val="00E92D3F"/>
    <w:rsid w:val="00E9395E"/>
    <w:rsid w:val="00E95335"/>
    <w:rsid w:val="00E975D5"/>
    <w:rsid w:val="00EA1833"/>
    <w:rsid w:val="00EA2ED4"/>
    <w:rsid w:val="00EA604F"/>
    <w:rsid w:val="00EA7FB7"/>
    <w:rsid w:val="00EB1041"/>
    <w:rsid w:val="00EB35BE"/>
    <w:rsid w:val="00EB3A4A"/>
    <w:rsid w:val="00EB497B"/>
    <w:rsid w:val="00EB5255"/>
    <w:rsid w:val="00EB5C47"/>
    <w:rsid w:val="00EB6638"/>
    <w:rsid w:val="00EC139F"/>
    <w:rsid w:val="00EC1D00"/>
    <w:rsid w:val="00EC451C"/>
    <w:rsid w:val="00EC580A"/>
    <w:rsid w:val="00EC5F46"/>
    <w:rsid w:val="00EC64BB"/>
    <w:rsid w:val="00EC6C7F"/>
    <w:rsid w:val="00EC76EF"/>
    <w:rsid w:val="00EC7926"/>
    <w:rsid w:val="00ED0639"/>
    <w:rsid w:val="00ED15D3"/>
    <w:rsid w:val="00ED2131"/>
    <w:rsid w:val="00ED23DB"/>
    <w:rsid w:val="00ED3F0B"/>
    <w:rsid w:val="00ED4554"/>
    <w:rsid w:val="00EE07E8"/>
    <w:rsid w:val="00EE113E"/>
    <w:rsid w:val="00EE220C"/>
    <w:rsid w:val="00EE22EE"/>
    <w:rsid w:val="00EE4C76"/>
    <w:rsid w:val="00EE5FC6"/>
    <w:rsid w:val="00EE7C46"/>
    <w:rsid w:val="00EF0F50"/>
    <w:rsid w:val="00EF1784"/>
    <w:rsid w:val="00EF1B2C"/>
    <w:rsid w:val="00EF3C6D"/>
    <w:rsid w:val="00EF462D"/>
    <w:rsid w:val="00EF4755"/>
    <w:rsid w:val="00EF51DF"/>
    <w:rsid w:val="00EF7135"/>
    <w:rsid w:val="00EF72FC"/>
    <w:rsid w:val="00EF7C97"/>
    <w:rsid w:val="00F00828"/>
    <w:rsid w:val="00F027DB"/>
    <w:rsid w:val="00F03867"/>
    <w:rsid w:val="00F05878"/>
    <w:rsid w:val="00F05CD7"/>
    <w:rsid w:val="00F06EA1"/>
    <w:rsid w:val="00F07845"/>
    <w:rsid w:val="00F07EF1"/>
    <w:rsid w:val="00F10FC5"/>
    <w:rsid w:val="00F131C6"/>
    <w:rsid w:val="00F14A7A"/>
    <w:rsid w:val="00F159F4"/>
    <w:rsid w:val="00F15E46"/>
    <w:rsid w:val="00F16AFB"/>
    <w:rsid w:val="00F20619"/>
    <w:rsid w:val="00F20E2D"/>
    <w:rsid w:val="00F21FB1"/>
    <w:rsid w:val="00F226B7"/>
    <w:rsid w:val="00F22985"/>
    <w:rsid w:val="00F2426D"/>
    <w:rsid w:val="00F247B2"/>
    <w:rsid w:val="00F24E16"/>
    <w:rsid w:val="00F258B8"/>
    <w:rsid w:val="00F25AC0"/>
    <w:rsid w:val="00F26190"/>
    <w:rsid w:val="00F26644"/>
    <w:rsid w:val="00F26FCA"/>
    <w:rsid w:val="00F2753E"/>
    <w:rsid w:val="00F27F4C"/>
    <w:rsid w:val="00F323E0"/>
    <w:rsid w:val="00F33099"/>
    <w:rsid w:val="00F3383E"/>
    <w:rsid w:val="00F3457B"/>
    <w:rsid w:val="00F34824"/>
    <w:rsid w:val="00F37822"/>
    <w:rsid w:val="00F40A3C"/>
    <w:rsid w:val="00F416F4"/>
    <w:rsid w:val="00F42A72"/>
    <w:rsid w:val="00F43552"/>
    <w:rsid w:val="00F439E4"/>
    <w:rsid w:val="00F44516"/>
    <w:rsid w:val="00F452B2"/>
    <w:rsid w:val="00F465A7"/>
    <w:rsid w:val="00F468B6"/>
    <w:rsid w:val="00F50B7C"/>
    <w:rsid w:val="00F51EE6"/>
    <w:rsid w:val="00F5216F"/>
    <w:rsid w:val="00F53E95"/>
    <w:rsid w:val="00F53F8F"/>
    <w:rsid w:val="00F5417C"/>
    <w:rsid w:val="00F5495C"/>
    <w:rsid w:val="00F550E6"/>
    <w:rsid w:val="00F604B5"/>
    <w:rsid w:val="00F61046"/>
    <w:rsid w:val="00F61B69"/>
    <w:rsid w:val="00F62070"/>
    <w:rsid w:val="00F6219B"/>
    <w:rsid w:val="00F629B3"/>
    <w:rsid w:val="00F63535"/>
    <w:rsid w:val="00F640C5"/>
    <w:rsid w:val="00F64BB2"/>
    <w:rsid w:val="00F65644"/>
    <w:rsid w:val="00F66373"/>
    <w:rsid w:val="00F67856"/>
    <w:rsid w:val="00F72E0F"/>
    <w:rsid w:val="00F73FE3"/>
    <w:rsid w:val="00F74345"/>
    <w:rsid w:val="00F7480B"/>
    <w:rsid w:val="00F7512B"/>
    <w:rsid w:val="00F7514A"/>
    <w:rsid w:val="00F7524C"/>
    <w:rsid w:val="00F752BA"/>
    <w:rsid w:val="00F8081F"/>
    <w:rsid w:val="00F8082E"/>
    <w:rsid w:val="00F80A0A"/>
    <w:rsid w:val="00F81381"/>
    <w:rsid w:val="00F82B19"/>
    <w:rsid w:val="00F837AE"/>
    <w:rsid w:val="00F8388C"/>
    <w:rsid w:val="00F84172"/>
    <w:rsid w:val="00F85F43"/>
    <w:rsid w:val="00F85FA2"/>
    <w:rsid w:val="00F8662A"/>
    <w:rsid w:val="00F86A21"/>
    <w:rsid w:val="00F90AC4"/>
    <w:rsid w:val="00F9212D"/>
    <w:rsid w:val="00F95A29"/>
    <w:rsid w:val="00F96432"/>
    <w:rsid w:val="00F965DA"/>
    <w:rsid w:val="00F96B63"/>
    <w:rsid w:val="00F9705F"/>
    <w:rsid w:val="00F973A3"/>
    <w:rsid w:val="00FA0ED8"/>
    <w:rsid w:val="00FA14F6"/>
    <w:rsid w:val="00FA2DA8"/>
    <w:rsid w:val="00FA406A"/>
    <w:rsid w:val="00FA4837"/>
    <w:rsid w:val="00FA5128"/>
    <w:rsid w:val="00FA523E"/>
    <w:rsid w:val="00FA6764"/>
    <w:rsid w:val="00FA6783"/>
    <w:rsid w:val="00FA7546"/>
    <w:rsid w:val="00FA7E1E"/>
    <w:rsid w:val="00FB14BB"/>
    <w:rsid w:val="00FB2AAC"/>
    <w:rsid w:val="00FB2F7E"/>
    <w:rsid w:val="00FB346C"/>
    <w:rsid w:val="00FB503A"/>
    <w:rsid w:val="00FB516C"/>
    <w:rsid w:val="00FB586A"/>
    <w:rsid w:val="00FC0040"/>
    <w:rsid w:val="00FC036E"/>
    <w:rsid w:val="00FC0619"/>
    <w:rsid w:val="00FC0AAE"/>
    <w:rsid w:val="00FC3D4F"/>
    <w:rsid w:val="00FC4DC5"/>
    <w:rsid w:val="00FC4E7B"/>
    <w:rsid w:val="00FC64D2"/>
    <w:rsid w:val="00FC67C3"/>
    <w:rsid w:val="00FC68CA"/>
    <w:rsid w:val="00FD0236"/>
    <w:rsid w:val="00FD0326"/>
    <w:rsid w:val="00FD18F4"/>
    <w:rsid w:val="00FD1AC5"/>
    <w:rsid w:val="00FD217B"/>
    <w:rsid w:val="00FD3A81"/>
    <w:rsid w:val="00FD4A85"/>
    <w:rsid w:val="00FD4C6C"/>
    <w:rsid w:val="00FD545C"/>
    <w:rsid w:val="00FD54DB"/>
    <w:rsid w:val="00FD619F"/>
    <w:rsid w:val="00FD7807"/>
    <w:rsid w:val="00FE0058"/>
    <w:rsid w:val="00FE09CE"/>
    <w:rsid w:val="00FE21AC"/>
    <w:rsid w:val="00FE25F6"/>
    <w:rsid w:val="00FE3462"/>
    <w:rsid w:val="00FE3FF0"/>
    <w:rsid w:val="00FE5100"/>
    <w:rsid w:val="00FE59E6"/>
    <w:rsid w:val="00FE5BD7"/>
    <w:rsid w:val="00FE5D3F"/>
    <w:rsid w:val="00FE6B53"/>
    <w:rsid w:val="00FF0514"/>
    <w:rsid w:val="00FF15F5"/>
    <w:rsid w:val="00FF20D5"/>
    <w:rsid w:val="00FF4309"/>
    <w:rsid w:val="00FF490D"/>
    <w:rsid w:val="00FF4AE1"/>
    <w:rsid w:val="00FF5D16"/>
    <w:rsid w:val="00FF635E"/>
    <w:rsid w:val="00FF6820"/>
    <w:rsid w:val="00FF7ECF"/>
    <w:rsid w:val="01006CDC"/>
    <w:rsid w:val="01290F7E"/>
    <w:rsid w:val="012A1CA4"/>
    <w:rsid w:val="01401F22"/>
    <w:rsid w:val="015358E5"/>
    <w:rsid w:val="015B7E0F"/>
    <w:rsid w:val="015D1E09"/>
    <w:rsid w:val="017130A3"/>
    <w:rsid w:val="019C6ACB"/>
    <w:rsid w:val="01AA498B"/>
    <w:rsid w:val="01B73C3F"/>
    <w:rsid w:val="01D15C93"/>
    <w:rsid w:val="01D509F3"/>
    <w:rsid w:val="01E938C0"/>
    <w:rsid w:val="01ED7892"/>
    <w:rsid w:val="02127255"/>
    <w:rsid w:val="02385327"/>
    <w:rsid w:val="02697903"/>
    <w:rsid w:val="02940A97"/>
    <w:rsid w:val="02BF4DAD"/>
    <w:rsid w:val="02D8066A"/>
    <w:rsid w:val="02EE68F9"/>
    <w:rsid w:val="02F96569"/>
    <w:rsid w:val="02FA79E7"/>
    <w:rsid w:val="02FD01C7"/>
    <w:rsid w:val="03183546"/>
    <w:rsid w:val="031B0FEC"/>
    <w:rsid w:val="0354611D"/>
    <w:rsid w:val="03674414"/>
    <w:rsid w:val="03B4214F"/>
    <w:rsid w:val="03CE3B86"/>
    <w:rsid w:val="03D15A48"/>
    <w:rsid w:val="03EA7B21"/>
    <w:rsid w:val="041569BB"/>
    <w:rsid w:val="04252D6B"/>
    <w:rsid w:val="042E37E5"/>
    <w:rsid w:val="0436502F"/>
    <w:rsid w:val="04577B10"/>
    <w:rsid w:val="04651709"/>
    <w:rsid w:val="04B5649F"/>
    <w:rsid w:val="04BB3B75"/>
    <w:rsid w:val="04DE7D06"/>
    <w:rsid w:val="04DF3AE2"/>
    <w:rsid w:val="04FA1FF7"/>
    <w:rsid w:val="05433395"/>
    <w:rsid w:val="059773F6"/>
    <w:rsid w:val="05A64B8D"/>
    <w:rsid w:val="05B27AFD"/>
    <w:rsid w:val="05B75766"/>
    <w:rsid w:val="05B9698C"/>
    <w:rsid w:val="05C80C71"/>
    <w:rsid w:val="05DD4D09"/>
    <w:rsid w:val="05EB3E92"/>
    <w:rsid w:val="05F83EAE"/>
    <w:rsid w:val="061B11D2"/>
    <w:rsid w:val="063C78B2"/>
    <w:rsid w:val="063E7D85"/>
    <w:rsid w:val="067C6DEA"/>
    <w:rsid w:val="0687687D"/>
    <w:rsid w:val="06980B94"/>
    <w:rsid w:val="06A926C0"/>
    <w:rsid w:val="07004487"/>
    <w:rsid w:val="070C59AC"/>
    <w:rsid w:val="07107768"/>
    <w:rsid w:val="07166BEB"/>
    <w:rsid w:val="07212076"/>
    <w:rsid w:val="07293586"/>
    <w:rsid w:val="07295285"/>
    <w:rsid w:val="075C0016"/>
    <w:rsid w:val="07636392"/>
    <w:rsid w:val="07770C56"/>
    <w:rsid w:val="078658CC"/>
    <w:rsid w:val="078A1803"/>
    <w:rsid w:val="07C11A41"/>
    <w:rsid w:val="07F268B4"/>
    <w:rsid w:val="08032AC8"/>
    <w:rsid w:val="08135E4D"/>
    <w:rsid w:val="08251B75"/>
    <w:rsid w:val="08383FEC"/>
    <w:rsid w:val="08400C3E"/>
    <w:rsid w:val="0891298A"/>
    <w:rsid w:val="089F6FB8"/>
    <w:rsid w:val="08BD1288"/>
    <w:rsid w:val="08E03FFA"/>
    <w:rsid w:val="08E77A86"/>
    <w:rsid w:val="08FD7AC3"/>
    <w:rsid w:val="092217DD"/>
    <w:rsid w:val="092F5BB6"/>
    <w:rsid w:val="09375190"/>
    <w:rsid w:val="093A7294"/>
    <w:rsid w:val="09770943"/>
    <w:rsid w:val="097E1CD2"/>
    <w:rsid w:val="09862454"/>
    <w:rsid w:val="09BD1F4A"/>
    <w:rsid w:val="09D61D04"/>
    <w:rsid w:val="09F0358D"/>
    <w:rsid w:val="09FC3356"/>
    <w:rsid w:val="0A010C07"/>
    <w:rsid w:val="0A263993"/>
    <w:rsid w:val="0A2C27F0"/>
    <w:rsid w:val="0A2D3AC2"/>
    <w:rsid w:val="0A3A0440"/>
    <w:rsid w:val="0A486851"/>
    <w:rsid w:val="0A9856B6"/>
    <w:rsid w:val="0AA71B19"/>
    <w:rsid w:val="0AA755DF"/>
    <w:rsid w:val="0ABB324A"/>
    <w:rsid w:val="0AC40F62"/>
    <w:rsid w:val="0AC43996"/>
    <w:rsid w:val="0AD564C0"/>
    <w:rsid w:val="0AFD2C6A"/>
    <w:rsid w:val="0B09442C"/>
    <w:rsid w:val="0B120D44"/>
    <w:rsid w:val="0B1437C0"/>
    <w:rsid w:val="0B1636CA"/>
    <w:rsid w:val="0B25612B"/>
    <w:rsid w:val="0B332563"/>
    <w:rsid w:val="0B352DDB"/>
    <w:rsid w:val="0B366584"/>
    <w:rsid w:val="0B3D129B"/>
    <w:rsid w:val="0B423FBA"/>
    <w:rsid w:val="0B4B01E4"/>
    <w:rsid w:val="0B556645"/>
    <w:rsid w:val="0B6A31B7"/>
    <w:rsid w:val="0B8615DD"/>
    <w:rsid w:val="0BA96C8F"/>
    <w:rsid w:val="0BC119E4"/>
    <w:rsid w:val="0BD27BF6"/>
    <w:rsid w:val="0BE82AAE"/>
    <w:rsid w:val="0C096219"/>
    <w:rsid w:val="0C133CAD"/>
    <w:rsid w:val="0C327980"/>
    <w:rsid w:val="0C3B3C7D"/>
    <w:rsid w:val="0C812B24"/>
    <w:rsid w:val="0C86013A"/>
    <w:rsid w:val="0CAB2EAE"/>
    <w:rsid w:val="0CAE278B"/>
    <w:rsid w:val="0CF0428E"/>
    <w:rsid w:val="0D12093E"/>
    <w:rsid w:val="0D30606B"/>
    <w:rsid w:val="0D621C7D"/>
    <w:rsid w:val="0D8B4AF5"/>
    <w:rsid w:val="0DF24015"/>
    <w:rsid w:val="0DFA082A"/>
    <w:rsid w:val="0E305AD0"/>
    <w:rsid w:val="0E73034D"/>
    <w:rsid w:val="0E7B3908"/>
    <w:rsid w:val="0E8628AA"/>
    <w:rsid w:val="0EA15433"/>
    <w:rsid w:val="0EA87268"/>
    <w:rsid w:val="0EB156C0"/>
    <w:rsid w:val="0ED95707"/>
    <w:rsid w:val="0EE65A1D"/>
    <w:rsid w:val="0F13775A"/>
    <w:rsid w:val="0F25760D"/>
    <w:rsid w:val="0F2978A4"/>
    <w:rsid w:val="0F5F45FE"/>
    <w:rsid w:val="0F6B37BA"/>
    <w:rsid w:val="0F88461F"/>
    <w:rsid w:val="0F9A112B"/>
    <w:rsid w:val="0F9F430B"/>
    <w:rsid w:val="0FBC3A7B"/>
    <w:rsid w:val="0FCF2F71"/>
    <w:rsid w:val="0FEB3523"/>
    <w:rsid w:val="104564E8"/>
    <w:rsid w:val="10572E20"/>
    <w:rsid w:val="106472BB"/>
    <w:rsid w:val="106D2F64"/>
    <w:rsid w:val="10B63710"/>
    <w:rsid w:val="10BA4EBB"/>
    <w:rsid w:val="10D118D4"/>
    <w:rsid w:val="10D903C3"/>
    <w:rsid w:val="10EA4249"/>
    <w:rsid w:val="10F10820"/>
    <w:rsid w:val="111C2F7A"/>
    <w:rsid w:val="11203215"/>
    <w:rsid w:val="11292F16"/>
    <w:rsid w:val="11312AC4"/>
    <w:rsid w:val="11433620"/>
    <w:rsid w:val="115A60E0"/>
    <w:rsid w:val="11637096"/>
    <w:rsid w:val="11665CA1"/>
    <w:rsid w:val="11776981"/>
    <w:rsid w:val="118F09DA"/>
    <w:rsid w:val="1199055E"/>
    <w:rsid w:val="11B17AD2"/>
    <w:rsid w:val="11B5790C"/>
    <w:rsid w:val="11F4107D"/>
    <w:rsid w:val="120F351E"/>
    <w:rsid w:val="12312B22"/>
    <w:rsid w:val="123407D4"/>
    <w:rsid w:val="123C051C"/>
    <w:rsid w:val="129F262B"/>
    <w:rsid w:val="12AE0864"/>
    <w:rsid w:val="12AF7C93"/>
    <w:rsid w:val="131A6A4E"/>
    <w:rsid w:val="133B39FD"/>
    <w:rsid w:val="13951726"/>
    <w:rsid w:val="139748B1"/>
    <w:rsid w:val="13A26E9F"/>
    <w:rsid w:val="13D534F6"/>
    <w:rsid w:val="13E7501A"/>
    <w:rsid w:val="13FC18C5"/>
    <w:rsid w:val="14396509"/>
    <w:rsid w:val="14430814"/>
    <w:rsid w:val="145D5C24"/>
    <w:rsid w:val="14953764"/>
    <w:rsid w:val="14982D9E"/>
    <w:rsid w:val="14B46883"/>
    <w:rsid w:val="14D16A75"/>
    <w:rsid w:val="14DD2C3C"/>
    <w:rsid w:val="151313DA"/>
    <w:rsid w:val="15300997"/>
    <w:rsid w:val="1545651A"/>
    <w:rsid w:val="157A77BD"/>
    <w:rsid w:val="15852D62"/>
    <w:rsid w:val="158C4387"/>
    <w:rsid w:val="15A9604C"/>
    <w:rsid w:val="15AF75B6"/>
    <w:rsid w:val="15EE1B72"/>
    <w:rsid w:val="16014359"/>
    <w:rsid w:val="16062135"/>
    <w:rsid w:val="16087E1D"/>
    <w:rsid w:val="160F6406"/>
    <w:rsid w:val="16165A21"/>
    <w:rsid w:val="16207226"/>
    <w:rsid w:val="162B491D"/>
    <w:rsid w:val="164B7667"/>
    <w:rsid w:val="1654721C"/>
    <w:rsid w:val="1659729E"/>
    <w:rsid w:val="168240C1"/>
    <w:rsid w:val="16A16226"/>
    <w:rsid w:val="16AE7801"/>
    <w:rsid w:val="16B5089D"/>
    <w:rsid w:val="16CB727F"/>
    <w:rsid w:val="170B42F8"/>
    <w:rsid w:val="172C038A"/>
    <w:rsid w:val="17611B36"/>
    <w:rsid w:val="17701D14"/>
    <w:rsid w:val="17735226"/>
    <w:rsid w:val="179C7A7C"/>
    <w:rsid w:val="17A179A9"/>
    <w:rsid w:val="17D831D1"/>
    <w:rsid w:val="17FB0318"/>
    <w:rsid w:val="180014F9"/>
    <w:rsid w:val="18054379"/>
    <w:rsid w:val="18396F14"/>
    <w:rsid w:val="18454AC0"/>
    <w:rsid w:val="189F624C"/>
    <w:rsid w:val="18ED431E"/>
    <w:rsid w:val="19123DC9"/>
    <w:rsid w:val="191325A3"/>
    <w:rsid w:val="19164D48"/>
    <w:rsid w:val="1938676C"/>
    <w:rsid w:val="19A37CE7"/>
    <w:rsid w:val="19AA4519"/>
    <w:rsid w:val="19B90DEC"/>
    <w:rsid w:val="19C06964"/>
    <w:rsid w:val="19C96025"/>
    <w:rsid w:val="19CA2C82"/>
    <w:rsid w:val="19D271C3"/>
    <w:rsid w:val="19D61C78"/>
    <w:rsid w:val="1A1C66C0"/>
    <w:rsid w:val="1A415ECA"/>
    <w:rsid w:val="1A42393B"/>
    <w:rsid w:val="1A517304"/>
    <w:rsid w:val="1A811C27"/>
    <w:rsid w:val="1A8E79F3"/>
    <w:rsid w:val="1A944552"/>
    <w:rsid w:val="1AA760A5"/>
    <w:rsid w:val="1AAD45DE"/>
    <w:rsid w:val="1AC142C8"/>
    <w:rsid w:val="1ADB391A"/>
    <w:rsid w:val="1AE54190"/>
    <w:rsid w:val="1B046F80"/>
    <w:rsid w:val="1B1311D5"/>
    <w:rsid w:val="1B3267B5"/>
    <w:rsid w:val="1B370804"/>
    <w:rsid w:val="1B40161D"/>
    <w:rsid w:val="1B407B2F"/>
    <w:rsid w:val="1B441859"/>
    <w:rsid w:val="1B5149AD"/>
    <w:rsid w:val="1B537484"/>
    <w:rsid w:val="1B6606B1"/>
    <w:rsid w:val="1B6C0427"/>
    <w:rsid w:val="1B8221AC"/>
    <w:rsid w:val="1B8C6CA0"/>
    <w:rsid w:val="1B961204"/>
    <w:rsid w:val="1B9F46C2"/>
    <w:rsid w:val="1BD44401"/>
    <w:rsid w:val="1BD66D45"/>
    <w:rsid w:val="1BED03DD"/>
    <w:rsid w:val="1C016521"/>
    <w:rsid w:val="1C4735C3"/>
    <w:rsid w:val="1C47758B"/>
    <w:rsid w:val="1C554623"/>
    <w:rsid w:val="1C5E7925"/>
    <w:rsid w:val="1C624FC8"/>
    <w:rsid w:val="1CA0169B"/>
    <w:rsid w:val="1CA4473D"/>
    <w:rsid w:val="1CDD5327"/>
    <w:rsid w:val="1CFD070F"/>
    <w:rsid w:val="1D264C73"/>
    <w:rsid w:val="1D2E7682"/>
    <w:rsid w:val="1D3C3AC6"/>
    <w:rsid w:val="1D482233"/>
    <w:rsid w:val="1D4D5F57"/>
    <w:rsid w:val="1D540893"/>
    <w:rsid w:val="1D556AB9"/>
    <w:rsid w:val="1D5F6196"/>
    <w:rsid w:val="1D6132A5"/>
    <w:rsid w:val="1D7144EE"/>
    <w:rsid w:val="1D814D2B"/>
    <w:rsid w:val="1D8427CA"/>
    <w:rsid w:val="1D8E56D5"/>
    <w:rsid w:val="1E07084F"/>
    <w:rsid w:val="1E1C4906"/>
    <w:rsid w:val="1E3C59DC"/>
    <w:rsid w:val="1E4235C9"/>
    <w:rsid w:val="1E7A43DA"/>
    <w:rsid w:val="1E925AD7"/>
    <w:rsid w:val="1EA40295"/>
    <w:rsid w:val="1EBA3631"/>
    <w:rsid w:val="1EDD3C44"/>
    <w:rsid w:val="1F0E29CA"/>
    <w:rsid w:val="1F0F52E3"/>
    <w:rsid w:val="1F3423BB"/>
    <w:rsid w:val="1F680914"/>
    <w:rsid w:val="1F7E3F31"/>
    <w:rsid w:val="1FA94A8D"/>
    <w:rsid w:val="1FBD4FC4"/>
    <w:rsid w:val="1FC109CF"/>
    <w:rsid w:val="1FC657F4"/>
    <w:rsid w:val="1FE7539E"/>
    <w:rsid w:val="1FF96D75"/>
    <w:rsid w:val="204B5051"/>
    <w:rsid w:val="20671BE0"/>
    <w:rsid w:val="206C1CAF"/>
    <w:rsid w:val="206C7CB3"/>
    <w:rsid w:val="20963CB8"/>
    <w:rsid w:val="20A81A1B"/>
    <w:rsid w:val="20AE4F48"/>
    <w:rsid w:val="20B07FB6"/>
    <w:rsid w:val="20B646FB"/>
    <w:rsid w:val="20D76163"/>
    <w:rsid w:val="20F428E8"/>
    <w:rsid w:val="211139A9"/>
    <w:rsid w:val="211633E1"/>
    <w:rsid w:val="212627B7"/>
    <w:rsid w:val="212A3FEC"/>
    <w:rsid w:val="213221E7"/>
    <w:rsid w:val="213B74B1"/>
    <w:rsid w:val="215A2310"/>
    <w:rsid w:val="218617B3"/>
    <w:rsid w:val="21984494"/>
    <w:rsid w:val="21C039C0"/>
    <w:rsid w:val="21D67016"/>
    <w:rsid w:val="21DE318A"/>
    <w:rsid w:val="21E259BB"/>
    <w:rsid w:val="21ED62FE"/>
    <w:rsid w:val="21EF5B80"/>
    <w:rsid w:val="21F11641"/>
    <w:rsid w:val="21F86948"/>
    <w:rsid w:val="222C0CA8"/>
    <w:rsid w:val="225251F5"/>
    <w:rsid w:val="22576990"/>
    <w:rsid w:val="225A017A"/>
    <w:rsid w:val="22895CB1"/>
    <w:rsid w:val="22AA6C11"/>
    <w:rsid w:val="22AC157B"/>
    <w:rsid w:val="22B923B1"/>
    <w:rsid w:val="22F47480"/>
    <w:rsid w:val="230951C9"/>
    <w:rsid w:val="232B36BC"/>
    <w:rsid w:val="23692170"/>
    <w:rsid w:val="23785561"/>
    <w:rsid w:val="23867529"/>
    <w:rsid w:val="23903979"/>
    <w:rsid w:val="23AD381D"/>
    <w:rsid w:val="23BD5EE6"/>
    <w:rsid w:val="23C93CD6"/>
    <w:rsid w:val="23CA0CE3"/>
    <w:rsid w:val="23D50AF1"/>
    <w:rsid w:val="23D726A4"/>
    <w:rsid w:val="23DE1C48"/>
    <w:rsid w:val="23F3263F"/>
    <w:rsid w:val="240210CD"/>
    <w:rsid w:val="24211BE4"/>
    <w:rsid w:val="24316369"/>
    <w:rsid w:val="24456B8F"/>
    <w:rsid w:val="24595C83"/>
    <w:rsid w:val="248D536D"/>
    <w:rsid w:val="249F64B9"/>
    <w:rsid w:val="24BF09F7"/>
    <w:rsid w:val="24C06496"/>
    <w:rsid w:val="24CF1A29"/>
    <w:rsid w:val="24E41BF8"/>
    <w:rsid w:val="251218D9"/>
    <w:rsid w:val="25140E84"/>
    <w:rsid w:val="2526148E"/>
    <w:rsid w:val="252C4C92"/>
    <w:rsid w:val="252D53FE"/>
    <w:rsid w:val="25300387"/>
    <w:rsid w:val="25652A69"/>
    <w:rsid w:val="256C2A6E"/>
    <w:rsid w:val="25A1518D"/>
    <w:rsid w:val="25C33224"/>
    <w:rsid w:val="25D94222"/>
    <w:rsid w:val="25EC091D"/>
    <w:rsid w:val="25EC2D81"/>
    <w:rsid w:val="25ED6771"/>
    <w:rsid w:val="25FF2AF6"/>
    <w:rsid w:val="26165960"/>
    <w:rsid w:val="2643364E"/>
    <w:rsid w:val="266673AE"/>
    <w:rsid w:val="266E792E"/>
    <w:rsid w:val="26727BA2"/>
    <w:rsid w:val="26B40654"/>
    <w:rsid w:val="26D07199"/>
    <w:rsid w:val="26ED7036"/>
    <w:rsid w:val="26F10498"/>
    <w:rsid w:val="26F841AF"/>
    <w:rsid w:val="26FB5113"/>
    <w:rsid w:val="26FE366C"/>
    <w:rsid w:val="27347600"/>
    <w:rsid w:val="27372602"/>
    <w:rsid w:val="273D7DEC"/>
    <w:rsid w:val="275A0AD4"/>
    <w:rsid w:val="275D38AA"/>
    <w:rsid w:val="27684B04"/>
    <w:rsid w:val="277057A2"/>
    <w:rsid w:val="278C4A8D"/>
    <w:rsid w:val="27935C07"/>
    <w:rsid w:val="27AA7289"/>
    <w:rsid w:val="27C70A21"/>
    <w:rsid w:val="27CE7C21"/>
    <w:rsid w:val="27ED6CB2"/>
    <w:rsid w:val="28132892"/>
    <w:rsid w:val="28172A91"/>
    <w:rsid w:val="28615EBA"/>
    <w:rsid w:val="288D16E2"/>
    <w:rsid w:val="28A36292"/>
    <w:rsid w:val="28AA6110"/>
    <w:rsid w:val="28AD5E6C"/>
    <w:rsid w:val="28C46E0D"/>
    <w:rsid w:val="28E4026A"/>
    <w:rsid w:val="28F26B17"/>
    <w:rsid w:val="29017C43"/>
    <w:rsid w:val="29031575"/>
    <w:rsid w:val="29054F4A"/>
    <w:rsid w:val="29191347"/>
    <w:rsid w:val="29206EB8"/>
    <w:rsid w:val="29343933"/>
    <w:rsid w:val="2935228C"/>
    <w:rsid w:val="29365CAD"/>
    <w:rsid w:val="293E0BE4"/>
    <w:rsid w:val="293F35FB"/>
    <w:rsid w:val="29436252"/>
    <w:rsid w:val="29595666"/>
    <w:rsid w:val="295B4696"/>
    <w:rsid w:val="297443B7"/>
    <w:rsid w:val="29874881"/>
    <w:rsid w:val="29981FA2"/>
    <w:rsid w:val="299B2742"/>
    <w:rsid w:val="29BA31DE"/>
    <w:rsid w:val="29C06030"/>
    <w:rsid w:val="29D728F2"/>
    <w:rsid w:val="29E325E0"/>
    <w:rsid w:val="29E4348B"/>
    <w:rsid w:val="2A2A24F6"/>
    <w:rsid w:val="2A303B9E"/>
    <w:rsid w:val="2A394757"/>
    <w:rsid w:val="2A446114"/>
    <w:rsid w:val="2A452503"/>
    <w:rsid w:val="2A47728B"/>
    <w:rsid w:val="2A487759"/>
    <w:rsid w:val="2A5C5490"/>
    <w:rsid w:val="2A6F336E"/>
    <w:rsid w:val="2A72620E"/>
    <w:rsid w:val="2A992557"/>
    <w:rsid w:val="2ACA18B4"/>
    <w:rsid w:val="2ADF20C2"/>
    <w:rsid w:val="2B244ED0"/>
    <w:rsid w:val="2B2831AB"/>
    <w:rsid w:val="2B4D7F39"/>
    <w:rsid w:val="2B5143F2"/>
    <w:rsid w:val="2B5C0F07"/>
    <w:rsid w:val="2B640E34"/>
    <w:rsid w:val="2B680BAE"/>
    <w:rsid w:val="2B754A69"/>
    <w:rsid w:val="2BA936A8"/>
    <w:rsid w:val="2BAC37AB"/>
    <w:rsid w:val="2BE560BC"/>
    <w:rsid w:val="2C0571FE"/>
    <w:rsid w:val="2C06347A"/>
    <w:rsid w:val="2C0D06F5"/>
    <w:rsid w:val="2C182802"/>
    <w:rsid w:val="2C255853"/>
    <w:rsid w:val="2C295BA3"/>
    <w:rsid w:val="2C315A5A"/>
    <w:rsid w:val="2C4B1C25"/>
    <w:rsid w:val="2C7231D3"/>
    <w:rsid w:val="2C98004E"/>
    <w:rsid w:val="2C9D7E65"/>
    <w:rsid w:val="2CB20767"/>
    <w:rsid w:val="2CCB6BF4"/>
    <w:rsid w:val="2CCD038C"/>
    <w:rsid w:val="2CCD6B7B"/>
    <w:rsid w:val="2CDA0DF8"/>
    <w:rsid w:val="2CDD1444"/>
    <w:rsid w:val="2D2C6B8A"/>
    <w:rsid w:val="2D313441"/>
    <w:rsid w:val="2D4318BC"/>
    <w:rsid w:val="2D5D5F3E"/>
    <w:rsid w:val="2D6E041F"/>
    <w:rsid w:val="2D870282"/>
    <w:rsid w:val="2D9316A6"/>
    <w:rsid w:val="2D9E56F5"/>
    <w:rsid w:val="2DAF730C"/>
    <w:rsid w:val="2DBF7C7A"/>
    <w:rsid w:val="2DC27796"/>
    <w:rsid w:val="2DD45655"/>
    <w:rsid w:val="2DD64377"/>
    <w:rsid w:val="2DD9643E"/>
    <w:rsid w:val="2DE264B9"/>
    <w:rsid w:val="2DFF3393"/>
    <w:rsid w:val="2E1775B8"/>
    <w:rsid w:val="2E1C0A30"/>
    <w:rsid w:val="2E200B2F"/>
    <w:rsid w:val="2E3D07A8"/>
    <w:rsid w:val="2E4A6B1F"/>
    <w:rsid w:val="2E6172B7"/>
    <w:rsid w:val="2E667F96"/>
    <w:rsid w:val="2E8226AB"/>
    <w:rsid w:val="2EBA213A"/>
    <w:rsid w:val="2ED260F0"/>
    <w:rsid w:val="2EE4055D"/>
    <w:rsid w:val="2EE86580"/>
    <w:rsid w:val="2EEC2C2F"/>
    <w:rsid w:val="2F040BC6"/>
    <w:rsid w:val="2F1A3AF3"/>
    <w:rsid w:val="2F1C2207"/>
    <w:rsid w:val="2F3269C2"/>
    <w:rsid w:val="2F427EBD"/>
    <w:rsid w:val="2F63664F"/>
    <w:rsid w:val="2F69001E"/>
    <w:rsid w:val="2F696FA6"/>
    <w:rsid w:val="2F6A44E3"/>
    <w:rsid w:val="2F6B2795"/>
    <w:rsid w:val="2F7F0EC0"/>
    <w:rsid w:val="2F8C05B2"/>
    <w:rsid w:val="2F954273"/>
    <w:rsid w:val="2FBF59C6"/>
    <w:rsid w:val="2FCE165F"/>
    <w:rsid w:val="2FD065E6"/>
    <w:rsid w:val="2FD141B5"/>
    <w:rsid w:val="2FD96870"/>
    <w:rsid w:val="300C00EB"/>
    <w:rsid w:val="30106CD0"/>
    <w:rsid w:val="3049321E"/>
    <w:rsid w:val="30580BC9"/>
    <w:rsid w:val="30620E3C"/>
    <w:rsid w:val="30662CA2"/>
    <w:rsid w:val="308B6A23"/>
    <w:rsid w:val="30A961F3"/>
    <w:rsid w:val="30A973A4"/>
    <w:rsid w:val="30BD6DB1"/>
    <w:rsid w:val="30EB4781"/>
    <w:rsid w:val="31016E1B"/>
    <w:rsid w:val="311E2ED7"/>
    <w:rsid w:val="315619EE"/>
    <w:rsid w:val="315C449C"/>
    <w:rsid w:val="316A2B9E"/>
    <w:rsid w:val="317128B7"/>
    <w:rsid w:val="31B82709"/>
    <w:rsid w:val="31D05482"/>
    <w:rsid w:val="32066DFC"/>
    <w:rsid w:val="322B72BC"/>
    <w:rsid w:val="32350916"/>
    <w:rsid w:val="3239017C"/>
    <w:rsid w:val="32400B34"/>
    <w:rsid w:val="32464DF4"/>
    <w:rsid w:val="325B00F2"/>
    <w:rsid w:val="3264347C"/>
    <w:rsid w:val="3289404F"/>
    <w:rsid w:val="329E6876"/>
    <w:rsid w:val="32AE6E91"/>
    <w:rsid w:val="32BC5BD5"/>
    <w:rsid w:val="3320054D"/>
    <w:rsid w:val="332D1A72"/>
    <w:rsid w:val="333015F2"/>
    <w:rsid w:val="3349187C"/>
    <w:rsid w:val="334B6320"/>
    <w:rsid w:val="335C3DD6"/>
    <w:rsid w:val="33B74F2C"/>
    <w:rsid w:val="33C535C0"/>
    <w:rsid w:val="33D934D4"/>
    <w:rsid w:val="33E86F59"/>
    <w:rsid w:val="33E9270E"/>
    <w:rsid w:val="33FE2F6A"/>
    <w:rsid w:val="340E07E5"/>
    <w:rsid w:val="34235BF7"/>
    <w:rsid w:val="342B2ACF"/>
    <w:rsid w:val="34512304"/>
    <w:rsid w:val="345752D1"/>
    <w:rsid w:val="345900F0"/>
    <w:rsid w:val="345F1DD0"/>
    <w:rsid w:val="34602742"/>
    <w:rsid w:val="347361DD"/>
    <w:rsid w:val="34875213"/>
    <w:rsid w:val="34954ED5"/>
    <w:rsid w:val="34981599"/>
    <w:rsid w:val="34C54DCB"/>
    <w:rsid w:val="34CE4935"/>
    <w:rsid w:val="34CF2D03"/>
    <w:rsid w:val="34D825F7"/>
    <w:rsid w:val="34F8431E"/>
    <w:rsid w:val="352B4EDF"/>
    <w:rsid w:val="353B385F"/>
    <w:rsid w:val="35420DF5"/>
    <w:rsid w:val="354D7197"/>
    <w:rsid w:val="355D5318"/>
    <w:rsid w:val="3586368F"/>
    <w:rsid w:val="358C5FA8"/>
    <w:rsid w:val="359D681A"/>
    <w:rsid w:val="35A225CC"/>
    <w:rsid w:val="35C15DF1"/>
    <w:rsid w:val="35CE6E72"/>
    <w:rsid w:val="35D33208"/>
    <w:rsid w:val="35E545D8"/>
    <w:rsid w:val="35F17901"/>
    <w:rsid w:val="35FC3233"/>
    <w:rsid w:val="36074A7F"/>
    <w:rsid w:val="360F7866"/>
    <w:rsid w:val="364308A1"/>
    <w:rsid w:val="366077F7"/>
    <w:rsid w:val="36923549"/>
    <w:rsid w:val="36AE64FA"/>
    <w:rsid w:val="36B75FBF"/>
    <w:rsid w:val="36BD0C45"/>
    <w:rsid w:val="36CA5E88"/>
    <w:rsid w:val="36CB6131"/>
    <w:rsid w:val="36D24B8A"/>
    <w:rsid w:val="36D54521"/>
    <w:rsid w:val="36EF7FA1"/>
    <w:rsid w:val="37823F9B"/>
    <w:rsid w:val="379230F7"/>
    <w:rsid w:val="37953409"/>
    <w:rsid w:val="37DEDBE7"/>
    <w:rsid w:val="37E00298"/>
    <w:rsid w:val="37EF1B97"/>
    <w:rsid w:val="383C789F"/>
    <w:rsid w:val="3843243C"/>
    <w:rsid w:val="385D5EC1"/>
    <w:rsid w:val="386F6A8A"/>
    <w:rsid w:val="38783495"/>
    <w:rsid w:val="38B302F9"/>
    <w:rsid w:val="38D46DA4"/>
    <w:rsid w:val="38F12CD3"/>
    <w:rsid w:val="38F668DA"/>
    <w:rsid w:val="38F94775"/>
    <w:rsid w:val="39172380"/>
    <w:rsid w:val="39215CF8"/>
    <w:rsid w:val="392971ED"/>
    <w:rsid w:val="39325651"/>
    <w:rsid w:val="395A05A6"/>
    <w:rsid w:val="39655B5E"/>
    <w:rsid w:val="39901589"/>
    <w:rsid w:val="39B20220"/>
    <w:rsid w:val="39B85527"/>
    <w:rsid w:val="39BF0FF2"/>
    <w:rsid w:val="39C615F7"/>
    <w:rsid w:val="39E63A0E"/>
    <w:rsid w:val="39EC3C67"/>
    <w:rsid w:val="39F8742C"/>
    <w:rsid w:val="3A3A52AE"/>
    <w:rsid w:val="3A8278E3"/>
    <w:rsid w:val="3A872856"/>
    <w:rsid w:val="3AAB5EAA"/>
    <w:rsid w:val="3ABC6542"/>
    <w:rsid w:val="3B2C1E5F"/>
    <w:rsid w:val="3B315AA3"/>
    <w:rsid w:val="3B3763D1"/>
    <w:rsid w:val="3B435887"/>
    <w:rsid w:val="3B436010"/>
    <w:rsid w:val="3B477FE4"/>
    <w:rsid w:val="3B7F2EDB"/>
    <w:rsid w:val="3B916565"/>
    <w:rsid w:val="3B967805"/>
    <w:rsid w:val="3BF976A8"/>
    <w:rsid w:val="3C183CF6"/>
    <w:rsid w:val="3C1A079D"/>
    <w:rsid w:val="3C2C4ED9"/>
    <w:rsid w:val="3C2F6E1E"/>
    <w:rsid w:val="3C4F64BA"/>
    <w:rsid w:val="3C5944ED"/>
    <w:rsid w:val="3C653A04"/>
    <w:rsid w:val="3C905526"/>
    <w:rsid w:val="3CC00628"/>
    <w:rsid w:val="3CDA245A"/>
    <w:rsid w:val="3CF17790"/>
    <w:rsid w:val="3D1E06B7"/>
    <w:rsid w:val="3D233DA0"/>
    <w:rsid w:val="3D28353E"/>
    <w:rsid w:val="3D353D9C"/>
    <w:rsid w:val="3D3F4BF5"/>
    <w:rsid w:val="3D4B63AD"/>
    <w:rsid w:val="3D4D1F0E"/>
    <w:rsid w:val="3D681143"/>
    <w:rsid w:val="3D796BA7"/>
    <w:rsid w:val="3D7E58FE"/>
    <w:rsid w:val="3D803FDD"/>
    <w:rsid w:val="3D9E4A34"/>
    <w:rsid w:val="3DD26709"/>
    <w:rsid w:val="3DDA2699"/>
    <w:rsid w:val="3DE232B3"/>
    <w:rsid w:val="3DF05DFB"/>
    <w:rsid w:val="3E0E7D76"/>
    <w:rsid w:val="3E105CF5"/>
    <w:rsid w:val="3E1727C2"/>
    <w:rsid w:val="3E2C3754"/>
    <w:rsid w:val="3E2E6861"/>
    <w:rsid w:val="3E3728CC"/>
    <w:rsid w:val="3E5B601D"/>
    <w:rsid w:val="3EC729D2"/>
    <w:rsid w:val="3ED2391C"/>
    <w:rsid w:val="3ED74FB2"/>
    <w:rsid w:val="3EDA0523"/>
    <w:rsid w:val="3EE63927"/>
    <w:rsid w:val="3EF33651"/>
    <w:rsid w:val="3F146F59"/>
    <w:rsid w:val="3F2C1441"/>
    <w:rsid w:val="3F456187"/>
    <w:rsid w:val="3F4E73E2"/>
    <w:rsid w:val="3F6F14CA"/>
    <w:rsid w:val="3F8A4432"/>
    <w:rsid w:val="3FCC6AD3"/>
    <w:rsid w:val="40195AA0"/>
    <w:rsid w:val="401F0E33"/>
    <w:rsid w:val="4025518E"/>
    <w:rsid w:val="40420085"/>
    <w:rsid w:val="406004F0"/>
    <w:rsid w:val="407A6407"/>
    <w:rsid w:val="407C0FF4"/>
    <w:rsid w:val="40B063F1"/>
    <w:rsid w:val="40CB03E2"/>
    <w:rsid w:val="40CC3F3B"/>
    <w:rsid w:val="40D22A04"/>
    <w:rsid w:val="40E131E4"/>
    <w:rsid w:val="41197E1C"/>
    <w:rsid w:val="414A7BE9"/>
    <w:rsid w:val="414B4ED3"/>
    <w:rsid w:val="41503DF8"/>
    <w:rsid w:val="416548C8"/>
    <w:rsid w:val="41740ED8"/>
    <w:rsid w:val="417C4544"/>
    <w:rsid w:val="41932D5F"/>
    <w:rsid w:val="41933E35"/>
    <w:rsid w:val="41A013A6"/>
    <w:rsid w:val="41ED6A1D"/>
    <w:rsid w:val="4200449D"/>
    <w:rsid w:val="42064791"/>
    <w:rsid w:val="422B010C"/>
    <w:rsid w:val="423A3BCC"/>
    <w:rsid w:val="424E57D2"/>
    <w:rsid w:val="42582262"/>
    <w:rsid w:val="42982B9A"/>
    <w:rsid w:val="42991C6E"/>
    <w:rsid w:val="42AA0E2E"/>
    <w:rsid w:val="42B26C49"/>
    <w:rsid w:val="42DF1F61"/>
    <w:rsid w:val="430255DA"/>
    <w:rsid w:val="431C5E12"/>
    <w:rsid w:val="432A5FEB"/>
    <w:rsid w:val="433A6FE6"/>
    <w:rsid w:val="43447CFB"/>
    <w:rsid w:val="43480868"/>
    <w:rsid w:val="4350713C"/>
    <w:rsid w:val="4354433E"/>
    <w:rsid w:val="436653E0"/>
    <w:rsid w:val="437E54D1"/>
    <w:rsid w:val="43832BEB"/>
    <w:rsid w:val="438F65AA"/>
    <w:rsid w:val="439239B0"/>
    <w:rsid w:val="439A5211"/>
    <w:rsid w:val="43C4431A"/>
    <w:rsid w:val="43C80C84"/>
    <w:rsid w:val="43E0544C"/>
    <w:rsid w:val="43E674EB"/>
    <w:rsid w:val="4407211B"/>
    <w:rsid w:val="441C2582"/>
    <w:rsid w:val="447E010C"/>
    <w:rsid w:val="4482672A"/>
    <w:rsid w:val="44B760ED"/>
    <w:rsid w:val="44B951CC"/>
    <w:rsid w:val="44C24001"/>
    <w:rsid w:val="44CD14E0"/>
    <w:rsid w:val="44D34F97"/>
    <w:rsid w:val="44F20B0B"/>
    <w:rsid w:val="45047459"/>
    <w:rsid w:val="4509520B"/>
    <w:rsid w:val="45151268"/>
    <w:rsid w:val="45246A6A"/>
    <w:rsid w:val="452E5F4C"/>
    <w:rsid w:val="454730AA"/>
    <w:rsid w:val="45612018"/>
    <w:rsid w:val="458946E9"/>
    <w:rsid w:val="459839E7"/>
    <w:rsid w:val="45A47C0E"/>
    <w:rsid w:val="45A94F17"/>
    <w:rsid w:val="45C214DC"/>
    <w:rsid w:val="45DB1349"/>
    <w:rsid w:val="45E13892"/>
    <w:rsid w:val="45E466C6"/>
    <w:rsid w:val="462311BE"/>
    <w:rsid w:val="4627539B"/>
    <w:rsid w:val="46352D06"/>
    <w:rsid w:val="46577FD6"/>
    <w:rsid w:val="4665773F"/>
    <w:rsid w:val="46791601"/>
    <w:rsid w:val="46B601E8"/>
    <w:rsid w:val="46D955A7"/>
    <w:rsid w:val="46DC7396"/>
    <w:rsid w:val="46F1460B"/>
    <w:rsid w:val="46FC477B"/>
    <w:rsid w:val="46FC671A"/>
    <w:rsid w:val="47106EB3"/>
    <w:rsid w:val="47133957"/>
    <w:rsid w:val="472B0AFF"/>
    <w:rsid w:val="47771EF7"/>
    <w:rsid w:val="477E0B12"/>
    <w:rsid w:val="4786648E"/>
    <w:rsid w:val="478D08F6"/>
    <w:rsid w:val="47A07E0C"/>
    <w:rsid w:val="47B9392A"/>
    <w:rsid w:val="47BF5F95"/>
    <w:rsid w:val="47EA65AF"/>
    <w:rsid w:val="47ED13D2"/>
    <w:rsid w:val="48054872"/>
    <w:rsid w:val="482E53F7"/>
    <w:rsid w:val="4848383F"/>
    <w:rsid w:val="48691418"/>
    <w:rsid w:val="48697273"/>
    <w:rsid w:val="4870272E"/>
    <w:rsid w:val="4878209F"/>
    <w:rsid w:val="48847F4B"/>
    <w:rsid w:val="48914789"/>
    <w:rsid w:val="48996D4F"/>
    <w:rsid w:val="48AC4427"/>
    <w:rsid w:val="48B92DDD"/>
    <w:rsid w:val="48C76A0A"/>
    <w:rsid w:val="48D27C88"/>
    <w:rsid w:val="48DA48AF"/>
    <w:rsid w:val="48E746FE"/>
    <w:rsid w:val="4920007B"/>
    <w:rsid w:val="49306CF7"/>
    <w:rsid w:val="493405A1"/>
    <w:rsid w:val="49374589"/>
    <w:rsid w:val="49490E9D"/>
    <w:rsid w:val="49962760"/>
    <w:rsid w:val="49B21BF7"/>
    <w:rsid w:val="49BA2BF6"/>
    <w:rsid w:val="49D76D86"/>
    <w:rsid w:val="49DC7715"/>
    <w:rsid w:val="49DD22B3"/>
    <w:rsid w:val="49E8181E"/>
    <w:rsid w:val="49FE5A21"/>
    <w:rsid w:val="4A023139"/>
    <w:rsid w:val="4A1B698A"/>
    <w:rsid w:val="4A2D727E"/>
    <w:rsid w:val="4A781BBC"/>
    <w:rsid w:val="4A7B576F"/>
    <w:rsid w:val="4A872255"/>
    <w:rsid w:val="4A88667D"/>
    <w:rsid w:val="4AA14F64"/>
    <w:rsid w:val="4AD062B4"/>
    <w:rsid w:val="4AD0631F"/>
    <w:rsid w:val="4ADD6DDC"/>
    <w:rsid w:val="4AF561A9"/>
    <w:rsid w:val="4AFD60D2"/>
    <w:rsid w:val="4B193685"/>
    <w:rsid w:val="4B45347A"/>
    <w:rsid w:val="4B7A5427"/>
    <w:rsid w:val="4B9B52C9"/>
    <w:rsid w:val="4BA307D8"/>
    <w:rsid w:val="4BAF1680"/>
    <w:rsid w:val="4BB41A6E"/>
    <w:rsid w:val="4BB845FC"/>
    <w:rsid w:val="4BE72BA6"/>
    <w:rsid w:val="4C193AAC"/>
    <w:rsid w:val="4C1E1275"/>
    <w:rsid w:val="4C217E97"/>
    <w:rsid w:val="4C2A5F04"/>
    <w:rsid w:val="4C442DA4"/>
    <w:rsid w:val="4C4A0649"/>
    <w:rsid w:val="4C553801"/>
    <w:rsid w:val="4C562469"/>
    <w:rsid w:val="4C647576"/>
    <w:rsid w:val="4C7E5ECA"/>
    <w:rsid w:val="4C876AA5"/>
    <w:rsid w:val="4C9065CA"/>
    <w:rsid w:val="4CA60DF6"/>
    <w:rsid w:val="4CAF1BFD"/>
    <w:rsid w:val="4CE63D02"/>
    <w:rsid w:val="4D0D6AD6"/>
    <w:rsid w:val="4D0E00FB"/>
    <w:rsid w:val="4D176606"/>
    <w:rsid w:val="4D1924DA"/>
    <w:rsid w:val="4D2A7F9F"/>
    <w:rsid w:val="4D403D15"/>
    <w:rsid w:val="4D4B799A"/>
    <w:rsid w:val="4D573309"/>
    <w:rsid w:val="4D8640E4"/>
    <w:rsid w:val="4DB445A3"/>
    <w:rsid w:val="4DEC4FB0"/>
    <w:rsid w:val="4DEC5244"/>
    <w:rsid w:val="4DF57316"/>
    <w:rsid w:val="4E075D8A"/>
    <w:rsid w:val="4E1D22C3"/>
    <w:rsid w:val="4E210361"/>
    <w:rsid w:val="4E243209"/>
    <w:rsid w:val="4E4F5C8F"/>
    <w:rsid w:val="4E535FE9"/>
    <w:rsid w:val="4E56748D"/>
    <w:rsid w:val="4E8668C8"/>
    <w:rsid w:val="4EA55097"/>
    <w:rsid w:val="4EB24A8B"/>
    <w:rsid w:val="4EC00FAD"/>
    <w:rsid w:val="4EF37A83"/>
    <w:rsid w:val="4EFBB63F"/>
    <w:rsid w:val="4EFD63A6"/>
    <w:rsid w:val="4F0C7280"/>
    <w:rsid w:val="4F1848BF"/>
    <w:rsid w:val="4F45619C"/>
    <w:rsid w:val="4F6103DF"/>
    <w:rsid w:val="4F75499B"/>
    <w:rsid w:val="4F7571F3"/>
    <w:rsid w:val="4F9019D3"/>
    <w:rsid w:val="4F9843DC"/>
    <w:rsid w:val="4FA1496A"/>
    <w:rsid w:val="4FAA4CCE"/>
    <w:rsid w:val="4FC62A8C"/>
    <w:rsid w:val="4FDA7692"/>
    <w:rsid w:val="4FE20F0D"/>
    <w:rsid w:val="4FE51552"/>
    <w:rsid w:val="4FE830DF"/>
    <w:rsid w:val="4FEB7C22"/>
    <w:rsid w:val="4FED59C3"/>
    <w:rsid w:val="50093A31"/>
    <w:rsid w:val="504463DE"/>
    <w:rsid w:val="50504C4B"/>
    <w:rsid w:val="506C2314"/>
    <w:rsid w:val="509C6E7C"/>
    <w:rsid w:val="50A57ED2"/>
    <w:rsid w:val="50D16BEB"/>
    <w:rsid w:val="51092004"/>
    <w:rsid w:val="510E1DC6"/>
    <w:rsid w:val="51242E11"/>
    <w:rsid w:val="51321B17"/>
    <w:rsid w:val="51477654"/>
    <w:rsid w:val="51587E73"/>
    <w:rsid w:val="516173F4"/>
    <w:rsid w:val="5162104E"/>
    <w:rsid w:val="5162710C"/>
    <w:rsid w:val="518C48C2"/>
    <w:rsid w:val="518E3399"/>
    <w:rsid w:val="51932B8B"/>
    <w:rsid w:val="51995953"/>
    <w:rsid w:val="51A86240"/>
    <w:rsid w:val="51E67C06"/>
    <w:rsid w:val="52055572"/>
    <w:rsid w:val="523429E2"/>
    <w:rsid w:val="523B5BF4"/>
    <w:rsid w:val="52412007"/>
    <w:rsid w:val="524C7F31"/>
    <w:rsid w:val="527D55D2"/>
    <w:rsid w:val="528B6209"/>
    <w:rsid w:val="529424E0"/>
    <w:rsid w:val="529B3470"/>
    <w:rsid w:val="52A51A42"/>
    <w:rsid w:val="52AC0BB4"/>
    <w:rsid w:val="52E21BD3"/>
    <w:rsid w:val="52E32B37"/>
    <w:rsid w:val="53072A50"/>
    <w:rsid w:val="530B1E2B"/>
    <w:rsid w:val="53103235"/>
    <w:rsid w:val="53116E11"/>
    <w:rsid w:val="53130725"/>
    <w:rsid w:val="53346836"/>
    <w:rsid w:val="53383312"/>
    <w:rsid w:val="533C2689"/>
    <w:rsid w:val="534671A5"/>
    <w:rsid w:val="534E76D0"/>
    <w:rsid w:val="535351A4"/>
    <w:rsid w:val="535359C1"/>
    <w:rsid w:val="536D0B6C"/>
    <w:rsid w:val="536F1AF1"/>
    <w:rsid w:val="53724F7E"/>
    <w:rsid w:val="53A039CC"/>
    <w:rsid w:val="53A1505A"/>
    <w:rsid w:val="53D9325C"/>
    <w:rsid w:val="53E75832"/>
    <w:rsid w:val="53F90724"/>
    <w:rsid w:val="54063E08"/>
    <w:rsid w:val="54172318"/>
    <w:rsid w:val="54244949"/>
    <w:rsid w:val="543437E8"/>
    <w:rsid w:val="54383463"/>
    <w:rsid w:val="54433F49"/>
    <w:rsid w:val="54505920"/>
    <w:rsid w:val="545C616C"/>
    <w:rsid w:val="54625B3C"/>
    <w:rsid w:val="54642849"/>
    <w:rsid w:val="549A3C00"/>
    <w:rsid w:val="54BE7BAF"/>
    <w:rsid w:val="54D1254F"/>
    <w:rsid w:val="54E45912"/>
    <w:rsid w:val="54F73313"/>
    <w:rsid w:val="54F80955"/>
    <w:rsid w:val="555170A7"/>
    <w:rsid w:val="55547D94"/>
    <w:rsid w:val="5587536D"/>
    <w:rsid w:val="559B174B"/>
    <w:rsid w:val="55CD7B80"/>
    <w:rsid w:val="55CE0CF4"/>
    <w:rsid w:val="560C7F1B"/>
    <w:rsid w:val="5617659C"/>
    <w:rsid w:val="562053F1"/>
    <w:rsid w:val="563E43DE"/>
    <w:rsid w:val="565004E0"/>
    <w:rsid w:val="565E5857"/>
    <w:rsid w:val="56867584"/>
    <w:rsid w:val="56913A6E"/>
    <w:rsid w:val="56AA6B2A"/>
    <w:rsid w:val="56AB791C"/>
    <w:rsid w:val="56B22A9C"/>
    <w:rsid w:val="56B60A9F"/>
    <w:rsid w:val="56DF6FE0"/>
    <w:rsid w:val="56EF79C6"/>
    <w:rsid w:val="56F85FE4"/>
    <w:rsid w:val="570374BC"/>
    <w:rsid w:val="57441DA0"/>
    <w:rsid w:val="574C31FE"/>
    <w:rsid w:val="576A06DD"/>
    <w:rsid w:val="577D2ADE"/>
    <w:rsid w:val="57851490"/>
    <w:rsid w:val="578862F2"/>
    <w:rsid w:val="57AE3C8F"/>
    <w:rsid w:val="57B72A76"/>
    <w:rsid w:val="57C3426C"/>
    <w:rsid w:val="57CE1F93"/>
    <w:rsid w:val="57EF15D6"/>
    <w:rsid w:val="580F1C59"/>
    <w:rsid w:val="582A1FB8"/>
    <w:rsid w:val="58437F71"/>
    <w:rsid w:val="58513A4F"/>
    <w:rsid w:val="585743BA"/>
    <w:rsid w:val="586A4381"/>
    <w:rsid w:val="58787CEC"/>
    <w:rsid w:val="587E6DDD"/>
    <w:rsid w:val="588743D1"/>
    <w:rsid w:val="5887701A"/>
    <w:rsid w:val="589C718D"/>
    <w:rsid w:val="58CC1DD5"/>
    <w:rsid w:val="58E47E7A"/>
    <w:rsid w:val="58FF5E32"/>
    <w:rsid w:val="59060076"/>
    <w:rsid w:val="59386E8A"/>
    <w:rsid w:val="5939714A"/>
    <w:rsid w:val="59570D4A"/>
    <w:rsid w:val="59597EA9"/>
    <w:rsid w:val="59C0439F"/>
    <w:rsid w:val="59C70154"/>
    <w:rsid w:val="59CA2953"/>
    <w:rsid w:val="59CE7C0D"/>
    <w:rsid w:val="59F1513B"/>
    <w:rsid w:val="5A250C8C"/>
    <w:rsid w:val="5A3C47D2"/>
    <w:rsid w:val="5A6B1741"/>
    <w:rsid w:val="5A6E49AC"/>
    <w:rsid w:val="5A71146B"/>
    <w:rsid w:val="5A85641E"/>
    <w:rsid w:val="5AB60DA6"/>
    <w:rsid w:val="5ABE2233"/>
    <w:rsid w:val="5ACF5442"/>
    <w:rsid w:val="5AD25735"/>
    <w:rsid w:val="5AE5559D"/>
    <w:rsid w:val="5AF3382E"/>
    <w:rsid w:val="5AF4640F"/>
    <w:rsid w:val="5B3057AE"/>
    <w:rsid w:val="5B3620C1"/>
    <w:rsid w:val="5B38234F"/>
    <w:rsid w:val="5B6730BA"/>
    <w:rsid w:val="5B865637"/>
    <w:rsid w:val="5BA15BC1"/>
    <w:rsid w:val="5BB7265E"/>
    <w:rsid w:val="5BC52233"/>
    <w:rsid w:val="5BD447F2"/>
    <w:rsid w:val="5BDF5D95"/>
    <w:rsid w:val="5BE5444A"/>
    <w:rsid w:val="5BFE7528"/>
    <w:rsid w:val="5C175C70"/>
    <w:rsid w:val="5C2E3259"/>
    <w:rsid w:val="5C8D3328"/>
    <w:rsid w:val="5C966047"/>
    <w:rsid w:val="5C997804"/>
    <w:rsid w:val="5C9B135A"/>
    <w:rsid w:val="5C9C0A5E"/>
    <w:rsid w:val="5CC17509"/>
    <w:rsid w:val="5CE23071"/>
    <w:rsid w:val="5CF70F97"/>
    <w:rsid w:val="5CFE48F8"/>
    <w:rsid w:val="5D61517E"/>
    <w:rsid w:val="5D7E0FB5"/>
    <w:rsid w:val="5D924CD8"/>
    <w:rsid w:val="5DAF1A8D"/>
    <w:rsid w:val="5DB36BAF"/>
    <w:rsid w:val="5DE83BB5"/>
    <w:rsid w:val="5DEA5CEA"/>
    <w:rsid w:val="5E0668FA"/>
    <w:rsid w:val="5E2467F1"/>
    <w:rsid w:val="5E2A63F5"/>
    <w:rsid w:val="5E4802C0"/>
    <w:rsid w:val="5E5A1D87"/>
    <w:rsid w:val="5E7F19F0"/>
    <w:rsid w:val="5E84796A"/>
    <w:rsid w:val="5EA33181"/>
    <w:rsid w:val="5EB11CF2"/>
    <w:rsid w:val="5EB3A11B"/>
    <w:rsid w:val="5EBB28D4"/>
    <w:rsid w:val="5EBE1BA3"/>
    <w:rsid w:val="5ECC2821"/>
    <w:rsid w:val="5ED0072D"/>
    <w:rsid w:val="5EDB6653"/>
    <w:rsid w:val="5EEF2F05"/>
    <w:rsid w:val="5F1A2B43"/>
    <w:rsid w:val="5F363471"/>
    <w:rsid w:val="5F4E40F1"/>
    <w:rsid w:val="5F662053"/>
    <w:rsid w:val="5F72660D"/>
    <w:rsid w:val="5F8B3350"/>
    <w:rsid w:val="5F8C2096"/>
    <w:rsid w:val="5FB837BB"/>
    <w:rsid w:val="5FBF5F43"/>
    <w:rsid w:val="5FE819C6"/>
    <w:rsid w:val="5FF45B5E"/>
    <w:rsid w:val="5FF96929"/>
    <w:rsid w:val="600940B7"/>
    <w:rsid w:val="602412D8"/>
    <w:rsid w:val="602468BE"/>
    <w:rsid w:val="60657A39"/>
    <w:rsid w:val="6074368E"/>
    <w:rsid w:val="607A184D"/>
    <w:rsid w:val="60850922"/>
    <w:rsid w:val="608E27F6"/>
    <w:rsid w:val="60957C4A"/>
    <w:rsid w:val="609C290E"/>
    <w:rsid w:val="60B763F1"/>
    <w:rsid w:val="60B92ABA"/>
    <w:rsid w:val="60CC405A"/>
    <w:rsid w:val="610641C3"/>
    <w:rsid w:val="613F3440"/>
    <w:rsid w:val="61424EF8"/>
    <w:rsid w:val="6158094F"/>
    <w:rsid w:val="616F20C0"/>
    <w:rsid w:val="618952CB"/>
    <w:rsid w:val="61C333AD"/>
    <w:rsid w:val="61CC7B83"/>
    <w:rsid w:val="61D220F5"/>
    <w:rsid w:val="61E215D8"/>
    <w:rsid w:val="61FC1052"/>
    <w:rsid w:val="62126DA1"/>
    <w:rsid w:val="621400C2"/>
    <w:rsid w:val="621B3775"/>
    <w:rsid w:val="6222317D"/>
    <w:rsid w:val="62364782"/>
    <w:rsid w:val="623B3F47"/>
    <w:rsid w:val="623B5771"/>
    <w:rsid w:val="62434ADF"/>
    <w:rsid w:val="627C2152"/>
    <w:rsid w:val="627F3F7A"/>
    <w:rsid w:val="62A73D48"/>
    <w:rsid w:val="62B2070D"/>
    <w:rsid w:val="62CC6FFE"/>
    <w:rsid w:val="63013D19"/>
    <w:rsid w:val="6327272E"/>
    <w:rsid w:val="632F7340"/>
    <w:rsid w:val="633D3005"/>
    <w:rsid w:val="638211D9"/>
    <w:rsid w:val="63824F12"/>
    <w:rsid w:val="6394356A"/>
    <w:rsid w:val="63BA6ADF"/>
    <w:rsid w:val="63C61B2C"/>
    <w:rsid w:val="63D40BE9"/>
    <w:rsid w:val="63E127D3"/>
    <w:rsid w:val="63E20B56"/>
    <w:rsid w:val="63F43B6C"/>
    <w:rsid w:val="63F60C57"/>
    <w:rsid w:val="63FF7D37"/>
    <w:rsid w:val="64054057"/>
    <w:rsid w:val="64102431"/>
    <w:rsid w:val="643404D6"/>
    <w:rsid w:val="646411BF"/>
    <w:rsid w:val="646A3A55"/>
    <w:rsid w:val="647D1467"/>
    <w:rsid w:val="64A5243A"/>
    <w:rsid w:val="64CF5C76"/>
    <w:rsid w:val="64F531DE"/>
    <w:rsid w:val="64F5727F"/>
    <w:rsid w:val="651C782C"/>
    <w:rsid w:val="65212E15"/>
    <w:rsid w:val="65373578"/>
    <w:rsid w:val="65735B4A"/>
    <w:rsid w:val="65847385"/>
    <w:rsid w:val="65965A5C"/>
    <w:rsid w:val="659C0A23"/>
    <w:rsid w:val="65C1037D"/>
    <w:rsid w:val="65C2283F"/>
    <w:rsid w:val="65D478CB"/>
    <w:rsid w:val="65EA481E"/>
    <w:rsid w:val="66044D7F"/>
    <w:rsid w:val="66244167"/>
    <w:rsid w:val="66263585"/>
    <w:rsid w:val="664B10E0"/>
    <w:rsid w:val="66682BBA"/>
    <w:rsid w:val="66771309"/>
    <w:rsid w:val="66806B1C"/>
    <w:rsid w:val="669F61BA"/>
    <w:rsid w:val="66AC349F"/>
    <w:rsid w:val="66BD6321"/>
    <w:rsid w:val="67072B35"/>
    <w:rsid w:val="67182879"/>
    <w:rsid w:val="671B5AC7"/>
    <w:rsid w:val="671F124A"/>
    <w:rsid w:val="674D1789"/>
    <w:rsid w:val="67621ADB"/>
    <w:rsid w:val="67657F31"/>
    <w:rsid w:val="67792AA5"/>
    <w:rsid w:val="677A33C6"/>
    <w:rsid w:val="677C75D7"/>
    <w:rsid w:val="678A2509"/>
    <w:rsid w:val="67FEBA71"/>
    <w:rsid w:val="6801085E"/>
    <w:rsid w:val="680131E1"/>
    <w:rsid w:val="68096ED6"/>
    <w:rsid w:val="68100798"/>
    <w:rsid w:val="681F6961"/>
    <w:rsid w:val="6831496B"/>
    <w:rsid w:val="68351778"/>
    <w:rsid w:val="68610A2F"/>
    <w:rsid w:val="686132CC"/>
    <w:rsid w:val="68805514"/>
    <w:rsid w:val="688E372A"/>
    <w:rsid w:val="68A551F2"/>
    <w:rsid w:val="68AC0A56"/>
    <w:rsid w:val="68AE7972"/>
    <w:rsid w:val="68C70FBB"/>
    <w:rsid w:val="68D06EB5"/>
    <w:rsid w:val="690333A3"/>
    <w:rsid w:val="69112CDD"/>
    <w:rsid w:val="692646DB"/>
    <w:rsid w:val="69316E2F"/>
    <w:rsid w:val="69412931"/>
    <w:rsid w:val="694E2071"/>
    <w:rsid w:val="69506176"/>
    <w:rsid w:val="695532FF"/>
    <w:rsid w:val="69766163"/>
    <w:rsid w:val="697A3B33"/>
    <w:rsid w:val="697F1FC5"/>
    <w:rsid w:val="69820AD5"/>
    <w:rsid w:val="69D44760"/>
    <w:rsid w:val="69DE67EB"/>
    <w:rsid w:val="69DF521F"/>
    <w:rsid w:val="69FC00FD"/>
    <w:rsid w:val="6A0E3DE5"/>
    <w:rsid w:val="6A14220C"/>
    <w:rsid w:val="6A310DC4"/>
    <w:rsid w:val="6A511895"/>
    <w:rsid w:val="6A520EC7"/>
    <w:rsid w:val="6A5657EC"/>
    <w:rsid w:val="6A815404"/>
    <w:rsid w:val="6AA965DA"/>
    <w:rsid w:val="6AD72377"/>
    <w:rsid w:val="6AE609CB"/>
    <w:rsid w:val="6AF87E20"/>
    <w:rsid w:val="6B0E4459"/>
    <w:rsid w:val="6B137E01"/>
    <w:rsid w:val="6B2D5DC9"/>
    <w:rsid w:val="6B322639"/>
    <w:rsid w:val="6B5A793D"/>
    <w:rsid w:val="6B643B2E"/>
    <w:rsid w:val="6B76089C"/>
    <w:rsid w:val="6B860764"/>
    <w:rsid w:val="6B8C2905"/>
    <w:rsid w:val="6B8D2B41"/>
    <w:rsid w:val="6BBB3EEF"/>
    <w:rsid w:val="6BDF3567"/>
    <w:rsid w:val="6C0252F9"/>
    <w:rsid w:val="6C1843C8"/>
    <w:rsid w:val="6C253354"/>
    <w:rsid w:val="6C262B3F"/>
    <w:rsid w:val="6C4608EC"/>
    <w:rsid w:val="6C4D7A31"/>
    <w:rsid w:val="6C4F217D"/>
    <w:rsid w:val="6C5874F1"/>
    <w:rsid w:val="6C636C38"/>
    <w:rsid w:val="6C663EF4"/>
    <w:rsid w:val="6C7513DB"/>
    <w:rsid w:val="6CAD39B8"/>
    <w:rsid w:val="6CC03A88"/>
    <w:rsid w:val="6CC353E2"/>
    <w:rsid w:val="6CFE684F"/>
    <w:rsid w:val="6D0752D9"/>
    <w:rsid w:val="6D1F5A62"/>
    <w:rsid w:val="6D347BEF"/>
    <w:rsid w:val="6D4D1522"/>
    <w:rsid w:val="6D4E37EC"/>
    <w:rsid w:val="6DB34098"/>
    <w:rsid w:val="6DB545B6"/>
    <w:rsid w:val="6DE02FB4"/>
    <w:rsid w:val="6DF24E62"/>
    <w:rsid w:val="6E011BAF"/>
    <w:rsid w:val="6E046624"/>
    <w:rsid w:val="6E2C7DF3"/>
    <w:rsid w:val="6E3F3A44"/>
    <w:rsid w:val="6E514CED"/>
    <w:rsid w:val="6E6D724E"/>
    <w:rsid w:val="6E860CB5"/>
    <w:rsid w:val="6E9D5437"/>
    <w:rsid w:val="6EAD2F48"/>
    <w:rsid w:val="6EB563D5"/>
    <w:rsid w:val="6EBA6BFE"/>
    <w:rsid w:val="6EBB0024"/>
    <w:rsid w:val="6EBF506A"/>
    <w:rsid w:val="6ED47AF0"/>
    <w:rsid w:val="6ED92677"/>
    <w:rsid w:val="6EE26A09"/>
    <w:rsid w:val="6EF605E0"/>
    <w:rsid w:val="6F1201EA"/>
    <w:rsid w:val="6F1F7441"/>
    <w:rsid w:val="6F222B05"/>
    <w:rsid w:val="6F225983"/>
    <w:rsid w:val="6F237C1E"/>
    <w:rsid w:val="6F3F1A84"/>
    <w:rsid w:val="6F4D54AE"/>
    <w:rsid w:val="6F5E3EDD"/>
    <w:rsid w:val="6F6E2C83"/>
    <w:rsid w:val="6F7301AC"/>
    <w:rsid w:val="6FA54C05"/>
    <w:rsid w:val="6FFC5590"/>
    <w:rsid w:val="6FFD3FBC"/>
    <w:rsid w:val="70275E98"/>
    <w:rsid w:val="702A27D6"/>
    <w:rsid w:val="705014B2"/>
    <w:rsid w:val="706D1DD0"/>
    <w:rsid w:val="707B57D0"/>
    <w:rsid w:val="70856B87"/>
    <w:rsid w:val="709C765E"/>
    <w:rsid w:val="70B15EE2"/>
    <w:rsid w:val="70BC0AFE"/>
    <w:rsid w:val="70D527EE"/>
    <w:rsid w:val="70D93DF1"/>
    <w:rsid w:val="70E71681"/>
    <w:rsid w:val="70F66B19"/>
    <w:rsid w:val="7119076D"/>
    <w:rsid w:val="711F21FB"/>
    <w:rsid w:val="71284039"/>
    <w:rsid w:val="71296848"/>
    <w:rsid w:val="712E6759"/>
    <w:rsid w:val="7136738A"/>
    <w:rsid w:val="714B67C4"/>
    <w:rsid w:val="715B5300"/>
    <w:rsid w:val="715F1760"/>
    <w:rsid w:val="71A2769C"/>
    <w:rsid w:val="71A8699F"/>
    <w:rsid w:val="71CB577F"/>
    <w:rsid w:val="71D27F8A"/>
    <w:rsid w:val="71F0549F"/>
    <w:rsid w:val="71FA0CC8"/>
    <w:rsid w:val="72483283"/>
    <w:rsid w:val="72521BCC"/>
    <w:rsid w:val="72553024"/>
    <w:rsid w:val="72566E3A"/>
    <w:rsid w:val="72B20275"/>
    <w:rsid w:val="72B75832"/>
    <w:rsid w:val="72C41983"/>
    <w:rsid w:val="72E35292"/>
    <w:rsid w:val="73021687"/>
    <w:rsid w:val="73122968"/>
    <w:rsid w:val="731F5D5E"/>
    <w:rsid w:val="732706D6"/>
    <w:rsid w:val="7333015E"/>
    <w:rsid w:val="738F6912"/>
    <w:rsid w:val="739F4FD1"/>
    <w:rsid w:val="73A90589"/>
    <w:rsid w:val="73B602BC"/>
    <w:rsid w:val="73C51AD5"/>
    <w:rsid w:val="73E71F8A"/>
    <w:rsid w:val="7408572B"/>
    <w:rsid w:val="741436C7"/>
    <w:rsid w:val="741E793C"/>
    <w:rsid w:val="743D1890"/>
    <w:rsid w:val="744A5F19"/>
    <w:rsid w:val="74574AB2"/>
    <w:rsid w:val="745E3944"/>
    <w:rsid w:val="746D1AD1"/>
    <w:rsid w:val="748B51D3"/>
    <w:rsid w:val="749B4724"/>
    <w:rsid w:val="74A21723"/>
    <w:rsid w:val="74A409D8"/>
    <w:rsid w:val="74AF164D"/>
    <w:rsid w:val="74F701F7"/>
    <w:rsid w:val="75084021"/>
    <w:rsid w:val="75136657"/>
    <w:rsid w:val="75380ED3"/>
    <w:rsid w:val="755F502B"/>
    <w:rsid w:val="75636322"/>
    <w:rsid w:val="756D55D4"/>
    <w:rsid w:val="756E193E"/>
    <w:rsid w:val="759767E4"/>
    <w:rsid w:val="75A22432"/>
    <w:rsid w:val="75AC6173"/>
    <w:rsid w:val="75CD5807"/>
    <w:rsid w:val="762942C8"/>
    <w:rsid w:val="7635099D"/>
    <w:rsid w:val="763A743D"/>
    <w:rsid w:val="763E0E8A"/>
    <w:rsid w:val="76532874"/>
    <w:rsid w:val="766174C9"/>
    <w:rsid w:val="76627EAC"/>
    <w:rsid w:val="76632C22"/>
    <w:rsid w:val="76671779"/>
    <w:rsid w:val="768D6827"/>
    <w:rsid w:val="76B54DA1"/>
    <w:rsid w:val="76D91588"/>
    <w:rsid w:val="76DC665C"/>
    <w:rsid w:val="76FB51C3"/>
    <w:rsid w:val="77210038"/>
    <w:rsid w:val="77371C08"/>
    <w:rsid w:val="773C5288"/>
    <w:rsid w:val="77412B5F"/>
    <w:rsid w:val="77762421"/>
    <w:rsid w:val="7789695F"/>
    <w:rsid w:val="77954BFB"/>
    <w:rsid w:val="77B17617"/>
    <w:rsid w:val="77B55368"/>
    <w:rsid w:val="77B56B1F"/>
    <w:rsid w:val="77C365DD"/>
    <w:rsid w:val="77D705FB"/>
    <w:rsid w:val="77E25681"/>
    <w:rsid w:val="77E62CCF"/>
    <w:rsid w:val="77EE6D4F"/>
    <w:rsid w:val="77F765C2"/>
    <w:rsid w:val="77FF6BF1"/>
    <w:rsid w:val="780F09F4"/>
    <w:rsid w:val="785D48BE"/>
    <w:rsid w:val="78645FBB"/>
    <w:rsid w:val="78666EB4"/>
    <w:rsid w:val="789C24B7"/>
    <w:rsid w:val="78A90480"/>
    <w:rsid w:val="78CB0CFE"/>
    <w:rsid w:val="78CD59CF"/>
    <w:rsid w:val="78E22A85"/>
    <w:rsid w:val="78E4552F"/>
    <w:rsid w:val="78ED0042"/>
    <w:rsid w:val="7907138B"/>
    <w:rsid w:val="79096BA0"/>
    <w:rsid w:val="791609D6"/>
    <w:rsid w:val="791E5F67"/>
    <w:rsid w:val="791F1447"/>
    <w:rsid w:val="792C1D88"/>
    <w:rsid w:val="794053ED"/>
    <w:rsid w:val="794A5FC0"/>
    <w:rsid w:val="79586B66"/>
    <w:rsid w:val="79604C65"/>
    <w:rsid w:val="79644AEE"/>
    <w:rsid w:val="79746585"/>
    <w:rsid w:val="7997352D"/>
    <w:rsid w:val="79995D77"/>
    <w:rsid w:val="79A8276A"/>
    <w:rsid w:val="79A867B2"/>
    <w:rsid w:val="79B77455"/>
    <w:rsid w:val="79C13F35"/>
    <w:rsid w:val="79D036F8"/>
    <w:rsid w:val="79D24BD5"/>
    <w:rsid w:val="79F51031"/>
    <w:rsid w:val="7A1B298D"/>
    <w:rsid w:val="7A364017"/>
    <w:rsid w:val="7A394EA1"/>
    <w:rsid w:val="7A3C76C9"/>
    <w:rsid w:val="7A791A9F"/>
    <w:rsid w:val="7A8265E1"/>
    <w:rsid w:val="7A826971"/>
    <w:rsid w:val="7A99403B"/>
    <w:rsid w:val="7AAD33C4"/>
    <w:rsid w:val="7AAD5D73"/>
    <w:rsid w:val="7AB97C43"/>
    <w:rsid w:val="7AEB5FE8"/>
    <w:rsid w:val="7B0F26C6"/>
    <w:rsid w:val="7B16688B"/>
    <w:rsid w:val="7B271B19"/>
    <w:rsid w:val="7B36060B"/>
    <w:rsid w:val="7B3A3C13"/>
    <w:rsid w:val="7B3B484B"/>
    <w:rsid w:val="7B56263A"/>
    <w:rsid w:val="7B68151B"/>
    <w:rsid w:val="7B686D42"/>
    <w:rsid w:val="7B754D61"/>
    <w:rsid w:val="7B7F24FE"/>
    <w:rsid w:val="7B841746"/>
    <w:rsid w:val="7B963516"/>
    <w:rsid w:val="7BB46CAF"/>
    <w:rsid w:val="7BC6535F"/>
    <w:rsid w:val="7BC90FB4"/>
    <w:rsid w:val="7BD05F67"/>
    <w:rsid w:val="7BDF2F25"/>
    <w:rsid w:val="7BEC7F4A"/>
    <w:rsid w:val="7BF0E7F7"/>
    <w:rsid w:val="7C271B12"/>
    <w:rsid w:val="7C2E4CA5"/>
    <w:rsid w:val="7C304C34"/>
    <w:rsid w:val="7C6C5AC7"/>
    <w:rsid w:val="7CAE0BEC"/>
    <w:rsid w:val="7CB36AF7"/>
    <w:rsid w:val="7CBB570B"/>
    <w:rsid w:val="7CBF3AA4"/>
    <w:rsid w:val="7CC6544B"/>
    <w:rsid w:val="7CEC2C00"/>
    <w:rsid w:val="7CEC35E2"/>
    <w:rsid w:val="7D0239FF"/>
    <w:rsid w:val="7D0F04E4"/>
    <w:rsid w:val="7D2A1778"/>
    <w:rsid w:val="7D5E40CD"/>
    <w:rsid w:val="7D756E23"/>
    <w:rsid w:val="7D7C54AD"/>
    <w:rsid w:val="7DC35DEC"/>
    <w:rsid w:val="7DCD28A1"/>
    <w:rsid w:val="7DCD56F2"/>
    <w:rsid w:val="7DD74B52"/>
    <w:rsid w:val="7E316221"/>
    <w:rsid w:val="7E502A04"/>
    <w:rsid w:val="7E5A2ABB"/>
    <w:rsid w:val="7E6873EC"/>
    <w:rsid w:val="7E773161"/>
    <w:rsid w:val="7E7F64E4"/>
    <w:rsid w:val="7E8625A3"/>
    <w:rsid w:val="7EAD6CCE"/>
    <w:rsid w:val="7ECB216C"/>
    <w:rsid w:val="7EFC4D30"/>
    <w:rsid w:val="7F001CE7"/>
    <w:rsid w:val="7F04708D"/>
    <w:rsid w:val="7F140FF3"/>
    <w:rsid w:val="7F1A4C54"/>
    <w:rsid w:val="7F227F82"/>
    <w:rsid w:val="7F7172B0"/>
    <w:rsid w:val="7FB13183"/>
    <w:rsid w:val="7FB42419"/>
    <w:rsid w:val="7FD50AE5"/>
    <w:rsid w:val="7FD7476A"/>
    <w:rsid w:val="7FE47E50"/>
    <w:rsid w:val="B5BEF47A"/>
    <w:rsid w:val="B94FB108"/>
    <w:rsid w:val="BFB7F5CA"/>
    <w:rsid w:val="D5F5AA54"/>
    <w:rsid w:val="D776E98F"/>
    <w:rsid w:val="F195BFE7"/>
    <w:rsid w:val="F9FF1871"/>
    <w:rsid w:val="FFAF00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qFormat="1" w:unhideWhenUsed="0" w:uiPriority="39"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99"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22"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qFormat/>
    <w:locked/>
    <w:uiPriority w:val="0"/>
    <w:pPr>
      <w:keepNext/>
      <w:keepLines/>
      <w:spacing w:before="260" w:after="260" w:line="416" w:lineRule="auto"/>
      <w:outlineLvl w:val="1"/>
    </w:pPr>
    <w:rPr>
      <w:rFonts w:ascii="Arial" w:hAnsi="Arial" w:eastAsia="黑体"/>
      <w:b/>
      <w:bCs/>
      <w:kern w:val="0"/>
      <w:sz w:val="32"/>
      <w:szCs w:val="32"/>
    </w:rPr>
  </w:style>
  <w:style w:type="paragraph" w:styleId="7">
    <w:name w:val="heading 3"/>
    <w:basedOn w:val="1"/>
    <w:next w:val="1"/>
    <w:link w:val="40"/>
    <w:qFormat/>
    <w:locked/>
    <w:uiPriority w:val="0"/>
    <w:pPr>
      <w:keepNext/>
      <w:keepLines/>
      <w:spacing w:before="260" w:after="260" w:line="416" w:lineRule="auto"/>
      <w:outlineLvl w:val="2"/>
    </w:pPr>
    <w:rPr>
      <w:b/>
      <w:bCs/>
      <w:sz w:val="32"/>
      <w:szCs w:val="32"/>
    </w:rPr>
  </w:style>
  <w:style w:type="paragraph" w:styleId="8">
    <w:name w:val="heading 4"/>
    <w:basedOn w:val="1"/>
    <w:next w:val="1"/>
    <w:qFormat/>
    <w:locked/>
    <w:uiPriority w:val="0"/>
    <w:pPr>
      <w:keepNext/>
      <w:keepLines/>
      <w:spacing w:before="280" w:after="290" w:line="376" w:lineRule="auto"/>
      <w:outlineLvl w:val="3"/>
    </w:pPr>
    <w:rPr>
      <w:rFonts w:ascii="Arial" w:hAnsi="Arial" w:eastAsia="黑体"/>
      <w:b/>
      <w:bCs/>
      <w:sz w:val="28"/>
      <w:szCs w:val="28"/>
    </w:rPr>
  </w:style>
  <w:style w:type="character" w:default="1" w:styleId="34">
    <w:name w:val="Default Paragraph Font"/>
    <w:semiHidden/>
    <w:qFormat/>
    <w:uiPriority w:val="0"/>
  </w:style>
  <w:style w:type="table" w:default="1" w:styleId="32">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locked/>
    <w:uiPriority w:val="0"/>
    <w:pPr>
      <w:spacing w:line="480" w:lineRule="exact"/>
      <w:ind w:firstLine="420" w:firstLineChars="200"/>
    </w:pPr>
  </w:style>
  <w:style w:type="paragraph" w:styleId="3">
    <w:name w:val="Body Text Indent"/>
    <w:basedOn w:val="1"/>
    <w:next w:val="4"/>
    <w:link w:val="45"/>
    <w:qFormat/>
    <w:uiPriority w:val="0"/>
    <w:pPr>
      <w:spacing w:after="120"/>
      <w:ind w:left="420" w:leftChars="200"/>
    </w:pPr>
    <w:rPr>
      <w:kern w:val="0"/>
      <w:sz w:val="24"/>
      <w:szCs w:val="20"/>
    </w:rPr>
  </w:style>
  <w:style w:type="paragraph" w:styleId="4">
    <w:name w:val="envelope return"/>
    <w:basedOn w:val="1"/>
    <w:qFormat/>
    <w:locked/>
    <w:uiPriority w:val="0"/>
    <w:pPr>
      <w:widowControl/>
    </w:pPr>
    <w:rPr>
      <w:kern w:val="0"/>
      <w:sz w:val="22"/>
      <w:szCs w:val="20"/>
      <w:lang w:val="en-GB" w:eastAsia="en-US"/>
    </w:rPr>
  </w:style>
  <w:style w:type="paragraph" w:styleId="9">
    <w:name w:val="Normal Indent"/>
    <w:basedOn w:val="1"/>
    <w:next w:val="10"/>
    <w:link w:val="41"/>
    <w:qFormat/>
    <w:locked/>
    <w:uiPriority w:val="0"/>
    <w:pPr>
      <w:ind w:firstLine="420"/>
    </w:pPr>
    <w:rPr>
      <w:szCs w:val="20"/>
    </w:rPr>
  </w:style>
  <w:style w:type="paragraph" w:styleId="10">
    <w:name w:val="Body Text"/>
    <w:basedOn w:val="1"/>
    <w:next w:val="11"/>
    <w:link w:val="43"/>
    <w:qFormat/>
    <w:uiPriority w:val="0"/>
    <w:pPr>
      <w:widowControl/>
      <w:snapToGrid w:val="0"/>
      <w:spacing w:before="60" w:after="160" w:line="259" w:lineRule="auto"/>
      <w:ind w:right="113"/>
    </w:pPr>
    <w:rPr>
      <w:kern w:val="0"/>
      <w:sz w:val="18"/>
      <w:szCs w:val="20"/>
    </w:rPr>
  </w:style>
  <w:style w:type="paragraph" w:customStyle="1" w:styleId="11">
    <w:name w:val="xl27"/>
    <w:basedOn w:val="1"/>
    <w:next w:val="12"/>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Arial Unicode MS"/>
      <w:kern w:val="0"/>
      <w:szCs w:val="21"/>
    </w:rPr>
  </w:style>
  <w:style w:type="paragraph" w:customStyle="1" w:styleId="12">
    <w:name w:val="A正文"/>
    <w:basedOn w:val="13"/>
    <w:next w:val="10"/>
    <w:qFormat/>
    <w:uiPriority w:val="0"/>
    <w:pPr>
      <w:overflowPunct w:val="0"/>
      <w:autoSpaceDE w:val="0"/>
      <w:autoSpaceDN w:val="0"/>
      <w:textAlignment w:val="baseline"/>
    </w:pPr>
  </w:style>
  <w:style w:type="paragraph" w:customStyle="1" w:styleId="13">
    <w:name w:val="正文格式"/>
    <w:basedOn w:val="1"/>
    <w:next w:val="14"/>
    <w:qFormat/>
    <w:uiPriority w:val="0"/>
    <w:pPr>
      <w:widowControl/>
      <w:ind w:firstLine="482"/>
      <w:jc w:val="left"/>
    </w:pPr>
    <w:rPr>
      <w:rFonts w:ascii="宋体" w:hAnsi="Calibri"/>
    </w:rPr>
  </w:style>
  <w:style w:type="paragraph" w:styleId="14">
    <w:name w:val="List Paragraph"/>
    <w:basedOn w:val="1"/>
    <w:link w:val="44"/>
    <w:qFormat/>
    <w:uiPriority w:val="34"/>
    <w:pPr>
      <w:ind w:firstLine="420" w:firstLineChars="200"/>
    </w:pPr>
    <w:rPr>
      <w:rFonts w:ascii="Calibri" w:hAnsi="Calibri"/>
      <w:szCs w:val="22"/>
    </w:rPr>
  </w:style>
  <w:style w:type="paragraph" w:styleId="15">
    <w:name w:val="annotation text"/>
    <w:basedOn w:val="1"/>
    <w:link w:val="42"/>
    <w:qFormat/>
    <w:uiPriority w:val="99"/>
    <w:pPr>
      <w:jc w:val="left"/>
    </w:pPr>
    <w:rPr>
      <w:kern w:val="0"/>
      <w:sz w:val="24"/>
      <w:szCs w:val="20"/>
    </w:rPr>
  </w:style>
  <w:style w:type="paragraph" w:styleId="16">
    <w:name w:val="toc 3"/>
    <w:basedOn w:val="1"/>
    <w:next w:val="1"/>
    <w:qFormat/>
    <w:locked/>
    <w:uiPriority w:val="0"/>
    <w:pPr>
      <w:ind w:left="840" w:leftChars="400"/>
    </w:pPr>
  </w:style>
  <w:style w:type="paragraph" w:styleId="17">
    <w:name w:val="Plain Text"/>
    <w:basedOn w:val="1"/>
    <w:next w:val="18"/>
    <w:link w:val="46"/>
    <w:qFormat/>
    <w:locked/>
    <w:uiPriority w:val="0"/>
    <w:rPr>
      <w:rFonts w:ascii="宋体" w:hAnsi="Courier New"/>
      <w:sz w:val="20"/>
      <w:szCs w:val="20"/>
    </w:rPr>
  </w:style>
  <w:style w:type="paragraph" w:styleId="18">
    <w:name w:val="toc 1"/>
    <w:basedOn w:val="1"/>
    <w:next w:val="1"/>
    <w:qFormat/>
    <w:locked/>
    <w:uiPriority w:val="39"/>
    <w:pPr>
      <w:tabs>
        <w:tab w:val="right" w:leader="dot" w:pos="7920"/>
      </w:tabs>
      <w:adjustRightInd w:val="0"/>
      <w:spacing w:before="120" w:after="120"/>
      <w:ind w:right="1620" w:rightChars="600"/>
      <w:jc w:val="center"/>
    </w:pPr>
    <w:rPr>
      <w:b/>
      <w:bCs/>
      <w:caps/>
      <w:sz w:val="20"/>
    </w:rPr>
  </w:style>
  <w:style w:type="paragraph" w:styleId="19">
    <w:name w:val="Date"/>
    <w:basedOn w:val="1"/>
    <w:next w:val="1"/>
    <w:link w:val="47"/>
    <w:qFormat/>
    <w:uiPriority w:val="0"/>
    <w:pPr>
      <w:ind w:left="100" w:leftChars="2500"/>
    </w:pPr>
    <w:rPr>
      <w:kern w:val="0"/>
      <w:sz w:val="24"/>
      <w:szCs w:val="20"/>
    </w:rPr>
  </w:style>
  <w:style w:type="paragraph" w:styleId="20">
    <w:name w:val="Body Text Indent 2"/>
    <w:basedOn w:val="1"/>
    <w:link w:val="48"/>
    <w:qFormat/>
    <w:locked/>
    <w:uiPriority w:val="0"/>
    <w:pPr>
      <w:spacing w:after="120" w:line="480" w:lineRule="auto"/>
      <w:ind w:left="420" w:leftChars="200"/>
    </w:pPr>
  </w:style>
  <w:style w:type="paragraph" w:styleId="21">
    <w:name w:val="Balloon Text"/>
    <w:basedOn w:val="1"/>
    <w:link w:val="49"/>
    <w:semiHidden/>
    <w:qFormat/>
    <w:uiPriority w:val="0"/>
    <w:rPr>
      <w:kern w:val="0"/>
      <w:sz w:val="18"/>
      <w:szCs w:val="20"/>
    </w:rPr>
  </w:style>
  <w:style w:type="paragraph" w:styleId="22">
    <w:name w:val="footer"/>
    <w:basedOn w:val="1"/>
    <w:link w:val="50"/>
    <w:qFormat/>
    <w:uiPriority w:val="99"/>
    <w:pPr>
      <w:tabs>
        <w:tab w:val="center" w:pos="4153"/>
        <w:tab w:val="right" w:pos="8306"/>
      </w:tabs>
      <w:snapToGrid w:val="0"/>
      <w:jc w:val="left"/>
    </w:pPr>
    <w:rPr>
      <w:kern w:val="0"/>
      <w:sz w:val="18"/>
      <w:szCs w:val="20"/>
    </w:rPr>
  </w:style>
  <w:style w:type="paragraph" w:styleId="23">
    <w:name w:val="header"/>
    <w:basedOn w:val="1"/>
    <w:link w:val="51"/>
    <w:qFormat/>
    <w:uiPriority w:val="0"/>
    <w:pPr>
      <w:pBdr>
        <w:bottom w:val="single" w:color="auto" w:sz="6" w:space="1"/>
      </w:pBdr>
      <w:tabs>
        <w:tab w:val="center" w:pos="4153"/>
        <w:tab w:val="right" w:pos="8306"/>
      </w:tabs>
      <w:snapToGrid w:val="0"/>
      <w:jc w:val="center"/>
    </w:pPr>
    <w:rPr>
      <w:kern w:val="0"/>
      <w:sz w:val="18"/>
      <w:szCs w:val="20"/>
    </w:rPr>
  </w:style>
  <w:style w:type="paragraph" w:styleId="24">
    <w:name w:val="Body Text Indent 3"/>
    <w:basedOn w:val="1"/>
    <w:link w:val="52"/>
    <w:qFormat/>
    <w:locked/>
    <w:uiPriority w:val="0"/>
    <w:pPr>
      <w:spacing w:after="120"/>
      <w:ind w:left="420" w:leftChars="200"/>
    </w:pPr>
    <w:rPr>
      <w:sz w:val="16"/>
      <w:szCs w:val="16"/>
    </w:rPr>
  </w:style>
  <w:style w:type="paragraph" w:styleId="25">
    <w:name w:val="toc 2"/>
    <w:basedOn w:val="1"/>
    <w:next w:val="1"/>
    <w:qFormat/>
    <w:locked/>
    <w:uiPriority w:val="0"/>
    <w:pPr>
      <w:ind w:left="420" w:leftChars="200"/>
    </w:pPr>
  </w:style>
  <w:style w:type="paragraph" w:styleId="26">
    <w:name w:val="toc 9"/>
    <w:basedOn w:val="1"/>
    <w:next w:val="1"/>
    <w:qFormat/>
    <w:locked/>
    <w:uiPriority w:val="39"/>
    <w:pPr>
      <w:ind w:left="3360" w:leftChars="1600"/>
    </w:pPr>
  </w:style>
  <w:style w:type="paragraph" w:styleId="27">
    <w:name w:val="Body Text 2"/>
    <w:basedOn w:val="1"/>
    <w:qFormat/>
    <w:locked/>
    <w:uiPriority w:val="0"/>
    <w:pPr>
      <w:spacing w:line="480" w:lineRule="exact"/>
    </w:pPr>
    <w:rPr>
      <w:bCs/>
      <w:sz w:val="28"/>
    </w:rPr>
  </w:style>
  <w:style w:type="paragraph" w:styleId="28">
    <w:name w:val="HTML Preformatted"/>
    <w:basedOn w:val="1"/>
    <w:unhideWhenUsed/>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29">
    <w:name w:val="Normal (Web)"/>
    <w:basedOn w:val="1"/>
    <w:link w:val="53"/>
    <w:qFormat/>
    <w:uiPriority w:val="0"/>
    <w:pPr>
      <w:widowControl/>
      <w:spacing w:before="100" w:beforeAutospacing="1" w:after="100" w:afterAutospacing="1"/>
      <w:jc w:val="left"/>
    </w:pPr>
    <w:rPr>
      <w:rFonts w:ascii="宋体" w:hAnsi="宋体"/>
      <w:kern w:val="0"/>
      <w:sz w:val="24"/>
      <w:szCs w:val="20"/>
    </w:rPr>
  </w:style>
  <w:style w:type="paragraph" w:styleId="30">
    <w:name w:val="annotation subject"/>
    <w:basedOn w:val="15"/>
    <w:next w:val="15"/>
    <w:link w:val="54"/>
    <w:semiHidden/>
    <w:qFormat/>
    <w:uiPriority w:val="0"/>
    <w:rPr>
      <w:b/>
    </w:rPr>
  </w:style>
  <w:style w:type="paragraph" w:styleId="31">
    <w:name w:val="Body Text First Indent"/>
    <w:basedOn w:val="10"/>
    <w:next w:val="1"/>
    <w:qFormat/>
    <w:locked/>
    <w:uiPriority w:val="0"/>
    <w:pPr>
      <w:spacing w:after="120"/>
      <w:ind w:firstLine="420"/>
    </w:pPr>
    <w:rPr>
      <w:sz w:val="21"/>
    </w:rPr>
  </w:style>
  <w:style w:type="table" w:styleId="33">
    <w:name w:val="Table Grid"/>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5">
    <w:name w:val="Strong"/>
    <w:qFormat/>
    <w:locked/>
    <w:uiPriority w:val="22"/>
    <w:rPr>
      <w:b/>
      <w:bCs/>
    </w:rPr>
  </w:style>
  <w:style w:type="character" w:styleId="36">
    <w:name w:val="page number"/>
    <w:qFormat/>
    <w:locked/>
    <w:uiPriority w:val="0"/>
  </w:style>
  <w:style w:type="character" w:styleId="37">
    <w:name w:val="Emphasis"/>
    <w:qFormat/>
    <w:locked/>
    <w:uiPriority w:val="0"/>
    <w:rPr>
      <w:rFonts w:ascii="仿宋_GB2312" w:hAnsi="仿宋_GB2312" w:eastAsia="仿宋_GB2312" w:cs="仿宋_GB2312"/>
      <w:iCs/>
      <w:sz w:val="32"/>
      <w:szCs w:val="32"/>
    </w:rPr>
  </w:style>
  <w:style w:type="character" w:styleId="38">
    <w:name w:val="Hyperlink"/>
    <w:unhideWhenUsed/>
    <w:qFormat/>
    <w:locked/>
    <w:uiPriority w:val="99"/>
    <w:rPr>
      <w:color w:val="0563C1"/>
      <w:u w:val="single"/>
    </w:rPr>
  </w:style>
  <w:style w:type="character" w:styleId="39">
    <w:name w:val="annotation reference"/>
    <w:qFormat/>
    <w:uiPriority w:val="99"/>
    <w:rPr>
      <w:sz w:val="21"/>
    </w:rPr>
  </w:style>
  <w:style w:type="character" w:customStyle="1" w:styleId="40">
    <w:name w:val="标题 3 Char"/>
    <w:link w:val="7"/>
    <w:semiHidden/>
    <w:qFormat/>
    <w:uiPriority w:val="0"/>
    <w:rPr>
      <w:b/>
      <w:bCs/>
      <w:kern w:val="2"/>
      <w:sz w:val="32"/>
      <w:szCs w:val="32"/>
    </w:rPr>
  </w:style>
  <w:style w:type="character" w:customStyle="1" w:styleId="41">
    <w:name w:val="正文缩进 Char"/>
    <w:link w:val="9"/>
    <w:qFormat/>
    <w:uiPriority w:val="0"/>
    <w:rPr>
      <w:kern w:val="2"/>
      <w:sz w:val="21"/>
    </w:rPr>
  </w:style>
  <w:style w:type="character" w:customStyle="1" w:styleId="42">
    <w:name w:val="批注文字 Char"/>
    <w:link w:val="15"/>
    <w:qFormat/>
    <w:locked/>
    <w:uiPriority w:val="99"/>
    <w:rPr>
      <w:rFonts w:ascii="Times New Roman" w:hAnsi="Times New Roman" w:eastAsia="宋体"/>
      <w:sz w:val="24"/>
    </w:rPr>
  </w:style>
  <w:style w:type="character" w:customStyle="1" w:styleId="43">
    <w:name w:val="正文文本 Char"/>
    <w:link w:val="10"/>
    <w:qFormat/>
    <w:locked/>
    <w:uiPriority w:val="0"/>
    <w:rPr>
      <w:sz w:val="18"/>
    </w:rPr>
  </w:style>
  <w:style w:type="character" w:customStyle="1" w:styleId="44">
    <w:name w:val="列出段落 Char"/>
    <w:link w:val="14"/>
    <w:qFormat/>
    <w:locked/>
    <w:uiPriority w:val="0"/>
    <w:rPr>
      <w:rFonts w:ascii="Calibri" w:hAnsi="Calibri"/>
      <w:kern w:val="2"/>
      <w:sz w:val="21"/>
      <w:szCs w:val="22"/>
    </w:rPr>
  </w:style>
  <w:style w:type="character" w:customStyle="1" w:styleId="45">
    <w:name w:val="正文文本缩进 Char"/>
    <w:link w:val="3"/>
    <w:semiHidden/>
    <w:qFormat/>
    <w:locked/>
    <w:uiPriority w:val="0"/>
    <w:rPr>
      <w:rFonts w:ascii="Times New Roman" w:hAnsi="Times New Roman" w:eastAsia="宋体"/>
      <w:sz w:val="24"/>
    </w:rPr>
  </w:style>
  <w:style w:type="character" w:customStyle="1" w:styleId="46">
    <w:name w:val="纯文本 Char"/>
    <w:link w:val="17"/>
    <w:qFormat/>
    <w:uiPriority w:val="0"/>
    <w:rPr>
      <w:rFonts w:ascii="宋体" w:hAnsi="Courier New"/>
      <w:kern w:val="2"/>
    </w:rPr>
  </w:style>
  <w:style w:type="character" w:customStyle="1" w:styleId="47">
    <w:name w:val="日期 Char"/>
    <w:link w:val="19"/>
    <w:qFormat/>
    <w:locked/>
    <w:uiPriority w:val="0"/>
    <w:rPr>
      <w:rFonts w:ascii="Times New Roman" w:hAnsi="Times New Roman" w:eastAsia="宋体"/>
      <w:sz w:val="24"/>
    </w:rPr>
  </w:style>
  <w:style w:type="character" w:customStyle="1" w:styleId="48">
    <w:name w:val="正文文本缩进 2 Char"/>
    <w:link w:val="20"/>
    <w:qFormat/>
    <w:uiPriority w:val="0"/>
    <w:rPr>
      <w:kern w:val="2"/>
      <w:sz w:val="21"/>
      <w:szCs w:val="24"/>
    </w:rPr>
  </w:style>
  <w:style w:type="character" w:customStyle="1" w:styleId="49">
    <w:name w:val="批注框文本 Char"/>
    <w:link w:val="21"/>
    <w:semiHidden/>
    <w:qFormat/>
    <w:locked/>
    <w:uiPriority w:val="0"/>
    <w:rPr>
      <w:rFonts w:ascii="Times New Roman" w:hAnsi="Times New Roman" w:eastAsia="宋体"/>
      <w:sz w:val="18"/>
    </w:rPr>
  </w:style>
  <w:style w:type="character" w:customStyle="1" w:styleId="50">
    <w:name w:val="页脚 Char"/>
    <w:link w:val="22"/>
    <w:qFormat/>
    <w:locked/>
    <w:uiPriority w:val="99"/>
    <w:rPr>
      <w:sz w:val="18"/>
    </w:rPr>
  </w:style>
  <w:style w:type="character" w:customStyle="1" w:styleId="51">
    <w:name w:val="页眉 Char"/>
    <w:link w:val="23"/>
    <w:qFormat/>
    <w:locked/>
    <w:uiPriority w:val="0"/>
    <w:rPr>
      <w:sz w:val="18"/>
    </w:rPr>
  </w:style>
  <w:style w:type="character" w:customStyle="1" w:styleId="52">
    <w:name w:val="正文文本缩进 3 Char"/>
    <w:link w:val="24"/>
    <w:qFormat/>
    <w:uiPriority w:val="0"/>
    <w:rPr>
      <w:kern w:val="2"/>
      <w:sz w:val="16"/>
      <w:szCs w:val="16"/>
    </w:rPr>
  </w:style>
  <w:style w:type="character" w:customStyle="1" w:styleId="53">
    <w:name w:val="普通(网站) Char"/>
    <w:link w:val="29"/>
    <w:qFormat/>
    <w:locked/>
    <w:uiPriority w:val="0"/>
    <w:rPr>
      <w:rFonts w:ascii="宋体" w:hAnsi="宋体" w:eastAsia="宋体"/>
      <w:sz w:val="24"/>
    </w:rPr>
  </w:style>
  <w:style w:type="character" w:customStyle="1" w:styleId="54">
    <w:name w:val="批注主题 Char"/>
    <w:link w:val="30"/>
    <w:semiHidden/>
    <w:qFormat/>
    <w:locked/>
    <w:uiPriority w:val="0"/>
    <w:rPr>
      <w:rFonts w:ascii="Times New Roman" w:hAnsi="Times New Roman" w:eastAsia="宋体"/>
      <w:b/>
      <w:kern w:val="2"/>
      <w:sz w:val="24"/>
    </w:rPr>
  </w:style>
  <w:style w:type="paragraph" w:customStyle="1" w:styleId="55">
    <w:name w:val="Default"/>
    <w:basedOn w:val="56"/>
    <w:next w:val="57"/>
    <w:qFormat/>
    <w:uiPriority w:val="0"/>
    <w:pPr>
      <w:tabs>
        <w:tab w:val="left" w:pos="0"/>
      </w:tabs>
      <w:autoSpaceDE w:val="0"/>
      <w:autoSpaceDN w:val="0"/>
      <w:adjustRightInd w:val="0"/>
    </w:pPr>
    <w:rPr>
      <w:color w:val="000000"/>
      <w:sz w:val="24"/>
      <w:szCs w:val="24"/>
    </w:rPr>
  </w:style>
  <w:style w:type="paragraph" w:customStyle="1" w:styleId="56">
    <w:name w:val="标题2"/>
    <w:basedOn w:val="6"/>
    <w:qFormat/>
    <w:uiPriority w:val="0"/>
    <w:pPr>
      <w:tabs>
        <w:tab w:val="left" w:pos="0"/>
      </w:tabs>
      <w:spacing w:line="440" w:lineRule="exact"/>
      <w:ind w:left="1560"/>
    </w:pPr>
    <w:rPr>
      <w:sz w:val="28"/>
    </w:rPr>
  </w:style>
  <w:style w:type="paragraph" w:customStyle="1" w:styleId="57">
    <w:name w:val="样式3"/>
    <w:basedOn w:val="18"/>
    <w:next w:val="58"/>
    <w:qFormat/>
    <w:uiPriority w:val="0"/>
    <w:pPr>
      <w:tabs>
        <w:tab w:val="left" w:pos="71"/>
        <w:tab w:val="left" w:pos="5775"/>
        <w:tab w:val="clear" w:pos="7920"/>
      </w:tabs>
      <w:spacing w:before="0" w:after="0"/>
      <w:ind w:firstLine="482" w:firstLineChars="200"/>
      <w:contextualSpacing/>
      <w:jc w:val="left"/>
    </w:pPr>
    <w:rPr>
      <w:bCs w:val="0"/>
      <w:snapToGrid w:val="0"/>
      <w:kern w:val="0"/>
      <w:sz w:val="21"/>
    </w:rPr>
  </w:style>
  <w:style w:type="paragraph" w:customStyle="1" w:styleId="58">
    <w:name w:val="目录 53"/>
    <w:basedOn w:val="1"/>
    <w:next w:val="1"/>
    <w:qFormat/>
    <w:uiPriority w:val="0"/>
    <w:pPr>
      <w:ind w:left="840"/>
    </w:pPr>
    <w:rPr>
      <w:rFonts w:cs="宋体"/>
      <w:color w:val="000000"/>
    </w:rPr>
  </w:style>
  <w:style w:type="paragraph" w:customStyle="1" w:styleId="59">
    <w:name w:val="正文首行缩进2个字 Char"/>
    <w:basedOn w:val="1"/>
    <w:qFormat/>
    <w:uiPriority w:val="0"/>
    <w:pPr>
      <w:ind w:firstLine="480" w:firstLineChars="200"/>
    </w:pPr>
    <w:rPr>
      <w:rFonts w:eastAsia="楷体"/>
      <w:sz w:val="24"/>
    </w:rPr>
  </w:style>
  <w:style w:type="character" w:customStyle="1" w:styleId="60">
    <w:name w:val="font121"/>
    <w:qFormat/>
    <w:uiPriority w:val="0"/>
    <w:rPr>
      <w:rFonts w:hint="default" w:ascii="Times New Roman" w:hAnsi="Times New Roman" w:cs="Times New Roman"/>
      <w:color w:val="000000"/>
      <w:sz w:val="21"/>
      <w:szCs w:val="21"/>
      <w:u w:val="none"/>
      <w:vertAlign w:val="subscript"/>
    </w:rPr>
  </w:style>
  <w:style w:type="character" w:customStyle="1" w:styleId="61">
    <w:name w:val="font31"/>
    <w:basedOn w:val="34"/>
    <w:qFormat/>
    <w:uiPriority w:val="0"/>
    <w:rPr>
      <w:rFonts w:hint="default" w:ascii="Times New Roman" w:hAnsi="Times New Roman" w:cs="Times New Roman"/>
      <w:color w:val="000000"/>
      <w:sz w:val="21"/>
      <w:szCs w:val="21"/>
      <w:u w:val="none"/>
      <w:vertAlign w:val="subscript"/>
    </w:rPr>
  </w:style>
  <w:style w:type="character" w:customStyle="1" w:styleId="62">
    <w:name w:val="font41"/>
    <w:basedOn w:val="34"/>
    <w:qFormat/>
    <w:uiPriority w:val="0"/>
    <w:rPr>
      <w:rFonts w:hint="eastAsia" w:ascii="宋体" w:hAnsi="宋体" w:eastAsia="宋体" w:cs="宋体"/>
      <w:color w:val="000000"/>
      <w:sz w:val="21"/>
      <w:szCs w:val="21"/>
      <w:u w:val="none"/>
    </w:rPr>
  </w:style>
  <w:style w:type="character" w:customStyle="1" w:styleId="63">
    <w:name w:val="批注文字 字符1"/>
    <w:semiHidden/>
    <w:qFormat/>
    <w:uiPriority w:val="0"/>
    <w:rPr>
      <w:rFonts w:ascii="Times New Roman" w:hAnsi="Times New Roman" w:eastAsia="宋体"/>
      <w:sz w:val="24"/>
    </w:rPr>
  </w:style>
  <w:style w:type="character" w:customStyle="1" w:styleId="64">
    <w:name w:val="日期 字符"/>
    <w:semiHidden/>
    <w:qFormat/>
    <w:uiPriority w:val="0"/>
    <w:rPr>
      <w:rFonts w:ascii="Times New Roman" w:hAnsi="Times New Roman" w:eastAsia="宋体"/>
      <w:sz w:val="24"/>
    </w:rPr>
  </w:style>
  <w:style w:type="character" w:customStyle="1" w:styleId="65">
    <w:name w:val="正文文本 字符1"/>
    <w:semiHidden/>
    <w:qFormat/>
    <w:uiPriority w:val="0"/>
    <w:rPr>
      <w:rFonts w:ascii="Times New Roman" w:hAnsi="Times New Roman" w:eastAsia="宋体"/>
      <w:sz w:val="24"/>
    </w:rPr>
  </w:style>
  <w:style w:type="character" w:customStyle="1" w:styleId="66">
    <w:name w:val="NormalCharacter"/>
    <w:semiHidden/>
    <w:qFormat/>
    <w:uiPriority w:val="0"/>
  </w:style>
  <w:style w:type="character" w:customStyle="1" w:styleId="67">
    <w:name w:val="页脚 字符"/>
    <w:qFormat/>
    <w:uiPriority w:val="99"/>
  </w:style>
  <w:style w:type="character" w:customStyle="1" w:styleId="68">
    <w:name w:val="font01"/>
    <w:qFormat/>
    <w:uiPriority w:val="0"/>
    <w:rPr>
      <w:rFonts w:hint="default" w:ascii="Times New Roman" w:hAnsi="Times New Roman" w:cs="Times New Roman"/>
      <w:color w:val="000000"/>
      <w:sz w:val="24"/>
      <w:szCs w:val="24"/>
      <w:u w:val="none"/>
      <w:vertAlign w:val="superscript"/>
    </w:rPr>
  </w:style>
  <w:style w:type="character" w:customStyle="1" w:styleId="69">
    <w:name w:val="font51"/>
    <w:qFormat/>
    <w:uiPriority w:val="0"/>
    <w:rPr>
      <w:rFonts w:hint="default" w:ascii="Times New Roman" w:hAnsi="Times New Roman" w:cs="Times New Roman"/>
      <w:color w:val="000000"/>
      <w:sz w:val="22"/>
      <w:szCs w:val="22"/>
      <w:u w:val="none"/>
    </w:rPr>
  </w:style>
  <w:style w:type="character" w:customStyle="1" w:styleId="70">
    <w:name w:val="表格 Char1"/>
    <w:qFormat/>
    <w:uiPriority w:val="0"/>
    <w:rPr>
      <w:kern w:val="2"/>
      <w:sz w:val="24"/>
      <w:szCs w:val="24"/>
    </w:rPr>
  </w:style>
  <w:style w:type="character" w:customStyle="1" w:styleId="71">
    <w:name w:val="font21"/>
    <w:qFormat/>
    <w:uiPriority w:val="0"/>
    <w:rPr>
      <w:rFonts w:hint="eastAsia" w:ascii="宋体" w:hAnsi="宋体" w:eastAsia="宋体" w:cs="宋体"/>
      <w:color w:val="000000"/>
      <w:sz w:val="20"/>
      <w:szCs w:val="20"/>
      <w:u w:val="none"/>
    </w:rPr>
  </w:style>
  <w:style w:type="character" w:customStyle="1" w:styleId="72">
    <w:name w:val="正文缩进 Char Char1"/>
    <w:link w:val="73"/>
    <w:qFormat/>
    <w:uiPriority w:val="0"/>
    <w:rPr>
      <w:kern w:val="2"/>
      <w:sz w:val="21"/>
    </w:rPr>
  </w:style>
  <w:style w:type="paragraph" w:customStyle="1" w:styleId="73">
    <w:name w:val="表正文"/>
    <w:basedOn w:val="1"/>
    <w:link w:val="72"/>
    <w:qFormat/>
    <w:uiPriority w:val="0"/>
    <w:pPr>
      <w:spacing w:line="460" w:lineRule="exact"/>
      <w:ind w:right="113" w:firstLine="480" w:firstLineChars="200"/>
    </w:pPr>
    <w:rPr>
      <w:szCs w:val="20"/>
    </w:rPr>
  </w:style>
  <w:style w:type="character" w:customStyle="1" w:styleId="74">
    <w:name w:val="图表标题 Char"/>
    <w:link w:val="75"/>
    <w:qFormat/>
    <w:locked/>
    <w:uiPriority w:val="0"/>
    <w:rPr>
      <w:b/>
      <w:bCs/>
      <w:szCs w:val="21"/>
    </w:rPr>
  </w:style>
  <w:style w:type="paragraph" w:customStyle="1" w:styleId="75">
    <w:name w:val="图表标题"/>
    <w:basedOn w:val="1"/>
    <w:link w:val="74"/>
    <w:qFormat/>
    <w:uiPriority w:val="0"/>
    <w:pPr>
      <w:spacing w:before="60" w:line="460" w:lineRule="exact"/>
      <w:ind w:firstLine="199" w:firstLineChars="199"/>
      <w:contextualSpacing/>
      <w:jc w:val="center"/>
    </w:pPr>
    <w:rPr>
      <w:b/>
      <w:bCs/>
      <w:kern w:val="0"/>
      <w:sz w:val="20"/>
      <w:szCs w:val="21"/>
      <w:shd w:val="clear" w:color="auto" w:fill="FFFFFF"/>
    </w:rPr>
  </w:style>
  <w:style w:type="character" w:customStyle="1" w:styleId="76">
    <w:name w:val="font11"/>
    <w:qFormat/>
    <w:uiPriority w:val="0"/>
    <w:rPr>
      <w:rFonts w:hint="default" w:ascii="Times New Roman" w:hAnsi="Times New Roman" w:cs="Times New Roman"/>
      <w:color w:val="000000"/>
      <w:sz w:val="20"/>
      <w:szCs w:val="20"/>
      <w:u w:val="none"/>
    </w:rPr>
  </w:style>
  <w:style w:type="character" w:customStyle="1" w:styleId="77">
    <w:name w:val="表格 Char"/>
    <w:link w:val="78"/>
    <w:qFormat/>
    <w:locked/>
    <w:uiPriority w:val="0"/>
    <w:rPr>
      <w:rFonts w:ascii="宋体"/>
      <w:sz w:val="21"/>
    </w:rPr>
  </w:style>
  <w:style w:type="paragraph" w:customStyle="1" w:styleId="78">
    <w:name w:val="表格"/>
    <w:basedOn w:val="1"/>
    <w:next w:val="9"/>
    <w:link w:val="77"/>
    <w:qFormat/>
    <w:uiPriority w:val="0"/>
    <w:pPr>
      <w:adjustRightInd w:val="0"/>
      <w:snapToGrid w:val="0"/>
      <w:spacing w:beforeLines="10" w:afterLines="10" w:line="259" w:lineRule="auto"/>
      <w:jc w:val="center"/>
    </w:pPr>
    <w:rPr>
      <w:rFonts w:ascii="宋体"/>
      <w:kern w:val="0"/>
      <w:szCs w:val="20"/>
    </w:rPr>
  </w:style>
  <w:style w:type="character" w:customStyle="1" w:styleId="79">
    <w:name w:val="font81"/>
    <w:qFormat/>
    <w:uiPriority w:val="0"/>
    <w:rPr>
      <w:rFonts w:hint="eastAsia" w:ascii="宋体" w:hAnsi="宋体" w:eastAsia="宋体" w:cs="宋体"/>
      <w:color w:val="000000"/>
      <w:sz w:val="21"/>
      <w:szCs w:val="21"/>
      <w:u w:val="none"/>
    </w:rPr>
  </w:style>
  <w:style w:type="paragraph" w:customStyle="1" w:styleId="80">
    <w:name w:val="+正文"/>
    <w:basedOn w:val="1"/>
    <w:qFormat/>
    <w:uiPriority w:val="0"/>
    <w:pPr>
      <w:ind w:firstLine="200" w:firstLineChars="200"/>
    </w:pPr>
    <w:rPr>
      <w:rFonts w:ascii="Calibri" w:hAnsi="Calibri"/>
      <w:szCs w:val="28"/>
    </w:rPr>
  </w:style>
  <w:style w:type="paragraph" w:customStyle="1" w:styleId="81">
    <w:name w:val="表头"/>
    <w:basedOn w:val="78"/>
    <w:qFormat/>
    <w:uiPriority w:val="0"/>
    <w:pPr>
      <w:keepNext/>
      <w:spacing w:beforeLines="0" w:line="460" w:lineRule="atLeast"/>
    </w:pPr>
    <w:rPr>
      <w:b/>
      <w:szCs w:val="21"/>
    </w:rPr>
  </w:style>
  <w:style w:type="paragraph" w:customStyle="1" w:styleId="82">
    <w:name w:val="表格正文"/>
    <w:basedOn w:val="9"/>
    <w:link w:val="83"/>
    <w:qFormat/>
    <w:uiPriority w:val="0"/>
    <w:pPr>
      <w:spacing w:line="360" w:lineRule="exact"/>
      <w:jc w:val="center"/>
    </w:pPr>
    <w:rPr>
      <w:color w:val="000000"/>
    </w:rPr>
  </w:style>
  <w:style w:type="character" w:customStyle="1" w:styleId="83">
    <w:name w:val="表格正文 Char1"/>
    <w:link w:val="82"/>
    <w:qFormat/>
    <w:uiPriority w:val="0"/>
    <w:rPr>
      <w:color w:val="000000"/>
      <w:kern w:val="2"/>
      <w:sz w:val="21"/>
    </w:rPr>
  </w:style>
  <w:style w:type="paragraph" w:customStyle="1" w:styleId="84">
    <w:name w:val="4级（小）标题"/>
    <w:basedOn w:val="1"/>
    <w:qFormat/>
    <w:uiPriority w:val="0"/>
    <w:pPr>
      <w:spacing w:before="60" w:line="360" w:lineRule="auto"/>
      <w:ind w:firstLine="150" w:firstLineChars="150"/>
      <w:outlineLvl w:val="3"/>
    </w:pPr>
    <w:rPr>
      <w:b/>
      <w:kern w:val="0"/>
      <w:sz w:val="24"/>
    </w:rPr>
  </w:style>
  <w:style w:type="paragraph" w:customStyle="1" w:styleId="85">
    <w:name w:val="正文首行缩进2个字"/>
    <w:basedOn w:val="1"/>
    <w:qFormat/>
    <w:uiPriority w:val="0"/>
    <w:pPr>
      <w:spacing w:line="360" w:lineRule="auto"/>
      <w:ind w:firstLine="480" w:firstLineChars="200"/>
    </w:pPr>
    <w:rPr>
      <w:kern w:val="0"/>
      <w:sz w:val="24"/>
    </w:rPr>
  </w:style>
  <w:style w:type="paragraph" w:customStyle="1" w:styleId="86">
    <w:name w:val="正文8"/>
    <w:qFormat/>
    <w:uiPriority w:val="0"/>
    <w:pPr>
      <w:widowControl w:val="0"/>
      <w:adjustRightInd w:val="0"/>
      <w:spacing w:line="360" w:lineRule="atLeast"/>
      <w:textAlignment w:val="baseline"/>
    </w:pPr>
    <w:rPr>
      <w:rFonts w:ascii="宋体" w:hAnsi="Times New Roman" w:eastAsia="宋体" w:cs="Times New Roman"/>
      <w:sz w:val="24"/>
      <w:szCs w:val="22"/>
      <w:lang w:val="en-US" w:eastAsia="zh-CN" w:bidi="ar-SA"/>
    </w:rPr>
  </w:style>
  <w:style w:type="paragraph" w:customStyle="1" w:styleId="87">
    <w:name w:val="样式 样式 正文1 + 段前: 0.1 行 + 段前: 0.1 行"/>
    <w:basedOn w:val="1"/>
    <w:qFormat/>
    <w:uiPriority w:val="0"/>
    <w:pPr>
      <w:snapToGrid w:val="0"/>
      <w:spacing w:beforeLines="10" w:line="440" w:lineRule="atLeast"/>
      <w:ind w:firstLine="567"/>
    </w:pPr>
    <w:rPr>
      <w:rFonts w:cs="宋体"/>
      <w:sz w:val="24"/>
      <w:szCs w:val="20"/>
    </w:rPr>
  </w:style>
  <w:style w:type="paragraph" w:customStyle="1" w:styleId="88">
    <w:name w:val="List Paragraph1"/>
    <w:basedOn w:val="1"/>
    <w:unhideWhenUsed/>
    <w:qFormat/>
    <w:uiPriority w:val="99"/>
    <w:pPr>
      <w:ind w:firstLine="420" w:firstLineChars="200"/>
    </w:pPr>
  </w:style>
  <w:style w:type="paragraph" w:customStyle="1" w:styleId="89">
    <w:name w:val="正文01"/>
    <w:basedOn w:val="1"/>
    <w:link w:val="90"/>
    <w:qFormat/>
    <w:uiPriority w:val="0"/>
    <w:pPr>
      <w:spacing w:before="60" w:line="460" w:lineRule="exact"/>
      <w:ind w:firstLine="200" w:firstLineChars="200"/>
    </w:pPr>
  </w:style>
  <w:style w:type="character" w:customStyle="1" w:styleId="90">
    <w:name w:val="正文01 Char"/>
    <w:link w:val="89"/>
    <w:qFormat/>
    <w:uiPriority w:val="0"/>
    <w:rPr>
      <w:kern w:val="2"/>
      <w:sz w:val="21"/>
      <w:szCs w:val="24"/>
    </w:rPr>
  </w:style>
  <w:style w:type="paragraph" w:customStyle="1" w:styleId="91">
    <w:name w:val="Default1"/>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92">
    <w:name w:val="标准表格"/>
    <w:basedOn w:val="78"/>
    <w:qFormat/>
    <w:uiPriority w:val="0"/>
    <w:pPr>
      <w:adjustRightInd/>
      <w:snapToGrid/>
      <w:spacing w:beforeLines="0" w:afterLines="0" w:line="240" w:lineRule="auto"/>
      <w:ind w:left="200" w:hanging="200" w:hangingChars="200"/>
    </w:pPr>
    <w:rPr>
      <w:rFonts w:hint="eastAsia" w:ascii="Calibri" w:hAnsi="Calibri" w:cs="宋体"/>
      <w:kern w:val="2"/>
    </w:rPr>
  </w:style>
  <w:style w:type="paragraph" w:customStyle="1" w:styleId="9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4">
    <w:name w:val="表居中（中文）"/>
    <w:basedOn w:val="1"/>
    <w:qFormat/>
    <w:uiPriority w:val="0"/>
    <w:pPr>
      <w:adjustRightInd w:val="0"/>
      <w:spacing w:line="380" w:lineRule="atLeast"/>
      <w:jc w:val="center"/>
      <w:textAlignment w:val="baseline"/>
    </w:pPr>
    <w:rPr>
      <w:rFonts w:eastAsia="楷体_GB2312"/>
      <w:kern w:val="0"/>
      <w:szCs w:val="20"/>
    </w:rPr>
  </w:style>
  <w:style w:type="paragraph" w:customStyle="1" w:styleId="95">
    <w:name w:val="普通(网站)2"/>
    <w:basedOn w:val="1"/>
    <w:qFormat/>
    <w:uiPriority w:val="0"/>
    <w:pPr>
      <w:widowControl/>
      <w:spacing w:before="100" w:beforeAutospacing="1" w:after="100" w:afterAutospacing="1"/>
      <w:jc w:val="left"/>
    </w:pPr>
    <w:rPr>
      <w:rFonts w:ascii="宋体" w:hAnsi="宋体"/>
      <w:sz w:val="24"/>
      <w:szCs w:val="20"/>
    </w:rPr>
  </w:style>
  <w:style w:type="table" w:customStyle="1" w:styleId="96">
    <w:name w:val="网格型1"/>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7">
    <w:name w:val="_Style 53"/>
    <w:basedOn w:val="1"/>
    <w:qFormat/>
    <w:uiPriority w:val="0"/>
    <w:pPr>
      <w:spacing w:line="360" w:lineRule="auto"/>
      <w:ind w:firstLine="200" w:firstLineChars="200"/>
    </w:pPr>
    <w:rPr>
      <w:rFonts w:ascii="宋体" w:hAnsi="宋体" w:cs="宋体"/>
      <w:sz w:val="24"/>
    </w:rPr>
  </w:style>
  <w:style w:type="paragraph" w:customStyle="1" w:styleId="98">
    <w:name w:val="my Char Char Char Char"/>
    <w:qFormat/>
    <w:uiPriority w:val="0"/>
    <w:pPr>
      <w:widowControl w:val="0"/>
      <w:spacing w:before="60" w:line="460" w:lineRule="exact"/>
      <w:ind w:firstLine="200" w:firstLineChars="200"/>
    </w:pPr>
    <w:rPr>
      <w:rFonts w:ascii="Times New Roman" w:hAnsi="Times New Roman" w:eastAsia="宋体" w:cs="Times New Roman"/>
      <w:sz w:val="24"/>
      <w:szCs w:val="24"/>
      <w:lang w:val="en-US" w:eastAsia="zh-CN" w:bidi="ar-SA"/>
    </w:rPr>
  </w:style>
  <w:style w:type="character" w:customStyle="1" w:styleId="99">
    <w:name w:val="viewtip-fromtitle"/>
    <w:qFormat/>
    <w:uiPriority w:val="0"/>
  </w:style>
  <w:style w:type="character" w:customStyle="1" w:styleId="100">
    <w:name w:val="正文缩进 字符2"/>
    <w:qFormat/>
    <w:uiPriority w:val="0"/>
    <w:rPr>
      <w:rFonts w:eastAsia="宋体"/>
      <w:b/>
      <w:sz w:val="24"/>
    </w:rPr>
  </w:style>
  <w:style w:type="paragraph" w:customStyle="1" w:styleId="101">
    <w:name w:val="Char Char Char Char"/>
    <w:basedOn w:val="1"/>
    <w:qFormat/>
    <w:uiPriority w:val="0"/>
    <w:pPr>
      <w:spacing w:beforeLines="20" w:line="440" w:lineRule="atLeast"/>
      <w:ind w:firstLine="200" w:firstLineChars="200"/>
    </w:pPr>
    <w:rPr>
      <w:color w:val="000000"/>
      <w:sz w:val="24"/>
      <w:szCs w:val="20"/>
    </w:rPr>
  </w:style>
  <w:style w:type="paragraph" w:customStyle="1" w:styleId="102">
    <w:name w:val="TOC Heading"/>
    <w:basedOn w:val="5"/>
    <w:next w:val="1"/>
    <w:qFormat/>
    <w:uiPriority w:val="39"/>
    <w:pPr>
      <w:keepLines/>
      <w:widowControl/>
      <w:overflowPunct/>
      <w:snapToGrid/>
      <w:spacing w:before="240" w:after="0"/>
      <w:ind w:left="0" w:firstLine="0"/>
      <w:jc w:val="left"/>
      <w:outlineLvl w:val="9"/>
    </w:pPr>
    <w:rPr>
      <w:rFonts w:ascii="等线 Light" w:hAnsi="等线 Light" w:eastAsia="等线 Light"/>
      <w:b w:val="0"/>
      <w:bCs w:val="0"/>
      <w:color w:val="2F5496"/>
      <w:kern w:val="0"/>
      <w:sz w:val="32"/>
      <w:szCs w:val="32"/>
    </w:rPr>
  </w:style>
  <w:style w:type="character" w:customStyle="1" w:styleId="103">
    <w:name w:val="未处理的提及"/>
    <w:unhideWhenUsed/>
    <w:qFormat/>
    <w:uiPriority w:val="99"/>
    <w:rPr>
      <w:color w:val="605E5C"/>
      <w:shd w:val="clear" w:color="auto" w:fill="E1DFDD"/>
    </w:rPr>
  </w:style>
  <w:style w:type="paragraph" w:customStyle="1" w:styleId="104">
    <w:name w:val="Revision"/>
    <w:unhideWhenUsed/>
    <w:qFormat/>
    <w:uiPriority w:val="99"/>
    <w:rPr>
      <w:rFonts w:ascii="Times New Roman" w:hAnsi="Times New Roman" w:eastAsia="宋体" w:cs="Times New Roman"/>
      <w:kern w:val="2"/>
      <w:sz w:val="21"/>
      <w:szCs w:val="24"/>
      <w:lang w:val="en-US" w:eastAsia="zh-CN" w:bidi="ar-SA"/>
    </w:rPr>
  </w:style>
  <w:style w:type="paragraph" w:customStyle="1" w:styleId="105">
    <w:name w:val="正文7"/>
    <w:qFormat/>
    <w:uiPriority w:val="99"/>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06">
    <w:name w:val="2-正文"/>
    <w:basedOn w:val="1"/>
    <w:qFormat/>
    <w:uiPriority w:val="0"/>
    <w:pPr>
      <w:widowControl/>
      <w:adjustRightInd w:val="0"/>
      <w:snapToGrid w:val="0"/>
      <w:spacing w:line="360" w:lineRule="auto"/>
      <w:ind w:firstLine="200" w:firstLineChars="200"/>
    </w:pPr>
    <w:rPr>
      <w:bCs/>
      <w:kern w:val="0"/>
      <w:sz w:val="28"/>
      <w:lang w:eastAsia="en-US" w:bidi="en-US"/>
    </w:rPr>
  </w:style>
  <w:style w:type="paragraph" w:customStyle="1" w:styleId="107">
    <w:name w:val="Char Char11"/>
    <w:basedOn w:val="1"/>
    <w:qFormat/>
    <w:uiPriority w:val="0"/>
    <w:pPr>
      <w:spacing w:line="360" w:lineRule="auto"/>
      <w:ind w:firstLine="200" w:firstLineChars="200"/>
    </w:pPr>
    <w:rPr>
      <w:rFonts w:ascii="宋体" w:hAnsi="宋体" w:cs="宋体"/>
      <w:sz w:val="24"/>
    </w:rPr>
  </w:style>
  <w:style w:type="paragraph" w:customStyle="1" w:styleId="108">
    <w:name w:val="普通表格1"/>
    <w:basedOn w:val="17"/>
    <w:qFormat/>
    <w:uiPriority w:val="0"/>
    <w:pPr>
      <w:snapToGrid w:val="0"/>
      <w:spacing w:line="276" w:lineRule="auto"/>
      <w:jc w:val="center"/>
    </w:pPr>
    <w:rPr>
      <w:sz w:val="21"/>
      <w:szCs w:val="21"/>
    </w:rPr>
  </w:style>
  <w:style w:type="paragraph" w:customStyle="1" w:styleId="109">
    <w:name w:val="正文2"/>
    <w:basedOn w:val="9"/>
    <w:qFormat/>
    <w:uiPriority w:val="0"/>
    <w:pPr>
      <w:adjustRightInd w:val="0"/>
      <w:snapToGrid w:val="0"/>
      <w:spacing w:line="440" w:lineRule="atLeast"/>
      <w:ind w:firstLine="510"/>
    </w:pPr>
  </w:style>
  <w:style w:type="character" w:customStyle="1" w:styleId="110">
    <w:name w:val="表内正文 Char"/>
    <w:link w:val="111"/>
    <w:qFormat/>
    <w:uiPriority w:val="0"/>
    <w:rPr>
      <w:rFonts w:hint="eastAsia" w:ascii="Times New Roman" w:hAnsi="Times New Roman"/>
    </w:rPr>
  </w:style>
  <w:style w:type="paragraph" w:customStyle="1" w:styleId="111">
    <w:name w:val="表内正文"/>
    <w:basedOn w:val="1"/>
    <w:link w:val="110"/>
    <w:qFormat/>
    <w:uiPriority w:val="0"/>
    <w:pPr>
      <w:wordWrap w:val="0"/>
      <w:spacing w:line="360" w:lineRule="auto"/>
      <w:ind w:firstLine="1044" w:firstLineChars="200"/>
      <w:jc w:val="left"/>
    </w:pPr>
    <w:rPr>
      <w:rFonts w:hint="eastAsia"/>
    </w:rPr>
  </w:style>
  <w:style w:type="paragraph" w:customStyle="1" w:styleId="112">
    <w:name w:val="表内文字"/>
    <w:basedOn w:val="113"/>
    <w:qFormat/>
    <w:uiPriority w:val="0"/>
    <w:pPr>
      <w:adjustRightInd w:val="0"/>
      <w:spacing w:line="240" w:lineRule="auto"/>
      <w:ind w:firstLine="0" w:firstLineChars="0"/>
      <w:jc w:val="center"/>
    </w:pPr>
    <w:rPr>
      <w:rFonts w:hint="eastAsia"/>
      <w:sz w:val="21"/>
      <w:szCs w:val="21"/>
    </w:rPr>
  </w:style>
  <w:style w:type="paragraph" w:customStyle="1" w:styleId="113">
    <w:name w:val="正文内容"/>
    <w:qFormat/>
    <w:uiPriority w:val="0"/>
    <w:pPr>
      <w:widowControl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14">
    <w:name w:val="font61"/>
    <w:basedOn w:val="34"/>
    <w:qFormat/>
    <w:uiPriority w:val="0"/>
    <w:rPr>
      <w:rFonts w:hint="eastAsia" w:ascii="宋体" w:hAnsi="宋体" w:eastAsia="宋体" w:cs="宋体"/>
      <w:color w:val="FF0000"/>
      <w:sz w:val="22"/>
      <w:szCs w:val="22"/>
      <w:u w:val="none"/>
    </w:rPr>
  </w:style>
  <w:style w:type="paragraph" w:customStyle="1" w:styleId="115">
    <w:name w:val="表格居中"/>
    <w:basedOn w:val="1"/>
    <w:qFormat/>
    <w:uiPriority w:val="0"/>
    <w:pPr>
      <w:spacing w:line="0" w:lineRule="atLeast"/>
      <w:jc w:val="center"/>
    </w:pPr>
    <w:rPr>
      <w:rFonts w:eastAsia="Times New Roman"/>
      <w:kern w:val="0"/>
      <w:szCs w:val="21"/>
    </w:rPr>
  </w:style>
  <w:style w:type="paragraph" w:customStyle="1" w:styleId="116">
    <w:name w:val="Table Text"/>
    <w:basedOn w:val="1"/>
    <w:semiHidden/>
    <w:qFormat/>
    <w:uiPriority w:val="0"/>
    <w:rPr>
      <w:rFonts w:ascii="宋体" w:hAnsi="宋体" w:cs="宋体"/>
      <w:sz w:val="24"/>
      <w:lang w:eastAsia="en-US"/>
    </w:rPr>
  </w:style>
  <w:style w:type="character" w:customStyle="1" w:styleId="117">
    <w:name w:val="fontstyle01"/>
    <w:qFormat/>
    <w:uiPriority w:val="0"/>
    <w:rPr>
      <w:rFonts w:ascii="宋体" w:hAnsi="宋体" w:eastAsia="宋体" w:cs="宋体"/>
      <w:color w:val="000000"/>
      <w:sz w:val="28"/>
      <w:szCs w:val="28"/>
    </w:rPr>
  </w:style>
  <w:style w:type="paragraph" w:customStyle="1" w:styleId="118">
    <w:name w:val="正文(首行缩进)"/>
    <w:next w:val="119"/>
    <w:qFormat/>
    <w:uiPriority w:val="0"/>
    <w:pPr>
      <w:adjustRightInd w:val="0"/>
      <w:snapToGrid w:val="0"/>
      <w:spacing w:line="360" w:lineRule="auto"/>
      <w:ind w:firstLine="200" w:firstLineChars="200"/>
    </w:pPr>
    <w:rPr>
      <w:rFonts w:ascii="Times New Roman" w:hAnsi="Times New Roman" w:eastAsia="宋体" w:cs="宋体"/>
      <w:snapToGrid w:val="0"/>
      <w:sz w:val="24"/>
      <w:szCs w:val="24"/>
      <w:lang w:val="zh-CN" w:eastAsia="zh-CN" w:bidi="ar-SA"/>
    </w:rPr>
  </w:style>
  <w:style w:type="paragraph" w:customStyle="1" w:styleId="119">
    <w:name w:val="表题"/>
    <w:basedOn w:val="1"/>
    <w:qFormat/>
    <w:uiPriority w:val="0"/>
    <w:pPr>
      <w:autoSpaceDE w:val="0"/>
      <w:autoSpaceDN w:val="0"/>
      <w:adjustRightInd w:val="0"/>
      <w:spacing w:line="480" w:lineRule="atLeast"/>
      <w:jc w:val="center"/>
      <w:textAlignment w:val="baseline"/>
    </w:pPr>
    <w:rPr>
      <w:rFonts w:ascii="黑体" w:hAnsi="Calibri" w:eastAsia="黑体"/>
      <w:kern w:val="16"/>
      <w:szCs w:val="22"/>
    </w:rPr>
  </w:style>
  <w:style w:type="paragraph" w:customStyle="1" w:styleId="120">
    <w:name w:val="Char Char138"/>
    <w:basedOn w:val="1"/>
    <w:qFormat/>
    <w:uiPriority w:val="0"/>
    <w:pPr>
      <w:spacing w:line="360" w:lineRule="auto"/>
      <w:ind w:firstLine="200" w:firstLineChars="200"/>
    </w:pPr>
    <w:rPr>
      <w:rFonts w:ascii="宋体" w:hAnsi="宋体" w:cs="宋体"/>
      <w:sz w:val="24"/>
    </w:rPr>
  </w:style>
  <w:style w:type="paragraph" w:customStyle="1" w:styleId="121">
    <w:name w:val="Char Char116"/>
    <w:basedOn w:val="1"/>
    <w:qFormat/>
    <w:uiPriority w:val="0"/>
    <w:pPr>
      <w:spacing w:line="360" w:lineRule="auto"/>
      <w:ind w:firstLine="200" w:firstLineChars="200"/>
    </w:pPr>
    <w:rPr>
      <w:rFonts w:ascii="宋体" w:hAnsi="宋体"/>
      <w:kern w:val="0"/>
      <w:sz w:val="24"/>
    </w:rPr>
  </w:style>
  <w:style w:type="paragraph" w:customStyle="1" w:styleId="122">
    <w:name w:val=" Char Char1"/>
    <w:basedOn w:val="1"/>
    <w:qFormat/>
    <w:uiPriority w:val="0"/>
    <w:pPr>
      <w:spacing w:line="360" w:lineRule="auto"/>
      <w:ind w:firstLine="200" w:firstLineChars="200"/>
    </w:pPr>
    <w:rPr>
      <w:rFonts w:ascii="宋体" w:hAnsi="宋体" w:cs="宋体"/>
      <w:sz w:val="24"/>
    </w:rPr>
  </w:style>
  <w:style w:type="paragraph" w:customStyle="1" w:styleId="123">
    <w:name w:val="Char Char15"/>
    <w:basedOn w:val="1"/>
    <w:qFormat/>
    <w:uiPriority w:val="0"/>
    <w:pPr>
      <w:spacing w:line="360" w:lineRule="auto"/>
      <w:ind w:firstLine="200" w:firstLineChars="200"/>
    </w:pPr>
    <w:rPr>
      <w:rFonts w:ascii="宋体" w:hAnsi="宋体" w:cs="宋体"/>
      <w:sz w:val="24"/>
    </w:rPr>
  </w:style>
  <w:style w:type="paragraph" w:customStyle="1" w:styleId="124">
    <w:name w:val="0正文内容"/>
    <w:basedOn w:val="1"/>
    <w:qFormat/>
    <w:uiPriority w:val="0"/>
    <w:pPr>
      <w:suppressLineNumbers/>
      <w:suppressAutoHyphens/>
      <w:spacing w:line="360" w:lineRule="auto"/>
      <w:ind w:firstLine="480" w:firstLineChars="200"/>
    </w:pPr>
    <w:rPr>
      <w:sz w:val="24"/>
      <w:szCs w:val="21"/>
    </w:rPr>
  </w:style>
  <w:style w:type="paragraph" w:customStyle="1" w:styleId="125">
    <w:name w:val="小四表格"/>
    <w:basedOn w:val="1"/>
    <w:qFormat/>
    <w:uiPriority w:val="0"/>
    <w:pPr>
      <w:adjustRightInd w:val="0"/>
      <w:snapToGrid w:val="0"/>
      <w:spacing w:line="276" w:lineRule="auto"/>
      <w:jc w:val="center"/>
    </w:pPr>
    <w:rPr>
      <w:kern w:val="0"/>
    </w:rPr>
  </w:style>
  <w:style w:type="paragraph" w:customStyle="1" w:styleId="126">
    <w:name w:val="xl26"/>
    <w:basedOn w:val="1"/>
    <w:qFormat/>
    <w:uiPriority w:val="3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127">
    <w:name w:val="Char Char14"/>
    <w:basedOn w:val="1"/>
    <w:qFormat/>
    <w:uiPriority w:val="0"/>
    <w:pPr>
      <w:spacing w:line="360" w:lineRule="auto"/>
      <w:ind w:firstLine="200" w:firstLineChars="200"/>
    </w:pPr>
    <w:rPr>
      <w:rFonts w:ascii="宋体" w:hAnsi="宋体" w:eastAsia="等线"/>
      <w:sz w:val="24"/>
    </w:rPr>
  </w:style>
  <w:style w:type="table" w:customStyle="1" w:styleId="128">
    <w:name w:val="Table Normal"/>
    <w:unhideWhenUsed/>
    <w:qFormat/>
    <w:uiPriority w:val="2"/>
    <w:tblPr>
      <w:tblCellMar>
        <w:top w:w="0" w:type="dxa"/>
        <w:left w:w="0" w:type="dxa"/>
        <w:bottom w:w="0" w:type="dxa"/>
        <w:right w:w="0" w:type="dxa"/>
      </w:tblCellMar>
    </w:tblPr>
  </w:style>
  <w:style w:type="paragraph" w:customStyle="1" w:styleId="129">
    <w:name w:val="xl37"/>
    <w:basedOn w:val="1"/>
    <w:qFormat/>
    <w:uiPriority w:val="0"/>
    <w:pPr>
      <w:widowControl/>
      <w:spacing w:before="100" w:beforeAutospacing="1" w:after="100" w:afterAutospacing="1"/>
      <w:jc w:val="center"/>
    </w:pPr>
    <w:rPr>
      <w:rFonts w:ascii="宋体" w:hAnsi="宋体"/>
      <w:color w:val="000000"/>
      <w:kern w:val="0"/>
      <w:sz w:val="24"/>
      <w:szCs w:val="21"/>
      <w:lang w:eastAsia="ar-SA"/>
    </w:rPr>
  </w:style>
  <w:style w:type="paragraph" w:customStyle="1" w:styleId="130">
    <w:name w:val="二级标题"/>
    <w:next w:val="1"/>
    <w:qFormat/>
    <w:uiPriority w:val="0"/>
    <w:pPr>
      <w:spacing w:before="240" w:after="60" w:line="312" w:lineRule="auto"/>
      <w:ind w:firstLine="200" w:firstLineChars="200"/>
      <w:outlineLvl w:val="1"/>
    </w:pPr>
    <w:rPr>
      <w:rFonts w:ascii="Cambria" w:hAnsi="Cambria" w:eastAsia="宋体" w:cs="宋体"/>
      <w:b/>
      <w:bCs/>
      <w:kern w:val="28"/>
      <w:sz w:val="32"/>
      <w:szCs w:val="32"/>
      <w:lang w:val="zh-CN" w:eastAsia="zh-CN" w:bidi="ar-SA"/>
    </w:rPr>
  </w:style>
  <w:style w:type="paragraph" w:customStyle="1" w:styleId="131">
    <w:name w:val="图"/>
    <w:basedOn w:val="9"/>
    <w:qFormat/>
    <w:uiPriority w:val="0"/>
    <w:pPr>
      <w:autoSpaceDE w:val="0"/>
      <w:autoSpaceDN w:val="0"/>
      <w:adjustRightInd w:val="0"/>
      <w:spacing w:before="60" w:line="360" w:lineRule="auto"/>
      <w:ind w:left="67" w:leftChars="67" w:firstLine="723" w:firstLineChars="300"/>
      <w:jc w:val="center"/>
    </w:pPr>
    <w:rPr>
      <w:b/>
      <w:kern w:val="0"/>
      <w:sz w:val="24"/>
      <w:szCs w:val="24"/>
    </w:rPr>
  </w:style>
  <w:style w:type="character" w:customStyle="1" w:styleId="132">
    <w:name w:val="标题 3 Char1"/>
    <w:qFormat/>
    <w:uiPriority w:val="0"/>
    <w:rPr>
      <w:b/>
      <w:bCs/>
      <w:kern w:val="2"/>
      <w:sz w:val="32"/>
      <w:szCs w:val="32"/>
    </w:rPr>
  </w:style>
  <w:style w:type="paragraph" w:customStyle="1" w:styleId="133">
    <w:name w:val="0报告正文"/>
    <w:qFormat/>
    <w:uiPriority w:val="0"/>
    <w:pPr>
      <w:wordWrap w:val="0"/>
      <w:adjustRightInd w:val="0"/>
      <w:snapToGrid w:val="0"/>
      <w:spacing w:after="160" w:line="460" w:lineRule="exact"/>
      <w:ind w:firstLine="200" w:firstLineChars="200"/>
      <w:jc w:val="both"/>
    </w:pPr>
    <w:rPr>
      <w:rFonts w:ascii="Times New Roman" w:hAnsi="Times New Roman" w:eastAsia="宋体" w:cs="Times New Roman"/>
      <w:snapToGrid w:val="0"/>
      <w:color w:val="000000"/>
      <w:kern w:val="2"/>
      <w:sz w:val="24"/>
      <w:szCs w:val="24"/>
      <w:lang w:val="en-US" w:eastAsia="zh-CN" w:bidi="en-US"/>
    </w:rPr>
  </w:style>
  <w:style w:type="paragraph" w:customStyle="1" w:styleId="134">
    <w:name w:val="0一级标题"/>
    <w:basedOn w:val="1"/>
    <w:qFormat/>
    <w:uiPriority w:val="0"/>
    <w:pPr>
      <w:framePr w:hSpace="180" w:wrap="around" w:vAnchor="text" w:hAnchor="text" w:xAlign="center" w:y="1"/>
      <w:adjustRightInd w:val="0"/>
      <w:snapToGrid w:val="0"/>
      <w:spacing w:line="460" w:lineRule="exact"/>
      <w:jc w:val="left"/>
    </w:pPr>
    <w:rPr>
      <w:b/>
      <w:szCs w:val="22"/>
    </w:rPr>
  </w:style>
  <w:style w:type="paragraph" w:customStyle="1" w:styleId="135">
    <w:name w:val="0报告正文格式1"/>
    <w:basedOn w:val="1"/>
    <w:qFormat/>
    <w:uiPriority w:val="0"/>
    <w:pPr>
      <w:widowControl/>
      <w:wordWrap w:val="0"/>
      <w:adjustRightInd w:val="0"/>
      <w:snapToGrid w:val="0"/>
      <w:spacing w:line="460" w:lineRule="exact"/>
      <w:ind w:firstLine="200" w:firstLineChars="200"/>
    </w:pPr>
    <w:rPr>
      <w:lang w:bidi="en-US"/>
    </w:rPr>
  </w:style>
  <w:style w:type="paragraph" w:customStyle="1" w:styleId="136">
    <w:name w:val="0表头"/>
    <w:basedOn w:val="1"/>
    <w:qFormat/>
    <w:uiPriority w:val="0"/>
    <w:pPr>
      <w:framePr w:hSpace="180" w:wrap="around" w:vAnchor="text" w:hAnchor="text" w:xAlign="center" w:y="1"/>
      <w:adjustRightInd w:val="0"/>
      <w:snapToGrid w:val="0"/>
      <w:spacing w:line="460" w:lineRule="exact"/>
      <w:jc w:val="center"/>
    </w:pPr>
    <w:rPr>
      <w:b/>
      <w:szCs w:val="22"/>
    </w:rPr>
  </w:style>
  <w:style w:type="paragraph" w:customStyle="1" w:styleId="137">
    <w:name w:val="0表内"/>
    <w:qFormat/>
    <w:uiPriority w:val="0"/>
    <w:pPr>
      <w:adjustRightInd w:val="0"/>
      <w:snapToGrid w:val="0"/>
      <w:spacing w:line="278" w:lineRule="auto"/>
      <w:jc w:val="center"/>
    </w:pPr>
    <w:rPr>
      <w:rFonts w:ascii="Times New Roman" w:hAnsi="Times New Roman" w:eastAsia="宋体" w:cs="宋体"/>
      <w:kern w:val="2"/>
      <w:sz w:val="18"/>
      <w:szCs w:val="22"/>
      <w:lang w:val="zh-CN" w:eastAsia="zh-CN" w:bidi="ar-SA"/>
    </w:rPr>
  </w:style>
  <w:style w:type="paragraph" w:customStyle="1" w:styleId="138">
    <w:name w:val="1"/>
    <w:basedOn w:val="1"/>
    <w:next w:val="3"/>
    <w:qFormat/>
    <w:uiPriority w:val="0"/>
    <w:pPr>
      <w:ind w:firstLine="480" w:firstLineChars="200"/>
    </w:pPr>
    <w:rPr>
      <w:rFonts w:eastAsia="仿宋_GB2312"/>
    </w:rPr>
  </w:style>
  <w:style w:type="paragraph" w:customStyle="1" w:styleId="139">
    <w:name w:val="1.1.1.1标题"/>
    <w:basedOn w:val="8"/>
    <w:next w:val="1"/>
    <w:qFormat/>
    <w:uiPriority w:val="0"/>
    <w:pPr>
      <w:spacing w:line="360" w:lineRule="auto"/>
      <w:ind w:firstLine="0" w:firstLineChars="0"/>
      <w:outlineLvl w:val="2"/>
    </w:pPr>
    <w:rPr>
      <w:rFonts w:ascii="Times New Roman" w:hAnsi="Times New Roman" w:eastAsia="宋体"/>
      <w:b w:val="0"/>
      <w:sz w:val="24"/>
    </w:rPr>
  </w:style>
  <w:style w:type="paragraph" w:customStyle="1" w:styleId="140">
    <w:name w:val="表格内容--中祥"/>
    <w:basedOn w:val="1"/>
    <w:qFormat/>
    <w:uiPriority w:val="0"/>
    <w:pPr>
      <w:jc w:val="center"/>
    </w:pPr>
    <w:rPr>
      <w:kern w:val="0"/>
      <w:szCs w:val="21"/>
    </w:r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numbering" Target="numbering.xml"/><Relationship Id="rId97" Type="http://schemas.openxmlformats.org/officeDocument/2006/relationships/customXml" Target="../customXml/item1.xml"/><Relationship Id="rId96" Type="http://schemas.openxmlformats.org/officeDocument/2006/relationships/image" Target="media/image67.jpeg"/><Relationship Id="rId95" Type="http://schemas.openxmlformats.org/officeDocument/2006/relationships/image" Target="media/image66.emf"/><Relationship Id="rId94" Type="http://schemas.openxmlformats.org/officeDocument/2006/relationships/oleObject" Target="embeddings/oleObject24.bin"/><Relationship Id="rId93" Type="http://schemas.openxmlformats.org/officeDocument/2006/relationships/image" Target="media/image65.emf"/><Relationship Id="rId92" Type="http://schemas.openxmlformats.org/officeDocument/2006/relationships/oleObject" Target="embeddings/oleObject23.bin"/><Relationship Id="rId91" Type="http://schemas.openxmlformats.org/officeDocument/2006/relationships/image" Target="media/image64.emf"/><Relationship Id="rId90" Type="http://schemas.openxmlformats.org/officeDocument/2006/relationships/oleObject" Target="embeddings/oleObject22.bin"/><Relationship Id="rId9" Type="http://schemas.openxmlformats.org/officeDocument/2006/relationships/oleObject" Target="embeddings/oleObject2.bin"/><Relationship Id="rId89" Type="http://schemas.openxmlformats.org/officeDocument/2006/relationships/image" Target="media/image63.wmf"/><Relationship Id="rId88" Type="http://schemas.openxmlformats.org/officeDocument/2006/relationships/oleObject" Target="embeddings/oleObject21.bin"/><Relationship Id="rId87" Type="http://schemas.openxmlformats.org/officeDocument/2006/relationships/image" Target="media/image62.wmf"/><Relationship Id="rId86" Type="http://schemas.openxmlformats.org/officeDocument/2006/relationships/oleObject" Target="embeddings/oleObject20.bin"/><Relationship Id="rId85" Type="http://schemas.openxmlformats.org/officeDocument/2006/relationships/image" Target="media/image61.png"/><Relationship Id="rId84" Type="http://schemas.openxmlformats.org/officeDocument/2006/relationships/image" Target="media/image60.wmf"/><Relationship Id="rId83" Type="http://schemas.openxmlformats.org/officeDocument/2006/relationships/oleObject" Target="embeddings/oleObject19.bin"/><Relationship Id="rId82" Type="http://schemas.openxmlformats.org/officeDocument/2006/relationships/image" Target="media/image59.wmf"/><Relationship Id="rId81" Type="http://schemas.openxmlformats.org/officeDocument/2006/relationships/oleObject" Target="embeddings/oleObject18.bin"/><Relationship Id="rId80" Type="http://schemas.openxmlformats.org/officeDocument/2006/relationships/image" Target="media/image58.wmf"/><Relationship Id="rId8" Type="http://schemas.openxmlformats.org/officeDocument/2006/relationships/image" Target="media/image2.emf"/><Relationship Id="rId79" Type="http://schemas.openxmlformats.org/officeDocument/2006/relationships/oleObject" Target="embeddings/oleObject17.bin"/><Relationship Id="rId78" Type="http://schemas.openxmlformats.org/officeDocument/2006/relationships/image" Target="media/image57.png"/><Relationship Id="rId77" Type="http://schemas.openxmlformats.org/officeDocument/2006/relationships/image" Target="media/image56.jpe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jpe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emf"/><Relationship Id="rId7" Type="http://schemas.openxmlformats.org/officeDocument/2006/relationships/oleObject" Target="embeddings/oleObject1.bin"/><Relationship Id="rId69" Type="http://schemas.openxmlformats.org/officeDocument/2006/relationships/image" Target="media/image48.emf"/><Relationship Id="rId68" Type="http://schemas.openxmlformats.org/officeDocument/2006/relationships/image" Target="media/image47.png"/><Relationship Id="rId67" Type="http://schemas.openxmlformats.org/officeDocument/2006/relationships/image" Target="media/image46.emf"/><Relationship Id="rId66" Type="http://schemas.openxmlformats.org/officeDocument/2006/relationships/image" Target="media/image45.emf"/><Relationship Id="rId65" Type="http://schemas.openxmlformats.org/officeDocument/2006/relationships/image" Target="media/image44.png"/><Relationship Id="rId64" Type="http://schemas.openxmlformats.org/officeDocument/2006/relationships/image" Target="media/image43.emf"/><Relationship Id="rId63" Type="http://schemas.openxmlformats.org/officeDocument/2006/relationships/image" Target="media/image42.emf"/><Relationship Id="rId62" Type="http://schemas.openxmlformats.org/officeDocument/2006/relationships/image" Target="media/image41.png"/><Relationship Id="rId61" Type="http://schemas.openxmlformats.org/officeDocument/2006/relationships/image" Target="media/image40.emf"/><Relationship Id="rId60" Type="http://schemas.openxmlformats.org/officeDocument/2006/relationships/image" Target="media/image39.emf"/><Relationship Id="rId6" Type="http://schemas.openxmlformats.org/officeDocument/2006/relationships/image" Target="media/image1.jpeg"/><Relationship Id="rId59" Type="http://schemas.openxmlformats.org/officeDocument/2006/relationships/image" Target="media/image38.png"/><Relationship Id="rId58" Type="http://schemas.openxmlformats.org/officeDocument/2006/relationships/image" Target="media/image37.emf"/><Relationship Id="rId57" Type="http://schemas.openxmlformats.org/officeDocument/2006/relationships/image" Target="media/image36.emf"/><Relationship Id="rId56" Type="http://schemas.openxmlformats.org/officeDocument/2006/relationships/image" Target="media/image35.png"/><Relationship Id="rId55" Type="http://schemas.openxmlformats.org/officeDocument/2006/relationships/image" Target="media/image34.emf"/><Relationship Id="rId54" Type="http://schemas.openxmlformats.org/officeDocument/2006/relationships/image" Target="media/image33.emf"/><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theme" Target="theme/theme1.xml"/><Relationship Id="rId49" Type="http://schemas.openxmlformats.org/officeDocument/2006/relationships/image" Target="media/image28.png"/><Relationship Id="rId48" Type="http://schemas.openxmlformats.org/officeDocument/2006/relationships/image" Target="media/image27.wmf"/><Relationship Id="rId47" Type="http://schemas.openxmlformats.org/officeDocument/2006/relationships/oleObject" Target="embeddings/oleObject16.bin"/><Relationship Id="rId46" Type="http://schemas.openxmlformats.org/officeDocument/2006/relationships/image" Target="media/image26.emf"/><Relationship Id="rId45" Type="http://schemas.openxmlformats.org/officeDocument/2006/relationships/oleObject" Target="embeddings/oleObject15.bin"/><Relationship Id="rId44" Type="http://schemas.openxmlformats.org/officeDocument/2006/relationships/image" Target="media/image25.emf"/><Relationship Id="rId43" Type="http://schemas.openxmlformats.org/officeDocument/2006/relationships/oleObject" Target="embeddings/oleObject14.bin"/><Relationship Id="rId42" Type="http://schemas.openxmlformats.org/officeDocument/2006/relationships/image" Target="media/image24.pn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footer" Target="footer2.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emf"/><Relationship Id="rId36" Type="http://schemas.openxmlformats.org/officeDocument/2006/relationships/oleObject" Target="embeddings/oleObject13.bin"/><Relationship Id="rId35" Type="http://schemas.openxmlformats.org/officeDocument/2006/relationships/image" Target="media/image18.wmf"/><Relationship Id="rId34" Type="http://schemas.openxmlformats.org/officeDocument/2006/relationships/oleObject" Target="embeddings/oleObject12.bin"/><Relationship Id="rId33" Type="http://schemas.openxmlformats.org/officeDocument/2006/relationships/image" Target="media/image17.wmf"/><Relationship Id="rId32" Type="http://schemas.openxmlformats.org/officeDocument/2006/relationships/oleObject" Target="embeddings/oleObject11.bin"/><Relationship Id="rId31" Type="http://schemas.openxmlformats.org/officeDocument/2006/relationships/image" Target="media/image16.wmf"/><Relationship Id="rId30" Type="http://schemas.openxmlformats.org/officeDocument/2006/relationships/oleObject" Target="embeddings/oleObject10.bin"/><Relationship Id="rId3" Type="http://schemas.openxmlformats.org/officeDocument/2006/relationships/footer" Target="footer1.xml"/><Relationship Id="rId29" Type="http://schemas.openxmlformats.org/officeDocument/2006/relationships/image" Target="media/image15.wmf"/><Relationship Id="rId28" Type="http://schemas.openxmlformats.org/officeDocument/2006/relationships/oleObject" Target="embeddings/oleObject9.bin"/><Relationship Id="rId27" Type="http://schemas.openxmlformats.org/officeDocument/2006/relationships/image" Target="media/image14.wmf"/><Relationship Id="rId26" Type="http://schemas.openxmlformats.org/officeDocument/2006/relationships/oleObject" Target="embeddings/oleObject8.bin"/><Relationship Id="rId25" Type="http://schemas.openxmlformats.org/officeDocument/2006/relationships/image" Target="media/image13.wmf"/><Relationship Id="rId24" Type="http://schemas.openxmlformats.org/officeDocument/2006/relationships/oleObject" Target="embeddings/oleObject7.bin"/><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e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9.wmf"/><Relationship Id="rId18" Type="http://schemas.openxmlformats.org/officeDocument/2006/relationships/image" Target="media/image8.wmf"/><Relationship Id="rId17" Type="http://schemas.openxmlformats.org/officeDocument/2006/relationships/image" Target="media/image7.wmf"/><Relationship Id="rId16" Type="http://schemas.openxmlformats.org/officeDocument/2006/relationships/image" Target="media/image6.emf"/><Relationship Id="rId15" Type="http://schemas.openxmlformats.org/officeDocument/2006/relationships/oleObject" Target="embeddings/oleObject5.bin"/><Relationship Id="rId14" Type="http://schemas.openxmlformats.org/officeDocument/2006/relationships/image" Target="media/image5.emf"/><Relationship Id="rId13" Type="http://schemas.openxmlformats.org/officeDocument/2006/relationships/oleObject" Target="embeddings/oleObject4.bin"/><Relationship Id="rId12" Type="http://schemas.openxmlformats.org/officeDocument/2006/relationships/image" Target="media/image4.emf"/><Relationship Id="rId11" Type="http://schemas.openxmlformats.org/officeDocument/2006/relationships/oleObject" Target="embeddings/oleObject3.bin"/><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Info spid="_x0000_s1033"/>
    <customShpInfo spid="_x0000_s1034"/>
    <customShpInfo spid="_x0000_s1035"/>
    <customShpInfo spid="_x0000_s1036"/>
    <customShpInfo spid="_x0000_s103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159</Pages>
  <Words>25013</Words>
  <Characters>28445</Characters>
  <Lines>687</Lines>
  <Paragraphs>193</Paragraphs>
  <TotalTime>5</TotalTime>
  <ScaleCrop>false</ScaleCrop>
  <LinksUpToDate>false</LinksUpToDate>
  <CharactersWithSpaces>28684</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2023-04-29T01:08:00Z</dcterms:created>
  <dc:creator>lhj</dc:creator>
  <cp:lastModifiedBy>XXXX</cp:lastModifiedBy>
  <cp:lastPrinted>2023-05-23T08:52:00Z</cp:lastPrinted>
  <dcterms:modified xsi:type="dcterms:W3CDTF">2025-06-23T02:14:36Z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DA0CF2C36F6E4F0B8960B3320528FCF4_13</vt:lpwstr>
  </property>
  <property fmtid="{D5CDD505-2E9C-101B-9397-08002B2CF9AE}" pid="4" name="KSOTemplateDocerSaveRecord">
    <vt:lpwstr>eyJoZGlkIjoiYjIxYjBmYmVjYzliOWQzYzUzZTUwMDI3OWEzNTI0MDUiLCJ1c2VySWQiOiIxMTM0MjkyODA5In0=</vt:lpwstr>
  </property>
</Properties>
</file>